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92190F">
      <w:pPr>
        <w:jc w:val="center"/>
        <w:rPr>
          <w:rFonts w:hint="eastAsia" w:ascii="仿宋" w:hAnsi="仿宋" w:eastAsia="仿宋" w:cs="仿宋"/>
          <w:b/>
          <w:bCs w:val="0"/>
          <w:color w:val="auto"/>
          <w:spacing w:val="0"/>
          <w:sz w:val="52"/>
          <w:szCs w:val="52"/>
          <w:highlight w:val="none"/>
          <w:lang w:eastAsia="zh-CN"/>
        </w:rPr>
      </w:pPr>
    </w:p>
    <w:p w14:paraId="46BA0767">
      <w:pPr>
        <w:pStyle w:val="3"/>
        <w:jc w:val="center"/>
        <w:rPr>
          <w:rFonts w:hint="eastAsia" w:ascii="宋体" w:hAnsi="宋体" w:eastAsia="宋体" w:cs="宋体"/>
          <w:color w:val="auto"/>
          <w:highlight w:val="none"/>
        </w:rPr>
      </w:pPr>
      <w:r>
        <w:rPr>
          <w:rFonts w:hint="eastAsia" w:ascii="宋体" w:hAnsi="宋体" w:eastAsia="宋体" w:cs="宋体"/>
          <w:b/>
          <w:bCs w:val="0"/>
          <w:color w:val="auto"/>
          <w:spacing w:val="0"/>
          <w:sz w:val="48"/>
          <w:szCs w:val="48"/>
          <w:highlight w:val="none"/>
          <w:lang w:val="en-US" w:eastAsia="zh-CN"/>
        </w:rPr>
        <w:t>2025年度衢州智慧新城地下综合管廊与隧道运维服务项目</w:t>
      </w:r>
    </w:p>
    <w:p w14:paraId="76E3E96F">
      <w:pPr>
        <w:pStyle w:val="3"/>
        <w:ind w:firstLine="210"/>
        <w:rPr>
          <w:rFonts w:hint="eastAsia" w:ascii="宋体" w:hAnsi="宋体" w:eastAsia="宋体" w:cs="宋体"/>
          <w:color w:val="auto"/>
          <w:highlight w:val="none"/>
        </w:rPr>
      </w:pPr>
    </w:p>
    <w:p w14:paraId="44581A30">
      <w:pPr>
        <w:rPr>
          <w:rFonts w:hint="eastAsia" w:ascii="宋体" w:hAnsi="宋体" w:eastAsia="宋体" w:cs="宋体"/>
          <w:color w:val="auto"/>
          <w:highlight w:val="none"/>
        </w:rPr>
      </w:pPr>
    </w:p>
    <w:p w14:paraId="0503DDDF">
      <w:pPr>
        <w:ind w:firstLine="1771" w:firstLineChars="245"/>
        <w:rPr>
          <w:rFonts w:hint="eastAsia" w:ascii="宋体" w:hAnsi="宋体" w:eastAsia="宋体" w:cs="宋体"/>
          <w:b/>
          <w:bCs/>
          <w:color w:val="auto"/>
          <w:sz w:val="72"/>
          <w:szCs w:val="72"/>
          <w:highlight w:val="none"/>
        </w:rPr>
      </w:pPr>
    </w:p>
    <w:p w14:paraId="0B98FDCE">
      <w:pPr>
        <w:ind w:firstLine="1771" w:firstLineChars="245"/>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公开招标采购文件</w:t>
      </w:r>
    </w:p>
    <w:p w14:paraId="70E635DD">
      <w:pPr>
        <w:pStyle w:val="608"/>
        <w:rPr>
          <w:rFonts w:hint="eastAsia" w:ascii="宋体" w:hAnsi="宋体" w:eastAsia="宋体" w:cs="宋体"/>
          <w:color w:val="auto"/>
          <w:highlight w:val="none"/>
        </w:rPr>
      </w:pPr>
    </w:p>
    <w:p w14:paraId="6E2A304F">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58"/>
        <w:jc w:val="center"/>
        <w:rPr>
          <w:rFonts w:hint="eastAsia" w:ascii="宋体" w:hAnsi="宋体" w:eastAsia="宋体" w:cs="宋体"/>
          <w:b/>
          <w:color w:val="auto"/>
          <w:sz w:val="32"/>
          <w:highlight w:val="none"/>
        </w:rPr>
      </w:pPr>
      <w:r>
        <w:rPr>
          <w:rFonts w:hint="eastAsia" w:ascii="宋体" w:hAnsi="宋体" w:eastAsia="宋体" w:cs="宋体"/>
          <w:b/>
          <w:color w:val="auto"/>
          <w:sz w:val="36"/>
          <w:highlight w:val="none"/>
        </w:rPr>
        <w:t>（线上电子标）</w:t>
      </w:r>
    </w:p>
    <w:p w14:paraId="6DD8A8AB">
      <w:pPr>
        <w:jc w:val="center"/>
        <w:rPr>
          <w:rFonts w:hint="eastAsia" w:ascii="宋体" w:hAnsi="宋体" w:eastAsia="宋体" w:cs="宋体"/>
          <w:color w:val="auto"/>
          <w:spacing w:val="-20"/>
          <w:sz w:val="60"/>
          <w:szCs w:val="60"/>
          <w:highlight w:val="none"/>
        </w:rPr>
      </w:pPr>
    </w:p>
    <w:p w14:paraId="1E012A56">
      <w:pPr>
        <w:spacing w:line="460" w:lineRule="exact"/>
        <w:jc w:val="both"/>
        <w:rPr>
          <w:rFonts w:hint="eastAsia" w:ascii="宋体" w:hAnsi="宋体" w:eastAsia="宋体" w:cs="宋体"/>
          <w:color w:val="auto"/>
          <w:highlight w:val="none"/>
        </w:rPr>
      </w:pPr>
    </w:p>
    <w:p w14:paraId="3656E87B">
      <w:pPr>
        <w:spacing w:line="460" w:lineRule="exact"/>
        <w:jc w:val="center"/>
        <w:rPr>
          <w:rFonts w:hint="eastAsia" w:ascii="宋体" w:hAnsi="宋体" w:eastAsia="宋体" w:cs="宋体"/>
          <w:color w:val="auto"/>
          <w:highlight w:val="none"/>
        </w:rPr>
      </w:pPr>
    </w:p>
    <w:p w14:paraId="20C22F6A">
      <w:pPr>
        <w:spacing w:line="460" w:lineRule="exact"/>
        <w:ind w:firstLine="643" w:firstLineChars="200"/>
        <w:jc w:val="left"/>
        <w:rPr>
          <w:rFonts w:hint="eastAsia"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kxqz2024108</w:t>
      </w:r>
    </w:p>
    <w:p w14:paraId="7E21C599">
      <w:pPr>
        <w:spacing w:line="460" w:lineRule="exact"/>
        <w:ind w:left="2909" w:leftChars="406" w:hanging="1772" w:hangingChars="592"/>
        <w:jc w:val="left"/>
        <w:rPr>
          <w:rFonts w:hint="eastAsia" w:ascii="宋体" w:hAnsi="宋体" w:eastAsia="宋体" w:cs="宋体"/>
          <w:b/>
          <w:color w:val="auto"/>
          <w:spacing w:val="-11"/>
          <w:sz w:val="32"/>
          <w:szCs w:val="32"/>
          <w:highlight w:val="none"/>
        </w:rPr>
      </w:pPr>
    </w:p>
    <w:p w14:paraId="20685734">
      <w:pPr>
        <w:spacing w:before="24" w:beforeLines="10" w:line="360" w:lineRule="auto"/>
        <w:ind w:left="2244" w:leftChars="228" w:hanging="1606" w:hangingChars="500"/>
        <w:jc w:val="left"/>
        <w:rPr>
          <w:rFonts w:hint="eastAsia" w:ascii="宋体" w:hAnsi="宋体" w:eastAsia="宋体" w:cs="宋体"/>
          <w:b/>
          <w:color w:val="auto"/>
          <w:spacing w:val="0"/>
          <w:sz w:val="32"/>
          <w:szCs w:val="32"/>
          <w:highlight w:val="none"/>
          <w:lang w:eastAsia="zh-CN"/>
        </w:rPr>
      </w:pPr>
      <w:r>
        <w:rPr>
          <w:rFonts w:hint="eastAsia" w:ascii="宋体" w:hAnsi="宋体" w:eastAsia="宋体" w:cs="宋体"/>
          <w:b/>
          <w:color w:val="auto"/>
          <w:spacing w:val="0"/>
          <w:sz w:val="32"/>
          <w:szCs w:val="32"/>
          <w:highlight w:val="none"/>
        </w:rPr>
        <w:t>项目名称：</w:t>
      </w:r>
      <w:r>
        <w:rPr>
          <w:rFonts w:hint="eastAsia" w:ascii="宋体" w:hAnsi="宋体" w:cs="宋体"/>
          <w:b/>
          <w:color w:val="auto"/>
          <w:spacing w:val="0"/>
          <w:sz w:val="32"/>
          <w:szCs w:val="32"/>
          <w:highlight w:val="none"/>
          <w:lang w:eastAsia="zh-CN"/>
        </w:rPr>
        <w:t>2025年度衢州智慧新城地下综合管廊与隧道运维服务项目</w:t>
      </w:r>
    </w:p>
    <w:p w14:paraId="0FCED348">
      <w:pPr>
        <w:spacing w:line="460" w:lineRule="exact"/>
        <w:ind w:left="2440" w:leftChars="200" w:hanging="1880" w:hangingChars="683"/>
        <w:jc w:val="left"/>
        <w:rPr>
          <w:rFonts w:hint="eastAsia" w:ascii="宋体" w:hAnsi="宋体" w:eastAsia="宋体" w:cs="宋体"/>
          <w:b/>
          <w:color w:val="auto"/>
          <w:spacing w:val="-23"/>
          <w:sz w:val="32"/>
          <w:szCs w:val="32"/>
          <w:highlight w:val="none"/>
          <w:lang w:eastAsia="zh-CN"/>
        </w:rPr>
      </w:pPr>
    </w:p>
    <w:p w14:paraId="7AFD22FF">
      <w:pPr>
        <w:pStyle w:val="52"/>
        <w:ind w:left="0"/>
        <w:rPr>
          <w:rFonts w:hint="eastAsia" w:ascii="宋体" w:hAnsi="宋体" w:eastAsia="宋体" w:cs="宋体"/>
          <w:color w:val="auto"/>
          <w:highlight w:val="none"/>
        </w:rPr>
      </w:pPr>
    </w:p>
    <w:p w14:paraId="6A599BB3">
      <w:pPr>
        <w:rPr>
          <w:rFonts w:hint="eastAsia" w:ascii="宋体" w:hAnsi="宋体" w:eastAsia="宋体" w:cs="宋体"/>
          <w:color w:val="auto"/>
          <w:highlight w:val="none"/>
        </w:rPr>
      </w:pPr>
    </w:p>
    <w:p w14:paraId="628B0DF1">
      <w:pPr>
        <w:ind w:right="1120" w:rightChars="400" w:firstLine="643" w:firstLineChars="200"/>
        <w:jc w:val="left"/>
        <w:rPr>
          <w:rFonts w:hint="eastAsia" w:ascii="宋体" w:hAnsi="宋体" w:eastAsia="宋体" w:cs="宋体"/>
          <w:color w:val="auto"/>
          <w:highlight w:val="none"/>
        </w:rPr>
      </w:pPr>
      <w:r>
        <w:rPr>
          <w:rFonts w:hint="eastAsia" w:ascii="宋体" w:hAnsi="宋体" w:eastAsia="宋体" w:cs="宋体"/>
          <w:b/>
          <w:color w:val="auto"/>
          <w:sz w:val="32"/>
          <w:szCs w:val="32"/>
          <w:highlight w:val="none"/>
        </w:rPr>
        <w:t>采   购   人：</w:t>
      </w:r>
      <w:r>
        <w:rPr>
          <w:rFonts w:hint="eastAsia" w:ascii="宋体" w:hAnsi="宋体" w:eastAsia="宋体" w:cs="宋体"/>
          <w:b/>
          <w:bCs/>
          <w:color w:val="auto"/>
          <w:sz w:val="32"/>
          <w:szCs w:val="32"/>
          <w:highlight w:val="none"/>
          <w:lang w:eastAsia="zh-CN"/>
        </w:rPr>
        <w:t>衢州智慧新城管理委员会</w:t>
      </w:r>
    </w:p>
    <w:p w14:paraId="7549BE81">
      <w:pPr>
        <w:ind w:firstLine="321" w:firstLineChars="100"/>
        <w:rPr>
          <w:rFonts w:hint="eastAsia" w:ascii="宋体" w:hAnsi="宋体" w:eastAsia="宋体" w:cs="宋体"/>
          <w:b/>
          <w:color w:val="auto"/>
          <w:sz w:val="32"/>
          <w:szCs w:val="32"/>
          <w:highlight w:val="none"/>
        </w:rPr>
      </w:pPr>
    </w:p>
    <w:p w14:paraId="580F6112">
      <w:pPr>
        <w:ind w:firstLine="643" w:firstLineChars="200"/>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采购代理单位：</w:t>
      </w:r>
      <w:r>
        <w:rPr>
          <w:rFonts w:hint="eastAsia" w:ascii="宋体" w:hAnsi="宋体" w:eastAsia="宋体" w:cs="宋体"/>
          <w:b/>
          <w:color w:val="auto"/>
          <w:sz w:val="32"/>
          <w:szCs w:val="32"/>
          <w:highlight w:val="none"/>
          <w:lang w:eastAsia="zh-CN"/>
        </w:rPr>
        <w:t>科信联合工程咨询有限公司</w:t>
      </w:r>
    </w:p>
    <w:p w14:paraId="223CB921">
      <w:pPr>
        <w:spacing w:line="700" w:lineRule="exact"/>
        <w:rPr>
          <w:rFonts w:hint="eastAsia" w:ascii="宋体" w:hAnsi="宋体" w:eastAsia="宋体" w:cs="宋体"/>
          <w:b/>
          <w:color w:val="auto"/>
          <w:sz w:val="30"/>
          <w:highlight w:val="none"/>
        </w:rPr>
      </w:pPr>
      <w:r>
        <w:rPr>
          <w:rFonts w:hint="eastAsia" w:ascii="宋体" w:hAnsi="宋体" w:eastAsia="宋体" w:cs="宋体"/>
          <w:b/>
          <w:color w:val="auto"/>
          <w:sz w:val="30"/>
          <w:highlight w:val="none"/>
        </w:rPr>
        <w:t xml:space="preserve"> </w:t>
      </w:r>
    </w:p>
    <w:p w14:paraId="636E9AB8">
      <w:pPr>
        <w:pStyle w:val="2"/>
        <w:rPr>
          <w:rFonts w:hint="eastAsia" w:ascii="宋体" w:hAnsi="宋体" w:eastAsia="宋体" w:cs="宋体"/>
          <w:color w:val="auto"/>
          <w:highlight w:val="none"/>
        </w:rPr>
      </w:pPr>
    </w:p>
    <w:p w14:paraId="77A52671">
      <w:pPr>
        <w:jc w:val="center"/>
        <w:rPr>
          <w:rFonts w:hint="eastAsia" w:ascii="宋体" w:hAnsi="宋体" w:eastAsia="宋体" w:cs="宋体"/>
          <w:b/>
          <w:color w:val="auto"/>
          <w:sz w:val="30"/>
          <w:highlight w:val="none"/>
        </w:rPr>
      </w:pPr>
      <w:r>
        <w:rPr>
          <w:rFonts w:hint="eastAsia" w:ascii="宋体" w:hAnsi="宋体" w:eastAsia="宋体" w:cs="宋体"/>
          <w:b/>
          <w:color w:val="auto"/>
          <w:sz w:val="30"/>
          <w:highlight w:val="none"/>
        </w:rPr>
        <w:t xml:space="preserve">  二○二</w:t>
      </w:r>
      <w:r>
        <w:rPr>
          <w:rFonts w:hint="eastAsia" w:ascii="宋体" w:hAnsi="宋体" w:eastAsia="宋体" w:cs="宋体"/>
          <w:b/>
          <w:color w:val="auto"/>
          <w:sz w:val="30"/>
          <w:highlight w:val="none"/>
          <w:lang w:eastAsia="zh-CN"/>
        </w:rPr>
        <w:t>四</w:t>
      </w:r>
      <w:r>
        <w:rPr>
          <w:rFonts w:hint="eastAsia" w:ascii="宋体" w:hAnsi="宋体" w:eastAsia="宋体" w:cs="宋体"/>
          <w:b/>
          <w:color w:val="auto"/>
          <w:sz w:val="30"/>
          <w:highlight w:val="none"/>
        </w:rPr>
        <w:t>年</w:t>
      </w:r>
      <w:r>
        <w:rPr>
          <w:rFonts w:hint="eastAsia" w:ascii="宋体" w:hAnsi="宋体" w:cs="宋体"/>
          <w:b/>
          <w:color w:val="auto"/>
          <w:sz w:val="30"/>
          <w:highlight w:val="none"/>
          <w:lang w:val="en-US" w:eastAsia="zh-CN"/>
        </w:rPr>
        <w:t>十一</w:t>
      </w:r>
      <w:r>
        <w:rPr>
          <w:rFonts w:hint="eastAsia" w:ascii="宋体" w:hAnsi="宋体" w:eastAsia="宋体" w:cs="宋体"/>
          <w:b/>
          <w:color w:val="auto"/>
          <w:sz w:val="30"/>
          <w:highlight w:val="none"/>
        </w:rPr>
        <w:t>月</w:t>
      </w:r>
    </w:p>
    <w:p w14:paraId="1107EDA5">
      <w:pPr>
        <w:pStyle w:val="49"/>
        <w:spacing w:before="24" w:beforeLines="10" w:line="360" w:lineRule="auto"/>
        <w:ind w:firstLine="280" w:firstLineChars="100"/>
        <w:jc w:val="center"/>
        <w:rPr>
          <w:rFonts w:hint="eastAsia" w:ascii="仿宋" w:hAnsi="仿宋" w:eastAsia="仿宋" w:cs="仿宋"/>
          <w:b w:val="0"/>
          <w:bCs w:val="0"/>
          <w:color w:val="auto"/>
          <w:sz w:val="28"/>
          <w:szCs w:val="28"/>
          <w:highlight w:val="none"/>
        </w:rPr>
      </w:pPr>
    </w:p>
    <w:p w14:paraId="1FE20CE5">
      <w:pPr>
        <w:pStyle w:val="49"/>
        <w:spacing w:before="24" w:beforeLines="10" w:line="360" w:lineRule="auto"/>
        <w:ind w:firstLine="281" w:firstLineChars="100"/>
        <w:jc w:val="center"/>
        <w:rPr>
          <w:rFonts w:hint="eastAsia" w:ascii="仿宋" w:hAnsi="仿宋" w:eastAsia="仿宋" w:cs="仿宋"/>
          <w:b/>
          <w:bCs/>
          <w:color w:val="auto"/>
          <w:sz w:val="28"/>
          <w:szCs w:val="28"/>
          <w:highlight w:val="none"/>
        </w:rPr>
        <w:sectPr>
          <w:headerReference r:id="rId4" w:type="first"/>
          <w:footerReference r:id="rId7" w:type="first"/>
          <w:headerReference r:id="rId3" w:type="default"/>
          <w:footerReference r:id="rId5" w:type="default"/>
          <w:footerReference r:id="rId6" w:type="even"/>
          <w:pgSz w:w="11906" w:h="16838"/>
          <w:pgMar w:top="1440" w:right="1440" w:bottom="1440" w:left="1440" w:header="851" w:footer="851" w:gutter="0"/>
          <w:pgBorders>
            <w:top w:val="none" w:sz="0" w:space="0"/>
            <w:left w:val="none" w:sz="0" w:space="0"/>
            <w:bottom w:val="none" w:sz="0" w:space="0"/>
            <w:right w:val="none" w:sz="0" w:space="0"/>
          </w:pgBorders>
          <w:pgNumType w:fmt="decimal" w:start="1"/>
          <w:cols w:space="720" w:num="1"/>
          <w:titlePg/>
          <w:docGrid w:linePitch="381" w:charSpace="0"/>
        </w:sectPr>
      </w:pPr>
    </w:p>
    <w:p w14:paraId="0AD7AAEF">
      <w:pPr>
        <w:pStyle w:val="49"/>
        <w:spacing w:before="24" w:beforeLines="10" w:line="360" w:lineRule="auto"/>
        <w:ind w:firstLine="301" w:firstLineChars="100"/>
        <w:jc w:val="center"/>
        <w:rPr>
          <w:rFonts w:hint="eastAsia" w:ascii="仿宋" w:hAnsi="仿宋" w:eastAsia="仿宋" w:cs="仿宋"/>
          <w:b w:val="0"/>
          <w:bCs w:val="0"/>
          <w:color w:val="auto"/>
          <w:sz w:val="28"/>
          <w:szCs w:val="28"/>
          <w:highlight w:val="none"/>
        </w:rPr>
      </w:pPr>
      <w:r>
        <w:rPr>
          <w:rFonts w:hint="eastAsia" w:ascii="仿宋" w:hAnsi="仿宋" w:eastAsia="仿宋" w:cs="仿宋"/>
          <w:b/>
          <w:bCs/>
          <w:color w:val="auto"/>
          <w:sz w:val="30"/>
          <w:szCs w:val="30"/>
          <w:highlight w:val="none"/>
        </w:rPr>
        <w:t>目  录</w:t>
      </w:r>
    </w:p>
    <w:p w14:paraId="5CF980E8">
      <w:pPr>
        <w:rPr>
          <w:rFonts w:hint="eastAsia" w:ascii="仿宋" w:hAnsi="仿宋" w:eastAsia="仿宋" w:cs="仿宋"/>
          <w:b w:val="0"/>
          <w:bCs w:val="0"/>
          <w:color w:val="auto"/>
          <w:sz w:val="28"/>
          <w:szCs w:val="28"/>
          <w:highlight w:val="none"/>
        </w:rPr>
      </w:pPr>
    </w:p>
    <w:p w14:paraId="1346A375">
      <w:pPr>
        <w:pStyle w:val="61"/>
        <w:tabs>
          <w:tab w:val="right" w:leader="dot" w:pos="9026"/>
          <w:tab w:val="clear" w:pos="8364"/>
        </w:tabs>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TOC \o "1-2" \h \z \u</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"_Toc32624"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第一</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招标公告</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lang w:val="en-US" w:eastAsia="zh-CN"/>
        </w:rPr>
        <w:t>3</w:t>
      </w:r>
      <w:r>
        <w:rPr>
          <w:rFonts w:hint="eastAsia" w:ascii="仿宋" w:hAnsi="仿宋" w:eastAsia="仿宋" w:cs="仿宋"/>
          <w:b w:val="0"/>
          <w:bCs w:val="0"/>
          <w:color w:val="auto"/>
          <w:sz w:val="28"/>
          <w:szCs w:val="28"/>
          <w:highlight w:val="none"/>
        </w:rPr>
        <w:fldChar w:fldCharType="end"/>
      </w:r>
    </w:p>
    <w:p w14:paraId="6938FA29">
      <w:pPr>
        <w:pStyle w:val="61"/>
        <w:tabs>
          <w:tab w:val="right" w:leader="dot" w:pos="9026"/>
          <w:tab w:val="clear" w:pos="8364"/>
        </w:tabs>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"_Toc31506"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第二</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w:t>
      </w:r>
      <w:r>
        <w:rPr>
          <w:rFonts w:hint="eastAsia" w:ascii="仿宋" w:hAnsi="仿宋" w:eastAsia="仿宋" w:cs="仿宋"/>
          <w:b w:val="0"/>
          <w:bCs w:val="0"/>
          <w:color w:val="auto"/>
          <w:sz w:val="28"/>
          <w:szCs w:val="28"/>
          <w:highlight w:val="none"/>
          <w:lang w:eastAsia="zh-CN"/>
        </w:rPr>
        <w:t>投标须知前附表及投标须知</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lang w:val="en-US" w:eastAsia="zh-CN"/>
        </w:rPr>
        <w:t>7</w:t>
      </w:r>
      <w:r>
        <w:rPr>
          <w:rFonts w:hint="eastAsia" w:ascii="仿宋" w:hAnsi="仿宋" w:eastAsia="仿宋" w:cs="仿宋"/>
          <w:b w:val="0"/>
          <w:bCs w:val="0"/>
          <w:color w:val="auto"/>
          <w:sz w:val="28"/>
          <w:szCs w:val="28"/>
          <w:highlight w:val="none"/>
        </w:rPr>
        <w:fldChar w:fldCharType="end"/>
      </w:r>
    </w:p>
    <w:p w14:paraId="53882695">
      <w:pPr>
        <w:pStyle w:val="61"/>
        <w:tabs>
          <w:tab w:val="right" w:leader="dot" w:pos="9026"/>
          <w:tab w:val="clear" w:pos="8364"/>
        </w:tabs>
        <w:rPr>
          <w:rFonts w:hint="eastAsia"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"_Toc4895"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第三</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w:t>
      </w:r>
      <w:r>
        <w:rPr>
          <w:rFonts w:hint="eastAsia" w:ascii="仿宋" w:hAnsi="仿宋" w:eastAsia="仿宋" w:cs="仿宋"/>
          <w:b w:val="0"/>
          <w:bCs w:val="0"/>
          <w:color w:val="auto"/>
          <w:sz w:val="28"/>
          <w:szCs w:val="28"/>
          <w:highlight w:val="none"/>
          <w:lang w:eastAsia="zh-CN"/>
        </w:rPr>
        <w:t>采购内容及要求</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r>
        <w:rPr>
          <w:rFonts w:hint="eastAsia" w:ascii="仿宋" w:hAnsi="仿宋" w:eastAsia="仿宋" w:cs="仿宋"/>
          <w:b w:val="0"/>
          <w:bCs w:val="0"/>
          <w:color w:val="auto"/>
          <w:sz w:val="28"/>
          <w:szCs w:val="28"/>
          <w:highlight w:val="none"/>
          <w:lang w:val="en-US" w:eastAsia="zh-CN"/>
        </w:rPr>
        <w:t>33</w:t>
      </w:r>
    </w:p>
    <w:p w14:paraId="64130154">
      <w:pPr>
        <w:pStyle w:val="61"/>
        <w:tabs>
          <w:tab w:val="right" w:leader="dot" w:pos="9026"/>
          <w:tab w:val="clear" w:pos="8364"/>
        </w:tabs>
        <w:rPr>
          <w:rFonts w:hint="default"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"_Toc1203"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第四</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w:t>
      </w:r>
      <w:r>
        <w:rPr>
          <w:rFonts w:hint="eastAsia" w:ascii="仿宋" w:hAnsi="仿宋" w:eastAsia="仿宋" w:cs="仿宋"/>
          <w:b w:val="0"/>
          <w:bCs w:val="0"/>
          <w:color w:val="auto"/>
          <w:sz w:val="28"/>
          <w:szCs w:val="28"/>
          <w:highlight w:val="none"/>
          <w:lang w:eastAsia="zh-CN"/>
        </w:rPr>
        <w:t>合同主要条款</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rPr>
        <w:fldChar w:fldCharType="end"/>
      </w:r>
      <w:r>
        <w:rPr>
          <w:rFonts w:hint="eastAsia" w:ascii="仿宋" w:hAnsi="仿宋" w:eastAsia="仿宋" w:cs="仿宋"/>
          <w:b w:val="0"/>
          <w:bCs w:val="0"/>
          <w:color w:val="auto"/>
          <w:sz w:val="28"/>
          <w:szCs w:val="28"/>
          <w:highlight w:val="none"/>
          <w:lang w:val="en-US" w:eastAsia="zh-CN"/>
        </w:rPr>
        <w:t>56</w:t>
      </w:r>
    </w:p>
    <w:p w14:paraId="1249D23E">
      <w:pPr>
        <w:pStyle w:val="75"/>
        <w:tabs>
          <w:tab w:val="right" w:leader="dot" w:pos="9026"/>
          <w:tab w:val="clear" w:pos="8364"/>
        </w:tabs>
        <w:ind w:left="0"/>
        <w:rPr>
          <w:rFonts w:hint="default" w:ascii="仿宋" w:hAnsi="仿宋" w:eastAsia="仿宋" w:cs="仿宋"/>
          <w:b w:val="0"/>
          <w:bCs w:val="0"/>
          <w:color w:val="auto"/>
          <w:sz w:val="28"/>
          <w:szCs w:val="28"/>
          <w:highlight w:val="none"/>
          <w:lang w:val="en-US" w:eastAsia="zh-CN"/>
        </w:rPr>
      </w:pPr>
      <w:r>
        <w:rPr>
          <w:rFonts w:hint="eastAsia" w:ascii="仿宋" w:hAnsi="仿宋" w:eastAsia="仿宋" w:cs="仿宋"/>
          <w:b w:val="0"/>
          <w:bCs w:val="0"/>
          <w:caps/>
          <w:smallCaps w:val="0"/>
          <w:color w:val="auto"/>
          <w:sz w:val="28"/>
          <w:szCs w:val="28"/>
          <w:highlight w:val="none"/>
        </w:rPr>
        <w:t>第五</w:t>
      </w:r>
      <w:r>
        <w:rPr>
          <w:rFonts w:hint="eastAsia" w:ascii="仿宋" w:hAnsi="仿宋" w:eastAsia="仿宋" w:cs="仿宋"/>
          <w:b w:val="0"/>
          <w:bCs w:val="0"/>
          <w:caps/>
          <w:smallCaps w:val="0"/>
          <w:color w:val="auto"/>
          <w:sz w:val="28"/>
          <w:szCs w:val="28"/>
          <w:highlight w:val="none"/>
          <w:lang w:eastAsia="zh-CN"/>
        </w:rPr>
        <w:t>章</w:t>
      </w:r>
      <w:r>
        <w:rPr>
          <w:rFonts w:hint="eastAsia" w:ascii="仿宋" w:hAnsi="仿宋" w:eastAsia="仿宋" w:cs="仿宋"/>
          <w:b w:val="0"/>
          <w:bCs w:val="0"/>
          <w:caps/>
          <w:smallCaps w:val="0"/>
          <w:color w:val="auto"/>
          <w:sz w:val="28"/>
          <w:szCs w:val="28"/>
          <w:highlight w:val="none"/>
        </w:rPr>
        <w:t xml:space="preserve">  </w:t>
      </w: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"_Toc2553"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aps/>
          <w:smallCaps w:val="0"/>
          <w:color w:val="auto"/>
          <w:sz w:val="28"/>
          <w:szCs w:val="28"/>
          <w:highlight w:val="none"/>
          <w:lang w:eastAsia="zh-CN"/>
        </w:rPr>
        <w:t>应提交的有关格式范例</w:t>
      </w:r>
      <w:r>
        <w:rPr>
          <w:rFonts w:hint="eastAsia" w:ascii="仿宋" w:hAnsi="仿宋" w:eastAsia="仿宋" w:cs="仿宋"/>
          <w:b w:val="0"/>
          <w:bCs w:val="0"/>
          <w:caps/>
          <w:smallCaps w:val="0"/>
          <w:color w:val="auto"/>
          <w:sz w:val="28"/>
          <w:szCs w:val="28"/>
          <w:highlight w:val="none"/>
        </w:rPr>
        <w:tab/>
      </w:r>
      <w:r>
        <w:rPr>
          <w:rFonts w:hint="eastAsia" w:ascii="仿宋" w:hAnsi="仿宋" w:eastAsia="仿宋" w:cs="仿宋"/>
          <w:b w:val="0"/>
          <w:bCs w:val="0"/>
          <w:caps/>
          <w:smallCaps w:val="0"/>
          <w:color w:val="auto"/>
          <w:sz w:val="28"/>
          <w:szCs w:val="28"/>
          <w:highlight w:val="none"/>
        </w:rPr>
        <w:fldChar w:fldCharType="end"/>
      </w:r>
      <w:r>
        <w:rPr>
          <w:rFonts w:hint="eastAsia" w:cs="仿宋"/>
          <w:b w:val="0"/>
          <w:bCs w:val="0"/>
          <w:caps/>
          <w:smallCaps w:val="0"/>
          <w:color w:val="auto"/>
          <w:sz w:val="28"/>
          <w:szCs w:val="28"/>
          <w:highlight w:val="none"/>
          <w:lang w:val="en-US" w:eastAsia="zh-CN"/>
        </w:rPr>
        <w:t>82</w:t>
      </w:r>
    </w:p>
    <w:p w14:paraId="2BC6366D">
      <w:pPr>
        <w:pStyle w:val="61"/>
        <w:tabs>
          <w:tab w:val="right" w:leader="dot" w:pos="9026"/>
          <w:tab w:val="clear" w:pos="8364"/>
        </w:tabs>
        <w:rPr>
          <w:rFonts w:hint="default" w:ascii="仿宋" w:hAnsi="仿宋" w:eastAsia="仿宋" w:cs="仿宋"/>
          <w:b w:val="0"/>
          <w:bCs w:val="0"/>
          <w:color w:val="auto"/>
          <w:sz w:val="28"/>
          <w:szCs w:val="28"/>
          <w:highlight w:val="none"/>
          <w:lang w:val="en-US" w:eastAsia="zh-CN"/>
        </w:rPr>
      </w:pPr>
      <w:r>
        <w:rPr>
          <w:rFonts w:hint="eastAsia" w:ascii="仿宋" w:hAnsi="仿宋" w:eastAsia="仿宋" w:cs="仿宋"/>
          <w:b w:val="0"/>
          <w:bCs w:val="0"/>
          <w:color w:val="auto"/>
          <w:sz w:val="28"/>
          <w:szCs w:val="28"/>
          <w:highlight w:val="none"/>
        </w:rPr>
        <w:fldChar w:fldCharType="begin"/>
      </w:r>
      <w:r>
        <w:rPr>
          <w:rFonts w:hint="eastAsia" w:ascii="仿宋" w:hAnsi="仿宋" w:eastAsia="仿宋" w:cs="仿宋"/>
          <w:b w:val="0"/>
          <w:bCs w:val="0"/>
          <w:color w:val="auto"/>
          <w:sz w:val="28"/>
          <w:szCs w:val="28"/>
          <w:highlight w:val="none"/>
        </w:rPr>
        <w:instrText xml:space="preserve"> HYPERLINK \l "_Toc15453" </w:instrText>
      </w:r>
      <w:r>
        <w:rPr>
          <w:rFonts w:hint="eastAsia" w:ascii="仿宋" w:hAnsi="仿宋" w:eastAsia="仿宋" w:cs="仿宋"/>
          <w:b w:val="0"/>
          <w:bCs w:val="0"/>
          <w:color w:val="auto"/>
          <w:sz w:val="28"/>
          <w:szCs w:val="28"/>
          <w:highlight w:val="none"/>
        </w:rPr>
        <w:fldChar w:fldCharType="separate"/>
      </w:r>
      <w:r>
        <w:rPr>
          <w:rFonts w:hint="eastAsia" w:ascii="仿宋" w:hAnsi="仿宋" w:eastAsia="仿宋" w:cs="仿宋"/>
          <w:b w:val="0"/>
          <w:bCs w:val="0"/>
          <w:color w:val="auto"/>
          <w:sz w:val="28"/>
          <w:szCs w:val="28"/>
          <w:highlight w:val="none"/>
        </w:rPr>
        <w:t>第六</w:t>
      </w:r>
      <w:r>
        <w:rPr>
          <w:rFonts w:hint="eastAsia" w:ascii="仿宋" w:hAnsi="仿宋" w:eastAsia="仿宋" w:cs="仿宋"/>
          <w:b w:val="0"/>
          <w:bCs w:val="0"/>
          <w:color w:val="auto"/>
          <w:sz w:val="28"/>
          <w:szCs w:val="28"/>
          <w:highlight w:val="none"/>
          <w:lang w:eastAsia="zh-CN"/>
        </w:rPr>
        <w:t>章</w:t>
      </w:r>
      <w:r>
        <w:rPr>
          <w:rFonts w:hint="eastAsia" w:ascii="仿宋" w:hAnsi="仿宋" w:eastAsia="仿宋" w:cs="仿宋"/>
          <w:b w:val="0"/>
          <w:bCs w:val="0"/>
          <w:color w:val="auto"/>
          <w:sz w:val="28"/>
          <w:szCs w:val="28"/>
          <w:highlight w:val="none"/>
        </w:rPr>
        <w:t xml:space="preserve">  评分办法</w:t>
      </w:r>
      <w:r>
        <w:rPr>
          <w:rFonts w:hint="eastAsia" w:ascii="仿宋" w:hAnsi="仿宋" w:eastAsia="仿宋" w:cs="仿宋"/>
          <w:b w:val="0"/>
          <w:bCs w:val="0"/>
          <w:color w:val="auto"/>
          <w:sz w:val="28"/>
          <w:szCs w:val="28"/>
          <w:highlight w:val="none"/>
          <w:lang w:eastAsia="zh-CN"/>
        </w:rPr>
        <w:t>及开标程序</w:t>
      </w:r>
      <w:r>
        <w:rPr>
          <w:rFonts w:hint="eastAsia" w:ascii="仿宋" w:hAnsi="仿宋" w:eastAsia="仿宋" w:cs="仿宋"/>
          <w:b w:val="0"/>
          <w:bCs w:val="0"/>
          <w:color w:val="auto"/>
          <w:sz w:val="28"/>
          <w:szCs w:val="28"/>
          <w:highlight w:val="none"/>
        </w:rPr>
        <w:tab/>
      </w:r>
      <w:r>
        <w:rPr>
          <w:rFonts w:hint="eastAsia" w:ascii="仿宋" w:hAnsi="仿宋" w:eastAsia="仿宋" w:cs="仿宋"/>
          <w:b w:val="0"/>
          <w:bCs w:val="0"/>
          <w:color w:val="auto"/>
          <w:sz w:val="28"/>
          <w:szCs w:val="28"/>
          <w:highlight w:val="none"/>
        </w:rPr>
        <w:fldChar w:fldCharType="end"/>
      </w:r>
      <w:r>
        <w:rPr>
          <w:rFonts w:hint="eastAsia" w:ascii="仿宋" w:hAnsi="仿宋" w:eastAsia="仿宋" w:cs="仿宋"/>
          <w:b w:val="0"/>
          <w:bCs w:val="0"/>
          <w:color w:val="auto"/>
          <w:sz w:val="28"/>
          <w:szCs w:val="28"/>
          <w:highlight w:val="none"/>
          <w:lang w:val="en-US" w:eastAsia="zh-CN"/>
        </w:rPr>
        <w:t>104</w:t>
      </w:r>
    </w:p>
    <w:p w14:paraId="6B6290F8">
      <w:pPr>
        <w:rPr>
          <w:rFonts w:hint="eastAsia" w:ascii="仿宋" w:hAnsi="仿宋" w:eastAsia="仿宋" w:cs="仿宋"/>
          <w:b w:val="0"/>
          <w:bCs w:val="0"/>
          <w:color w:val="auto"/>
          <w:sz w:val="28"/>
          <w:szCs w:val="28"/>
          <w:highlight w:val="none"/>
        </w:rPr>
      </w:pPr>
    </w:p>
    <w:p w14:paraId="627FD616">
      <w:pPr>
        <w:tabs>
          <w:tab w:val="left" w:pos="1806"/>
        </w:tabs>
        <w:jc w:val="left"/>
        <w:rPr>
          <w:rFonts w:hint="eastAsia" w:ascii="仿宋" w:hAnsi="仿宋" w:eastAsia="仿宋" w:cs="仿宋"/>
          <w:b w:val="0"/>
          <w:bCs w:val="0"/>
          <w:color w:val="auto"/>
          <w:sz w:val="28"/>
          <w:szCs w:val="28"/>
          <w:highlight w:val="none"/>
        </w:rPr>
      </w:pPr>
    </w:p>
    <w:p w14:paraId="40934016">
      <w:pPr>
        <w:pStyle w:val="48"/>
        <w:pageBreakBefore/>
        <w:adjustRightInd w:val="0"/>
        <w:snapToGrid w:val="0"/>
        <w:spacing w:line="360" w:lineRule="auto"/>
        <w:jc w:val="both"/>
        <w:outlineLvl w:val="0"/>
        <w:rPr>
          <w:rFonts w:hint="eastAsia" w:ascii="仿宋" w:hAnsi="仿宋" w:eastAsia="仿宋" w:cs="仿宋"/>
          <w:b w:val="0"/>
          <w:bCs w:val="0"/>
          <w:color w:val="auto"/>
          <w:sz w:val="28"/>
          <w:szCs w:val="28"/>
          <w:highlight w:val="none"/>
        </w:rPr>
        <w:sectPr>
          <w:footerReference r:id="rId9" w:type="first"/>
          <w:footerReference r:id="rId8" w:type="default"/>
          <w:pgSz w:w="11906" w:h="16838"/>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pPr>
    </w:p>
    <w:p w14:paraId="4EDAE8EB">
      <w:pPr>
        <w:pStyle w:val="48"/>
        <w:pageBreakBefore/>
        <w:adjustRightInd w:val="0"/>
        <w:snapToGrid w:val="0"/>
        <w:spacing w:line="360" w:lineRule="auto"/>
        <w:jc w:val="both"/>
        <w:outlineLvl w:val="0"/>
        <w:rPr>
          <w:rFonts w:hint="eastAsia" w:ascii="仿宋" w:hAnsi="仿宋" w:eastAsia="仿宋" w:cs="仿宋"/>
          <w:b/>
          <w:color w:val="auto"/>
          <w:sz w:val="36"/>
          <w:highlight w:val="none"/>
        </w:rPr>
      </w:pPr>
      <w:r>
        <w:rPr>
          <w:rFonts w:hint="eastAsia" w:ascii="仿宋" w:hAnsi="仿宋" w:eastAsia="仿宋" w:cs="仿宋"/>
          <w:b w:val="0"/>
          <w:bCs w:val="0"/>
          <w:color w:val="auto"/>
          <w:sz w:val="28"/>
          <w:szCs w:val="28"/>
          <w:highlight w:val="none"/>
        </w:rPr>
        <w:fldChar w:fldCharType="end"/>
      </w:r>
      <w:bookmarkStart w:id="0" w:name="_Toc32624"/>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color w:val="auto"/>
          <w:sz w:val="36"/>
          <w:highlight w:val="none"/>
        </w:rPr>
        <w:t xml:space="preserve"> 第一</w:t>
      </w:r>
      <w:r>
        <w:rPr>
          <w:rFonts w:hint="eastAsia" w:ascii="仿宋" w:hAnsi="仿宋" w:eastAsia="仿宋" w:cs="仿宋"/>
          <w:b/>
          <w:color w:val="auto"/>
          <w:sz w:val="36"/>
          <w:highlight w:val="none"/>
          <w:lang w:eastAsia="zh-CN"/>
        </w:rPr>
        <w:t>章</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 xml:space="preserve"> 招标公告</w:t>
      </w:r>
    </w:p>
    <w:p w14:paraId="18081E22">
      <w:pPr>
        <w:keepNext w:val="0"/>
        <w:keepLines w:val="0"/>
        <w:pageBreakBefore w:val="0"/>
        <w:widowControl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项目概况</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highlight w:val="none"/>
          <w:u w:val="single"/>
          <w:lang w:eastAsia="zh-CN"/>
        </w:rPr>
        <w:t>2025年度衢州智慧新城地下综合管廊与隧道运维服务项目</w:t>
      </w:r>
      <w:r>
        <w:rPr>
          <w:rFonts w:hint="eastAsia" w:ascii="仿宋" w:hAnsi="仿宋" w:eastAsia="仿宋" w:cs="仿宋"/>
          <w:color w:val="auto"/>
          <w:sz w:val="24"/>
          <w:szCs w:val="24"/>
          <w:highlight w:val="none"/>
        </w:rPr>
        <w:t>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96"/>
          <w:rFonts w:hint="eastAsia" w:ascii="仿宋" w:hAnsi="仿宋" w:eastAsia="仿宋" w:cs="仿宋"/>
          <w:color w:val="auto"/>
          <w:sz w:val="24"/>
          <w:szCs w:val="24"/>
          <w:highlight w:val="none"/>
        </w:rPr>
        <w:t>https://www.zcygov.cn/）获取（下载）招标文件，</w:t>
      </w:r>
      <w:r>
        <w:rPr>
          <w:rStyle w:val="96"/>
          <w:rFonts w:hint="eastAsia" w:ascii="仿宋" w:hAnsi="仿宋" w:eastAsia="仿宋" w:cs="仿宋"/>
          <w:color w:val="auto"/>
          <w:spacing w:val="-6"/>
          <w:sz w:val="24"/>
          <w:szCs w:val="24"/>
          <w:highlight w:val="none"/>
        </w:rPr>
        <w:t>并于202</w:t>
      </w:r>
      <w:r>
        <w:rPr>
          <w:rStyle w:val="96"/>
          <w:rFonts w:hint="eastAsia" w:ascii="仿宋" w:hAnsi="仿宋" w:eastAsia="仿宋" w:cs="仿宋"/>
          <w:color w:val="auto"/>
          <w:spacing w:val="-6"/>
          <w:sz w:val="24"/>
          <w:szCs w:val="24"/>
          <w:highlight w:val="none"/>
          <w:lang w:val="en-US" w:eastAsia="zh-CN"/>
        </w:rPr>
        <w:t>4</w:t>
      </w:r>
      <w:r>
        <w:rPr>
          <w:rStyle w:val="96"/>
          <w:rFonts w:hint="eastAsia" w:ascii="仿宋" w:hAnsi="仿宋" w:eastAsia="仿宋" w:cs="仿宋"/>
          <w:color w:val="auto"/>
          <w:spacing w:val="-6"/>
          <w:sz w:val="24"/>
          <w:szCs w:val="24"/>
          <w:highlight w:val="none"/>
        </w:rPr>
        <w:t>年</w:t>
      </w:r>
      <w:r>
        <w:rPr>
          <w:rStyle w:val="96"/>
          <w:rFonts w:hint="eastAsia" w:ascii="仿宋" w:hAnsi="仿宋" w:eastAsia="仿宋" w:cs="仿宋"/>
          <w:color w:val="auto"/>
          <w:spacing w:val="-6"/>
          <w:sz w:val="24"/>
          <w:szCs w:val="24"/>
          <w:highlight w:val="none"/>
          <w:lang w:val="en-US" w:eastAsia="zh-CN"/>
        </w:rPr>
        <w:t>12</w:t>
      </w:r>
      <w:r>
        <w:rPr>
          <w:rStyle w:val="96"/>
          <w:rFonts w:hint="eastAsia" w:ascii="仿宋" w:hAnsi="仿宋" w:eastAsia="仿宋" w:cs="仿宋"/>
          <w:color w:val="auto"/>
          <w:spacing w:val="-6"/>
          <w:sz w:val="24"/>
          <w:szCs w:val="24"/>
          <w:highlight w:val="none"/>
        </w:rPr>
        <w:t>月</w:t>
      </w:r>
      <w:r>
        <w:rPr>
          <w:rStyle w:val="96"/>
          <w:rFonts w:hint="eastAsia" w:ascii="仿宋" w:hAnsi="仿宋" w:eastAsia="仿宋" w:cs="仿宋"/>
          <w:color w:val="auto"/>
          <w:spacing w:val="-6"/>
          <w:sz w:val="24"/>
          <w:szCs w:val="24"/>
          <w:highlight w:val="none"/>
          <w:lang w:val="en-US" w:eastAsia="zh-CN"/>
        </w:rPr>
        <w:t>2</w:t>
      </w:r>
      <w:r>
        <w:rPr>
          <w:rStyle w:val="96"/>
          <w:rFonts w:hint="eastAsia" w:ascii="仿宋" w:hAnsi="仿宋" w:eastAsia="仿宋" w:cs="仿宋"/>
          <w:color w:val="auto"/>
          <w:spacing w:val="-6"/>
          <w:sz w:val="24"/>
          <w:szCs w:val="24"/>
          <w:highlight w:val="none"/>
        </w:rPr>
        <w:t>日</w:t>
      </w:r>
      <w:r>
        <w:rPr>
          <w:rStyle w:val="96"/>
          <w:rFonts w:hint="eastAsia" w:ascii="仿宋" w:hAnsi="仿宋" w:eastAsia="仿宋" w:cs="仿宋"/>
          <w:color w:val="auto"/>
          <w:spacing w:val="-6"/>
          <w:sz w:val="24"/>
          <w:szCs w:val="24"/>
          <w:highlight w:val="none"/>
          <w:lang w:val="en-US" w:eastAsia="zh-CN"/>
        </w:rPr>
        <w:t>9</w:t>
      </w:r>
      <w:r>
        <w:rPr>
          <w:rStyle w:val="96"/>
          <w:rFonts w:hint="eastAsia" w:ascii="仿宋" w:hAnsi="仿宋" w:eastAsia="仿宋" w:cs="仿宋"/>
          <w:color w:val="auto"/>
          <w:spacing w:val="-6"/>
          <w:sz w:val="24"/>
          <w:szCs w:val="24"/>
          <w:highlight w:val="none"/>
        </w:rPr>
        <w:t>点</w:t>
      </w:r>
      <w:r>
        <w:rPr>
          <w:rStyle w:val="96"/>
          <w:rFonts w:hint="eastAsia" w:ascii="仿宋" w:hAnsi="仿宋" w:eastAsia="仿宋" w:cs="仿宋"/>
          <w:color w:val="auto"/>
          <w:spacing w:val="-6"/>
          <w:sz w:val="24"/>
          <w:szCs w:val="24"/>
          <w:highlight w:val="none"/>
          <w:lang w:val="en-US" w:eastAsia="zh-CN"/>
        </w:rPr>
        <w:t>30</w:t>
      </w:r>
      <w:r>
        <w:rPr>
          <w:rStyle w:val="96"/>
          <w:rFonts w:hint="eastAsia" w:ascii="仿宋" w:hAnsi="仿宋" w:eastAsia="仿宋" w:cs="仿宋"/>
          <w:color w:val="auto"/>
          <w:spacing w:val="-6"/>
          <w:sz w:val="24"/>
          <w:szCs w:val="24"/>
          <w:highlight w:val="none"/>
        </w:rPr>
        <w:t>分</w:t>
      </w:r>
      <w:r>
        <w:rPr>
          <w:rStyle w:val="96"/>
          <w:rFonts w:hint="eastAsia" w:ascii="仿宋" w:hAnsi="仿宋" w:eastAsia="仿宋" w:cs="仿宋"/>
          <w:bCs/>
          <w:color w:val="auto"/>
          <w:spacing w:val="-6"/>
          <w:sz w:val="24"/>
          <w:szCs w:val="24"/>
          <w:highlight w:val="none"/>
        </w:rPr>
        <w:t>00秒</w:t>
      </w:r>
      <w:r>
        <w:rPr>
          <w:rStyle w:val="96"/>
          <w:rFonts w:hint="eastAsia" w:ascii="仿宋" w:hAnsi="仿宋" w:eastAsia="仿宋" w:cs="仿宋"/>
          <w:bCs/>
          <w:color w:val="auto"/>
          <w:sz w:val="24"/>
          <w:szCs w:val="24"/>
          <w:highlight w:val="none"/>
        </w:rPr>
        <w:fldChar w:fldCharType="end"/>
      </w:r>
      <w:r>
        <w:rPr>
          <w:rFonts w:hint="eastAsia" w:ascii="仿宋" w:hAnsi="仿宋" w:eastAsia="仿宋" w:cs="仿宋"/>
          <w:bCs/>
          <w:color w:val="auto"/>
          <w:sz w:val="24"/>
          <w:szCs w:val="24"/>
          <w:highlight w:val="none"/>
        </w:rPr>
        <w:t>（北京时间）前</w:t>
      </w:r>
      <w:r>
        <w:rPr>
          <w:rFonts w:hint="eastAsia" w:ascii="仿宋" w:hAnsi="仿宋" w:eastAsia="仿宋" w:cs="仿宋"/>
          <w:color w:val="auto"/>
          <w:sz w:val="24"/>
          <w:szCs w:val="24"/>
          <w:highlight w:val="none"/>
        </w:rPr>
        <w:t>递交（上传）投标文件。</w:t>
      </w:r>
    </w:p>
    <w:p w14:paraId="5BDB31E6">
      <w:pPr>
        <w:pStyle w:val="49"/>
        <w:keepNext w:val="0"/>
        <w:keepLines w:val="0"/>
        <w:pageBreakBefore w:val="0"/>
        <w:widowControl w:val="0"/>
        <w:kinsoku/>
        <w:wordWrap/>
        <w:overflowPunct/>
        <w:topLinePunct w:val="0"/>
        <w:autoSpaceDE/>
        <w:autoSpaceDN/>
        <w:bidi w:val="0"/>
        <w:rPr>
          <w:rFonts w:hint="eastAsia" w:ascii="仿宋" w:hAnsi="仿宋" w:eastAsia="仿宋" w:cs="仿宋"/>
          <w:color w:val="auto"/>
          <w:highlight w:val="none"/>
        </w:rPr>
      </w:pPr>
    </w:p>
    <w:p w14:paraId="0593B474">
      <w:pPr>
        <w:keepNext w:val="0"/>
        <w:keepLines w:val="0"/>
        <w:pageBreakBefore w:val="0"/>
        <w:widowControl w:val="0"/>
        <w:kinsoku/>
        <w:wordWrap/>
        <w:overflowPunct/>
        <w:topLinePunct w:val="0"/>
        <w:autoSpaceDE/>
        <w:autoSpaceDN/>
        <w:bidi w:val="0"/>
        <w:snapToGrid w:val="0"/>
        <w:spacing w:line="440" w:lineRule="exact"/>
        <w:jc w:val="left"/>
        <w:textAlignment w:val="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一、项目基本情况</w:t>
      </w:r>
    </w:p>
    <w:p w14:paraId="08213CC4">
      <w:pPr>
        <w:pageBreakBefore w:val="0"/>
        <w:kinsoku/>
        <w:wordWrap/>
        <w:overflowPunct/>
        <w:topLinePunct w:val="0"/>
        <w:bidi w:val="0"/>
        <w:snapToGrid w:val="0"/>
        <w:spacing w:line="440" w:lineRule="exact"/>
        <w:ind w:firstLine="480" w:firstLineChars="200"/>
        <w:jc w:val="left"/>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kxqz2024108</w:t>
      </w:r>
    </w:p>
    <w:p w14:paraId="239354EF">
      <w:pPr>
        <w:pageBreakBefore w:val="0"/>
        <w:kinsoku/>
        <w:wordWrap/>
        <w:overflowPunct/>
        <w:topLinePunct w:val="0"/>
        <w:bidi w:val="0"/>
        <w:snapToGrid w:val="0"/>
        <w:spacing w:line="440" w:lineRule="exact"/>
        <w:ind w:firstLine="480" w:firstLineChars="200"/>
        <w:jc w:val="left"/>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2025年度衢州智慧新城地下综合管廊与隧道运维服务项目</w:t>
      </w:r>
    </w:p>
    <w:p w14:paraId="2934FB64">
      <w:pPr>
        <w:pageBreakBefore w:val="0"/>
        <w:kinsoku/>
        <w:wordWrap/>
        <w:overflowPunct/>
        <w:topLinePunct w:val="0"/>
        <w:bidi w:val="0"/>
        <w:snapToGrid w:val="0"/>
        <w:spacing w:line="440" w:lineRule="exact"/>
        <w:ind w:firstLine="480" w:firstLineChars="200"/>
        <w:jc w:val="left"/>
        <w:textAlignment w:val="auto"/>
        <w:outlineLvl w:val="0"/>
        <w:rPr>
          <w:rFonts w:hint="eastAsia" w:ascii="仿宋" w:hAnsi="仿宋" w:eastAsia="仿宋" w:cs="仿宋"/>
          <w:b w:val="0"/>
          <w:bCs/>
          <w:color w:val="auto"/>
          <w:sz w:val="24"/>
          <w:szCs w:val="24"/>
          <w:highlight w:val="none"/>
        </w:rPr>
      </w:pPr>
      <w:r>
        <w:rPr>
          <w:rFonts w:hint="eastAsia" w:ascii="仿宋" w:hAnsi="仿宋" w:eastAsia="仿宋" w:cs="仿宋"/>
          <w:color w:val="auto"/>
          <w:sz w:val="24"/>
          <w:szCs w:val="24"/>
          <w:highlight w:val="none"/>
        </w:rPr>
        <w:t>预算金额</w:t>
      </w:r>
      <w:r>
        <w:rPr>
          <w:rFonts w:hint="eastAsia" w:ascii="仿宋" w:hAnsi="仿宋" w:eastAsia="仿宋" w:cs="仿宋"/>
          <w:b w:val="0"/>
          <w:bCs/>
          <w:color w:val="auto"/>
          <w:sz w:val="24"/>
          <w:szCs w:val="24"/>
          <w:highlight w:val="none"/>
        </w:rPr>
        <w:t>（元）：</w:t>
      </w:r>
      <w:r>
        <w:rPr>
          <w:rFonts w:hint="eastAsia" w:ascii="仿宋" w:hAnsi="仿宋" w:eastAsia="仿宋" w:cs="仿宋"/>
          <w:b w:val="0"/>
          <w:bCs/>
          <w:color w:val="auto"/>
          <w:sz w:val="24"/>
          <w:szCs w:val="24"/>
          <w:highlight w:val="none"/>
          <w:u w:val="single"/>
          <w:lang w:val="en-US" w:eastAsia="zh-CN"/>
        </w:rPr>
        <w:t>16135387</w:t>
      </w:r>
      <w:r>
        <w:rPr>
          <w:rFonts w:hint="eastAsia" w:ascii="仿宋" w:hAnsi="仿宋" w:eastAsia="仿宋" w:cs="仿宋"/>
          <w:b w:val="0"/>
          <w:bCs/>
          <w:color w:val="auto"/>
          <w:sz w:val="24"/>
          <w:szCs w:val="24"/>
          <w:highlight w:val="none"/>
        </w:rPr>
        <w:t>元</w:t>
      </w:r>
    </w:p>
    <w:p w14:paraId="76DA82B2">
      <w:pPr>
        <w:pageBreakBefore w:val="0"/>
        <w:kinsoku/>
        <w:wordWrap/>
        <w:overflowPunct/>
        <w:topLinePunct w:val="0"/>
        <w:bidi w:val="0"/>
        <w:snapToGrid w:val="0"/>
        <w:spacing w:line="440" w:lineRule="exact"/>
        <w:ind w:firstLine="480" w:firstLineChars="200"/>
        <w:jc w:val="left"/>
        <w:textAlignment w:val="auto"/>
        <w:outlineLvl w:val="0"/>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最高限价（元）</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12485749</w:t>
      </w:r>
      <w:r>
        <w:rPr>
          <w:rFonts w:hint="eastAsia" w:ascii="仿宋" w:hAnsi="仿宋" w:eastAsia="仿宋" w:cs="仿宋"/>
          <w:color w:val="auto"/>
          <w:sz w:val="24"/>
          <w:szCs w:val="24"/>
          <w:highlight w:val="none"/>
        </w:rPr>
        <w:t>元</w:t>
      </w:r>
    </w:p>
    <w:p w14:paraId="373498DE">
      <w:pPr>
        <w:pageBreakBefore w:val="0"/>
        <w:kinsoku/>
        <w:wordWrap/>
        <w:overflowPunct/>
        <w:topLinePunct w:val="0"/>
        <w:bidi w:val="0"/>
        <w:snapToGrid w:val="0"/>
        <w:spacing w:line="440" w:lineRule="exact"/>
        <w:ind w:firstLine="480" w:firstLineChars="200"/>
        <w:jc w:val="left"/>
        <w:textAlignment w:val="auto"/>
        <w:outlineLvl w:val="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采购需求（内容、用途、数量、简要技术要求等）：</w:t>
      </w:r>
    </w:p>
    <w:tbl>
      <w:tblPr>
        <w:tblStyle w:val="88"/>
        <w:tblW w:w="5128" w:type="pct"/>
        <w:tblInd w:w="-1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09"/>
        <w:gridCol w:w="2344"/>
        <w:gridCol w:w="764"/>
        <w:gridCol w:w="1601"/>
        <w:gridCol w:w="2990"/>
        <w:gridCol w:w="859"/>
      </w:tblGrid>
      <w:tr w14:paraId="173FC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0" w:hRule="atLeast"/>
        </w:trPr>
        <w:tc>
          <w:tcPr>
            <w:tcW w:w="383" w:type="pct"/>
            <w:tcBorders>
              <w:top w:val="single" w:color="auto" w:sz="4" w:space="0"/>
              <w:left w:val="single" w:color="auto" w:sz="4" w:space="0"/>
              <w:bottom w:val="single" w:color="auto" w:sz="4" w:space="0"/>
              <w:right w:val="single" w:color="auto" w:sz="4" w:space="0"/>
            </w:tcBorders>
            <w:vAlign w:val="center"/>
          </w:tcPr>
          <w:p w14:paraId="689E393D">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w:t>
            </w:r>
          </w:p>
        </w:tc>
        <w:tc>
          <w:tcPr>
            <w:tcW w:w="1264" w:type="pct"/>
            <w:tcBorders>
              <w:top w:val="single" w:color="auto" w:sz="4" w:space="0"/>
              <w:left w:val="single" w:color="auto" w:sz="4" w:space="0"/>
              <w:bottom w:val="single" w:color="auto" w:sz="4" w:space="0"/>
              <w:right w:val="single" w:color="auto" w:sz="4" w:space="0"/>
            </w:tcBorders>
            <w:vAlign w:val="center"/>
          </w:tcPr>
          <w:p w14:paraId="77F9BA85">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标项内容</w:t>
            </w:r>
          </w:p>
        </w:tc>
        <w:tc>
          <w:tcPr>
            <w:tcW w:w="412" w:type="pct"/>
            <w:tcBorders>
              <w:top w:val="single" w:color="auto" w:sz="4" w:space="0"/>
              <w:left w:val="single" w:color="auto" w:sz="4" w:space="0"/>
              <w:bottom w:val="single" w:color="auto" w:sz="4" w:space="0"/>
              <w:right w:val="single" w:color="auto" w:sz="4" w:space="0"/>
            </w:tcBorders>
            <w:vAlign w:val="center"/>
          </w:tcPr>
          <w:p w14:paraId="190B0125">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863" w:type="pct"/>
            <w:tcBorders>
              <w:top w:val="single" w:color="auto" w:sz="4" w:space="0"/>
              <w:left w:val="single" w:color="auto" w:sz="4" w:space="0"/>
              <w:bottom w:val="single" w:color="auto" w:sz="4" w:space="0"/>
              <w:right w:val="single" w:color="auto" w:sz="4" w:space="0"/>
            </w:tcBorders>
            <w:vAlign w:val="center"/>
          </w:tcPr>
          <w:p w14:paraId="271D078A">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最高限价</w:t>
            </w:r>
          </w:p>
        </w:tc>
        <w:tc>
          <w:tcPr>
            <w:tcW w:w="1612" w:type="pct"/>
            <w:tcBorders>
              <w:top w:val="single" w:color="auto" w:sz="4" w:space="0"/>
              <w:left w:val="single" w:color="auto" w:sz="4" w:space="0"/>
              <w:bottom w:val="single" w:color="auto" w:sz="4" w:space="0"/>
              <w:right w:val="single" w:color="auto" w:sz="4" w:space="0"/>
            </w:tcBorders>
            <w:vAlign w:val="center"/>
          </w:tcPr>
          <w:p w14:paraId="43C8B15A">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简要技术、服务要求</w:t>
            </w:r>
          </w:p>
        </w:tc>
        <w:tc>
          <w:tcPr>
            <w:tcW w:w="463" w:type="pct"/>
            <w:tcBorders>
              <w:top w:val="single" w:color="auto" w:sz="4" w:space="0"/>
              <w:left w:val="single" w:color="auto" w:sz="4" w:space="0"/>
              <w:bottom w:val="single" w:color="auto" w:sz="4" w:space="0"/>
              <w:right w:val="single" w:color="auto" w:sz="4" w:space="0"/>
            </w:tcBorders>
            <w:vAlign w:val="center"/>
          </w:tcPr>
          <w:p w14:paraId="0245948B">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76D0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75" w:hRule="atLeast"/>
        </w:trPr>
        <w:tc>
          <w:tcPr>
            <w:tcW w:w="383" w:type="pct"/>
            <w:tcBorders>
              <w:top w:val="single" w:color="auto" w:sz="4" w:space="0"/>
              <w:left w:val="single" w:color="auto" w:sz="4" w:space="0"/>
              <w:bottom w:val="single" w:color="auto" w:sz="4" w:space="0"/>
              <w:right w:val="single" w:color="auto" w:sz="4" w:space="0"/>
            </w:tcBorders>
            <w:vAlign w:val="center"/>
          </w:tcPr>
          <w:p w14:paraId="2007CB78">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264" w:type="pct"/>
            <w:tcBorders>
              <w:top w:val="single" w:color="auto" w:sz="4" w:space="0"/>
              <w:left w:val="single" w:color="auto" w:sz="4" w:space="0"/>
              <w:bottom w:val="single" w:color="auto" w:sz="4" w:space="0"/>
              <w:right w:val="single" w:color="auto" w:sz="4" w:space="0"/>
            </w:tcBorders>
            <w:vAlign w:val="center"/>
          </w:tcPr>
          <w:p w14:paraId="649E07A8">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2025年度衢州智慧新城地下综合管廊与隧道运维服务项目</w:t>
            </w:r>
          </w:p>
        </w:tc>
        <w:tc>
          <w:tcPr>
            <w:tcW w:w="412" w:type="pct"/>
            <w:tcBorders>
              <w:top w:val="single" w:color="auto" w:sz="4" w:space="0"/>
              <w:left w:val="single" w:color="auto" w:sz="4" w:space="0"/>
              <w:bottom w:val="single" w:color="auto" w:sz="4" w:space="0"/>
              <w:right w:val="single" w:color="auto" w:sz="4" w:space="0"/>
            </w:tcBorders>
            <w:vAlign w:val="center"/>
          </w:tcPr>
          <w:p w14:paraId="61FBE23F">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1项</w:t>
            </w:r>
          </w:p>
        </w:tc>
        <w:tc>
          <w:tcPr>
            <w:tcW w:w="863" w:type="pct"/>
            <w:tcBorders>
              <w:top w:val="single" w:color="auto" w:sz="4" w:space="0"/>
              <w:left w:val="single" w:color="auto" w:sz="4" w:space="0"/>
              <w:bottom w:val="single" w:color="auto" w:sz="4" w:space="0"/>
              <w:right w:val="single" w:color="auto" w:sz="4" w:space="0"/>
            </w:tcBorders>
            <w:vAlign w:val="center"/>
          </w:tcPr>
          <w:p w14:paraId="6CA0AD69">
            <w:pPr>
              <w:pageBreakBefore w:val="0"/>
              <w:kinsoku/>
              <w:wordWrap/>
              <w:overflowPunct/>
              <w:topLinePunct w:val="0"/>
              <w:bidi w:val="0"/>
              <w:spacing w:line="440" w:lineRule="exact"/>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u w:val="single"/>
                <w:lang w:val="en-US" w:eastAsia="zh-CN"/>
              </w:rPr>
              <w:t>12485749</w:t>
            </w:r>
            <w:r>
              <w:rPr>
                <w:rFonts w:hint="eastAsia" w:ascii="仿宋" w:hAnsi="仿宋" w:eastAsia="仿宋" w:cs="仿宋"/>
                <w:b w:val="0"/>
                <w:bCs w:val="0"/>
                <w:color w:val="auto"/>
                <w:sz w:val="24"/>
                <w:szCs w:val="24"/>
                <w:highlight w:val="none"/>
              </w:rPr>
              <w:t>元</w:t>
            </w:r>
          </w:p>
        </w:tc>
        <w:tc>
          <w:tcPr>
            <w:tcW w:w="1612" w:type="pct"/>
            <w:tcBorders>
              <w:top w:val="single" w:color="auto" w:sz="4" w:space="0"/>
              <w:left w:val="single" w:color="auto" w:sz="4" w:space="0"/>
              <w:bottom w:val="single" w:color="auto" w:sz="4" w:space="0"/>
              <w:right w:val="single" w:color="auto" w:sz="4" w:space="0"/>
            </w:tcBorders>
            <w:vAlign w:val="center"/>
          </w:tcPr>
          <w:p w14:paraId="05297A67">
            <w:pPr>
              <w:pageBreakBefore w:val="0"/>
              <w:kinsoku/>
              <w:wordWrap/>
              <w:overflowPunct/>
              <w:topLinePunct w:val="0"/>
              <w:bidi w:val="0"/>
              <w:spacing w:line="440" w:lineRule="exact"/>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中标供应商向采购人提供2025年度衢州智慧新城地下综合管廊与隧道运维服务（详见</w:t>
            </w:r>
            <w:r>
              <w:rPr>
                <w:rFonts w:hint="eastAsia" w:ascii="仿宋" w:hAnsi="仿宋" w:eastAsia="仿宋" w:cs="仿宋"/>
                <w:color w:val="auto"/>
                <w:sz w:val="24"/>
                <w:szCs w:val="24"/>
                <w:highlight w:val="none"/>
              </w:rPr>
              <w:t>采购文件第三</w:t>
            </w:r>
            <w:r>
              <w:rPr>
                <w:rFonts w:hint="eastAsia" w:ascii="仿宋" w:hAnsi="仿宋" w:eastAsia="仿宋" w:cs="仿宋"/>
                <w:color w:val="auto"/>
                <w:sz w:val="24"/>
                <w:szCs w:val="24"/>
                <w:highlight w:val="none"/>
                <w:lang w:eastAsia="zh-CN"/>
              </w:rPr>
              <w:t>章）</w:t>
            </w:r>
          </w:p>
        </w:tc>
        <w:tc>
          <w:tcPr>
            <w:tcW w:w="463" w:type="pct"/>
            <w:tcBorders>
              <w:left w:val="single" w:color="auto" w:sz="4" w:space="0"/>
              <w:right w:val="single" w:color="auto" w:sz="4" w:space="0"/>
            </w:tcBorders>
            <w:vAlign w:val="center"/>
          </w:tcPr>
          <w:p w14:paraId="157F0ED4">
            <w:pPr>
              <w:pageBreakBefore w:val="0"/>
              <w:kinsoku/>
              <w:wordWrap/>
              <w:overflowPunct/>
              <w:topLinePunct w:val="0"/>
              <w:bidi w:val="0"/>
              <w:snapToGrid w:val="0"/>
              <w:spacing w:line="440" w:lineRule="exact"/>
              <w:jc w:val="center"/>
              <w:textAlignment w:val="auto"/>
              <w:outlineLvl w:val="0"/>
              <w:rPr>
                <w:rFonts w:hint="eastAsia" w:ascii="仿宋" w:hAnsi="仿宋" w:eastAsia="仿宋" w:cs="仿宋"/>
                <w:color w:val="auto"/>
                <w:sz w:val="24"/>
                <w:szCs w:val="24"/>
                <w:highlight w:val="none"/>
              </w:rPr>
            </w:pPr>
          </w:p>
        </w:tc>
      </w:tr>
    </w:tbl>
    <w:p w14:paraId="61DAA5A2">
      <w:pPr>
        <w:keepNext w:val="0"/>
        <w:keepLines w:val="0"/>
        <w:pageBreakBefore w:val="0"/>
        <w:widowControl w:val="0"/>
        <w:kinsoku/>
        <w:wordWrap/>
        <w:overflowPunct/>
        <w:topLinePunct w:val="0"/>
        <w:autoSpaceDE w:val="0"/>
        <w:autoSpaceDN w:val="0"/>
        <w:bidi w:val="0"/>
        <w:adjustRightInd w:val="0"/>
        <w:snapToGrid/>
        <w:spacing w:line="440" w:lineRule="exac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lang w:eastAsia="zh-CN"/>
        </w:rPr>
        <w:t>合同履约期限：</w:t>
      </w:r>
      <w:bookmarkStart w:id="1" w:name="OLE_LINK3"/>
      <w:r>
        <w:rPr>
          <w:rFonts w:hint="eastAsia" w:ascii="仿宋" w:hAnsi="仿宋" w:eastAsia="仿宋" w:cs="仿宋"/>
          <w:b w:val="0"/>
          <w:bCs/>
          <w:color w:val="auto"/>
          <w:sz w:val="24"/>
          <w:szCs w:val="24"/>
          <w:highlight w:val="none"/>
          <w:lang w:val="en-US" w:eastAsia="zh-CN"/>
        </w:rPr>
        <w:t>一年（365天），具体以合同约定履约期限为准。</w:t>
      </w:r>
    </w:p>
    <w:bookmarkEnd w:id="1"/>
    <w:p w14:paraId="05D5FF6F">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w:t>
      </w:r>
      <w:bookmarkStart w:id="2" w:name="_Hlk101132948"/>
      <w:r>
        <w:rPr>
          <w:rFonts w:hint="eastAsia" w:ascii="仿宋" w:hAnsi="仿宋" w:eastAsia="仿宋" w:cs="仿宋"/>
          <w:b/>
          <w:color w:val="auto"/>
          <w:sz w:val="24"/>
          <w:szCs w:val="24"/>
          <w:highlight w:val="none"/>
        </w:rPr>
        <w:t>申请人的资格要求</w:t>
      </w:r>
      <w:bookmarkEnd w:id="2"/>
      <w:r>
        <w:rPr>
          <w:rFonts w:hint="eastAsia" w:ascii="仿宋" w:hAnsi="仿宋" w:eastAsia="仿宋" w:cs="仿宋"/>
          <w:b/>
          <w:color w:val="auto"/>
          <w:sz w:val="24"/>
          <w:szCs w:val="24"/>
          <w:highlight w:val="none"/>
        </w:rPr>
        <w:t>：</w:t>
      </w:r>
    </w:p>
    <w:p w14:paraId="7FD91D39">
      <w:pPr>
        <w:keepNext w:val="0"/>
        <w:keepLines w:val="0"/>
        <w:pageBreakBefore w:val="0"/>
        <w:widowControl w:val="0"/>
        <w:kinsoku/>
        <w:wordWrap/>
        <w:overflowPunct/>
        <w:topLinePunct w:val="0"/>
        <w:autoSpaceDE/>
        <w:autoSpaceDN/>
        <w:bidi w:val="0"/>
        <w:adjustRightInd/>
        <w:spacing w:line="440" w:lineRule="exact"/>
        <w:ind w:firstLine="480"/>
        <w:textAlignment w:val="auto"/>
        <w:rPr>
          <w:rFonts w:hint="eastAsia" w:ascii="仿宋" w:hAnsi="仿宋" w:eastAsia="仿宋" w:cs="仿宋"/>
          <w:snapToGrid w:val="0"/>
          <w:color w:val="auto"/>
          <w:kern w:val="28"/>
          <w:sz w:val="24"/>
          <w:szCs w:val="24"/>
          <w:highlight w:val="none"/>
        </w:rPr>
      </w:pPr>
      <w:bookmarkStart w:id="3" w:name="_Toc28359085"/>
      <w:bookmarkStart w:id="4" w:name="_Toc28359008"/>
      <w:bookmarkStart w:id="5" w:name="_Toc35393796"/>
      <w:bookmarkStart w:id="6" w:name="_Toc35393627"/>
      <w:r>
        <w:rPr>
          <w:rFonts w:hint="eastAsia" w:ascii="仿宋" w:hAnsi="仿宋" w:eastAsia="仿宋" w:cs="仿宋"/>
          <w:snapToGrid w:val="0"/>
          <w:color w:val="auto"/>
          <w:kern w:val="28"/>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14FCACA">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2.落实政府采购政策需满足的资格要求：本项目属于专门面向中小企业采购的项目，要求供应商为中小</w:t>
      </w:r>
      <w:r>
        <w:rPr>
          <w:rFonts w:hint="eastAsia" w:ascii="仿宋" w:hAnsi="仿宋" w:eastAsia="仿宋" w:cs="仿宋"/>
          <w:snapToGrid w:val="0"/>
          <w:color w:val="auto"/>
          <w:kern w:val="28"/>
          <w:sz w:val="24"/>
          <w:szCs w:val="24"/>
          <w:highlight w:val="none"/>
          <w:lang w:val="en-US" w:eastAsia="zh-CN"/>
        </w:rPr>
        <w:t>微</w:t>
      </w:r>
      <w:r>
        <w:rPr>
          <w:rFonts w:hint="eastAsia" w:ascii="仿宋" w:hAnsi="仿宋" w:eastAsia="仿宋" w:cs="仿宋"/>
          <w:snapToGrid w:val="0"/>
          <w:color w:val="auto"/>
          <w:kern w:val="28"/>
          <w:sz w:val="24"/>
          <w:szCs w:val="24"/>
          <w:highlight w:val="none"/>
        </w:rPr>
        <w:t>企业。中小</w:t>
      </w:r>
      <w:r>
        <w:rPr>
          <w:rFonts w:hint="eastAsia" w:ascii="仿宋" w:hAnsi="仿宋" w:eastAsia="仿宋" w:cs="仿宋"/>
          <w:snapToGrid w:val="0"/>
          <w:color w:val="auto"/>
          <w:kern w:val="28"/>
          <w:sz w:val="24"/>
          <w:szCs w:val="24"/>
          <w:highlight w:val="none"/>
          <w:lang w:val="en-US" w:eastAsia="zh-CN"/>
        </w:rPr>
        <w:t>微</w:t>
      </w:r>
      <w:r>
        <w:rPr>
          <w:rFonts w:hint="eastAsia" w:ascii="仿宋" w:hAnsi="仿宋" w:eastAsia="仿宋" w:cs="仿宋"/>
          <w:snapToGrid w:val="0"/>
          <w:color w:val="auto"/>
          <w:kern w:val="28"/>
          <w:sz w:val="24"/>
          <w:szCs w:val="24"/>
          <w:highlight w:val="none"/>
        </w:rPr>
        <w:t>企业是指满足《政府采购促进中小企业发展管理办法》（财库〔2020〕46号）第二条规定的企业。监狱企业、残疾人福利性单位视为小微企业。供应商需上传《中小企业声明函》等；</w:t>
      </w:r>
      <w:bookmarkStart w:id="7" w:name="OLE_LINK23"/>
      <w:r>
        <w:rPr>
          <w:rFonts w:hint="eastAsia" w:ascii="仿宋" w:hAnsi="仿宋" w:eastAsia="仿宋" w:cs="仿宋"/>
          <w:snapToGrid w:val="0"/>
          <w:color w:val="auto"/>
          <w:kern w:val="28"/>
          <w:sz w:val="24"/>
          <w:szCs w:val="24"/>
          <w:highlight w:val="none"/>
        </w:rPr>
        <w:t>本项目属于【其他未列明行业】,中小微企业划型标准：从业人员300人以下的为中小微型企业。其中，从业人员100人及以上的为中型企业；从业人员10人及以上的为小型企业；从业人员10人以下的为微型企业。</w:t>
      </w:r>
      <w:bookmarkEnd w:id="7"/>
    </w:p>
    <w:p w14:paraId="67AC6A2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.本项目的特定资格要求：标项1</w:t>
      </w:r>
    </w:p>
    <w:p w14:paraId="27D2772F">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（1）供应商必须具有独立法人资格，且具备市政公用工程施工总承包企业资质</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级及以上资质（对应资质在“浙江省建筑市场监管公共服务系统”上资质动态核查结果处于“合格”状态的核查证明）；</w:t>
      </w:r>
    </w:p>
    <w:p w14:paraId="00DB9112">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（2）拟派项目负责人具有市政公用工程二级及以上注册建造师执业证。 </w:t>
      </w:r>
    </w:p>
    <w:p w14:paraId="5B37839A">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单位负责人为同一人或者存在直接控股、管理关系的不同投标人，不得参加同一合同项下的政府采购活动；为采购项目提供整体设计、规范编制或者项目管理、监理、检测等服务后不得再参加该采购项目的其他采购活动。</w:t>
      </w:r>
    </w:p>
    <w:p w14:paraId="5EC2BD7C">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本项目（否）接受联合体投标。</w:t>
      </w:r>
    </w:p>
    <w:p w14:paraId="6E683984">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三、获取招标文件 </w:t>
      </w:r>
    </w:p>
    <w:p w14:paraId="294ED1EF">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时间：</w:t>
      </w:r>
      <w:r>
        <w:rPr>
          <w:rFonts w:hint="eastAsia" w:ascii="仿宋" w:hAnsi="仿宋" w:eastAsia="仿宋" w:cs="仿宋"/>
          <w:color w:val="auto"/>
          <w:sz w:val="24"/>
          <w:szCs w:val="24"/>
          <w:highlight w:val="none"/>
        </w:rPr>
        <w:t>招标公告发布之日起至</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12</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，每天上午00:00至12:00 ，下午12:00至23:59（北京时间，线上获取法定节假日均可，线下获取文件法定节假日除外）</w:t>
      </w:r>
    </w:p>
    <w:p w14:paraId="3E79C7BF">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地点（网址）：</w:t>
      </w:r>
      <w:r>
        <w:rPr>
          <w:rFonts w:hint="eastAsia" w:ascii="仿宋" w:hAnsi="仿宋" w:eastAsia="仿宋" w:cs="仿宋"/>
          <w:color w:val="auto"/>
          <w:sz w:val="24"/>
          <w:szCs w:val="24"/>
          <w:highlight w:val="none"/>
        </w:rPr>
        <w:t xml:space="preserve">政采云平台（https://www.zcygov.cn/） </w:t>
      </w:r>
    </w:p>
    <w:p w14:paraId="0176C1AE">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方式：</w:t>
      </w:r>
      <w:r>
        <w:rPr>
          <w:rFonts w:hint="eastAsia" w:ascii="仿宋" w:hAnsi="仿宋" w:eastAsia="仿宋" w:cs="仿宋"/>
          <w:color w:val="auto"/>
          <w:sz w:val="24"/>
          <w:szCs w:val="24"/>
          <w:highlight w:val="none"/>
        </w:rPr>
        <w:t xml:space="preserve">供应商登录政采云平台https://www.zcygov.cn/在线申请获取采购文件（进入“项目采购”应用，在获取采购文件菜单中选择项目，申请获取采购文件）。 </w:t>
      </w:r>
    </w:p>
    <w:p w14:paraId="6BD35FCB">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售价（元）：</w:t>
      </w:r>
      <w:r>
        <w:rPr>
          <w:rFonts w:hint="eastAsia" w:ascii="仿宋" w:hAnsi="仿宋" w:eastAsia="仿宋" w:cs="仿宋"/>
          <w:color w:val="auto"/>
          <w:sz w:val="24"/>
          <w:szCs w:val="24"/>
          <w:highlight w:val="none"/>
        </w:rPr>
        <w:t xml:space="preserve">0 </w:t>
      </w:r>
      <w:r>
        <w:rPr>
          <w:rFonts w:hint="eastAsia" w:ascii="仿宋" w:hAnsi="仿宋" w:eastAsia="仿宋" w:cs="仿宋"/>
          <w:color w:val="auto"/>
          <w:sz w:val="24"/>
          <w:szCs w:val="24"/>
          <w:highlight w:val="none"/>
        </w:rPr>
        <w:tab/>
      </w:r>
    </w:p>
    <w:p w14:paraId="629A8217">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四、提交投标文件截止时间、开标时间和地点</w:t>
      </w:r>
    </w:p>
    <w:p w14:paraId="781810C5">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提交投标文件截止时间：</w:t>
      </w:r>
      <w:r>
        <w:rPr>
          <w:rFonts w:hint="eastAsia" w:ascii="仿宋" w:hAnsi="仿宋" w:eastAsia="仿宋" w:cs="仿宋"/>
          <w:color w:val="auto"/>
          <w:sz w:val="24"/>
          <w:szCs w:val="24"/>
          <w:highlight w:val="none"/>
          <w:u w:val="single"/>
        </w:rPr>
        <w:t xml:space="preserve"> 202</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12</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30</w:t>
      </w:r>
      <w:r>
        <w:rPr>
          <w:rFonts w:hint="eastAsia" w:ascii="仿宋" w:hAnsi="仿宋" w:eastAsia="仿宋" w:cs="仿宋"/>
          <w:color w:val="auto"/>
          <w:sz w:val="24"/>
          <w:szCs w:val="24"/>
          <w:highlight w:val="none"/>
          <w:u w:val="single"/>
        </w:rPr>
        <w:t>分00秒</w:t>
      </w:r>
      <w:r>
        <w:rPr>
          <w:rFonts w:hint="eastAsia" w:ascii="仿宋" w:hAnsi="仿宋" w:eastAsia="仿宋" w:cs="仿宋"/>
          <w:color w:val="auto"/>
          <w:sz w:val="24"/>
          <w:szCs w:val="24"/>
          <w:highlight w:val="none"/>
        </w:rPr>
        <w:t>（北京时间）</w:t>
      </w:r>
    </w:p>
    <w:p w14:paraId="45B21DDC">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投标地点（网址）：</w:t>
      </w:r>
      <w:r>
        <w:rPr>
          <w:rFonts w:hint="eastAsia" w:ascii="仿宋" w:hAnsi="仿宋" w:eastAsia="仿宋" w:cs="仿宋"/>
          <w:color w:val="auto"/>
          <w:sz w:val="24"/>
          <w:szCs w:val="24"/>
          <w:highlight w:val="none"/>
        </w:rPr>
        <w:t xml:space="preserve">政采云平台（https://www.zcygov.cn/） </w:t>
      </w:r>
    </w:p>
    <w:p w14:paraId="5C68EF18">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Cs/>
          <w:color w:val="auto"/>
          <w:sz w:val="24"/>
          <w:szCs w:val="24"/>
          <w:highlight w:val="none"/>
          <w:u w:val="single"/>
        </w:rPr>
      </w:pPr>
      <w:r>
        <w:rPr>
          <w:rFonts w:hint="eastAsia" w:ascii="仿宋" w:hAnsi="仿宋" w:eastAsia="仿宋" w:cs="仿宋"/>
          <w:b/>
          <w:color w:val="auto"/>
          <w:sz w:val="24"/>
          <w:szCs w:val="24"/>
          <w:highlight w:val="none"/>
        </w:rPr>
        <w:t>开标时间：</w:t>
      </w:r>
      <w:r>
        <w:rPr>
          <w:rFonts w:hint="eastAsia" w:ascii="仿宋" w:hAnsi="仿宋" w:eastAsia="仿宋" w:cs="仿宋"/>
          <w:color w:val="auto"/>
          <w:sz w:val="24"/>
          <w:szCs w:val="24"/>
          <w:highlight w:val="none"/>
          <w:u w:val="single"/>
        </w:rPr>
        <w:t>202</w:t>
      </w:r>
      <w:r>
        <w:rPr>
          <w:rFonts w:hint="eastAsia" w:ascii="仿宋" w:hAnsi="仿宋" w:eastAsia="仿宋" w:cs="仿宋"/>
          <w:color w:val="auto"/>
          <w:sz w:val="24"/>
          <w:szCs w:val="24"/>
          <w:highlight w:val="none"/>
          <w:u w:val="single"/>
          <w:lang w:val="en-US" w:eastAsia="zh-CN"/>
        </w:rPr>
        <w:t>4</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12</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2</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9</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30</w:t>
      </w:r>
      <w:r>
        <w:rPr>
          <w:rFonts w:hint="eastAsia" w:ascii="仿宋" w:hAnsi="仿宋" w:eastAsia="仿宋" w:cs="仿宋"/>
          <w:color w:val="auto"/>
          <w:sz w:val="24"/>
          <w:szCs w:val="24"/>
          <w:highlight w:val="none"/>
          <w:u w:val="single"/>
        </w:rPr>
        <w:t>分00秒</w:t>
      </w:r>
    </w:p>
    <w:p w14:paraId="7DAA05C8">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开标地点（网址）：</w:t>
      </w:r>
      <w:r>
        <w:rPr>
          <w:rFonts w:hint="eastAsia" w:ascii="仿宋" w:hAnsi="仿宋" w:eastAsia="仿宋" w:cs="仿宋"/>
          <w:color w:val="auto"/>
          <w:sz w:val="24"/>
          <w:szCs w:val="24"/>
          <w:highlight w:val="none"/>
        </w:rPr>
        <w:t>政采云平台（https://www.zcygov.cn/）</w:t>
      </w:r>
    </w:p>
    <w:p w14:paraId="75CE1245">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val="en-US"/>
        </w:rPr>
        <w:t>公告</w:t>
      </w:r>
      <w:r>
        <w:rPr>
          <w:rFonts w:hint="eastAsia" w:ascii="仿宋" w:hAnsi="仿宋" w:eastAsia="仿宋" w:cs="仿宋"/>
          <w:b/>
          <w:color w:val="auto"/>
          <w:sz w:val="24"/>
          <w:szCs w:val="24"/>
          <w:highlight w:val="none"/>
        </w:rPr>
        <w:t xml:space="preserve">期限 </w:t>
      </w:r>
    </w:p>
    <w:p w14:paraId="72D46343">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0B2B5DE1">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六、其他补充事宜</w:t>
      </w:r>
    </w:p>
    <w:p w14:paraId="72D627F0">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114B4062">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B76708">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3AD50CF">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事项：（1）需要落实的政府采购政策：包括节约资源、保护环境、支持创新、促进中小企业发展等。（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szCs w:val="24"/>
          <w:highlight w:val="none"/>
          <w:u w:val="none"/>
        </w:rPr>
        <w:t>还可以在投标截止时间前直接提交或者以快递方式递交备份投标文件1份。备份投标文件的制作、存储、密封详见招标文件第二部分第17</w:t>
      </w:r>
      <w:r>
        <w:rPr>
          <w:rFonts w:hint="eastAsia" w:ascii="仿宋" w:hAnsi="仿宋" w:eastAsia="仿宋" w:cs="仿宋"/>
          <w:color w:val="auto"/>
          <w:sz w:val="24"/>
          <w:szCs w:val="24"/>
          <w:highlight w:val="none"/>
          <w:u w:val="none"/>
          <w:lang w:val="en-US" w:eastAsia="zh-CN"/>
        </w:rPr>
        <w:t>条</w:t>
      </w:r>
      <w:r>
        <w:rPr>
          <w:rFonts w:hint="eastAsia" w:ascii="仿宋" w:hAnsi="仿宋" w:eastAsia="仿宋" w:cs="仿宋"/>
          <w:color w:val="auto"/>
          <w:sz w:val="24"/>
          <w:szCs w:val="24"/>
          <w:highlight w:val="none"/>
          <w:u w:val="none"/>
        </w:rPr>
        <w:t>—“备份投标文件要求”；⑨投标文件的解密</w:t>
      </w:r>
      <w:r>
        <w:rPr>
          <w:rFonts w:hint="eastAsia" w:ascii="仿宋" w:hAnsi="仿宋" w:eastAsia="仿宋" w:cs="仿宋"/>
          <w:color w:val="auto"/>
          <w:sz w:val="24"/>
          <w:szCs w:val="24"/>
          <w:highlight w:val="none"/>
        </w:rPr>
        <w:t>：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bookmarkEnd w:id="3"/>
    <w:bookmarkEnd w:id="4"/>
    <w:bookmarkEnd w:id="5"/>
    <w:bookmarkEnd w:id="6"/>
    <w:p w14:paraId="68C51C74">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七、对本次采购提出询问、质疑、投诉，请按以下方式联系</w:t>
      </w:r>
    </w:p>
    <w:p w14:paraId="3074D989">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1.采购人信息</w:t>
      </w:r>
    </w:p>
    <w:p w14:paraId="607412F0">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名称：衢州智慧新城管理委员会</w:t>
      </w:r>
    </w:p>
    <w:p w14:paraId="680453F9">
      <w:pPr>
        <w:pageBreakBefore w:val="0"/>
        <w:kinsoku/>
        <w:wordWrap/>
        <w:overflowPunct/>
        <w:topLinePunct w:val="0"/>
        <w:autoSpaceDE w:val="0"/>
        <w:autoSpaceDN w:val="0"/>
        <w:bidi w:val="0"/>
        <w:adjustRightInd w:val="0"/>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lang w:eastAsia="zh-CN"/>
        </w:rPr>
        <w:t>浙江省衢州市柯城区钱江大道2号数字经济产业园C座</w:t>
      </w:r>
    </w:p>
    <w:p w14:paraId="049F054F">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 /</w:t>
      </w:r>
    </w:p>
    <w:p w14:paraId="38EAD5F6">
      <w:pPr>
        <w:pageBreakBefore w:val="0"/>
        <w:kinsoku/>
        <w:wordWrap/>
        <w:overflowPunct/>
        <w:topLinePunct w:val="0"/>
        <w:bidi w:val="0"/>
        <w:spacing w:line="440" w:lineRule="exact"/>
        <w:ind w:firstLine="480" w:firstLineChars="20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（询问）</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朱先生</w:t>
      </w:r>
    </w:p>
    <w:p w14:paraId="06035554">
      <w:pPr>
        <w:pageBreakBefore w:val="0"/>
        <w:kinsoku/>
        <w:wordWrap/>
        <w:overflowPunct/>
        <w:topLinePunct w:val="0"/>
        <w:bidi w:val="0"/>
        <w:spacing w:line="440" w:lineRule="exact"/>
        <w:ind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lang w:eastAsia="zh-CN"/>
        </w:rPr>
        <w:t>（询问）</w:t>
      </w: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lang w:val="en-US" w:eastAsia="zh-CN"/>
        </w:rPr>
        <w:t>0570-3116573</w:t>
      </w:r>
    </w:p>
    <w:p w14:paraId="28EDBFC2">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质疑联系人：毛女士</w:t>
      </w:r>
    </w:p>
    <w:p w14:paraId="5249DFB2">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质疑</w:t>
      </w:r>
      <w:r>
        <w:rPr>
          <w:rFonts w:hint="eastAsia" w:ascii="仿宋" w:hAnsi="仿宋" w:eastAsia="仿宋" w:cs="仿宋"/>
          <w:color w:val="auto"/>
          <w:sz w:val="24"/>
          <w:szCs w:val="24"/>
          <w:highlight w:val="none"/>
        </w:rPr>
        <w:t>联系</w:t>
      </w:r>
      <w:r>
        <w:rPr>
          <w:rFonts w:hint="eastAsia" w:ascii="仿宋" w:hAnsi="仿宋" w:eastAsia="仿宋" w:cs="仿宋"/>
          <w:color w:val="auto"/>
          <w:sz w:val="24"/>
          <w:szCs w:val="24"/>
          <w:highlight w:val="none"/>
          <w:lang w:eastAsia="zh-CN"/>
        </w:rPr>
        <w:t>方式</w:t>
      </w:r>
      <w:r>
        <w:rPr>
          <w:rFonts w:hint="eastAsia" w:ascii="仿宋" w:hAnsi="仿宋" w:eastAsia="仿宋" w:cs="仿宋"/>
          <w:color w:val="auto"/>
          <w:sz w:val="24"/>
          <w:szCs w:val="24"/>
          <w:highlight w:val="none"/>
        </w:rPr>
        <w:t>： 0570-</w:t>
      </w:r>
      <w:r>
        <w:rPr>
          <w:rFonts w:hint="eastAsia" w:ascii="仿宋" w:hAnsi="仿宋" w:eastAsia="仿宋" w:cs="仿宋"/>
          <w:color w:val="auto"/>
          <w:sz w:val="24"/>
          <w:szCs w:val="24"/>
          <w:highlight w:val="none"/>
          <w:lang w:val="en-US" w:eastAsia="zh-CN"/>
        </w:rPr>
        <w:t>3116573</w:t>
      </w:r>
    </w:p>
    <w:p w14:paraId="22902333">
      <w:pPr>
        <w:pStyle w:val="82"/>
        <w:pageBreakBefore w:val="0"/>
        <w:numPr>
          <w:ilvl w:val="0"/>
          <w:numId w:val="1"/>
        </w:numPr>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采购代理机构</w:t>
      </w:r>
      <w:r>
        <w:rPr>
          <w:rFonts w:hint="eastAsia" w:ascii="仿宋" w:hAnsi="仿宋" w:eastAsia="仿宋" w:cs="仿宋"/>
          <w:color w:val="auto"/>
          <w:szCs w:val="24"/>
          <w:highlight w:val="none"/>
          <w:lang w:eastAsia="zh-CN"/>
        </w:rPr>
        <w:t>信息</w:t>
      </w:r>
    </w:p>
    <w:p w14:paraId="58AE0A82">
      <w:pPr>
        <w:pStyle w:val="82"/>
        <w:pageBreakBefore w:val="0"/>
        <w:numPr>
          <w:ilvl w:val="0"/>
          <w:numId w:val="0"/>
        </w:numPr>
        <w:kinsoku/>
        <w:wordWrap/>
        <w:overflowPunct/>
        <w:topLinePunct w:val="0"/>
        <w:bidi w:val="0"/>
        <w:spacing w:before="0" w:beforeAutospacing="0" w:after="0" w:afterAutospacing="0" w:line="440" w:lineRule="exact"/>
        <w:ind w:firstLine="480" w:firstLineChars="200"/>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名称</w:t>
      </w:r>
      <w:r>
        <w:rPr>
          <w:rFonts w:hint="eastAsia" w:ascii="仿宋" w:hAnsi="仿宋" w:eastAsia="仿宋" w:cs="仿宋"/>
          <w:color w:val="auto"/>
          <w:szCs w:val="24"/>
          <w:highlight w:val="none"/>
        </w:rPr>
        <w:t>：</w:t>
      </w:r>
      <w:r>
        <w:rPr>
          <w:rFonts w:hint="eastAsia" w:ascii="仿宋" w:hAnsi="仿宋" w:eastAsia="仿宋" w:cs="仿宋"/>
          <w:color w:val="auto"/>
          <w:szCs w:val="24"/>
          <w:highlight w:val="none"/>
          <w:lang w:eastAsia="zh-CN"/>
        </w:rPr>
        <w:t>科信联合工程咨询有限公司</w:t>
      </w:r>
    </w:p>
    <w:p w14:paraId="43B52ACB">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地点：</w:t>
      </w:r>
      <w:r>
        <w:rPr>
          <w:rFonts w:hint="eastAsia" w:ascii="仿宋" w:hAnsi="仿宋" w:eastAsia="仿宋" w:cs="仿宋"/>
          <w:color w:val="auto"/>
          <w:szCs w:val="24"/>
          <w:highlight w:val="none"/>
          <w:lang w:eastAsia="zh-CN"/>
        </w:rPr>
        <w:t>衢州市柯城区花园中大道91号鑫港大厦14楼1403室</w:t>
      </w:r>
    </w:p>
    <w:p w14:paraId="25D3B7BA">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 w:val="24"/>
          <w:szCs w:val="24"/>
          <w:highlight w:val="none"/>
        </w:rPr>
        <w:t xml:space="preserve">传    真：/  </w:t>
      </w:r>
    </w:p>
    <w:p w14:paraId="1CF07E41">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项目联系人（询问）：</w:t>
      </w:r>
      <w:r>
        <w:rPr>
          <w:rFonts w:hint="eastAsia" w:ascii="仿宋" w:hAnsi="仿宋" w:eastAsia="仿宋" w:cs="仿宋"/>
          <w:color w:val="auto"/>
          <w:szCs w:val="24"/>
          <w:highlight w:val="none"/>
          <w:lang w:val="en-US" w:eastAsia="zh-CN"/>
        </w:rPr>
        <w:t>朱</w:t>
      </w:r>
      <w:r>
        <w:rPr>
          <w:rFonts w:hint="eastAsia" w:ascii="仿宋" w:hAnsi="仿宋" w:eastAsia="仿宋" w:cs="仿宋"/>
          <w:color w:val="auto"/>
          <w:szCs w:val="24"/>
          <w:highlight w:val="none"/>
          <w:lang w:eastAsia="zh-CN"/>
        </w:rPr>
        <w:t>女士</w:t>
      </w:r>
    </w:p>
    <w:p w14:paraId="1AB9FE4C">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rPr>
        <w:t>项目联系方式（询问）：0570-</w:t>
      </w:r>
      <w:r>
        <w:rPr>
          <w:rFonts w:hint="eastAsia" w:ascii="仿宋" w:hAnsi="仿宋" w:eastAsia="仿宋" w:cs="仿宋"/>
          <w:color w:val="auto"/>
          <w:szCs w:val="24"/>
          <w:highlight w:val="none"/>
          <w:lang w:val="en-US" w:eastAsia="zh-CN"/>
        </w:rPr>
        <w:t>3392898</w:t>
      </w:r>
    </w:p>
    <w:p w14:paraId="20ED69C9">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质疑联系人：</w:t>
      </w:r>
      <w:r>
        <w:rPr>
          <w:rFonts w:hint="eastAsia" w:ascii="仿宋" w:hAnsi="仿宋" w:eastAsia="仿宋" w:cs="仿宋"/>
          <w:color w:val="auto"/>
          <w:szCs w:val="24"/>
          <w:highlight w:val="none"/>
          <w:lang w:val="en-US" w:eastAsia="zh-CN"/>
        </w:rPr>
        <w:t>毛</w:t>
      </w:r>
      <w:r>
        <w:rPr>
          <w:rFonts w:hint="eastAsia" w:ascii="仿宋" w:hAnsi="仿宋" w:eastAsia="仿宋" w:cs="仿宋"/>
          <w:color w:val="auto"/>
          <w:szCs w:val="24"/>
          <w:highlight w:val="none"/>
          <w:lang w:eastAsia="zh-CN"/>
        </w:rPr>
        <w:t>女士</w:t>
      </w:r>
    </w:p>
    <w:p w14:paraId="3233F8B0">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rPr>
        <w:t>质疑联系方式：0570-</w:t>
      </w:r>
      <w:r>
        <w:rPr>
          <w:rFonts w:hint="eastAsia" w:ascii="仿宋" w:hAnsi="仿宋" w:eastAsia="仿宋" w:cs="仿宋"/>
          <w:color w:val="auto"/>
          <w:szCs w:val="24"/>
          <w:highlight w:val="none"/>
          <w:lang w:val="en-US" w:eastAsia="zh-CN"/>
        </w:rPr>
        <w:t>3392897</w:t>
      </w:r>
    </w:p>
    <w:p w14:paraId="3FDC040F">
      <w:pPr>
        <w:pageBreakBefore w:val="0"/>
        <w:kinsoku/>
        <w:wordWrap/>
        <w:overflowPunct/>
        <w:topLinePunct w:val="0"/>
        <w:bidi w:val="0"/>
        <w:adjustRightInd w:val="0"/>
        <w:snapToGrid w:val="0"/>
        <w:spacing w:line="440" w:lineRule="exact"/>
        <w:ind w:right="48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p w14:paraId="2E69EA35">
      <w:pPr>
        <w:pageBreakBefore w:val="0"/>
        <w:kinsoku/>
        <w:wordWrap/>
        <w:overflowPunct/>
        <w:topLinePunct w:val="0"/>
        <w:bidi w:val="0"/>
        <w:adjustRightInd w:val="0"/>
        <w:snapToGrid w:val="0"/>
        <w:spacing w:line="440" w:lineRule="exact"/>
        <w:ind w:right="48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衢州市政府采购管理办公室</w:t>
      </w:r>
    </w:p>
    <w:p w14:paraId="278DDAF2">
      <w:pPr>
        <w:pageBreakBefore w:val="0"/>
        <w:kinsoku/>
        <w:wordWrap/>
        <w:overflowPunct/>
        <w:topLinePunct w:val="0"/>
        <w:bidi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地址：衢州市三江东路28号</w:t>
      </w:r>
    </w:p>
    <w:p w14:paraId="6EEB1A9E">
      <w:pPr>
        <w:pageBreakBefore w:val="0"/>
        <w:kinsoku/>
        <w:wordWrap/>
        <w:overflowPunct/>
        <w:topLinePunct w:val="0"/>
        <w:bidi w:val="0"/>
        <w:adjustRightInd w:val="0"/>
        <w:snapToGrid w:val="0"/>
        <w:spacing w:line="440" w:lineRule="exact"/>
        <w:ind w:right="48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eastAsia="zh-CN"/>
        </w:rPr>
        <w:t>黄女士</w:t>
      </w:r>
    </w:p>
    <w:p w14:paraId="744FA59B">
      <w:pPr>
        <w:pageBreakBefore w:val="0"/>
        <w:kinsoku/>
        <w:wordWrap/>
        <w:overflowPunct/>
        <w:topLinePunct w:val="0"/>
        <w:bidi w:val="0"/>
        <w:adjustRightInd w:val="0"/>
        <w:snapToGrid w:val="0"/>
        <w:spacing w:line="440" w:lineRule="exact"/>
        <w:ind w:right="48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eastAsia="zh-CN"/>
        </w:rPr>
        <w:t>19957000570</w:t>
      </w:r>
    </w:p>
    <w:p w14:paraId="1A5F0038">
      <w:pPr>
        <w:pStyle w:val="82"/>
        <w:pageBreakBefore w:val="0"/>
        <w:kinsoku/>
        <w:wordWrap/>
        <w:overflowPunct/>
        <w:topLinePunct w:val="0"/>
        <w:bidi w:val="0"/>
        <w:spacing w:before="0" w:beforeAutospacing="0" w:after="0" w:afterAutospacing="0" w:line="440" w:lineRule="exact"/>
        <w:ind w:firstLine="482"/>
        <w:textAlignment w:val="auto"/>
        <w:rPr>
          <w:rFonts w:hint="eastAsia" w:ascii="仿宋" w:hAnsi="仿宋" w:eastAsia="仿宋" w:cs="仿宋"/>
          <w:color w:val="auto"/>
          <w:szCs w:val="24"/>
          <w:highlight w:val="none"/>
        </w:rPr>
      </w:pPr>
    </w:p>
    <w:bookmarkEnd w:id="0"/>
    <w:p w14:paraId="77809797">
      <w:pPr>
        <w:pStyle w:val="3"/>
        <w:keepNext w:val="0"/>
        <w:keepLines w:val="0"/>
        <w:pageBreakBefore w:val="0"/>
        <w:widowControl w:val="0"/>
        <w:kinsoku/>
        <w:wordWrap/>
        <w:overflowPunct/>
        <w:topLinePunct w:val="0"/>
        <w:autoSpaceDE/>
        <w:autoSpaceDN/>
        <w:bidi w:val="0"/>
        <w:adjustRightInd/>
        <w:spacing w:after="0" w:line="440" w:lineRule="exact"/>
        <w:ind w:firstLine="420" w:firstLineChars="200"/>
        <w:textAlignment w:val="auto"/>
        <w:rPr>
          <w:rFonts w:hint="eastAsia" w:ascii="仿宋" w:hAnsi="仿宋" w:eastAsia="仿宋" w:cs="仿宋"/>
          <w:color w:val="auto"/>
          <w:sz w:val="21"/>
          <w:szCs w:val="21"/>
          <w:highlight w:val="none"/>
        </w:rPr>
      </w:pPr>
      <w:bookmarkStart w:id="8" w:name="_Toc31506"/>
      <w:bookmarkStart w:id="9" w:name="_Toc225840107"/>
      <w:r>
        <w:rPr>
          <w:rFonts w:hint="eastAsia" w:ascii="仿宋" w:hAnsi="仿宋" w:eastAsia="仿宋" w:cs="仿宋"/>
          <w:color w:val="auto"/>
          <w:sz w:val="21"/>
          <w:szCs w:val="21"/>
          <w:highlight w:val="none"/>
        </w:rPr>
        <w:t>若对项目采购电子交易系统操作有疑问，可登录政采云（</w:t>
      </w:r>
      <w:r>
        <w:rPr>
          <w:rFonts w:hint="eastAsia" w:ascii="仿宋" w:hAnsi="仿宋" w:eastAsia="仿宋" w:cs="仿宋"/>
          <w:color w:val="auto"/>
          <w:kern w:val="2"/>
          <w:sz w:val="21"/>
          <w:szCs w:val="21"/>
          <w:highlight w:val="none"/>
          <w:lang w:val="en-US" w:eastAsia="zh-CN" w:bidi="ar-SA"/>
        </w:rPr>
        <w:t>https://www.zcygov.cn/</w:t>
      </w:r>
      <w:r>
        <w:rPr>
          <w:rFonts w:hint="eastAsia" w:ascii="仿宋" w:hAnsi="仿宋" w:eastAsia="仿宋" w:cs="仿宋"/>
          <w:color w:val="auto"/>
          <w:sz w:val="21"/>
          <w:szCs w:val="21"/>
          <w:highlight w:val="none"/>
        </w:rPr>
        <w:t>），点击右侧咨询小采，获取采小蜜智能服务管家帮助，或拨打政采云服务热线95763获取热线服务帮助。CA问题联系电话（人工）：汇信CA 400-888-4636；天谷CA 400-087-8198。</w:t>
      </w:r>
    </w:p>
    <w:p w14:paraId="016EC1A2">
      <w:pPr>
        <w:pStyle w:val="48"/>
        <w:pageBreakBefore/>
        <w:adjustRightInd w:val="0"/>
        <w:snapToGrid w:val="0"/>
        <w:spacing w:line="360" w:lineRule="auto"/>
        <w:jc w:val="center"/>
        <w:outlineLvl w:val="0"/>
        <w:rPr>
          <w:rFonts w:hint="eastAsia" w:ascii="仿宋" w:hAnsi="仿宋" w:eastAsia="仿宋" w:cs="仿宋"/>
          <w:b/>
          <w:color w:val="auto"/>
          <w:sz w:val="36"/>
          <w:highlight w:val="none"/>
          <w:lang w:eastAsia="zh-CN"/>
        </w:rPr>
      </w:pPr>
      <w:r>
        <w:rPr>
          <w:rFonts w:hint="eastAsia" w:ascii="仿宋" w:hAnsi="仿宋" w:eastAsia="仿宋" w:cs="仿宋"/>
          <w:b/>
          <w:color w:val="auto"/>
          <w:sz w:val="36"/>
          <w:highlight w:val="none"/>
        </w:rPr>
        <w:t>第二</w:t>
      </w:r>
      <w:r>
        <w:rPr>
          <w:rFonts w:hint="eastAsia" w:ascii="仿宋" w:hAnsi="仿宋" w:eastAsia="仿宋" w:cs="仿宋"/>
          <w:b/>
          <w:color w:val="auto"/>
          <w:sz w:val="36"/>
          <w:highlight w:val="none"/>
          <w:lang w:eastAsia="zh-CN"/>
        </w:rPr>
        <w:t>章</w:t>
      </w:r>
      <w:r>
        <w:rPr>
          <w:rFonts w:hint="eastAsia" w:ascii="仿宋" w:hAnsi="仿宋" w:eastAsia="仿宋" w:cs="仿宋"/>
          <w:b/>
          <w:color w:val="auto"/>
          <w:sz w:val="36"/>
          <w:highlight w:val="none"/>
        </w:rPr>
        <w:t xml:space="preserve">  投标须知</w:t>
      </w:r>
      <w:bookmarkEnd w:id="8"/>
      <w:r>
        <w:rPr>
          <w:rFonts w:hint="eastAsia" w:ascii="仿宋" w:hAnsi="仿宋" w:eastAsia="仿宋" w:cs="仿宋"/>
          <w:b/>
          <w:color w:val="auto"/>
          <w:sz w:val="36"/>
          <w:highlight w:val="none"/>
          <w:lang w:eastAsia="zh-CN"/>
        </w:rPr>
        <w:t>前附表及投标须知</w:t>
      </w:r>
    </w:p>
    <w:p w14:paraId="76404191">
      <w:pPr>
        <w:pStyle w:val="7"/>
        <w:ind w:left="560" w:firstLine="0"/>
        <w:jc w:val="center"/>
        <w:rPr>
          <w:rFonts w:hint="eastAsia" w:ascii="仿宋" w:hAnsi="仿宋" w:eastAsia="仿宋" w:cs="仿宋"/>
          <w:color w:val="auto"/>
          <w:sz w:val="32"/>
          <w:highlight w:val="none"/>
          <w:lang w:eastAsia="zh-CN"/>
        </w:rPr>
      </w:pPr>
      <w:r>
        <w:rPr>
          <w:rFonts w:hint="eastAsia" w:ascii="仿宋" w:hAnsi="仿宋" w:eastAsia="仿宋" w:cs="仿宋"/>
          <w:color w:val="auto"/>
          <w:sz w:val="32"/>
          <w:highlight w:val="none"/>
          <w:lang w:eastAsia="zh-CN"/>
        </w:rPr>
        <w:t>第一部分、投标须知前附表</w:t>
      </w:r>
    </w:p>
    <w:tbl>
      <w:tblPr>
        <w:tblStyle w:val="88"/>
        <w:tblW w:w="9725"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899"/>
        <w:gridCol w:w="1945"/>
        <w:gridCol w:w="6881"/>
      </w:tblGrid>
      <w:tr w14:paraId="629A41D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12" w:hRule="atLeast"/>
          <w:tblHeader/>
          <w:jc w:val="center"/>
        </w:trPr>
        <w:tc>
          <w:tcPr>
            <w:tcW w:w="899" w:type="dxa"/>
            <w:vAlign w:val="center"/>
          </w:tcPr>
          <w:p w14:paraId="7AE75FE0">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945" w:type="dxa"/>
            <w:vAlign w:val="center"/>
          </w:tcPr>
          <w:p w14:paraId="1E08DEF8">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内容</w:t>
            </w:r>
          </w:p>
        </w:tc>
        <w:tc>
          <w:tcPr>
            <w:tcW w:w="6881" w:type="dxa"/>
            <w:vAlign w:val="center"/>
          </w:tcPr>
          <w:p w14:paraId="070B9750">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eastAsia="zh-CN"/>
              </w:rPr>
              <w:t>说明与要求</w:t>
            </w:r>
          </w:p>
        </w:tc>
      </w:tr>
      <w:tr w14:paraId="6040B7D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899" w:type="dxa"/>
            <w:vAlign w:val="center"/>
          </w:tcPr>
          <w:p w14:paraId="25E528D2">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945" w:type="dxa"/>
            <w:vAlign w:val="center"/>
          </w:tcPr>
          <w:p w14:paraId="72A25B44">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pacing w:val="-2"/>
                <w:kern w:val="0"/>
                <w:position w:val="-3"/>
                <w:sz w:val="24"/>
                <w:highlight w:val="none"/>
                <w:lang w:eastAsia="zh-CN"/>
              </w:rPr>
              <w:t>项目名称</w:t>
            </w:r>
          </w:p>
        </w:tc>
        <w:tc>
          <w:tcPr>
            <w:tcW w:w="6881" w:type="dxa"/>
            <w:vAlign w:val="center"/>
          </w:tcPr>
          <w:p w14:paraId="0C7791DE">
            <w:pPr>
              <w:pStyle w:val="82"/>
              <w:keepNext w:val="0"/>
              <w:keepLines w:val="0"/>
              <w:pageBreakBefore w:val="0"/>
              <w:kinsoku/>
              <w:wordWrap/>
              <w:overflowPunct/>
              <w:topLinePunct w:val="0"/>
              <w:bidi w:val="0"/>
              <w:spacing w:before="0" w:beforeAutospacing="0" w:after="0" w:afterAutospacing="0" w:line="38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eastAsia="zh-CN"/>
              </w:rPr>
              <w:t>2025年度衢州智慧新城地下综合管廊与隧道运维服务项目</w:t>
            </w:r>
          </w:p>
        </w:tc>
      </w:tr>
      <w:tr w14:paraId="364CA08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00" w:hRule="atLeast"/>
          <w:tblHeader/>
          <w:jc w:val="center"/>
        </w:trPr>
        <w:tc>
          <w:tcPr>
            <w:tcW w:w="899" w:type="dxa"/>
            <w:vAlign w:val="center"/>
          </w:tcPr>
          <w:p w14:paraId="5D4641EF">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pacing w:val="-2"/>
                <w:kern w:val="0"/>
                <w:position w:val="-3"/>
                <w:sz w:val="24"/>
                <w:highlight w:val="none"/>
                <w:lang w:val="en-US" w:eastAsia="zh-CN"/>
              </w:rPr>
            </w:pPr>
            <w:r>
              <w:rPr>
                <w:rFonts w:hint="eastAsia" w:ascii="仿宋" w:hAnsi="仿宋" w:eastAsia="仿宋" w:cs="仿宋"/>
                <w:color w:val="auto"/>
                <w:spacing w:val="-2"/>
                <w:kern w:val="0"/>
                <w:position w:val="-3"/>
                <w:sz w:val="24"/>
                <w:highlight w:val="none"/>
                <w:lang w:val="en-US" w:eastAsia="zh-CN"/>
              </w:rPr>
              <w:t>2</w:t>
            </w:r>
          </w:p>
        </w:tc>
        <w:tc>
          <w:tcPr>
            <w:tcW w:w="1945" w:type="dxa"/>
            <w:vAlign w:val="center"/>
          </w:tcPr>
          <w:p w14:paraId="4FF11A66">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pacing w:val="-2"/>
                <w:kern w:val="0"/>
                <w:position w:val="-3"/>
                <w:sz w:val="24"/>
                <w:highlight w:val="none"/>
                <w:lang w:eastAsia="zh-CN"/>
              </w:rPr>
            </w:pPr>
            <w:r>
              <w:rPr>
                <w:rFonts w:hint="eastAsia" w:ascii="仿宋" w:hAnsi="仿宋" w:eastAsia="仿宋" w:cs="仿宋"/>
                <w:color w:val="auto"/>
                <w:spacing w:val="-2"/>
                <w:kern w:val="0"/>
                <w:position w:val="-3"/>
                <w:sz w:val="24"/>
                <w:highlight w:val="none"/>
                <w:lang w:eastAsia="zh-CN"/>
              </w:rPr>
              <w:t>采购人</w:t>
            </w:r>
          </w:p>
        </w:tc>
        <w:tc>
          <w:tcPr>
            <w:tcW w:w="6881" w:type="dxa"/>
            <w:vAlign w:val="center"/>
          </w:tcPr>
          <w:p w14:paraId="09EBC5D3">
            <w:pPr>
              <w:keepNext w:val="0"/>
              <w:keepLines w:val="0"/>
              <w:pageBreakBefore w:val="0"/>
              <w:kinsoku/>
              <w:wordWrap/>
              <w:overflowPunct/>
              <w:topLinePunct w:val="0"/>
              <w:bidi w:val="0"/>
              <w:snapToGrid w:val="0"/>
              <w:spacing w:line="380" w:lineRule="exact"/>
              <w:jc w:val="left"/>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SA"/>
              </w:rPr>
              <w:t>衢州智慧新城管理委员会</w:t>
            </w:r>
          </w:p>
        </w:tc>
      </w:tr>
      <w:tr w14:paraId="6961535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899" w:type="dxa"/>
            <w:vAlign w:val="center"/>
          </w:tcPr>
          <w:p w14:paraId="01854922">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1945" w:type="dxa"/>
            <w:vAlign w:val="center"/>
          </w:tcPr>
          <w:p w14:paraId="5F98F49D">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pacing w:val="-2"/>
                <w:kern w:val="0"/>
                <w:position w:val="-3"/>
                <w:sz w:val="24"/>
                <w:highlight w:val="none"/>
                <w:lang w:eastAsia="zh-CN"/>
              </w:rPr>
            </w:pPr>
            <w:r>
              <w:rPr>
                <w:rFonts w:hint="eastAsia" w:ascii="仿宋" w:hAnsi="仿宋" w:eastAsia="仿宋" w:cs="仿宋"/>
                <w:color w:val="auto"/>
                <w:sz w:val="24"/>
                <w:highlight w:val="none"/>
              </w:rPr>
              <w:t>采购标的及其对应的中小企业划分标准所属行业</w:t>
            </w:r>
          </w:p>
        </w:tc>
        <w:tc>
          <w:tcPr>
            <w:tcW w:w="6881" w:type="dxa"/>
            <w:vAlign w:val="center"/>
          </w:tcPr>
          <w:p w14:paraId="5BA07BC2">
            <w:pPr>
              <w:pStyle w:val="615"/>
              <w:keepNext w:val="0"/>
              <w:keepLines w:val="0"/>
              <w:pageBreakBefore w:val="0"/>
              <w:tabs>
                <w:tab w:val="left" w:pos="2031"/>
              </w:tabs>
              <w:kinsoku/>
              <w:wordWrap/>
              <w:overflowPunct/>
              <w:topLinePunct w:val="0"/>
              <w:bidi w:val="0"/>
              <w:spacing w:line="380" w:lineRule="exact"/>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标的：</w:t>
            </w:r>
            <w:r>
              <w:rPr>
                <w:rFonts w:hint="eastAsia" w:ascii="仿宋" w:hAnsi="仿宋" w:eastAsia="仿宋" w:cs="仿宋"/>
                <w:color w:val="auto"/>
                <w:sz w:val="24"/>
                <w:szCs w:val="24"/>
                <w:highlight w:val="none"/>
                <w:u w:val="single"/>
                <w:lang w:eastAsia="zh-CN"/>
              </w:rPr>
              <w:t>2025年度衢州智慧新城地下综合管廊与隧道运维服务项目</w:t>
            </w:r>
            <w:r>
              <w:rPr>
                <w:rFonts w:hint="eastAsia" w:ascii="仿宋" w:hAnsi="仿宋" w:eastAsia="仿宋" w:cs="仿宋"/>
                <w:color w:val="auto"/>
                <w:sz w:val="24"/>
                <w:highlight w:val="none"/>
              </w:rPr>
              <w:t>；</w:t>
            </w:r>
          </w:p>
          <w:p w14:paraId="3402004B">
            <w:pPr>
              <w:keepNext w:val="0"/>
              <w:keepLines w:val="0"/>
              <w:pageBreakBefore w:val="0"/>
              <w:kinsoku/>
              <w:wordWrap/>
              <w:overflowPunct/>
              <w:topLinePunct w:val="0"/>
              <w:bidi w:val="0"/>
              <w:spacing w:line="380" w:lineRule="exact"/>
              <w:jc w:val="both"/>
              <w:textAlignment w:val="auto"/>
              <w:rPr>
                <w:rFonts w:hint="eastAsia" w:ascii="仿宋" w:hAnsi="仿宋" w:eastAsia="仿宋" w:cs="仿宋"/>
                <w:color w:val="auto"/>
                <w:spacing w:val="-2"/>
                <w:kern w:val="0"/>
                <w:position w:val="-3"/>
                <w:sz w:val="24"/>
                <w:highlight w:val="none"/>
                <w:lang w:val="en-US" w:eastAsia="zh-CN"/>
              </w:rPr>
            </w:pPr>
            <w:r>
              <w:rPr>
                <w:rFonts w:hint="eastAsia" w:ascii="仿宋" w:hAnsi="仿宋" w:eastAsia="仿宋" w:cs="仿宋"/>
                <w:color w:val="auto"/>
                <w:sz w:val="24"/>
                <w:highlight w:val="none"/>
              </w:rPr>
              <w:t>属于：</w:t>
            </w:r>
            <w:r>
              <w:rPr>
                <w:rFonts w:hint="eastAsia" w:ascii="仿宋" w:hAnsi="仿宋" w:eastAsia="仿宋" w:cs="仿宋"/>
                <w:color w:val="auto"/>
                <w:kern w:val="2"/>
                <w:sz w:val="24"/>
                <w:szCs w:val="24"/>
                <w:highlight w:val="none"/>
                <w:u w:val="single"/>
                <w:lang w:val="en-US" w:eastAsia="zh-CN" w:bidi="ar-SA"/>
              </w:rPr>
              <w:t>【其他未列明行业】；</w:t>
            </w:r>
          </w:p>
        </w:tc>
      </w:tr>
      <w:tr w14:paraId="3EF4681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42" w:hRule="atLeast"/>
          <w:tblHeader/>
          <w:jc w:val="center"/>
        </w:trPr>
        <w:tc>
          <w:tcPr>
            <w:tcW w:w="899" w:type="dxa"/>
            <w:vAlign w:val="center"/>
          </w:tcPr>
          <w:p w14:paraId="48F45732">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1945" w:type="dxa"/>
            <w:vAlign w:val="center"/>
          </w:tcPr>
          <w:p w14:paraId="5E437DF8">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pacing w:val="-2"/>
                <w:kern w:val="0"/>
                <w:position w:val="-3"/>
                <w:sz w:val="24"/>
                <w:highlight w:val="none"/>
                <w:lang w:eastAsia="zh-CN"/>
              </w:rPr>
            </w:pPr>
            <w:r>
              <w:rPr>
                <w:rFonts w:hint="eastAsia" w:ascii="仿宋" w:hAnsi="仿宋" w:eastAsia="仿宋" w:cs="仿宋"/>
                <w:color w:val="auto"/>
                <w:sz w:val="24"/>
                <w:highlight w:val="none"/>
              </w:rPr>
              <w:t>合同履约期限</w:t>
            </w:r>
          </w:p>
        </w:tc>
        <w:tc>
          <w:tcPr>
            <w:tcW w:w="6881" w:type="dxa"/>
            <w:vAlign w:val="center"/>
          </w:tcPr>
          <w:p w14:paraId="6B20EBFA">
            <w:pPr>
              <w:keepNext w:val="0"/>
              <w:keepLines w:val="0"/>
              <w:pageBreakBefore w:val="0"/>
              <w:kinsoku/>
              <w:wordWrap/>
              <w:overflowPunct/>
              <w:topLinePunct w:val="0"/>
              <w:bidi w:val="0"/>
              <w:spacing w:line="380" w:lineRule="exact"/>
              <w:textAlignment w:val="auto"/>
              <w:rPr>
                <w:rFonts w:hint="eastAsia" w:ascii="仿宋" w:hAnsi="仿宋" w:eastAsia="仿宋" w:cs="仿宋"/>
                <w:color w:val="auto"/>
                <w:spacing w:val="-2"/>
                <w:kern w:val="0"/>
                <w:position w:val="-3"/>
                <w:sz w:val="24"/>
                <w:highlight w:val="none"/>
                <w:lang w:val="en-US" w:eastAsia="zh-CN"/>
              </w:rPr>
            </w:pPr>
            <w:r>
              <w:rPr>
                <w:rFonts w:hint="eastAsia" w:ascii="仿宋" w:hAnsi="仿宋" w:eastAsia="仿宋" w:cs="仿宋"/>
                <w:color w:val="auto"/>
                <w:spacing w:val="-2"/>
                <w:kern w:val="0"/>
                <w:position w:val="-3"/>
                <w:sz w:val="24"/>
                <w:highlight w:val="none"/>
                <w:lang w:val="en-US" w:eastAsia="zh-CN"/>
              </w:rPr>
              <w:t>一年（365天），</w:t>
            </w:r>
            <w:r>
              <w:rPr>
                <w:rFonts w:hint="eastAsia" w:ascii="仿宋" w:hAnsi="仿宋" w:eastAsia="仿宋" w:cs="仿宋"/>
                <w:b w:val="0"/>
                <w:bCs/>
                <w:color w:val="auto"/>
                <w:sz w:val="24"/>
                <w:szCs w:val="24"/>
                <w:highlight w:val="none"/>
              </w:rPr>
              <w:t>具体以合同约定</w:t>
            </w:r>
            <w:r>
              <w:rPr>
                <w:rFonts w:hint="eastAsia" w:ascii="仿宋" w:hAnsi="仿宋" w:eastAsia="仿宋" w:cs="仿宋"/>
                <w:b w:val="0"/>
                <w:bCs/>
                <w:color w:val="auto"/>
                <w:sz w:val="24"/>
                <w:szCs w:val="24"/>
                <w:highlight w:val="none"/>
                <w:lang w:val="en-US" w:eastAsia="zh-CN"/>
              </w:rPr>
              <w:t>履约</w:t>
            </w:r>
            <w:r>
              <w:rPr>
                <w:rFonts w:hint="eastAsia" w:ascii="仿宋" w:hAnsi="仿宋" w:eastAsia="仿宋" w:cs="仿宋"/>
                <w:b w:val="0"/>
                <w:bCs/>
                <w:color w:val="auto"/>
                <w:sz w:val="24"/>
                <w:szCs w:val="24"/>
                <w:highlight w:val="none"/>
              </w:rPr>
              <w:t>期限为准</w:t>
            </w:r>
            <w:r>
              <w:rPr>
                <w:rFonts w:hint="eastAsia" w:ascii="仿宋" w:hAnsi="仿宋" w:eastAsia="仿宋" w:cs="仿宋"/>
                <w:color w:val="auto"/>
                <w:spacing w:val="-2"/>
                <w:kern w:val="0"/>
                <w:position w:val="-3"/>
                <w:sz w:val="24"/>
                <w:highlight w:val="none"/>
                <w:lang w:val="en-US" w:eastAsia="zh-CN"/>
              </w:rPr>
              <w:t>。</w:t>
            </w:r>
          </w:p>
        </w:tc>
      </w:tr>
      <w:tr w14:paraId="2A14F4B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07" w:hRule="atLeast"/>
          <w:tblHeader/>
          <w:jc w:val="center"/>
        </w:trPr>
        <w:tc>
          <w:tcPr>
            <w:tcW w:w="899" w:type="dxa"/>
            <w:vAlign w:val="center"/>
          </w:tcPr>
          <w:p w14:paraId="480B67B5">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1945" w:type="dxa"/>
            <w:vAlign w:val="center"/>
          </w:tcPr>
          <w:p w14:paraId="47F304EF">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pacing w:val="-2"/>
                <w:kern w:val="0"/>
                <w:position w:val="-3"/>
                <w:sz w:val="24"/>
                <w:highlight w:val="none"/>
                <w:lang w:eastAsia="zh-CN"/>
              </w:rPr>
            </w:pPr>
            <w:r>
              <w:rPr>
                <w:rFonts w:hint="eastAsia" w:ascii="仿宋" w:hAnsi="仿宋" w:eastAsia="仿宋" w:cs="仿宋"/>
                <w:color w:val="auto"/>
                <w:spacing w:val="-2"/>
                <w:kern w:val="0"/>
                <w:position w:val="-3"/>
                <w:sz w:val="24"/>
                <w:highlight w:val="none"/>
                <w:lang w:eastAsia="zh-CN"/>
              </w:rPr>
              <w:t>采购方式</w:t>
            </w:r>
          </w:p>
        </w:tc>
        <w:tc>
          <w:tcPr>
            <w:tcW w:w="6881" w:type="dxa"/>
            <w:vAlign w:val="center"/>
          </w:tcPr>
          <w:p w14:paraId="3A95CAED">
            <w:pPr>
              <w:keepNext w:val="0"/>
              <w:keepLines w:val="0"/>
              <w:pageBreakBefore w:val="0"/>
              <w:kinsoku/>
              <w:wordWrap/>
              <w:overflowPunct/>
              <w:topLinePunct w:val="0"/>
              <w:bidi w:val="0"/>
              <w:spacing w:line="380" w:lineRule="exact"/>
              <w:textAlignment w:val="auto"/>
              <w:rPr>
                <w:rFonts w:hint="eastAsia" w:ascii="仿宋" w:hAnsi="仿宋" w:eastAsia="仿宋" w:cs="仿宋"/>
                <w:color w:val="auto"/>
                <w:spacing w:val="-2"/>
                <w:kern w:val="0"/>
                <w:position w:val="-3"/>
                <w:sz w:val="24"/>
                <w:highlight w:val="none"/>
                <w:lang w:val="en-US" w:eastAsia="zh-CN"/>
              </w:rPr>
            </w:pPr>
            <w:r>
              <w:rPr>
                <w:rFonts w:hint="eastAsia" w:ascii="仿宋" w:hAnsi="仿宋" w:eastAsia="仿宋" w:cs="仿宋"/>
                <w:color w:val="auto"/>
                <w:spacing w:val="-2"/>
                <w:kern w:val="0"/>
                <w:position w:val="-3"/>
                <w:sz w:val="24"/>
                <w:highlight w:val="none"/>
                <w:lang w:val="en-US" w:eastAsia="zh-CN"/>
              </w:rPr>
              <w:t>公开招标。</w:t>
            </w:r>
          </w:p>
        </w:tc>
      </w:tr>
      <w:tr w14:paraId="5488A81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610" w:hRule="atLeast"/>
          <w:tblHeader/>
          <w:jc w:val="center"/>
        </w:trPr>
        <w:tc>
          <w:tcPr>
            <w:tcW w:w="899" w:type="dxa"/>
            <w:vAlign w:val="center"/>
          </w:tcPr>
          <w:p w14:paraId="24AA9774">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1945" w:type="dxa"/>
            <w:vAlign w:val="top"/>
          </w:tcPr>
          <w:p w14:paraId="2192C240">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b/>
                <w:color w:val="auto"/>
                <w:sz w:val="24"/>
                <w:highlight w:val="none"/>
              </w:rPr>
            </w:pPr>
          </w:p>
          <w:p w14:paraId="21A1253C">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b/>
                <w:color w:val="auto"/>
                <w:sz w:val="24"/>
                <w:highlight w:val="none"/>
              </w:rPr>
            </w:pPr>
          </w:p>
          <w:p w14:paraId="501F6451">
            <w:pPr>
              <w:pStyle w:val="615"/>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评标办法</w:t>
            </w:r>
          </w:p>
        </w:tc>
        <w:tc>
          <w:tcPr>
            <w:tcW w:w="6881" w:type="dxa"/>
            <w:vAlign w:val="top"/>
          </w:tcPr>
          <w:p w14:paraId="06715284">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本次招标的评标办法采用百分制综合评分法，根据本项目招标文件的要求，按照本办法规</w:t>
            </w:r>
            <w:r>
              <w:rPr>
                <w:rFonts w:hint="eastAsia" w:ascii="仿宋" w:hAnsi="仿宋" w:eastAsia="仿宋" w:cs="仿宋"/>
                <w:color w:val="auto"/>
                <w:sz w:val="24"/>
                <w:szCs w:val="24"/>
                <w:highlight w:val="none"/>
                <w:u w:val="none"/>
              </w:rPr>
              <w:t>定的内容和分值设置，资格审查采用合格制，商务技术得分为</w:t>
            </w:r>
            <w:r>
              <w:rPr>
                <w:rFonts w:hint="eastAsia" w:ascii="仿宋" w:hAnsi="仿宋" w:eastAsia="仿宋" w:cs="仿宋"/>
                <w:color w:val="auto"/>
                <w:sz w:val="24"/>
                <w:szCs w:val="24"/>
                <w:highlight w:val="none"/>
                <w:u w:val="none"/>
                <w:lang w:val="en-US" w:eastAsia="zh-CN"/>
              </w:rPr>
              <w:t>80</w:t>
            </w:r>
            <w:r>
              <w:rPr>
                <w:rFonts w:hint="eastAsia" w:ascii="仿宋" w:hAnsi="仿宋" w:eastAsia="仿宋" w:cs="仿宋"/>
                <w:color w:val="auto"/>
                <w:sz w:val="24"/>
                <w:szCs w:val="24"/>
                <w:highlight w:val="none"/>
                <w:u w:val="none"/>
              </w:rPr>
              <w:t>分，报价文件得分为</w:t>
            </w:r>
            <w:r>
              <w:rPr>
                <w:rFonts w:hint="eastAsia" w:ascii="仿宋" w:hAnsi="仿宋" w:eastAsia="仿宋" w:cs="仿宋"/>
                <w:color w:val="auto"/>
                <w:sz w:val="24"/>
                <w:szCs w:val="24"/>
                <w:highlight w:val="none"/>
                <w:u w:val="none"/>
                <w:lang w:val="en-US" w:eastAsia="zh-CN"/>
              </w:rPr>
              <w:t>20</w:t>
            </w:r>
            <w:r>
              <w:rPr>
                <w:rFonts w:hint="eastAsia" w:ascii="仿宋" w:hAnsi="仿宋" w:eastAsia="仿宋" w:cs="仿宋"/>
                <w:color w:val="auto"/>
                <w:sz w:val="24"/>
                <w:szCs w:val="24"/>
                <w:highlight w:val="none"/>
                <w:u w:val="none"/>
              </w:rPr>
              <w:t>分，对供应商的投标文件中的商务技术、报</w:t>
            </w:r>
            <w:r>
              <w:rPr>
                <w:rFonts w:hint="eastAsia" w:ascii="仿宋" w:hAnsi="仿宋" w:eastAsia="仿宋" w:cs="仿宋"/>
                <w:color w:val="auto"/>
                <w:sz w:val="24"/>
                <w:szCs w:val="24"/>
                <w:highlight w:val="none"/>
              </w:rPr>
              <w:t>价等内容进行评分，最终得出综合得分。</w:t>
            </w:r>
          </w:p>
        </w:tc>
      </w:tr>
      <w:tr w14:paraId="0FDAAE3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245" w:hRule="atLeast"/>
          <w:tblHeader/>
          <w:jc w:val="center"/>
        </w:trPr>
        <w:tc>
          <w:tcPr>
            <w:tcW w:w="899" w:type="dxa"/>
            <w:vAlign w:val="center"/>
          </w:tcPr>
          <w:p w14:paraId="4F324A0A">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1945" w:type="dxa"/>
            <w:vAlign w:val="center"/>
          </w:tcPr>
          <w:p w14:paraId="1B5B7B9E">
            <w:pPr>
              <w:pStyle w:val="48"/>
              <w:keepNext w:val="0"/>
              <w:keepLines w:val="0"/>
              <w:pageBreakBefore w:val="0"/>
              <w:widowControl w:val="0"/>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是否允许分包</w:t>
            </w:r>
          </w:p>
        </w:tc>
        <w:tc>
          <w:tcPr>
            <w:tcW w:w="6881" w:type="dxa"/>
            <w:vAlign w:val="center"/>
          </w:tcPr>
          <w:p w14:paraId="382B534E">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sym w:font="Wingdings 2" w:char="0052"/>
            </w:r>
            <w:r>
              <w:rPr>
                <w:rFonts w:hint="eastAsia" w:ascii="仿宋" w:hAnsi="仿宋" w:eastAsia="仿宋" w:cs="仿宋"/>
                <w:color w:val="auto"/>
                <w:sz w:val="24"/>
                <w:szCs w:val="24"/>
                <w:highlight w:val="none"/>
              </w:rPr>
              <w:t>不允许</w:t>
            </w:r>
          </w:p>
          <w:p w14:paraId="12BB904A">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允许  分包内容要求：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；分包金额要求：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8F7920C">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接受分包的第三人资质要求：</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6A86FB4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915" w:hRule="atLeast"/>
          <w:tblHeader/>
          <w:jc w:val="center"/>
        </w:trPr>
        <w:tc>
          <w:tcPr>
            <w:tcW w:w="899" w:type="dxa"/>
            <w:vAlign w:val="center"/>
          </w:tcPr>
          <w:p w14:paraId="0775F7C0">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1945" w:type="dxa"/>
            <w:vAlign w:val="center"/>
          </w:tcPr>
          <w:p w14:paraId="544B2B43">
            <w:pPr>
              <w:pStyle w:val="48"/>
              <w:keepNext w:val="0"/>
              <w:keepLines w:val="0"/>
              <w:pageBreakBefore w:val="0"/>
              <w:widowControl w:val="0"/>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踏勘现场</w:t>
            </w:r>
          </w:p>
        </w:tc>
        <w:tc>
          <w:tcPr>
            <w:tcW w:w="6881" w:type="dxa"/>
            <w:vAlign w:val="center"/>
          </w:tcPr>
          <w:p w14:paraId="49A8346A">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highlight w:val="none"/>
                <w:lang w:eastAsia="zh-CN"/>
              </w:rPr>
              <w:t>☑</w:t>
            </w:r>
            <w:r>
              <w:rPr>
                <w:rFonts w:hint="eastAsia" w:ascii="仿宋" w:hAnsi="仿宋" w:eastAsia="仿宋" w:cs="仿宋"/>
                <w:color w:val="auto"/>
                <w:sz w:val="24"/>
                <w:szCs w:val="24"/>
                <w:highlight w:val="none"/>
              </w:rPr>
              <w:t>不组织  投标人如有需要可自行前往踏勘，联系方式见招标公告。</w:t>
            </w:r>
          </w:p>
          <w:p w14:paraId="250B2474">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□统一组织踏勘时间：踏勘集中地点：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433BF92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899" w:type="dxa"/>
            <w:vAlign w:val="center"/>
          </w:tcPr>
          <w:p w14:paraId="504E231A">
            <w:pPr>
              <w:pStyle w:val="615"/>
              <w:keepNext w:val="0"/>
              <w:keepLines w:val="0"/>
              <w:pageBreakBefore w:val="0"/>
              <w:kinsoku/>
              <w:wordWrap/>
              <w:overflowPunct/>
              <w:topLinePunct w:val="0"/>
              <w:bidi w:val="0"/>
              <w:spacing w:line="380" w:lineRule="exact"/>
              <w:ind w:firstLine="0" w:firstLine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9</w:t>
            </w:r>
          </w:p>
        </w:tc>
        <w:tc>
          <w:tcPr>
            <w:tcW w:w="1945" w:type="dxa"/>
            <w:vAlign w:val="center"/>
          </w:tcPr>
          <w:p w14:paraId="48C9B3C5">
            <w:pPr>
              <w:pStyle w:val="48"/>
              <w:keepNext w:val="0"/>
              <w:keepLines w:val="0"/>
              <w:pageBreakBefore w:val="0"/>
              <w:widowControl w:val="0"/>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szCs w:val="24"/>
                <w:highlight w:val="none"/>
              </w:rPr>
              <w:t>投标预备答疑会</w:t>
            </w:r>
          </w:p>
        </w:tc>
        <w:tc>
          <w:tcPr>
            <w:tcW w:w="6881" w:type="dxa"/>
            <w:vAlign w:val="center"/>
          </w:tcPr>
          <w:p w14:paraId="01134BAE">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sym w:font="Wingdings 2" w:char="0052"/>
            </w:r>
            <w:r>
              <w:rPr>
                <w:rFonts w:hint="eastAsia" w:ascii="仿宋" w:hAnsi="仿宋" w:eastAsia="仿宋" w:cs="仿宋"/>
                <w:color w:val="auto"/>
                <w:sz w:val="24"/>
                <w:szCs w:val="24"/>
                <w:highlight w:val="none"/>
              </w:rPr>
              <w:t>不召开</w:t>
            </w:r>
          </w:p>
          <w:p w14:paraId="012116A5">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召开时间：召开地点：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14:paraId="37BCE90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843" w:hRule="atLeast"/>
          <w:tblHeader/>
          <w:jc w:val="center"/>
        </w:trPr>
        <w:tc>
          <w:tcPr>
            <w:tcW w:w="899" w:type="dxa"/>
            <w:vAlign w:val="center"/>
          </w:tcPr>
          <w:p w14:paraId="5AB53919">
            <w:pPr>
              <w:pStyle w:val="615"/>
              <w:keepNext w:val="0"/>
              <w:keepLines w:val="0"/>
              <w:pageBreakBefore w:val="0"/>
              <w:kinsoku/>
              <w:wordWrap/>
              <w:overflowPunct/>
              <w:topLinePunct w:val="0"/>
              <w:bidi w:val="0"/>
              <w:spacing w:line="380" w:lineRule="exact"/>
              <w:ind w:left="0" w:leftChars="0" w:right="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10</w:t>
            </w:r>
          </w:p>
        </w:tc>
        <w:tc>
          <w:tcPr>
            <w:tcW w:w="1945" w:type="dxa"/>
            <w:vAlign w:val="top"/>
          </w:tcPr>
          <w:p w14:paraId="385DC997">
            <w:pPr>
              <w:pStyle w:val="615"/>
              <w:keepNext w:val="0"/>
              <w:keepLines w:val="0"/>
              <w:pageBreakBefore w:val="0"/>
              <w:kinsoku/>
              <w:wordWrap/>
              <w:overflowPunct/>
              <w:topLinePunct w:val="0"/>
              <w:bidi w:val="0"/>
              <w:spacing w:line="380" w:lineRule="exact"/>
              <w:jc w:val="center"/>
              <w:textAlignment w:val="auto"/>
              <w:rPr>
                <w:rFonts w:hint="eastAsia" w:ascii="仿宋" w:hAnsi="仿宋" w:eastAsia="仿宋" w:cs="仿宋"/>
                <w:b/>
                <w:color w:val="auto"/>
                <w:sz w:val="18"/>
                <w:highlight w:val="none"/>
              </w:rPr>
            </w:pPr>
          </w:p>
          <w:p w14:paraId="72317CA7">
            <w:pPr>
              <w:pStyle w:val="615"/>
              <w:keepNext w:val="0"/>
              <w:keepLines w:val="0"/>
              <w:pageBreakBefore w:val="0"/>
              <w:kinsoku/>
              <w:wordWrap/>
              <w:overflowPunct/>
              <w:topLinePunct w:val="0"/>
              <w:bidi w:val="0"/>
              <w:spacing w:line="380" w:lineRule="exact"/>
              <w:ind w:left="29"/>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是否接受联合体投标</w:t>
            </w:r>
          </w:p>
        </w:tc>
        <w:tc>
          <w:tcPr>
            <w:tcW w:w="6881" w:type="dxa"/>
            <w:vAlign w:val="top"/>
          </w:tcPr>
          <w:p w14:paraId="705029D3">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b/>
                <w:color w:val="auto"/>
                <w:sz w:val="18"/>
                <w:highlight w:val="none"/>
              </w:rPr>
            </w:pPr>
          </w:p>
          <w:p w14:paraId="0C83B43D">
            <w:pPr>
              <w:pStyle w:val="615"/>
              <w:keepNext w:val="0"/>
              <w:keepLines w:val="0"/>
              <w:pageBreakBefore w:val="0"/>
              <w:numPr>
                <w:ilvl w:val="0"/>
                <w:numId w:val="0"/>
              </w:numPr>
              <w:tabs>
                <w:tab w:val="left" w:pos="327"/>
              </w:tabs>
              <w:kinsoku/>
              <w:wordWrap/>
              <w:overflowPunct/>
              <w:topLinePunct w:val="0"/>
              <w:bidi w:val="0"/>
              <w:spacing w:after="0" w:line="380" w:lineRule="exact"/>
              <w:ind w:left="0" w:leftChars="0" w:right="0" w:rightChars="0"/>
              <w:jc w:val="left"/>
              <w:textAlignment w:val="auto"/>
              <w:rPr>
                <w:rFonts w:hint="eastAsia" w:ascii="仿宋" w:hAnsi="仿宋" w:eastAsia="仿宋" w:cs="仿宋"/>
                <w:color w:val="auto"/>
                <w:sz w:val="24"/>
                <w:highlight w:val="none"/>
              </w:rPr>
            </w:pPr>
            <w:bookmarkStart w:id="10" w:name="OLE_LINK2"/>
            <w:r>
              <w:rPr>
                <w:rFonts w:hint="eastAsia" w:ascii="仿宋" w:hAnsi="仿宋" w:eastAsia="仿宋" w:cs="仿宋"/>
                <w:b/>
                <w:color w:val="auto"/>
                <w:sz w:val="24"/>
                <w:highlight w:val="none"/>
                <w:lang w:eastAsia="zh-CN"/>
              </w:rPr>
              <w:t>☑</w:t>
            </w:r>
            <w:bookmarkEnd w:id="10"/>
            <w:r>
              <w:rPr>
                <w:rFonts w:hint="eastAsia" w:ascii="仿宋" w:hAnsi="仿宋" w:eastAsia="仿宋" w:cs="仿宋"/>
                <w:color w:val="auto"/>
                <w:sz w:val="24"/>
                <w:highlight w:val="none"/>
              </w:rPr>
              <w:t>否。</w:t>
            </w:r>
          </w:p>
          <w:p w14:paraId="6072FFD9">
            <w:pPr>
              <w:pStyle w:val="615"/>
              <w:keepNext w:val="0"/>
              <w:keepLines w:val="0"/>
              <w:pageBreakBefore w:val="0"/>
              <w:numPr>
                <w:ilvl w:val="0"/>
                <w:numId w:val="0"/>
              </w:numPr>
              <w:tabs>
                <w:tab w:val="left" w:pos="327"/>
              </w:tabs>
              <w:kinsoku/>
              <w:wordWrap/>
              <w:overflowPunct/>
              <w:topLinePunct w:val="0"/>
              <w:bidi w:val="0"/>
              <w:spacing w:after="0" w:line="380" w:lineRule="exact"/>
              <w:ind w:left="0" w:leftChars="0" w:right="0" w:rightChars="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rPr>
              <w:t>是。</w:t>
            </w:r>
          </w:p>
        </w:tc>
      </w:tr>
      <w:tr w14:paraId="3B994D9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15" w:hRule="atLeast"/>
          <w:tblHeader/>
          <w:jc w:val="center"/>
        </w:trPr>
        <w:tc>
          <w:tcPr>
            <w:tcW w:w="899" w:type="dxa"/>
            <w:vAlign w:val="center"/>
          </w:tcPr>
          <w:p w14:paraId="3F24D217">
            <w:pPr>
              <w:pStyle w:val="615"/>
              <w:keepNext w:val="0"/>
              <w:keepLines w:val="0"/>
              <w:pageBreakBefore w:val="0"/>
              <w:kinsoku/>
              <w:wordWrap/>
              <w:overflowPunct/>
              <w:topLinePunct w:val="0"/>
              <w:bidi w:val="0"/>
              <w:spacing w:line="380" w:lineRule="exact"/>
              <w:ind w:left="0" w:leftChars="0" w:right="0" w:righ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11</w:t>
            </w:r>
          </w:p>
        </w:tc>
        <w:tc>
          <w:tcPr>
            <w:tcW w:w="1945" w:type="dxa"/>
            <w:vAlign w:val="center"/>
          </w:tcPr>
          <w:p w14:paraId="184DCB80">
            <w:pPr>
              <w:pStyle w:val="615"/>
              <w:keepNext w:val="0"/>
              <w:keepLines w:val="0"/>
              <w:pageBreakBefore w:val="0"/>
              <w:kinsoku/>
              <w:wordWrap/>
              <w:overflowPunct/>
              <w:topLinePunct w:val="0"/>
              <w:bidi w:val="0"/>
              <w:spacing w:line="380" w:lineRule="exact"/>
              <w:ind w:left="29" w:lef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投标有效期</w:t>
            </w:r>
          </w:p>
        </w:tc>
        <w:tc>
          <w:tcPr>
            <w:tcW w:w="6881" w:type="dxa"/>
            <w:vAlign w:val="center"/>
          </w:tcPr>
          <w:p w14:paraId="006324F2">
            <w:pPr>
              <w:pStyle w:val="615"/>
              <w:keepNext w:val="0"/>
              <w:keepLines w:val="0"/>
              <w:pageBreakBefore w:val="0"/>
              <w:kinsoku/>
              <w:wordWrap/>
              <w:overflowPunct/>
              <w:topLinePunct w:val="0"/>
              <w:bidi w:val="0"/>
              <w:spacing w:line="380" w:lineRule="exact"/>
              <w:ind w:left="0" w:leftChars="0"/>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投标文件递交截止之日起 90 天</w:t>
            </w:r>
          </w:p>
        </w:tc>
      </w:tr>
      <w:tr w14:paraId="37642CA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899" w:type="dxa"/>
            <w:vAlign w:val="center"/>
          </w:tcPr>
          <w:p w14:paraId="2EC36C7A">
            <w:pPr>
              <w:pStyle w:val="615"/>
              <w:keepNext w:val="0"/>
              <w:keepLines w:val="0"/>
              <w:pageBreakBefore w:val="0"/>
              <w:kinsoku/>
              <w:wordWrap/>
              <w:overflowPunct/>
              <w:topLinePunct w:val="0"/>
              <w:bidi w:val="0"/>
              <w:spacing w:line="380" w:lineRule="exact"/>
              <w:ind w:left="0" w:leftChars="0" w:right="0" w:righ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12</w:t>
            </w:r>
          </w:p>
        </w:tc>
        <w:tc>
          <w:tcPr>
            <w:tcW w:w="1945" w:type="dxa"/>
            <w:vAlign w:val="center"/>
          </w:tcPr>
          <w:p w14:paraId="6FECE8D8">
            <w:pPr>
              <w:pStyle w:val="615"/>
              <w:keepNext w:val="0"/>
              <w:keepLines w:val="0"/>
              <w:pageBreakBefore w:val="0"/>
              <w:kinsoku/>
              <w:wordWrap/>
              <w:overflowPunct/>
              <w:topLinePunct w:val="0"/>
              <w:bidi w:val="0"/>
              <w:spacing w:line="380" w:lineRule="exact"/>
              <w:ind w:left="29" w:lef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投标保证金</w:t>
            </w:r>
          </w:p>
        </w:tc>
        <w:tc>
          <w:tcPr>
            <w:tcW w:w="6881" w:type="dxa"/>
            <w:vAlign w:val="center"/>
          </w:tcPr>
          <w:p w14:paraId="24D53902">
            <w:pPr>
              <w:pStyle w:val="615"/>
              <w:keepNext w:val="0"/>
              <w:keepLines w:val="0"/>
              <w:pageBreakBefore w:val="0"/>
              <w:kinsoku/>
              <w:wordWrap/>
              <w:overflowPunct/>
              <w:topLinePunct w:val="0"/>
              <w:bidi w:val="0"/>
              <w:spacing w:line="38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本项目不需要缴纳投标保证金，若供应商在采购过程中存在违规行为给采购人造成损失的，须赔偿全部损失。</w:t>
            </w:r>
          </w:p>
        </w:tc>
      </w:tr>
      <w:tr w14:paraId="0DB8274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748E7770">
            <w:pPr>
              <w:pStyle w:val="615"/>
              <w:keepNext w:val="0"/>
              <w:keepLines w:val="0"/>
              <w:pageBreakBefore w:val="0"/>
              <w:kinsoku/>
              <w:wordWrap/>
              <w:overflowPunct/>
              <w:topLinePunct w:val="0"/>
              <w:bidi w:val="0"/>
              <w:spacing w:line="38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945" w:type="dxa"/>
            <w:vAlign w:val="center"/>
          </w:tcPr>
          <w:p w14:paraId="47E9932C">
            <w:pPr>
              <w:pStyle w:val="48"/>
              <w:keepNext w:val="0"/>
              <w:keepLines w:val="0"/>
              <w:pageBreakBefore w:val="0"/>
              <w:widowControl w:val="0"/>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是否允许进口产品投标</w:t>
            </w:r>
          </w:p>
        </w:tc>
        <w:tc>
          <w:tcPr>
            <w:tcW w:w="6881" w:type="dxa"/>
            <w:vAlign w:val="center"/>
          </w:tcPr>
          <w:p w14:paraId="0ADBDA7F">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b/>
                <w:color w:val="auto"/>
                <w:sz w:val="24"/>
                <w:szCs w:val="24"/>
                <w:highlight w:val="none"/>
              </w:rPr>
              <w:sym w:font="Wingdings 2" w:char="0052"/>
            </w:r>
            <w:r>
              <w:rPr>
                <w:rFonts w:hint="eastAsia" w:ascii="仿宋" w:hAnsi="仿宋" w:eastAsia="仿宋" w:cs="仿宋"/>
                <w:color w:val="auto"/>
                <w:sz w:val="24"/>
                <w:szCs w:val="24"/>
                <w:highlight w:val="none"/>
                <w:lang w:val="zh-CN"/>
              </w:rPr>
              <w:t>不允许。</w:t>
            </w:r>
          </w:p>
          <w:p w14:paraId="7F10EDAB">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允许，详见招标文件第三部分 项目技术及服务要求。</w:t>
            </w:r>
          </w:p>
          <w:p w14:paraId="0E9E4B6B">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部分允许，详见招标文件第三部分 项目技术及服务要求。</w:t>
            </w:r>
          </w:p>
          <w:p w14:paraId="6ECDAC13">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报价及交货方式：□CIP</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□CIF。</w:t>
            </w:r>
          </w:p>
        </w:tc>
      </w:tr>
      <w:tr w14:paraId="79DEFDF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2145" w:hRule="atLeast"/>
          <w:jc w:val="center"/>
        </w:trPr>
        <w:tc>
          <w:tcPr>
            <w:tcW w:w="899" w:type="dxa"/>
            <w:vAlign w:val="center"/>
          </w:tcPr>
          <w:p w14:paraId="5B2A89BF">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945" w:type="dxa"/>
            <w:vAlign w:val="center"/>
          </w:tcPr>
          <w:p w14:paraId="2599F9F7">
            <w:pPr>
              <w:keepNext w:val="0"/>
              <w:keepLines w:val="0"/>
              <w:pageBreakBefore w:val="0"/>
              <w:kinsoku/>
              <w:wordWrap/>
              <w:overflowPunct/>
              <w:topLinePunct w:val="0"/>
              <w:autoSpaceDE w:val="0"/>
              <w:autoSpaceDN w:val="0"/>
              <w:bidi w:val="0"/>
              <w:adjustRightInd w:val="0"/>
              <w:spacing w:line="380" w:lineRule="exact"/>
              <w:ind w:right="-2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position w:val="-5"/>
                <w:sz w:val="24"/>
                <w:szCs w:val="22"/>
                <w:highlight w:val="none"/>
              </w:rPr>
              <w:t>投标文件的组成和编制</w:t>
            </w:r>
          </w:p>
        </w:tc>
        <w:tc>
          <w:tcPr>
            <w:tcW w:w="6881" w:type="dxa"/>
            <w:vAlign w:val="center"/>
          </w:tcPr>
          <w:p w14:paraId="63DB95A6">
            <w:pPr>
              <w:pStyle w:val="615"/>
              <w:keepNext w:val="0"/>
              <w:keepLines w:val="0"/>
              <w:pageBreakBefore w:val="0"/>
              <w:widowControl w:val="0"/>
              <w:kinsoku/>
              <w:wordWrap/>
              <w:overflowPunct/>
              <w:topLinePunct w:val="0"/>
              <w:bidi w:val="0"/>
              <w:snapToGrid/>
              <w:spacing w:line="380" w:lineRule="exact"/>
              <w:ind w:left="111"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本项目完整的《投标文件》由“资格审查文件”、“商务技术文件”和“报价文件”三个部分组成。</w:t>
            </w:r>
          </w:p>
          <w:p w14:paraId="6E45B185">
            <w:pPr>
              <w:pStyle w:val="615"/>
              <w:keepNext w:val="0"/>
              <w:keepLines w:val="0"/>
              <w:pageBreakBefore w:val="0"/>
              <w:widowControl w:val="0"/>
              <w:kinsoku/>
              <w:wordWrap/>
              <w:overflowPunct/>
              <w:topLinePunct w:val="0"/>
              <w:bidi w:val="0"/>
              <w:snapToGrid/>
              <w:spacing w:line="380" w:lineRule="exact"/>
              <w:ind w:left="111"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投标人应先安装“政采云电子交易客户端”，并按照本招标文件和“政府采购云平台”的要求，通过“政采云电子交易</w:t>
            </w:r>
          </w:p>
          <w:p w14:paraId="574716B0">
            <w:pPr>
              <w:keepNext w:val="0"/>
              <w:keepLines w:val="0"/>
              <w:pageBreakBefore w:val="0"/>
              <w:widowControl w:val="0"/>
              <w:kinsoku/>
              <w:wordWrap/>
              <w:overflowPunct/>
              <w:topLinePunct w:val="0"/>
              <w:autoSpaceDE w:val="0"/>
              <w:autoSpaceDN w:val="0"/>
              <w:bidi w:val="0"/>
              <w:adjustRightInd w:val="0"/>
              <w:snapToGrid/>
              <w:spacing w:line="380" w:lineRule="exact"/>
              <w:ind w:right="-20"/>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客户端”编制并加密投标文件。</w:t>
            </w:r>
          </w:p>
        </w:tc>
      </w:tr>
      <w:tr w14:paraId="0D40915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899" w:type="dxa"/>
            <w:vAlign w:val="center"/>
          </w:tcPr>
          <w:p w14:paraId="7FC9F331">
            <w:pPr>
              <w:pStyle w:val="615"/>
              <w:keepNext w:val="0"/>
              <w:keepLines w:val="0"/>
              <w:pageBreakBefore w:val="0"/>
              <w:kinsoku/>
              <w:wordWrap/>
              <w:overflowPunct/>
              <w:topLinePunct w:val="0"/>
              <w:bidi w:val="0"/>
              <w:spacing w:line="380" w:lineRule="exact"/>
              <w:ind w:left="180" w:leftChars="0" w:right="156"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15</w:t>
            </w:r>
          </w:p>
        </w:tc>
        <w:tc>
          <w:tcPr>
            <w:tcW w:w="1945" w:type="dxa"/>
            <w:vAlign w:val="center"/>
          </w:tcPr>
          <w:p w14:paraId="52472A1D">
            <w:pPr>
              <w:pStyle w:val="615"/>
              <w:keepNext w:val="0"/>
              <w:keepLines w:val="0"/>
              <w:pageBreakBefore w:val="0"/>
              <w:kinsoku/>
              <w:wordWrap/>
              <w:overflowPunct/>
              <w:topLinePunct w:val="0"/>
              <w:bidi w:val="0"/>
              <w:spacing w:line="380" w:lineRule="exact"/>
              <w:ind w:left="29" w:leftChars="0"/>
              <w:jc w:val="center"/>
              <w:textAlignment w:val="auto"/>
              <w:rPr>
                <w:rFonts w:hint="eastAsia" w:ascii="仿宋" w:hAnsi="仿宋" w:eastAsia="仿宋" w:cs="仿宋"/>
                <w:color w:val="auto"/>
                <w:kern w:val="0"/>
                <w:position w:val="-3"/>
                <w:sz w:val="24"/>
                <w:highlight w:val="none"/>
              </w:rPr>
            </w:pPr>
            <w:r>
              <w:rPr>
                <w:rFonts w:hint="eastAsia" w:ascii="仿宋" w:hAnsi="仿宋" w:eastAsia="仿宋" w:cs="仿宋"/>
                <w:color w:val="auto"/>
                <w:sz w:val="24"/>
                <w:highlight w:val="none"/>
              </w:rPr>
              <w:t>投标文件的签章</w:t>
            </w:r>
          </w:p>
        </w:tc>
        <w:tc>
          <w:tcPr>
            <w:tcW w:w="6881" w:type="dxa"/>
            <w:vAlign w:val="top"/>
          </w:tcPr>
          <w:p w14:paraId="4FFD35EB">
            <w:pPr>
              <w:pStyle w:val="615"/>
              <w:keepNext w:val="0"/>
              <w:keepLines w:val="0"/>
              <w:pageBreakBefore w:val="0"/>
              <w:widowControl w:val="0"/>
              <w:kinsoku/>
              <w:wordWrap/>
              <w:overflowPunct/>
              <w:topLinePunct w:val="0"/>
              <w:bidi w:val="0"/>
              <w:adjustRightInd/>
              <w:snapToGrid/>
              <w:spacing w:line="380" w:lineRule="exact"/>
              <w:ind w:right="-44"/>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电子签章（公章），其中法定代表人和授权代表签字（或盖章</w:t>
            </w:r>
            <w:r>
              <w:rPr>
                <w:rFonts w:hint="eastAsia" w:ascii="仿宋" w:hAnsi="仿宋" w:eastAsia="仿宋" w:cs="仿宋"/>
                <w:color w:val="auto"/>
                <w:spacing w:val="-10"/>
                <w:sz w:val="24"/>
                <w:highlight w:val="none"/>
              </w:rPr>
              <w:t>）</w:t>
            </w:r>
            <w:r>
              <w:rPr>
                <w:rFonts w:hint="eastAsia" w:ascii="仿宋" w:hAnsi="仿宋" w:eastAsia="仿宋" w:cs="仿宋"/>
                <w:color w:val="auto"/>
                <w:spacing w:val="-2"/>
                <w:sz w:val="24"/>
                <w:highlight w:val="none"/>
              </w:rPr>
              <w:t>可书面签订</w:t>
            </w:r>
            <w:r>
              <w:rPr>
                <w:rFonts w:hint="eastAsia" w:ascii="仿宋" w:hAnsi="仿宋" w:eastAsia="仿宋" w:cs="仿宋"/>
                <w:color w:val="auto"/>
                <w:sz w:val="24"/>
                <w:highlight w:val="none"/>
              </w:rPr>
              <w:t>（或盖章</w:t>
            </w:r>
            <w:r>
              <w:rPr>
                <w:rFonts w:hint="eastAsia" w:ascii="仿宋" w:hAnsi="仿宋" w:eastAsia="仿宋" w:cs="仿宋"/>
                <w:color w:val="auto"/>
                <w:spacing w:val="-10"/>
                <w:sz w:val="24"/>
                <w:highlight w:val="none"/>
              </w:rPr>
              <w:t>）</w:t>
            </w:r>
            <w:r>
              <w:rPr>
                <w:rFonts w:hint="eastAsia" w:ascii="仿宋" w:hAnsi="仿宋" w:eastAsia="仿宋" w:cs="仿宋"/>
                <w:color w:val="auto"/>
                <w:spacing w:val="-3"/>
                <w:sz w:val="24"/>
                <w:highlight w:val="none"/>
              </w:rPr>
              <w:t>后，扫描至电子投标文件中上传；</w:t>
            </w:r>
          </w:p>
          <w:p w14:paraId="2EE333A0">
            <w:pPr>
              <w:pStyle w:val="615"/>
              <w:keepNext w:val="0"/>
              <w:keepLines w:val="0"/>
              <w:pageBreakBefore w:val="0"/>
              <w:widowControl w:val="0"/>
              <w:kinsoku/>
              <w:wordWrap/>
              <w:overflowPunct/>
              <w:topLinePunct w:val="0"/>
              <w:bidi w:val="0"/>
              <w:adjustRightInd/>
              <w:snapToGrid/>
              <w:spacing w:line="380" w:lineRule="exact"/>
              <w:textAlignment w:val="auto"/>
              <w:rPr>
                <w:rFonts w:hint="eastAsia" w:ascii="仿宋" w:hAnsi="仿宋" w:eastAsia="仿宋" w:cs="仿宋"/>
                <w:color w:val="auto"/>
                <w:kern w:val="0"/>
                <w:position w:val="-2"/>
                <w:sz w:val="24"/>
                <w:highlight w:val="none"/>
              </w:rPr>
            </w:pPr>
            <w:r>
              <w:rPr>
                <w:rFonts w:hint="eastAsia" w:ascii="仿宋" w:hAnsi="仿宋" w:eastAsia="仿宋" w:cs="仿宋"/>
                <w:color w:val="auto"/>
                <w:sz w:val="24"/>
                <w:highlight w:val="none"/>
              </w:rPr>
              <w:t>凡投标格式文件明确有签字盖章处均应符合。</w:t>
            </w:r>
          </w:p>
        </w:tc>
      </w:tr>
      <w:tr w14:paraId="7510EC4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899" w:type="dxa"/>
            <w:vAlign w:val="center"/>
          </w:tcPr>
          <w:p w14:paraId="542BEDC6">
            <w:pPr>
              <w:pStyle w:val="615"/>
              <w:keepNext w:val="0"/>
              <w:keepLines w:val="0"/>
              <w:pageBreakBefore w:val="0"/>
              <w:kinsoku/>
              <w:wordWrap/>
              <w:overflowPunct/>
              <w:topLinePunct w:val="0"/>
              <w:bidi w:val="0"/>
              <w:spacing w:line="380" w:lineRule="exact"/>
              <w:ind w:left="180" w:leftChars="0" w:right="156" w:rightChars="0"/>
              <w:jc w:val="center"/>
              <w:textAlignment w:val="auto"/>
              <w:rPr>
                <w:rFonts w:hint="eastAsia" w:ascii="仿宋" w:hAnsi="仿宋" w:eastAsia="仿宋" w:cs="仿宋"/>
                <w:color w:val="auto"/>
                <w:kern w:val="2"/>
                <w:sz w:val="21"/>
                <w:highlight w:val="none"/>
                <w:lang w:val="en-US" w:eastAsia="zh-CN" w:bidi="ar-SA"/>
              </w:rPr>
            </w:pPr>
            <w:r>
              <w:rPr>
                <w:rFonts w:hint="eastAsia" w:ascii="仿宋" w:hAnsi="仿宋" w:eastAsia="仿宋" w:cs="仿宋"/>
                <w:color w:val="auto"/>
                <w:sz w:val="24"/>
                <w:highlight w:val="none"/>
              </w:rPr>
              <w:t>16</w:t>
            </w:r>
          </w:p>
        </w:tc>
        <w:tc>
          <w:tcPr>
            <w:tcW w:w="1945" w:type="dxa"/>
            <w:vAlign w:val="center"/>
          </w:tcPr>
          <w:p w14:paraId="4ED24FB9">
            <w:pPr>
              <w:pStyle w:val="615"/>
              <w:keepNext w:val="0"/>
              <w:keepLines w:val="0"/>
              <w:pageBreakBefore w:val="0"/>
              <w:kinsoku/>
              <w:wordWrap/>
              <w:overflowPunct/>
              <w:topLinePunct w:val="0"/>
              <w:bidi w:val="0"/>
              <w:spacing w:line="380" w:lineRule="exact"/>
              <w:ind w:left="29" w:lef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投标文件份数</w:t>
            </w:r>
          </w:p>
        </w:tc>
        <w:tc>
          <w:tcPr>
            <w:tcW w:w="6881" w:type="dxa"/>
            <w:vAlign w:val="top"/>
          </w:tcPr>
          <w:p w14:paraId="78853C68">
            <w:pPr>
              <w:pStyle w:val="615"/>
              <w:keepNext w:val="0"/>
              <w:keepLines w:val="0"/>
              <w:pageBreakBefore w:val="0"/>
              <w:widowControl w:val="0"/>
              <w:kinsoku/>
              <w:wordWrap/>
              <w:overflowPunct/>
              <w:topLinePunct w:val="0"/>
              <w:bidi w:val="0"/>
              <w:adjustRightInd/>
              <w:snapToGrid/>
              <w:spacing w:line="38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rPr>
              <w:t>“电子加密投标文件”：在线上传递交、一份。</w:t>
            </w:r>
          </w:p>
          <w:p w14:paraId="5DDD1D11">
            <w:pPr>
              <w:pStyle w:val="615"/>
              <w:keepNext w:val="0"/>
              <w:keepLines w:val="0"/>
              <w:pageBreakBefore w:val="0"/>
              <w:widowControl w:val="0"/>
              <w:kinsoku/>
              <w:wordWrap/>
              <w:overflowPunct/>
              <w:topLinePunct w:val="0"/>
              <w:bidi w:val="0"/>
              <w:adjustRightInd/>
              <w:snapToGrid/>
              <w:spacing w:line="380" w:lineRule="exact"/>
              <w:ind w:right="17" w:rightChars="0"/>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（2）</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rPr>
              <w:t>“备份投标文件”</w:t>
            </w:r>
            <w:r>
              <w:rPr>
                <w:rFonts w:hint="eastAsia" w:ascii="仿宋" w:hAnsi="仿宋" w:eastAsia="仿宋" w:cs="仿宋"/>
                <w:b/>
                <w:color w:val="auto"/>
                <w:sz w:val="24"/>
                <w:highlight w:val="none"/>
                <w:u w:val="single"/>
              </w:rPr>
              <w:t>（非强制要求）</w:t>
            </w:r>
            <w:r>
              <w:rPr>
                <w:rFonts w:hint="eastAsia" w:ascii="仿宋" w:hAnsi="仿宋" w:eastAsia="仿宋" w:cs="仿宋"/>
                <w:color w:val="auto"/>
                <w:sz w:val="24"/>
                <w:highlight w:val="none"/>
              </w:rPr>
              <w:t>：密封包装后投标截止时间前递交一份。</w:t>
            </w:r>
          </w:p>
        </w:tc>
      </w:tr>
      <w:tr w14:paraId="63A11EE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899" w:type="dxa"/>
            <w:vAlign w:val="center"/>
          </w:tcPr>
          <w:p w14:paraId="16F830EF">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17</w:t>
            </w:r>
          </w:p>
        </w:tc>
        <w:tc>
          <w:tcPr>
            <w:tcW w:w="1945" w:type="dxa"/>
            <w:vAlign w:val="center"/>
          </w:tcPr>
          <w:p w14:paraId="272F880A">
            <w:pPr>
              <w:keepNext w:val="0"/>
              <w:keepLines w:val="0"/>
              <w:pageBreakBefore w:val="0"/>
              <w:kinsoku/>
              <w:wordWrap/>
              <w:overflowPunct/>
              <w:topLinePunct w:val="0"/>
              <w:autoSpaceDE w:val="0"/>
              <w:autoSpaceDN w:val="0"/>
              <w:bidi w:val="0"/>
              <w:adjustRightInd w:val="0"/>
              <w:spacing w:line="380" w:lineRule="exact"/>
              <w:ind w:right="-20"/>
              <w:jc w:val="center"/>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sz w:val="24"/>
                <w:highlight w:val="none"/>
              </w:rPr>
              <w:t>备份投标文件要</w:t>
            </w:r>
            <w:r>
              <w:rPr>
                <w:rFonts w:hint="eastAsia" w:ascii="仿宋" w:hAnsi="仿宋" w:eastAsia="仿宋" w:cs="仿宋"/>
                <w:color w:val="auto"/>
                <w:sz w:val="24"/>
                <w:highlight w:val="none"/>
                <w:lang w:eastAsia="zh-CN"/>
              </w:rPr>
              <w:t>求</w:t>
            </w:r>
          </w:p>
        </w:tc>
        <w:tc>
          <w:tcPr>
            <w:tcW w:w="6881" w:type="dxa"/>
            <w:vAlign w:val="center"/>
          </w:tcPr>
          <w:p w14:paraId="73CBE67E">
            <w:pPr>
              <w:pStyle w:val="615"/>
              <w:keepNext w:val="0"/>
              <w:keepLines w:val="0"/>
              <w:pageBreakBefore w:val="0"/>
              <w:widowControl w:val="0"/>
              <w:kinsoku/>
              <w:wordWrap/>
              <w:overflowPunct/>
              <w:topLinePunct w:val="0"/>
              <w:bidi w:val="0"/>
              <w:adjustRightInd/>
              <w:snapToGrid/>
              <w:spacing w:line="380" w:lineRule="exact"/>
              <w:ind w:left="111"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供应商可以（非强制性要求，推荐 EMS 或顺丰邮寄形式）递交以介质（U 盘）存储的数据电文形式的“备份投标文件”（与</w:t>
            </w:r>
          </w:p>
          <w:p w14:paraId="546AC5B3">
            <w:pPr>
              <w:pStyle w:val="615"/>
              <w:keepNext w:val="0"/>
              <w:keepLines w:val="0"/>
              <w:pageBreakBefore w:val="0"/>
              <w:widowControl w:val="0"/>
              <w:kinsoku/>
              <w:wordWrap/>
              <w:overflowPunct/>
              <w:topLinePunct w:val="0"/>
              <w:bidi w:val="0"/>
              <w:adjustRightInd/>
              <w:snapToGrid/>
              <w:spacing w:line="380" w:lineRule="exact"/>
              <w:ind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“电子加密投标文件”同时生成的数据电文形式的电子文件），“备份投标文件”应当密封包装并在包装上标注投标项目名称、投标人名称并加盖公章。</w:t>
            </w:r>
          </w:p>
          <w:p w14:paraId="1AEEF5EA">
            <w:pPr>
              <w:pStyle w:val="615"/>
              <w:keepNext w:val="0"/>
              <w:keepLines w:val="0"/>
              <w:pageBreakBefore w:val="0"/>
              <w:widowControl w:val="0"/>
              <w:tabs>
                <w:tab w:val="left" w:pos="1791"/>
              </w:tabs>
              <w:kinsoku/>
              <w:wordWrap/>
              <w:overflowPunct/>
              <w:topLinePunct w:val="0"/>
              <w:bidi w:val="0"/>
              <w:adjustRightInd/>
              <w:snapToGrid/>
              <w:spacing w:line="380" w:lineRule="exact"/>
              <w:ind w:left="111" w:right="160"/>
              <w:jc w:val="both"/>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注：“备份投标文件”接收地址为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衢州市柯城区花园中大道91号鑫港大厦14楼1403室</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朱女士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0570-3392898</w:t>
            </w:r>
            <w:r>
              <w:rPr>
                <w:rFonts w:hint="eastAsia" w:ascii="仿宋" w:hAnsi="仿宋" w:eastAsia="仿宋" w:cs="仿宋"/>
                <w:color w:val="auto"/>
                <w:sz w:val="24"/>
                <w:highlight w:val="none"/>
              </w:rPr>
              <w:t>，“备份投标文件”递交截止时间为提交投标文件截止时间。供应商邮寄后可将邮件单号发送至代理机构电子邮箱（电子邮箱：</w:t>
            </w:r>
            <w:r>
              <w:rPr>
                <w:rFonts w:hint="eastAsia" w:ascii="仿宋" w:hAnsi="仿宋" w:eastAsia="仿宋" w:cs="仿宋"/>
                <w:color w:val="auto"/>
                <w:sz w:val="24"/>
                <w:highlight w:val="none"/>
                <w:lang w:val="en-US" w:eastAsia="zh-CN"/>
              </w:rPr>
              <w:t>953598720@qq.com）</w:t>
            </w:r>
            <w:r>
              <w:rPr>
                <w:rFonts w:hint="eastAsia" w:ascii="仿宋" w:hAnsi="仿宋" w:eastAsia="仿宋" w:cs="仿宋"/>
                <w:color w:val="auto"/>
                <w:sz w:val="24"/>
                <w:highlight w:val="none"/>
              </w:rPr>
              <w:t>，以便采购代理机构查询物流记录。各供应商应当确保“备份投标文件”的密封包装在邮寄过程保持完好，因邮寄造成“备份投标文件”密封破损而不符合采购文件对“备份投标文件”的密封要求、或邮寄过程中导致“备份投标文件”未按招标公告规定时限前送达的，代理机构将拒绝其“备份投标文件”。各供应商自行考虑邮寄在途时间，“备份投标文件”送达时间以代理机构工作人员实际签收时间为准。</w:t>
            </w:r>
          </w:p>
        </w:tc>
      </w:tr>
      <w:tr w14:paraId="0284DB4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899" w:type="dxa"/>
            <w:vAlign w:val="center"/>
          </w:tcPr>
          <w:p w14:paraId="18268F83">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kern w:val="2"/>
                <w:sz w:val="24"/>
                <w:highlight w:val="none"/>
                <w:lang w:val="en-US" w:eastAsia="zh-CN" w:bidi="ar-SA"/>
              </w:rPr>
              <w:t>18</w:t>
            </w:r>
          </w:p>
        </w:tc>
        <w:tc>
          <w:tcPr>
            <w:tcW w:w="1945" w:type="dxa"/>
            <w:vAlign w:val="center"/>
          </w:tcPr>
          <w:p w14:paraId="52F07A34">
            <w:pPr>
              <w:pStyle w:val="615"/>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kern w:val="2"/>
                <w:sz w:val="24"/>
                <w:highlight w:val="none"/>
                <w:lang w:val="en-US" w:eastAsia="zh-CN" w:bidi="ar-SA"/>
              </w:rPr>
              <w:t>投标文件有效期</w:t>
            </w:r>
          </w:p>
        </w:tc>
        <w:tc>
          <w:tcPr>
            <w:tcW w:w="6881" w:type="dxa"/>
            <w:vAlign w:val="center"/>
          </w:tcPr>
          <w:p w14:paraId="6B059DFD">
            <w:pPr>
              <w:pStyle w:val="615"/>
              <w:keepNext w:val="0"/>
              <w:keepLines w:val="0"/>
              <w:pageBreakBefore w:val="0"/>
              <w:widowControl w:val="0"/>
              <w:kinsoku/>
              <w:wordWrap/>
              <w:overflowPunct/>
              <w:topLinePunct w:val="0"/>
              <w:bidi w:val="0"/>
              <w:adjustRightInd/>
              <w:snapToGrid/>
              <w:spacing w:line="380" w:lineRule="exact"/>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kern w:val="2"/>
                <w:sz w:val="24"/>
                <w:highlight w:val="none"/>
                <w:lang w:val="en-US" w:eastAsia="zh-CN" w:bidi="ar-SA"/>
              </w:rPr>
              <w:t>自投标截止时间起不少于 90 天。</w:t>
            </w:r>
          </w:p>
        </w:tc>
      </w:tr>
      <w:tr w14:paraId="0D5FF11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040" w:hRule="atLeast"/>
          <w:jc w:val="center"/>
        </w:trPr>
        <w:tc>
          <w:tcPr>
            <w:tcW w:w="899" w:type="dxa"/>
            <w:vAlign w:val="center"/>
          </w:tcPr>
          <w:p w14:paraId="1DD5F897">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kern w:val="2"/>
                <w:sz w:val="24"/>
                <w:highlight w:val="none"/>
                <w:lang w:val="en-US" w:eastAsia="zh-CN" w:bidi="ar-SA"/>
              </w:rPr>
              <w:t>19</w:t>
            </w:r>
          </w:p>
        </w:tc>
        <w:tc>
          <w:tcPr>
            <w:tcW w:w="1945" w:type="dxa"/>
            <w:vAlign w:val="center"/>
          </w:tcPr>
          <w:p w14:paraId="164E28CA">
            <w:pPr>
              <w:pStyle w:val="48"/>
              <w:keepNext w:val="0"/>
              <w:keepLines w:val="0"/>
              <w:pageBreakBefore w:val="0"/>
              <w:widowControl w:val="0"/>
              <w:kinsoku/>
              <w:wordWrap/>
              <w:overflowPunct/>
              <w:topLinePunct w:val="0"/>
              <w:autoSpaceDE/>
              <w:autoSpaceDN/>
              <w:bidi w:val="0"/>
              <w:adjustRightInd/>
              <w:snapToGrid w:val="0"/>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投标文件的形式</w:t>
            </w:r>
          </w:p>
        </w:tc>
        <w:tc>
          <w:tcPr>
            <w:tcW w:w="6881" w:type="dxa"/>
            <w:vAlign w:val="center"/>
          </w:tcPr>
          <w:p w14:paraId="7E0C6806">
            <w:pPr>
              <w:pStyle w:val="615"/>
              <w:keepNext w:val="0"/>
              <w:keepLines w:val="0"/>
              <w:pageBreakBefore w:val="0"/>
              <w:widowControl w:val="0"/>
              <w:kinsoku/>
              <w:wordWrap/>
              <w:overflowPunct/>
              <w:topLinePunct w:val="0"/>
              <w:autoSpaceDE/>
              <w:autoSpaceDN/>
              <w:bidi w:val="0"/>
              <w:adjustRightInd/>
              <w:spacing w:line="380" w:lineRule="exact"/>
              <w:ind w:left="111"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电子投标文件（包括“电子加密投标文件”和“备份投标文件”，在投标文件编制完成后同时生成）；</w:t>
            </w:r>
          </w:p>
          <w:p w14:paraId="59E1247B">
            <w:pPr>
              <w:pStyle w:val="615"/>
              <w:keepNext w:val="0"/>
              <w:keepLines w:val="0"/>
              <w:pageBreakBefore w:val="0"/>
              <w:widowControl w:val="0"/>
              <w:kinsoku/>
              <w:wordWrap/>
              <w:overflowPunct/>
              <w:topLinePunct w:val="0"/>
              <w:autoSpaceDE/>
              <w:autoSpaceDN/>
              <w:bidi w:val="0"/>
              <w:adjustRightInd/>
              <w:spacing w:line="380" w:lineRule="exact"/>
              <w:ind w:left="111" w:right="21"/>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（1）“电子加密投标文件”是指通过“政采云电子交易客户端”完成投标文件编制后生成并加密的数据电文形式的投标文件。</w:t>
            </w:r>
          </w:p>
          <w:p w14:paraId="17D09BEC">
            <w:pPr>
              <w:pStyle w:val="615"/>
              <w:keepNext w:val="0"/>
              <w:keepLines w:val="0"/>
              <w:pageBreakBefore w:val="0"/>
              <w:widowControl w:val="0"/>
              <w:kinsoku/>
              <w:wordWrap/>
              <w:overflowPunct/>
              <w:topLinePunct w:val="0"/>
              <w:autoSpaceDE/>
              <w:autoSpaceDN/>
              <w:bidi w:val="0"/>
              <w:adjustRightInd/>
              <w:spacing w:line="380" w:lineRule="exact"/>
              <w:ind w:left="111"/>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（2）“备份投标文件”是指与“电子加密投标文件”同时生</w:t>
            </w:r>
          </w:p>
          <w:p w14:paraId="5CD8920D">
            <w:pPr>
              <w:pStyle w:val="48"/>
              <w:keepNext w:val="0"/>
              <w:keepLines w:val="0"/>
              <w:pageBreakBefore w:val="0"/>
              <w:widowControl w:val="0"/>
              <w:kinsoku/>
              <w:wordWrap/>
              <w:overflowPunct/>
              <w:topLinePunct w:val="0"/>
              <w:autoSpaceDE/>
              <w:autoSpaceDN/>
              <w:bidi w:val="0"/>
              <w:adjustRightInd/>
              <w:snapToGrid w:val="0"/>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成的数据电文形式的电子文件（备份标书），其他方式编制</w:t>
            </w:r>
            <w:r>
              <w:rPr>
                <w:rFonts w:hint="eastAsia" w:ascii="仿宋" w:hAnsi="仿宋" w:eastAsia="仿宋" w:cs="仿宋"/>
                <w:color w:val="auto"/>
                <w:kern w:val="2"/>
                <w:sz w:val="24"/>
                <w:szCs w:val="24"/>
                <w:highlight w:val="none"/>
                <w:lang w:val="en-US" w:eastAsia="zh-CN"/>
              </w:rPr>
              <w:t>其他方式编制的备份投标文件视为无效备份投标文件。</w:t>
            </w:r>
          </w:p>
        </w:tc>
      </w:tr>
      <w:tr w14:paraId="67B2B9F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0BBD1E33">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1"/>
                <w:highlight w:val="none"/>
                <w:lang w:val="en-US" w:eastAsia="zh-CN"/>
              </w:rPr>
            </w:pPr>
            <w:r>
              <w:rPr>
                <w:rFonts w:hint="eastAsia" w:ascii="仿宋" w:hAnsi="仿宋" w:eastAsia="仿宋" w:cs="仿宋"/>
                <w:color w:val="auto"/>
                <w:sz w:val="21"/>
                <w:highlight w:val="none"/>
                <w:lang w:val="en-US" w:eastAsia="zh-CN"/>
              </w:rPr>
              <w:t>20</w:t>
            </w:r>
          </w:p>
        </w:tc>
        <w:tc>
          <w:tcPr>
            <w:tcW w:w="1945" w:type="dxa"/>
            <w:vAlign w:val="center"/>
          </w:tcPr>
          <w:p w14:paraId="699E7103">
            <w:pPr>
              <w:pStyle w:val="48"/>
              <w:keepNext w:val="0"/>
              <w:keepLines w:val="0"/>
              <w:pageBreakBefore w:val="0"/>
              <w:widowControl w:val="0"/>
              <w:kinsoku/>
              <w:wordWrap/>
              <w:overflowPunct/>
              <w:topLinePunct w:val="0"/>
              <w:autoSpaceDE/>
              <w:autoSpaceDN/>
              <w:bidi w:val="0"/>
              <w:adjustRightInd/>
              <w:snapToGrid w:val="0"/>
              <w:spacing w:line="38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投标样品</w:t>
            </w:r>
          </w:p>
        </w:tc>
        <w:tc>
          <w:tcPr>
            <w:tcW w:w="6881" w:type="dxa"/>
            <w:vAlign w:val="center"/>
          </w:tcPr>
          <w:p w14:paraId="14C36F45">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1.本项目是否需要样品：</w:t>
            </w:r>
            <w:r>
              <w:rPr>
                <w:rFonts w:hint="eastAsia" w:ascii="仿宋" w:hAnsi="仿宋" w:eastAsia="仿宋" w:cs="仿宋"/>
                <w:color w:val="auto"/>
                <w:kern w:val="2"/>
                <w:sz w:val="24"/>
                <w:szCs w:val="24"/>
                <w:highlight w:val="none"/>
                <w:lang w:val="zh-CN" w:eastAsia="zh-CN"/>
              </w:rPr>
              <w:t>否；</w:t>
            </w:r>
          </w:p>
        </w:tc>
      </w:tr>
      <w:tr w14:paraId="0F71149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0B9E6E4E">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1"/>
                <w:highlight w:val="none"/>
                <w:lang w:val="en-US" w:eastAsia="zh-CN"/>
              </w:rPr>
              <w:t>21</w:t>
            </w:r>
          </w:p>
        </w:tc>
        <w:tc>
          <w:tcPr>
            <w:tcW w:w="1945" w:type="dxa"/>
            <w:vAlign w:val="center"/>
          </w:tcPr>
          <w:p w14:paraId="178289B6">
            <w:pPr>
              <w:pStyle w:val="615"/>
              <w:keepNext w:val="0"/>
              <w:keepLines w:val="0"/>
              <w:pageBreakBefore w:val="0"/>
              <w:widowControl w:val="0"/>
              <w:kinsoku/>
              <w:wordWrap/>
              <w:overflowPunct/>
              <w:topLinePunct w:val="0"/>
              <w:autoSpaceDE/>
              <w:autoSpaceDN/>
              <w:bidi w:val="0"/>
              <w:adjustRightInd/>
              <w:spacing w:line="380" w:lineRule="exact"/>
              <w:ind w:left="29" w:leftChars="0"/>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投标文件的上传和</w:t>
            </w:r>
            <w:r>
              <w:rPr>
                <w:rFonts w:hint="eastAsia" w:ascii="仿宋" w:hAnsi="仿宋" w:eastAsia="仿宋" w:cs="仿宋"/>
                <w:color w:val="auto"/>
                <w:sz w:val="24"/>
                <w:highlight w:val="none"/>
                <w:lang w:eastAsia="zh-CN"/>
              </w:rPr>
              <w:t>递交</w:t>
            </w:r>
          </w:p>
        </w:tc>
        <w:tc>
          <w:tcPr>
            <w:tcW w:w="6881" w:type="dxa"/>
            <w:vAlign w:val="center"/>
          </w:tcPr>
          <w:p w14:paraId="54A91E6A">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（1）“电子加密投标文件”的上传、递交：</w:t>
            </w:r>
          </w:p>
          <w:p w14:paraId="0397FAD1">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a.投标供应商应在投标截止时间前将“电子加密投标文件”成功上传递交至“政采云平台”，否则投标无效。</w:t>
            </w:r>
          </w:p>
          <w:p w14:paraId="4D895380">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b.“电子加密投标文件”成功上传递交后，供应商可自行打印投标文件接收回执。</w:t>
            </w:r>
          </w:p>
          <w:p w14:paraId="5AA3ED4B">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（2）“备份投标文件”递交：</w:t>
            </w:r>
          </w:p>
          <w:p w14:paraId="078CABB1">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a.“备份投标文件”的递交：供应商在系统里上传好加密标</w:t>
            </w:r>
          </w:p>
          <w:p w14:paraId="34E9C4AC">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书后，可以（非强制要求）在投标截止时间前将系统生成的</w:t>
            </w:r>
          </w:p>
          <w:p w14:paraId="4BAC7A0C">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备份标书（后缀格式为.bfbs），备份投标文件要求详见投标</w:t>
            </w:r>
          </w:p>
          <w:p w14:paraId="5C229DCF">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须知前附表第 17 条。</w:t>
            </w:r>
          </w:p>
          <w:p w14:paraId="7FDDE82B">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b.通过“政府采购云平台”上传递交的“电子加密投标文</w:t>
            </w:r>
          </w:p>
          <w:p w14:paraId="4A961585">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件”无法按时解密，投标供应商递交了备份投标文件的，以</w:t>
            </w:r>
          </w:p>
          <w:p w14:paraId="1C27EE5E">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备份投标文件为依据，否则视为投标文件撤回。 通过“政府</w:t>
            </w:r>
          </w:p>
          <w:p w14:paraId="6FD96BBF">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采购云平台”上传递交的“电子加密投标文件”已按时解密</w:t>
            </w:r>
          </w:p>
          <w:p w14:paraId="304E0546">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的，“备份投标文件”自动失效。投标供应商仅递交备份投</w:t>
            </w:r>
          </w:p>
          <w:p w14:paraId="23E29E9B">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标文件的，投标无效；</w:t>
            </w:r>
          </w:p>
          <w:p w14:paraId="47A4D019">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供应商需保证上传的电子加密投标文件与提交的备份投标文</w:t>
            </w:r>
          </w:p>
          <w:p w14:paraId="5D5532D8">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件必须同时生成且内容完全一致；</w:t>
            </w:r>
          </w:p>
        </w:tc>
      </w:tr>
      <w:tr w14:paraId="60190E5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1002DEB2">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p>
        </w:tc>
        <w:tc>
          <w:tcPr>
            <w:tcW w:w="1945" w:type="dxa"/>
            <w:vAlign w:val="center"/>
          </w:tcPr>
          <w:p w14:paraId="386866B4">
            <w:pPr>
              <w:pStyle w:val="615"/>
              <w:keepNext w:val="0"/>
              <w:keepLines w:val="0"/>
              <w:pageBreakBefore w:val="0"/>
              <w:widowControl w:val="0"/>
              <w:kinsoku/>
              <w:wordWrap/>
              <w:overflowPunct/>
              <w:topLinePunct w:val="0"/>
              <w:autoSpaceDE/>
              <w:autoSpaceDN/>
              <w:bidi w:val="0"/>
              <w:adjustRightInd/>
              <w:spacing w:line="380" w:lineRule="exact"/>
              <w:ind w:left="29" w:lef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电子加密投标</w:t>
            </w:r>
          </w:p>
          <w:p w14:paraId="5D218FC3">
            <w:pPr>
              <w:pStyle w:val="615"/>
              <w:keepNext w:val="0"/>
              <w:keepLines w:val="0"/>
              <w:pageBreakBefore w:val="0"/>
              <w:widowControl w:val="0"/>
              <w:kinsoku/>
              <w:wordWrap/>
              <w:overflowPunct/>
              <w:topLinePunct w:val="0"/>
              <w:autoSpaceDE/>
              <w:autoSpaceDN/>
              <w:bidi w:val="0"/>
              <w:adjustRightInd/>
              <w:spacing w:line="380" w:lineRule="exact"/>
              <w:ind w:left="29" w:lef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文件的解密和</w:t>
            </w:r>
          </w:p>
          <w:p w14:paraId="2FDBD060">
            <w:pPr>
              <w:pStyle w:val="615"/>
              <w:keepNext w:val="0"/>
              <w:keepLines w:val="0"/>
              <w:pageBreakBefore w:val="0"/>
              <w:widowControl w:val="0"/>
              <w:kinsoku/>
              <w:wordWrap/>
              <w:overflowPunct/>
              <w:topLinePunct w:val="0"/>
              <w:autoSpaceDE/>
              <w:autoSpaceDN/>
              <w:bidi w:val="0"/>
              <w:adjustRightInd/>
              <w:spacing w:line="380" w:lineRule="exact"/>
              <w:ind w:left="29" w:leftChars="0"/>
              <w:jc w:val="center"/>
              <w:textAlignment w:val="auto"/>
              <w:rPr>
                <w:rFonts w:hint="eastAsia" w:ascii="仿宋" w:hAnsi="仿宋" w:eastAsia="仿宋" w:cs="仿宋"/>
                <w:color w:val="auto"/>
                <w:kern w:val="2"/>
                <w:sz w:val="20"/>
                <w:highlight w:val="none"/>
                <w:lang w:val="en-US" w:eastAsia="zh-CN" w:bidi="ar-SA"/>
              </w:rPr>
            </w:pPr>
            <w:r>
              <w:rPr>
                <w:rFonts w:hint="eastAsia" w:ascii="仿宋" w:hAnsi="仿宋" w:eastAsia="仿宋" w:cs="仿宋"/>
                <w:color w:val="auto"/>
                <w:sz w:val="24"/>
                <w:highlight w:val="none"/>
                <w:lang w:val="en-US" w:eastAsia="zh-CN"/>
              </w:rPr>
              <w:t>异常情况处理</w:t>
            </w:r>
          </w:p>
        </w:tc>
        <w:tc>
          <w:tcPr>
            <w:tcW w:w="6881" w:type="dxa"/>
            <w:vAlign w:val="center"/>
          </w:tcPr>
          <w:p w14:paraId="38196802">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 w:hAnsi="仿宋" w:eastAsia="仿宋" w:cs="仿宋"/>
                <w:b w:val="0"/>
                <w:bCs w:val="0"/>
                <w:color w:val="auto"/>
                <w:kern w:val="2"/>
                <w:sz w:val="24"/>
                <w:highlight w:val="none"/>
                <w:lang w:val="en-US" w:eastAsia="zh-CN" w:bidi="ar-SA"/>
              </w:rPr>
            </w:pPr>
            <w:r>
              <w:rPr>
                <w:rFonts w:hint="eastAsia" w:ascii="仿宋" w:hAnsi="仿宋" w:eastAsia="仿宋" w:cs="仿宋"/>
                <w:b w:val="0"/>
                <w:bCs w:val="0"/>
                <w:color w:val="auto"/>
                <w:kern w:val="2"/>
                <w:sz w:val="24"/>
                <w:highlight w:val="none"/>
                <w:lang w:val="en-US" w:eastAsia="zh-CN" w:bidi="ar-SA"/>
              </w:rPr>
              <w:t>（1）开标后，采购组织机构将向各投标供应商发出“电子加</w:t>
            </w:r>
          </w:p>
          <w:p w14:paraId="26DE1572">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 w:hAnsi="仿宋" w:eastAsia="仿宋" w:cs="仿宋"/>
                <w:b w:val="0"/>
                <w:bCs w:val="0"/>
                <w:color w:val="auto"/>
                <w:kern w:val="2"/>
                <w:sz w:val="24"/>
                <w:highlight w:val="none"/>
                <w:lang w:val="en-US" w:eastAsia="zh-CN" w:bidi="ar-SA"/>
              </w:rPr>
            </w:pPr>
            <w:r>
              <w:rPr>
                <w:rFonts w:hint="eastAsia" w:ascii="仿宋" w:hAnsi="仿宋" w:eastAsia="仿宋" w:cs="仿宋"/>
                <w:b w:val="0"/>
                <w:bCs w:val="0"/>
                <w:color w:val="auto"/>
                <w:kern w:val="2"/>
                <w:sz w:val="24"/>
                <w:highlight w:val="none"/>
                <w:lang w:val="en-US" w:eastAsia="zh-CN" w:bidi="ar-SA"/>
              </w:rPr>
              <w:t>密投标文件”的解密通知，各投标供应商代表应当在接到解</w:t>
            </w:r>
          </w:p>
          <w:p w14:paraId="08289BCA">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 w:hAnsi="仿宋" w:eastAsia="仿宋" w:cs="仿宋"/>
                <w:b w:val="0"/>
                <w:bCs w:val="0"/>
                <w:color w:val="auto"/>
                <w:kern w:val="2"/>
                <w:sz w:val="24"/>
                <w:highlight w:val="none"/>
                <w:lang w:val="en-US" w:eastAsia="zh-CN" w:bidi="ar-SA"/>
              </w:rPr>
            </w:pPr>
            <w:r>
              <w:rPr>
                <w:rFonts w:hint="eastAsia" w:ascii="仿宋" w:hAnsi="仿宋" w:eastAsia="仿宋" w:cs="仿宋"/>
                <w:b w:val="0"/>
                <w:bCs w:val="0"/>
                <w:color w:val="auto"/>
                <w:kern w:val="2"/>
                <w:sz w:val="24"/>
                <w:highlight w:val="none"/>
                <w:lang w:val="en-US" w:eastAsia="zh-CN" w:bidi="ar-SA"/>
              </w:rPr>
              <w:t>密通知后30 分钟内自行完成“电子加密投标文件”的在线解</w:t>
            </w:r>
          </w:p>
          <w:p w14:paraId="3F4F8F12">
            <w:pPr>
              <w:pStyle w:val="615"/>
              <w:keepNext w:val="0"/>
              <w:keepLines w:val="0"/>
              <w:pageBreakBefore w:val="0"/>
              <w:widowControl w:val="0"/>
              <w:kinsoku/>
              <w:wordWrap/>
              <w:overflowPunct/>
              <w:topLinePunct w:val="0"/>
              <w:autoSpaceDE/>
              <w:autoSpaceDN/>
              <w:bidi w:val="0"/>
              <w:adjustRightInd/>
              <w:snapToGrid/>
              <w:spacing w:line="380" w:lineRule="exact"/>
              <w:ind w:right="20"/>
              <w:textAlignment w:val="auto"/>
              <w:rPr>
                <w:rFonts w:hint="eastAsia" w:ascii="仿宋" w:hAnsi="仿宋" w:eastAsia="仿宋" w:cs="仿宋"/>
                <w:b w:val="0"/>
                <w:bCs w:val="0"/>
                <w:color w:val="auto"/>
                <w:kern w:val="2"/>
                <w:sz w:val="24"/>
                <w:highlight w:val="none"/>
                <w:lang w:val="en-US" w:eastAsia="zh-CN" w:bidi="ar-SA"/>
              </w:rPr>
            </w:pPr>
            <w:r>
              <w:rPr>
                <w:rFonts w:hint="eastAsia" w:ascii="仿宋" w:hAnsi="仿宋" w:eastAsia="仿宋" w:cs="仿宋"/>
                <w:b w:val="0"/>
                <w:bCs w:val="0"/>
                <w:color w:val="auto"/>
                <w:kern w:val="2"/>
                <w:sz w:val="24"/>
                <w:highlight w:val="none"/>
                <w:lang w:val="en-US" w:eastAsia="zh-CN" w:bidi="ar-SA"/>
              </w:rPr>
              <w:t>密。</w:t>
            </w:r>
          </w:p>
          <w:p w14:paraId="436F9600">
            <w:pPr>
              <w:pStyle w:val="615"/>
              <w:keepNext w:val="0"/>
              <w:keepLines w:val="0"/>
              <w:pageBreakBefore w:val="0"/>
              <w:widowControl w:val="0"/>
              <w:kinsoku/>
              <w:wordWrap/>
              <w:overflowPunct/>
              <w:topLinePunct w:val="0"/>
              <w:autoSpaceDE/>
              <w:autoSpaceDN/>
              <w:bidi w:val="0"/>
              <w:adjustRightInd/>
              <w:snapToGrid/>
              <w:spacing w:line="380" w:lineRule="exact"/>
              <w:ind w:right="20"/>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2）通过“政采云平台”成功上传递交的“电子加密投标文件”无法按时解密，投标供应商如按规定递交了“备份投标文件”的，以“备份投标文件”为依据（由采购组织机构按“政采云平台”操作规范将“备份投标文件”上传至“政采</w:t>
            </w:r>
            <w:r>
              <w:rPr>
                <w:rFonts w:hint="eastAsia" w:ascii="仿宋" w:hAnsi="仿宋" w:eastAsia="仿宋" w:cs="仿宋"/>
                <w:b w:val="0"/>
                <w:bCs w:val="0"/>
                <w:color w:val="auto"/>
                <w:spacing w:val="-5"/>
                <w:sz w:val="24"/>
                <w:highlight w:val="none"/>
              </w:rPr>
              <w:t>云平台”，上传成功后，“电子加密投标文件”自动失效</w:t>
            </w:r>
            <w:r>
              <w:rPr>
                <w:rFonts w:hint="eastAsia" w:ascii="仿宋" w:hAnsi="仿宋" w:eastAsia="仿宋" w:cs="仿宋"/>
                <w:b w:val="0"/>
                <w:bCs w:val="0"/>
                <w:color w:val="auto"/>
                <w:spacing w:val="-6"/>
                <w:sz w:val="24"/>
                <w:highlight w:val="none"/>
              </w:rPr>
              <w:t xml:space="preserve">）， </w:t>
            </w:r>
            <w:r>
              <w:rPr>
                <w:rFonts w:hint="eastAsia" w:ascii="仿宋" w:hAnsi="仿宋" w:eastAsia="仿宋" w:cs="仿宋"/>
                <w:b w:val="0"/>
                <w:bCs w:val="0"/>
                <w:color w:val="auto"/>
                <w:sz w:val="24"/>
                <w:highlight w:val="none"/>
              </w:rPr>
              <w:t>否则视为投标文件撤回。</w:t>
            </w:r>
          </w:p>
          <w:p w14:paraId="0524B2D9">
            <w:pPr>
              <w:pStyle w:val="615"/>
              <w:keepNext w:val="0"/>
              <w:keepLines w:val="0"/>
              <w:pageBreakBefore w:val="0"/>
              <w:widowControl w:val="0"/>
              <w:kinsoku/>
              <w:wordWrap/>
              <w:overflowPunct/>
              <w:topLinePunct w:val="0"/>
              <w:autoSpaceDE/>
              <w:autoSpaceDN/>
              <w:bidi w:val="0"/>
              <w:adjustRightInd/>
              <w:snapToGrid/>
              <w:spacing w:line="380" w:lineRule="exact"/>
              <w:ind w:left="111" w:right="160"/>
              <w:textAlignment w:val="auto"/>
              <w:rPr>
                <w:rFonts w:hint="eastAsia" w:ascii="仿宋" w:hAnsi="仿宋" w:eastAsia="仿宋" w:cs="仿宋"/>
                <w:b/>
                <w:color w:val="auto"/>
                <w:highlight w:val="none"/>
              </w:rPr>
            </w:pPr>
            <w:r>
              <w:rPr>
                <w:rFonts w:hint="eastAsia" w:ascii="仿宋" w:hAnsi="仿宋" w:eastAsia="仿宋" w:cs="仿宋"/>
                <w:b w:val="0"/>
                <w:bCs w:val="0"/>
                <w:color w:val="auto"/>
                <w:sz w:val="24"/>
                <w:highlight w:val="none"/>
              </w:rPr>
              <w:t>（3）投标截止时间前，投标供应商仅递交了“备份投标文件”而未将电子加密投标文件上传至“政采云平台”的，投标无效。</w:t>
            </w:r>
          </w:p>
        </w:tc>
      </w:tr>
      <w:tr w14:paraId="209E3C4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899" w:type="dxa"/>
            <w:vAlign w:val="top"/>
          </w:tcPr>
          <w:p w14:paraId="2003C031">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b/>
                <w:color w:val="auto"/>
                <w:sz w:val="24"/>
                <w:highlight w:val="none"/>
              </w:rPr>
            </w:pPr>
          </w:p>
          <w:p w14:paraId="60919B32">
            <w:pPr>
              <w:pStyle w:val="615"/>
              <w:keepNext w:val="0"/>
              <w:keepLines w:val="0"/>
              <w:pageBreakBefore w:val="0"/>
              <w:kinsoku/>
              <w:wordWrap/>
              <w:overflowPunct/>
              <w:topLinePunct w:val="0"/>
              <w:bidi w:val="0"/>
              <w:spacing w:line="380" w:lineRule="exact"/>
              <w:textAlignment w:val="auto"/>
              <w:rPr>
                <w:rFonts w:hint="eastAsia" w:ascii="仿宋" w:hAnsi="仿宋" w:eastAsia="仿宋" w:cs="仿宋"/>
                <w:b/>
                <w:color w:val="auto"/>
                <w:sz w:val="17"/>
                <w:highlight w:val="none"/>
              </w:rPr>
            </w:pPr>
          </w:p>
          <w:p w14:paraId="74C6001A">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lang w:val="en-US" w:eastAsia="zh-CN"/>
              </w:rPr>
              <w:t>23</w:t>
            </w:r>
          </w:p>
        </w:tc>
        <w:tc>
          <w:tcPr>
            <w:tcW w:w="1945" w:type="dxa"/>
            <w:vAlign w:val="center"/>
          </w:tcPr>
          <w:p w14:paraId="077790A0">
            <w:pPr>
              <w:pStyle w:val="615"/>
              <w:keepNext w:val="0"/>
              <w:keepLines w:val="0"/>
              <w:pageBreakBefore w:val="0"/>
              <w:widowControl w:val="0"/>
              <w:kinsoku/>
              <w:wordWrap/>
              <w:overflowPunct/>
              <w:topLinePunct w:val="0"/>
              <w:autoSpaceDE/>
              <w:autoSpaceDN/>
              <w:bidi w:val="0"/>
              <w:adjustRightInd/>
              <w:spacing w:line="380" w:lineRule="exact"/>
              <w:ind w:left="67" w:lef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开标地点</w:t>
            </w:r>
          </w:p>
        </w:tc>
        <w:tc>
          <w:tcPr>
            <w:tcW w:w="6881" w:type="dxa"/>
            <w:vAlign w:val="center"/>
          </w:tcPr>
          <w:p w14:paraId="0774DA98">
            <w:pPr>
              <w:pStyle w:val="615"/>
              <w:keepNext w:val="0"/>
              <w:keepLines w:val="0"/>
              <w:pageBreakBefore w:val="0"/>
              <w:widowControl w:val="0"/>
              <w:tabs>
                <w:tab w:val="left" w:pos="1671"/>
              </w:tabs>
              <w:kinsoku/>
              <w:wordWrap/>
              <w:overflowPunct/>
              <w:topLinePunct w:val="0"/>
              <w:autoSpaceDE/>
              <w:autoSpaceDN/>
              <w:bidi w:val="0"/>
              <w:adjustRightInd/>
              <w:spacing w:line="38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衢州市柯城区花园东大道199号衢州市文化艺术中心与便民服务中心A座五楼开标厅；同步在“政采云远程开标大厅”在线开标。</w:t>
            </w:r>
          </w:p>
        </w:tc>
      </w:tr>
      <w:tr w14:paraId="5ACCAED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899" w:type="dxa"/>
            <w:vAlign w:val="center"/>
          </w:tcPr>
          <w:p w14:paraId="79C97F5A">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4</w:t>
            </w:r>
          </w:p>
        </w:tc>
        <w:tc>
          <w:tcPr>
            <w:tcW w:w="1945" w:type="dxa"/>
            <w:vAlign w:val="center"/>
          </w:tcPr>
          <w:p w14:paraId="4D2B95EE">
            <w:pPr>
              <w:pStyle w:val="615"/>
              <w:keepNext w:val="0"/>
              <w:keepLines w:val="0"/>
              <w:pageBreakBefore w:val="0"/>
              <w:widowControl w:val="0"/>
              <w:kinsoku/>
              <w:wordWrap/>
              <w:overflowPunct/>
              <w:topLinePunct w:val="0"/>
              <w:autoSpaceDE/>
              <w:autoSpaceDN/>
              <w:bidi w:val="0"/>
              <w:adjustRightInd/>
              <w:spacing w:line="380" w:lineRule="exact"/>
              <w:ind w:left="67"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开标时间</w:t>
            </w:r>
          </w:p>
        </w:tc>
        <w:tc>
          <w:tcPr>
            <w:tcW w:w="6881" w:type="dxa"/>
            <w:vAlign w:val="center"/>
          </w:tcPr>
          <w:p w14:paraId="680647C7">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2024年12月2日09:30:00（北京时间）</w:t>
            </w:r>
          </w:p>
        </w:tc>
      </w:tr>
      <w:tr w14:paraId="27AE08B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2FAFD4C0">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w:t>
            </w:r>
          </w:p>
        </w:tc>
        <w:tc>
          <w:tcPr>
            <w:tcW w:w="1945" w:type="dxa"/>
            <w:vAlign w:val="center"/>
          </w:tcPr>
          <w:p w14:paraId="67448DA5">
            <w:pPr>
              <w:pStyle w:val="615"/>
              <w:keepNext w:val="0"/>
              <w:keepLines w:val="0"/>
              <w:pageBreakBefore w:val="0"/>
              <w:widowControl w:val="0"/>
              <w:kinsoku/>
              <w:wordWrap/>
              <w:overflowPunct/>
              <w:topLinePunct w:val="0"/>
              <w:autoSpaceDE/>
              <w:autoSpaceDN/>
              <w:bidi w:val="0"/>
              <w:adjustRightInd/>
              <w:spacing w:line="380" w:lineRule="exact"/>
              <w:ind w:left="29"/>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评标委员会推荐中标候选人的</w:t>
            </w:r>
          </w:p>
          <w:p w14:paraId="7D16DF42">
            <w:pPr>
              <w:pStyle w:val="615"/>
              <w:keepNext w:val="0"/>
              <w:keepLines w:val="0"/>
              <w:pageBreakBefore w:val="0"/>
              <w:widowControl w:val="0"/>
              <w:kinsoku/>
              <w:wordWrap/>
              <w:overflowPunct/>
              <w:topLinePunct w:val="0"/>
              <w:autoSpaceDE/>
              <w:autoSpaceDN/>
              <w:bidi w:val="0"/>
              <w:adjustRightInd/>
              <w:spacing w:line="380" w:lineRule="exact"/>
              <w:ind w:left="29"/>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6881" w:type="dxa"/>
            <w:vAlign w:val="center"/>
          </w:tcPr>
          <w:p w14:paraId="645181AD">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u w:val="single"/>
                <w:lang w:val="en-US" w:eastAsia="zh-CN"/>
              </w:rPr>
              <w:t xml:space="preserve"> 本项目由评标委员会推荐3名中标候选人 </w:t>
            </w:r>
          </w:p>
        </w:tc>
      </w:tr>
      <w:tr w14:paraId="2B43A15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899" w:type="dxa"/>
            <w:vAlign w:val="center"/>
          </w:tcPr>
          <w:p w14:paraId="0445EE9D">
            <w:pPr>
              <w:keepNext w:val="0"/>
              <w:keepLines w:val="0"/>
              <w:pageBreakBefore w:val="0"/>
              <w:kinsoku/>
              <w:wordWrap/>
              <w:overflowPunct/>
              <w:topLinePunct w:val="0"/>
              <w:bidi w:val="0"/>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26</w:t>
            </w:r>
          </w:p>
        </w:tc>
        <w:tc>
          <w:tcPr>
            <w:tcW w:w="1945" w:type="dxa"/>
            <w:vAlign w:val="top"/>
          </w:tcPr>
          <w:p w14:paraId="2433EAE9">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中标结果公示</w:t>
            </w:r>
          </w:p>
          <w:p w14:paraId="21B95EA0">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sz w:val="24"/>
                <w:szCs w:val="24"/>
                <w:highlight w:val="none"/>
                <w:lang w:val="zh-TW" w:eastAsia="zh-TW"/>
              </w:rPr>
            </w:pPr>
            <w:r>
              <w:rPr>
                <w:rFonts w:hint="eastAsia" w:ascii="仿宋" w:hAnsi="仿宋" w:eastAsia="仿宋" w:cs="仿宋"/>
                <w:color w:val="auto"/>
                <w:sz w:val="24"/>
                <w:highlight w:val="none"/>
              </w:rPr>
              <w:t>期限</w:t>
            </w:r>
          </w:p>
        </w:tc>
        <w:tc>
          <w:tcPr>
            <w:tcW w:w="6881" w:type="dxa"/>
            <w:vAlign w:val="center"/>
          </w:tcPr>
          <w:p w14:paraId="50EAEF3D">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b/>
                <w:bCs/>
                <w:color w:val="auto"/>
                <w:kern w:val="2"/>
                <w:sz w:val="24"/>
                <w:szCs w:val="24"/>
                <w:highlight w:val="none"/>
                <w:lang w:val="zh-TW" w:eastAsia="zh-TW" w:bidi="ar-SA"/>
              </w:rPr>
            </w:pPr>
            <w:r>
              <w:rPr>
                <w:rFonts w:hint="eastAsia" w:ascii="仿宋" w:hAnsi="仿宋" w:eastAsia="仿宋" w:cs="仿宋"/>
                <w:color w:val="auto"/>
                <w:sz w:val="24"/>
                <w:highlight w:val="none"/>
              </w:rPr>
              <w:t>公示 1 个工作日</w:t>
            </w:r>
          </w:p>
        </w:tc>
      </w:tr>
      <w:tr w14:paraId="179CAAF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99" w:type="dxa"/>
            <w:vAlign w:val="center"/>
          </w:tcPr>
          <w:p w14:paraId="6770847F">
            <w:pPr>
              <w:pStyle w:val="615"/>
              <w:keepNext w:val="0"/>
              <w:keepLines w:val="0"/>
              <w:pageBreakBefore w:val="0"/>
              <w:kinsoku/>
              <w:wordWrap/>
              <w:overflowPunct/>
              <w:topLinePunct w:val="0"/>
              <w:bidi w:val="0"/>
              <w:spacing w:line="380" w:lineRule="exact"/>
              <w:ind w:right="156"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 xml:space="preserve"> 27</w:t>
            </w:r>
          </w:p>
        </w:tc>
        <w:tc>
          <w:tcPr>
            <w:tcW w:w="1945" w:type="dxa"/>
            <w:vAlign w:val="center"/>
          </w:tcPr>
          <w:p w14:paraId="34D98BC7">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签订合同</w:t>
            </w:r>
          </w:p>
        </w:tc>
        <w:tc>
          <w:tcPr>
            <w:tcW w:w="6881" w:type="dxa"/>
            <w:vAlign w:val="center"/>
          </w:tcPr>
          <w:p w14:paraId="291A1745">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中标通知书发出后30日内，与采购人签订合同。</w:t>
            </w:r>
          </w:p>
        </w:tc>
      </w:tr>
      <w:tr w14:paraId="3C3241B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381C512C">
            <w:pPr>
              <w:pStyle w:val="615"/>
              <w:keepNext w:val="0"/>
              <w:keepLines w:val="0"/>
              <w:pageBreakBefore w:val="0"/>
              <w:kinsoku/>
              <w:wordWrap/>
              <w:overflowPunct/>
              <w:topLinePunct w:val="0"/>
              <w:bidi w:val="0"/>
              <w:spacing w:line="380" w:lineRule="exact"/>
              <w:ind w:right="156"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28</w:t>
            </w:r>
          </w:p>
        </w:tc>
        <w:tc>
          <w:tcPr>
            <w:tcW w:w="1945" w:type="dxa"/>
            <w:vAlign w:val="center"/>
          </w:tcPr>
          <w:p w14:paraId="0F9CF57E">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履约担保</w:t>
            </w:r>
          </w:p>
        </w:tc>
        <w:tc>
          <w:tcPr>
            <w:tcW w:w="6881" w:type="dxa"/>
            <w:vAlign w:val="top"/>
          </w:tcPr>
          <w:p w14:paraId="5D3F1BD4">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bCs/>
                <w:color w:val="auto"/>
                <w:sz w:val="24"/>
                <w:highlight w:val="none"/>
                <w:lang w:val="en-US" w:eastAsia="zh-CN"/>
              </w:rPr>
              <w:t>合同签订后30个日内</w:t>
            </w:r>
            <w:r>
              <w:rPr>
                <w:rFonts w:hint="eastAsia" w:ascii="仿宋" w:hAnsi="仿宋" w:eastAsia="仿宋" w:cs="仿宋"/>
                <w:snapToGrid w:val="0"/>
                <w:color w:val="auto"/>
                <w:kern w:val="0"/>
                <w:sz w:val="24"/>
                <w:szCs w:val="24"/>
                <w:highlight w:val="none"/>
              </w:rPr>
              <w:t>，</w:t>
            </w:r>
            <w:r>
              <w:rPr>
                <w:rFonts w:hint="eastAsia" w:ascii="仿宋" w:hAnsi="仿宋" w:eastAsia="仿宋" w:cs="仿宋"/>
                <w:snapToGrid w:val="0"/>
                <w:color w:val="auto"/>
                <w:kern w:val="0"/>
                <w:sz w:val="24"/>
                <w:szCs w:val="24"/>
                <w:highlight w:val="none"/>
                <w:lang w:val="en-US" w:eastAsia="zh-CN"/>
              </w:rPr>
              <w:t>中标</w:t>
            </w:r>
            <w:r>
              <w:rPr>
                <w:rFonts w:hint="eastAsia" w:ascii="仿宋" w:hAnsi="仿宋" w:eastAsia="仿宋" w:cs="仿宋"/>
                <w:snapToGrid w:val="0"/>
                <w:color w:val="auto"/>
                <w:kern w:val="0"/>
                <w:sz w:val="24"/>
                <w:szCs w:val="24"/>
                <w:highlight w:val="none"/>
              </w:rPr>
              <w:t>供应商</w:t>
            </w:r>
            <w:r>
              <w:rPr>
                <w:rFonts w:hint="eastAsia" w:ascii="仿宋" w:hAnsi="仿宋" w:eastAsia="仿宋" w:cs="仿宋"/>
                <w:snapToGrid w:val="0"/>
                <w:color w:val="auto"/>
                <w:kern w:val="0"/>
                <w:sz w:val="24"/>
                <w:szCs w:val="24"/>
                <w:highlight w:val="none"/>
                <w:lang w:val="en-US" w:eastAsia="zh-CN"/>
              </w:rPr>
              <w:t>应</w:t>
            </w:r>
            <w:r>
              <w:rPr>
                <w:rFonts w:hint="eastAsia" w:ascii="仿宋" w:hAnsi="仿宋" w:eastAsia="仿宋" w:cs="仿宋"/>
                <w:bCs/>
                <w:color w:val="auto"/>
                <w:sz w:val="24"/>
                <w:highlight w:val="none"/>
              </w:rPr>
              <w:t>通过基本账户以银行转账方式缴纳或采用银行保函或保险公司保函</w:t>
            </w:r>
            <w:r>
              <w:rPr>
                <w:rFonts w:hint="eastAsia" w:ascii="仿宋" w:hAnsi="仿宋" w:eastAsia="仿宋" w:cs="仿宋"/>
                <w:snapToGrid w:val="0"/>
                <w:color w:val="auto"/>
                <w:kern w:val="0"/>
                <w:sz w:val="24"/>
                <w:szCs w:val="24"/>
                <w:highlight w:val="none"/>
              </w:rPr>
              <w:t>向采购人交纳</w:t>
            </w:r>
            <w:r>
              <w:rPr>
                <w:rFonts w:hint="eastAsia" w:ascii="仿宋" w:hAnsi="仿宋" w:eastAsia="仿宋" w:cs="仿宋"/>
                <w:b/>
                <w:bCs/>
                <w:snapToGrid w:val="0"/>
                <w:color w:val="auto"/>
                <w:kern w:val="0"/>
                <w:sz w:val="24"/>
                <w:szCs w:val="24"/>
                <w:highlight w:val="none"/>
                <w:u w:val="single"/>
                <w:lang w:val="en-US" w:eastAsia="zh-CN"/>
              </w:rPr>
              <w:t>中标金额（合同价）</w:t>
            </w:r>
            <w:r>
              <w:rPr>
                <w:rFonts w:hint="eastAsia" w:ascii="仿宋" w:hAnsi="仿宋" w:eastAsia="仿宋" w:cs="仿宋"/>
                <w:snapToGrid w:val="0"/>
                <w:color w:val="auto"/>
                <w:kern w:val="0"/>
                <w:sz w:val="24"/>
                <w:szCs w:val="24"/>
                <w:highlight w:val="none"/>
              </w:rPr>
              <w:t>1%的履约保证金</w:t>
            </w:r>
            <w:r>
              <w:rPr>
                <w:rFonts w:hint="eastAsia" w:ascii="仿宋" w:hAnsi="仿宋" w:eastAsia="仿宋" w:cs="仿宋"/>
                <w:color w:val="auto"/>
                <w:kern w:val="0"/>
                <w:sz w:val="24"/>
                <w:highlight w:val="none"/>
                <w:lang w:eastAsia="zh-CN"/>
              </w:rPr>
              <w:t>。</w:t>
            </w:r>
            <w:r>
              <w:rPr>
                <w:rFonts w:hint="eastAsia" w:ascii="仿宋" w:hAnsi="仿宋" w:eastAsia="仿宋" w:cs="仿宋"/>
                <w:b/>
                <w:bCs/>
                <w:snapToGrid w:val="0"/>
                <w:color w:val="auto"/>
                <w:kern w:val="0"/>
                <w:sz w:val="24"/>
                <w:szCs w:val="24"/>
                <w:highlight w:val="none"/>
                <w:u w:val="single"/>
                <w:lang w:eastAsia="zh-CN"/>
              </w:rPr>
              <w:t>（</w:t>
            </w:r>
            <w:r>
              <w:rPr>
                <w:rFonts w:hint="eastAsia" w:ascii="仿宋" w:hAnsi="仿宋" w:eastAsia="仿宋" w:cs="仿宋"/>
                <w:b/>
                <w:bCs/>
                <w:snapToGrid w:val="0"/>
                <w:color w:val="auto"/>
                <w:kern w:val="0"/>
                <w:sz w:val="24"/>
                <w:szCs w:val="24"/>
                <w:highlight w:val="none"/>
                <w:u w:val="single"/>
                <w:lang w:val="en-US" w:eastAsia="zh-CN"/>
              </w:rPr>
              <w:t>具体要求详见第三章采购内容及要求、第四章合同主要条款规定。</w:t>
            </w:r>
            <w:r>
              <w:rPr>
                <w:rFonts w:hint="eastAsia" w:ascii="仿宋" w:hAnsi="仿宋" w:eastAsia="仿宋" w:cs="仿宋"/>
                <w:b/>
                <w:bCs/>
                <w:snapToGrid w:val="0"/>
                <w:color w:val="auto"/>
                <w:kern w:val="0"/>
                <w:sz w:val="24"/>
                <w:szCs w:val="24"/>
                <w:highlight w:val="none"/>
                <w:u w:val="single"/>
                <w:lang w:eastAsia="zh-CN"/>
              </w:rPr>
              <w:t>）</w:t>
            </w:r>
          </w:p>
        </w:tc>
      </w:tr>
      <w:tr w14:paraId="05C9F47A">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99" w:type="dxa"/>
            <w:vAlign w:val="center"/>
          </w:tcPr>
          <w:p w14:paraId="7F972034">
            <w:pPr>
              <w:pStyle w:val="615"/>
              <w:keepNext w:val="0"/>
              <w:keepLines w:val="0"/>
              <w:pageBreakBefore w:val="0"/>
              <w:kinsoku/>
              <w:wordWrap/>
              <w:overflowPunct/>
              <w:topLinePunct w:val="0"/>
              <w:bidi w:val="0"/>
              <w:spacing w:line="380" w:lineRule="exact"/>
              <w:ind w:right="156"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29</w:t>
            </w:r>
          </w:p>
        </w:tc>
        <w:tc>
          <w:tcPr>
            <w:tcW w:w="1945" w:type="dxa"/>
            <w:vAlign w:val="center"/>
          </w:tcPr>
          <w:p w14:paraId="748C8062">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发布网址</w:t>
            </w:r>
          </w:p>
        </w:tc>
        <w:tc>
          <w:tcPr>
            <w:tcW w:w="6881" w:type="dxa"/>
            <w:vAlign w:val="center"/>
          </w:tcPr>
          <w:p w14:paraId="79454040">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kern w:val="2"/>
                <w:sz w:val="24"/>
                <w:szCs w:val="24"/>
                <w:highlight w:val="none"/>
                <w:lang w:val="en-US" w:eastAsia="zh-CN"/>
              </w:rPr>
              <w:t>https://zfcg.czt.zj.gov.cn/</w:t>
            </w:r>
          </w:p>
        </w:tc>
      </w:tr>
      <w:tr w14:paraId="071CB55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2470" w:hRule="atLeast"/>
          <w:jc w:val="center"/>
        </w:trPr>
        <w:tc>
          <w:tcPr>
            <w:tcW w:w="899" w:type="dxa"/>
            <w:vAlign w:val="center"/>
          </w:tcPr>
          <w:p w14:paraId="05062A61">
            <w:pPr>
              <w:pStyle w:val="615"/>
              <w:keepNext w:val="0"/>
              <w:keepLines w:val="0"/>
              <w:pageBreakBefore w:val="0"/>
              <w:kinsoku/>
              <w:wordWrap/>
              <w:overflowPunct/>
              <w:topLinePunct w:val="0"/>
              <w:bidi w:val="0"/>
              <w:spacing w:line="380" w:lineRule="exact"/>
              <w:ind w:right="156"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5" w:type="dxa"/>
            <w:vAlign w:val="center"/>
          </w:tcPr>
          <w:p w14:paraId="6D3EA2F8">
            <w:pPr>
              <w:pStyle w:val="615"/>
              <w:keepNext w:val="0"/>
              <w:keepLines w:val="0"/>
              <w:pageBreakBefore w:val="0"/>
              <w:widowControl w:val="0"/>
              <w:kinsoku/>
              <w:wordWrap/>
              <w:overflowPunct/>
              <w:topLinePunct w:val="0"/>
              <w:autoSpaceDE/>
              <w:autoSpaceDN/>
              <w:bidi w:val="0"/>
              <w:adjustRightInd/>
              <w:spacing w:line="380" w:lineRule="exact"/>
              <w:ind w:left="29" w:leftChars="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采购代理服务费</w:t>
            </w:r>
          </w:p>
        </w:tc>
        <w:tc>
          <w:tcPr>
            <w:tcW w:w="6881" w:type="dxa"/>
            <w:vAlign w:val="top"/>
          </w:tcPr>
          <w:p w14:paraId="29ED2217">
            <w:pPr>
              <w:pStyle w:val="615"/>
              <w:keepNext w:val="0"/>
              <w:keepLines w:val="0"/>
              <w:pageBreakBefore w:val="0"/>
              <w:widowControl w:val="0"/>
              <w:kinsoku/>
              <w:wordWrap/>
              <w:overflowPunct/>
              <w:topLinePunct w:val="0"/>
              <w:autoSpaceDE/>
              <w:autoSpaceDN/>
              <w:bidi w:val="0"/>
              <w:adjustRightInd/>
              <w:snapToGrid/>
              <w:spacing w:line="380" w:lineRule="exact"/>
              <w:ind w:left="113" w:right="-44"/>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本项目的招标代理服务费等其他相关费用由中标人支付。</w:t>
            </w:r>
            <w:r>
              <w:rPr>
                <w:rFonts w:hint="eastAsia" w:ascii="仿宋" w:hAnsi="仿宋" w:eastAsia="仿宋" w:cs="仿宋"/>
                <w:color w:val="auto"/>
                <w:spacing w:val="-4"/>
                <w:sz w:val="24"/>
                <w:highlight w:val="none"/>
              </w:rPr>
              <w:t>参照原国家计委关于印发《招标代理服务收费管理暂行办法》</w:t>
            </w:r>
            <w:r>
              <w:rPr>
                <w:rFonts w:hint="eastAsia" w:ascii="仿宋" w:hAnsi="仿宋" w:eastAsia="仿宋" w:cs="仿宋"/>
                <w:color w:val="auto"/>
                <w:sz w:val="24"/>
                <w:highlight w:val="none"/>
              </w:rPr>
              <w:t>的通</w:t>
            </w:r>
            <w:r>
              <w:rPr>
                <w:rFonts w:hint="eastAsia" w:ascii="仿宋" w:hAnsi="仿宋" w:eastAsia="仿宋" w:cs="仿宋"/>
                <w:color w:val="auto"/>
                <w:spacing w:val="-32"/>
                <w:sz w:val="24"/>
                <w:highlight w:val="none"/>
              </w:rPr>
              <w:t>知</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rPr>
              <w:t>计价格[2002]1980</w:t>
            </w:r>
            <w:r>
              <w:rPr>
                <w:rFonts w:hint="eastAsia" w:ascii="仿宋" w:hAnsi="仿宋" w:eastAsia="仿宋" w:cs="仿宋"/>
                <w:color w:val="auto"/>
                <w:spacing w:val="-61"/>
                <w:sz w:val="24"/>
                <w:highlight w:val="none"/>
              </w:rPr>
              <w:t xml:space="preserve"> </w:t>
            </w:r>
            <w:r>
              <w:rPr>
                <w:rFonts w:hint="eastAsia" w:ascii="仿宋" w:hAnsi="仿宋" w:eastAsia="仿宋" w:cs="仿宋"/>
                <w:color w:val="auto"/>
                <w:sz w:val="24"/>
                <w:highlight w:val="none"/>
              </w:rPr>
              <w:t>号</w:t>
            </w:r>
            <w:r>
              <w:rPr>
                <w:rFonts w:hint="eastAsia" w:ascii="仿宋" w:hAnsi="仿宋" w:eastAsia="仿宋" w:cs="仿宋"/>
                <w:color w:val="auto"/>
                <w:spacing w:val="-32"/>
                <w:sz w:val="24"/>
                <w:highlight w:val="none"/>
              </w:rPr>
              <w:t>）</w:t>
            </w:r>
            <w:r>
              <w:rPr>
                <w:rFonts w:hint="eastAsia" w:ascii="仿宋" w:hAnsi="仿宋" w:eastAsia="仿宋" w:cs="仿宋"/>
                <w:color w:val="auto"/>
                <w:sz w:val="24"/>
                <w:highlight w:val="none"/>
              </w:rPr>
              <w:t>的收费标准的</w:t>
            </w:r>
            <w:r>
              <w:rPr>
                <w:rFonts w:hint="eastAsia" w:ascii="仿宋" w:hAnsi="仿宋" w:eastAsia="仿宋" w:cs="仿宋"/>
                <w:color w:val="auto"/>
                <w:sz w:val="24"/>
                <w:highlight w:val="none"/>
                <w:u w:val="single"/>
                <w:lang w:val="en-US" w:eastAsia="zh-CN"/>
              </w:rPr>
              <w:t>49.00</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向中标供应商收取招标代理服务费（招标代理费不足1000</w:t>
            </w:r>
            <w:r>
              <w:rPr>
                <w:rFonts w:hint="eastAsia" w:ascii="仿宋" w:hAnsi="仿宋" w:eastAsia="仿宋" w:cs="仿宋"/>
                <w:color w:val="auto"/>
                <w:spacing w:val="-29"/>
                <w:sz w:val="24"/>
                <w:highlight w:val="none"/>
              </w:rPr>
              <w:t xml:space="preserve"> 元的，按 </w:t>
            </w:r>
            <w:r>
              <w:rPr>
                <w:rFonts w:hint="eastAsia" w:ascii="仿宋" w:hAnsi="仿宋" w:eastAsia="仿宋" w:cs="仿宋"/>
                <w:color w:val="auto"/>
                <w:sz w:val="24"/>
                <w:highlight w:val="none"/>
              </w:rPr>
              <w:t>1000</w:t>
            </w:r>
            <w:r>
              <w:rPr>
                <w:rFonts w:hint="eastAsia" w:ascii="仿宋" w:hAnsi="仿宋" w:eastAsia="仿宋" w:cs="仿宋"/>
                <w:color w:val="auto"/>
                <w:spacing w:val="-15"/>
                <w:sz w:val="24"/>
                <w:highlight w:val="none"/>
              </w:rPr>
              <w:t xml:space="preserve"> 元计，单个项目招标代理费超过</w:t>
            </w:r>
            <w:r>
              <w:rPr>
                <w:rFonts w:hint="eastAsia" w:ascii="仿宋" w:hAnsi="仿宋" w:eastAsia="仿宋" w:cs="仿宋"/>
                <w:color w:val="auto"/>
                <w:sz w:val="24"/>
                <w:highlight w:val="none"/>
              </w:rPr>
              <w:t>6</w:t>
            </w:r>
            <w:r>
              <w:rPr>
                <w:rFonts w:hint="eastAsia" w:ascii="仿宋" w:hAnsi="仿宋" w:eastAsia="仿宋" w:cs="仿宋"/>
                <w:color w:val="auto"/>
                <w:spacing w:val="-15"/>
                <w:sz w:val="24"/>
                <w:highlight w:val="none"/>
              </w:rPr>
              <w:t>万元的</w:t>
            </w:r>
            <w:r>
              <w:rPr>
                <w:rFonts w:hint="eastAsia" w:ascii="仿宋" w:hAnsi="仿宋" w:eastAsia="仿宋" w:cs="仿宋"/>
                <w:color w:val="auto"/>
                <w:sz w:val="24"/>
                <w:highlight w:val="none"/>
              </w:rPr>
              <w:t>按6万元计），其他相关费用可咨询招标代理机构。</w:t>
            </w:r>
          </w:p>
          <w:p w14:paraId="0E2C3633">
            <w:pPr>
              <w:pStyle w:val="615"/>
              <w:keepNext w:val="0"/>
              <w:keepLines w:val="0"/>
              <w:pageBreakBefore w:val="0"/>
              <w:widowControl w:val="0"/>
              <w:kinsoku/>
              <w:wordWrap/>
              <w:overflowPunct/>
              <w:topLinePunct w:val="0"/>
              <w:autoSpaceDE/>
              <w:autoSpaceDN/>
              <w:bidi w:val="0"/>
              <w:adjustRightInd/>
              <w:spacing w:line="380" w:lineRule="exact"/>
              <w:ind w:left="2509" w:leftChars="39" w:hanging="2400" w:hangingChars="100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1）收款单位（户名）：</w:t>
            </w:r>
            <w:bookmarkStart w:id="11" w:name="OLE_LINK25"/>
            <w:r>
              <w:rPr>
                <w:rFonts w:hint="eastAsia" w:ascii="仿宋" w:hAnsi="仿宋" w:eastAsia="仿宋" w:cs="仿宋"/>
                <w:color w:val="auto"/>
                <w:sz w:val="24"/>
                <w:highlight w:val="none"/>
                <w:lang w:eastAsia="zh-CN"/>
              </w:rPr>
              <w:t>科信联合工程咨询有限公司</w:t>
            </w:r>
            <w:bookmarkEnd w:id="11"/>
            <w:r>
              <w:rPr>
                <w:rFonts w:hint="eastAsia" w:ascii="仿宋" w:hAnsi="仿宋" w:eastAsia="仿宋" w:cs="仿宋"/>
                <w:color w:val="auto"/>
                <w:sz w:val="24"/>
                <w:highlight w:val="none"/>
              </w:rPr>
              <w:t>衢州分公司</w:t>
            </w:r>
          </w:p>
          <w:p w14:paraId="7DCD7C49">
            <w:pPr>
              <w:pStyle w:val="615"/>
              <w:keepNext w:val="0"/>
              <w:keepLines w:val="0"/>
              <w:pageBreakBefore w:val="0"/>
              <w:widowControl w:val="0"/>
              <w:kinsoku/>
              <w:wordWrap/>
              <w:overflowPunct/>
              <w:topLinePunct w:val="0"/>
              <w:autoSpaceDE/>
              <w:autoSpaceDN/>
              <w:bidi w:val="0"/>
              <w:adjustRightInd/>
              <w:spacing w:line="380" w:lineRule="exact"/>
              <w:ind w:left="111"/>
              <w:jc w:val="both"/>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2）开  户：</w:t>
            </w:r>
            <w:r>
              <w:rPr>
                <w:rFonts w:hint="eastAsia" w:ascii="仿宋" w:hAnsi="仿宋" w:eastAsia="仿宋" w:cs="仿宋"/>
                <w:color w:val="auto"/>
                <w:sz w:val="24"/>
                <w:highlight w:val="none"/>
                <w:lang w:val="en-US" w:eastAsia="zh-CN"/>
              </w:rPr>
              <w:t>上海浦东发展银行股份有限公司衢州支行</w:t>
            </w:r>
          </w:p>
          <w:p w14:paraId="617B7262">
            <w:pPr>
              <w:pStyle w:val="615"/>
              <w:keepNext w:val="0"/>
              <w:keepLines w:val="0"/>
              <w:pageBreakBefore w:val="0"/>
              <w:widowControl w:val="0"/>
              <w:kinsoku/>
              <w:wordWrap/>
              <w:overflowPunct/>
              <w:topLinePunct w:val="0"/>
              <w:autoSpaceDE/>
              <w:autoSpaceDN/>
              <w:bidi w:val="0"/>
              <w:adjustRightInd/>
              <w:spacing w:line="380" w:lineRule="exact"/>
              <w:ind w:left="111"/>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3）账  号：</w:t>
            </w:r>
            <w:r>
              <w:rPr>
                <w:rFonts w:hint="eastAsia" w:ascii="仿宋" w:hAnsi="仿宋" w:eastAsia="仿宋" w:cs="仿宋"/>
                <w:color w:val="auto"/>
                <w:sz w:val="24"/>
                <w:szCs w:val="24"/>
                <w:highlight w:val="none"/>
                <w:lang w:val="en-US" w:eastAsia="zh-CN"/>
              </w:rPr>
              <w:t>13810078801500002396</w:t>
            </w:r>
          </w:p>
          <w:p w14:paraId="0811C131">
            <w:pPr>
              <w:pStyle w:val="615"/>
              <w:keepNext w:val="0"/>
              <w:keepLines w:val="0"/>
              <w:pageBreakBefore w:val="0"/>
              <w:widowControl w:val="0"/>
              <w:kinsoku/>
              <w:wordWrap/>
              <w:overflowPunct/>
              <w:topLinePunct w:val="0"/>
              <w:autoSpaceDE/>
              <w:autoSpaceDN/>
              <w:bidi w:val="0"/>
              <w:adjustRightInd/>
              <w:spacing w:line="380" w:lineRule="exact"/>
              <w:ind w:left="111"/>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pacing w:val="-16"/>
                <w:sz w:val="24"/>
                <w:highlight w:val="none"/>
                <w:lang w:val="en-US" w:eastAsia="zh-CN"/>
              </w:rPr>
              <w:t>.</w:t>
            </w:r>
            <w:r>
              <w:rPr>
                <w:rFonts w:hint="eastAsia" w:ascii="仿宋" w:hAnsi="仿宋" w:eastAsia="仿宋" w:cs="仿宋"/>
                <w:color w:val="auto"/>
                <w:spacing w:val="-16"/>
                <w:sz w:val="24"/>
                <w:highlight w:val="none"/>
              </w:rPr>
              <w:t>以上费用均不在报价中单列，请投标人在报价中予以考虑。</w:t>
            </w:r>
          </w:p>
          <w:p w14:paraId="1BFD5E13">
            <w:pPr>
              <w:pStyle w:val="615"/>
              <w:keepNext w:val="0"/>
              <w:keepLines w:val="0"/>
              <w:pageBreakBefore w:val="0"/>
              <w:widowControl w:val="0"/>
              <w:kinsoku/>
              <w:wordWrap/>
              <w:overflowPunct/>
              <w:topLinePunct w:val="0"/>
              <w:autoSpaceDE/>
              <w:autoSpaceDN/>
              <w:bidi w:val="0"/>
              <w:adjustRightInd/>
              <w:spacing w:line="380" w:lineRule="exact"/>
              <w:ind w:left="111" w:right="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结算方式及时间为：在领取中标通知书时由中标供应商一次性向招标代理机构付清。</w:t>
            </w:r>
          </w:p>
          <w:p w14:paraId="1B99E40E">
            <w:pPr>
              <w:pStyle w:val="615"/>
              <w:keepNext w:val="0"/>
              <w:keepLines w:val="0"/>
              <w:pageBreakBefore w:val="0"/>
              <w:widowControl w:val="0"/>
              <w:kinsoku/>
              <w:wordWrap/>
              <w:overflowPunct/>
              <w:topLinePunct w:val="0"/>
              <w:autoSpaceDE/>
              <w:autoSpaceDN/>
              <w:bidi w:val="0"/>
              <w:adjustRightInd/>
              <w:spacing w:line="380" w:lineRule="exact"/>
              <w:ind w:left="111"/>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《招标代理服务费管理暂行办法》的通知规定的收费标准</w:t>
            </w:r>
          </w:p>
          <w:p w14:paraId="38E92559">
            <w:pPr>
              <w:pStyle w:val="615"/>
              <w:keepNext w:val="0"/>
              <w:keepLines w:val="0"/>
              <w:pageBreakBefore w:val="0"/>
              <w:widowControl w:val="0"/>
              <w:kinsoku/>
              <w:wordWrap/>
              <w:overflowPunct/>
              <w:topLinePunct w:val="0"/>
              <w:autoSpaceDE/>
              <w:autoSpaceDN/>
              <w:bidi w:val="0"/>
              <w:adjustRightInd/>
              <w:spacing w:line="380" w:lineRule="exact"/>
              <w:ind w:left="111"/>
              <w:textAlignment w:val="auto"/>
              <w:rPr>
                <w:rFonts w:hint="eastAsia" w:ascii="仿宋" w:hAnsi="仿宋" w:eastAsia="仿宋" w:cs="仿宋"/>
                <w:color w:val="auto"/>
                <w:sz w:val="24"/>
                <w:highlight w:val="none"/>
              </w:rPr>
            </w:pPr>
          </w:p>
          <w:tbl>
            <w:tblPr>
              <w:tblStyle w:val="88"/>
              <w:tblW w:w="630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700"/>
              <w:gridCol w:w="2600"/>
            </w:tblGrid>
            <w:tr w14:paraId="7F603F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00" w:type="dxa"/>
                </w:tcPr>
                <w:p w14:paraId="046A30FB">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中标金额（万元）</w:t>
                  </w:r>
                </w:p>
              </w:tc>
              <w:tc>
                <w:tcPr>
                  <w:tcW w:w="2600" w:type="dxa"/>
                </w:tcPr>
                <w:p w14:paraId="4FE3E2D9">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服务费率</w:t>
                  </w:r>
                </w:p>
              </w:tc>
            </w:tr>
            <w:tr w14:paraId="5858F8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0" w:hRule="atLeast"/>
              </w:trPr>
              <w:tc>
                <w:tcPr>
                  <w:tcW w:w="3700" w:type="dxa"/>
                </w:tcPr>
                <w:p w14:paraId="5BD58DD2">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100以下</w:t>
                  </w:r>
                </w:p>
              </w:tc>
              <w:tc>
                <w:tcPr>
                  <w:tcW w:w="2600" w:type="dxa"/>
                </w:tcPr>
                <w:p w14:paraId="5A183AC2">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r>
            <w:tr w14:paraId="5DB0BA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00" w:type="dxa"/>
                </w:tcPr>
                <w:p w14:paraId="1CF2C86D">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100-500</w:t>
                  </w:r>
                </w:p>
              </w:tc>
              <w:tc>
                <w:tcPr>
                  <w:tcW w:w="2600" w:type="dxa"/>
                </w:tcPr>
                <w:p w14:paraId="39BC92B2">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0.8%</w:t>
                  </w:r>
                </w:p>
              </w:tc>
            </w:tr>
            <w:tr w14:paraId="2343BE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00" w:type="dxa"/>
                </w:tcPr>
                <w:p w14:paraId="4EDB29FF">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500-1000</w:t>
                  </w:r>
                </w:p>
              </w:tc>
              <w:tc>
                <w:tcPr>
                  <w:tcW w:w="2600" w:type="dxa"/>
                </w:tcPr>
                <w:p w14:paraId="5998194B">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bookmarkStart w:id="12" w:name="OLE_LINK1"/>
                  <w:r>
                    <w:rPr>
                      <w:rFonts w:hint="eastAsia" w:ascii="仿宋" w:hAnsi="仿宋" w:eastAsia="仿宋" w:cs="仿宋"/>
                      <w:color w:val="auto"/>
                      <w:sz w:val="24"/>
                      <w:szCs w:val="24"/>
                      <w:highlight w:val="none"/>
                    </w:rPr>
                    <w:t>0.45%</w:t>
                  </w:r>
                  <w:bookmarkEnd w:id="12"/>
                </w:p>
              </w:tc>
            </w:tr>
            <w:tr w14:paraId="3A444B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00" w:type="dxa"/>
                </w:tcPr>
                <w:p w14:paraId="39F545BF">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1000-5000</w:t>
                  </w:r>
                </w:p>
              </w:tc>
              <w:tc>
                <w:tcPr>
                  <w:tcW w:w="2600" w:type="dxa"/>
                </w:tcPr>
                <w:p w14:paraId="611502B2">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0.</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5%</w:t>
                  </w:r>
                </w:p>
              </w:tc>
            </w:tr>
            <w:tr w14:paraId="793BE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00" w:type="dxa"/>
                </w:tcPr>
                <w:p w14:paraId="2DCB5419">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5000-10000</w:t>
                  </w:r>
                </w:p>
              </w:tc>
              <w:tc>
                <w:tcPr>
                  <w:tcW w:w="2600" w:type="dxa"/>
                </w:tcPr>
                <w:p w14:paraId="6A4AA85D">
                  <w:pPr>
                    <w:pStyle w:val="48"/>
                    <w:keepNext w:val="0"/>
                    <w:keepLines w:val="0"/>
                    <w:pageBreakBefore w:val="0"/>
                    <w:widowControl w:val="0"/>
                    <w:kinsoku/>
                    <w:wordWrap/>
                    <w:overflowPunct/>
                    <w:topLinePunct w:val="0"/>
                    <w:autoSpaceDE/>
                    <w:autoSpaceDN/>
                    <w:bidi w:val="0"/>
                    <w:adjustRightInd/>
                    <w:snapToGrid w:val="0"/>
                    <w:spacing w:line="380" w:lineRule="exact"/>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w:t>
                  </w:r>
                </w:p>
              </w:tc>
            </w:tr>
          </w:tbl>
          <w:p w14:paraId="7B76111D">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4</w:t>
            </w:r>
            <w:r>
              <w:rPr>
                <w:rFonts w:hint="eastAsia" w:ascii="仿宋" w:hAnsi="仿宋" w:eastAsia="仿宋" w:cs="仿宋"/>
                <w:color w:val="auto"/>
                <w:spacing w:val="-6"/>
                <w:sz w:val="24"/>
                <w:highlight w:val="none"/>
                <w:lang w:val="en-US" w:eastAsia="zh-CN"/>
              </w:rPr>
              <w:t>.</w:t>
            </w:r>
            <w:r>
              <w:rPr>
                <w:rFonts w:hint="eastAsia" w:ascii="仿宋" w:hAnsi="仿宋" w:eastAsia="仿宋" w:cs="仿宋"/>
                <w:color w:val="auto"/>
                <w:spacing w:val="-6"/>
                <w:sz w:val="24"/>
                <w:highlight w:val="none"/>
              </w:rPr>
              <w:t>特别说明：根据《关于印发浙江省政府采购评审专家管理</w:t>
            </w:r>
            <w:r>
              <w:rPr>
                <w:rFonts w:hint="eastAsia" w:ascii="仿宋" w:hAnsi="仿宋" w:eastAsia="仿宋" w:cs="仿宋"/>
                <w:color w:val="auto"/>
                <w:spacing w:val="-1"/>
                <w:sz w:val="24"/>
                <w:highlight w:val="none"/>
              </w:rPr>
              <w:t>办法的通知》，评审专家费用及公证费</w:t>
            </w:r>
            <w:r>
              <w:rPr>
                <w:rFonts w:hint="eastAsia" w:ascii="仿宋" w:hAnsi="仿宋" w:eastAsia="仿宋" w:cs="仿宋"/>
                <w:color w:val="auto"/>
                <w:spacing w:val="2"/>
                <w:sz w:val="24"/>
                <w:highlight w:val="none"/>
              </w:rPr>
              <w:t>（</w:t>
            </w:r>
            <w:r>
              <w:rPr>
                <w:rFonts w:hint="eastAsia" w:ascii="仿宋" w:hAnsi="仿宋" w:eastAsia="仿宋" w:cs="仿宋"/>
                <w:color w:val="auto"/>
                <w:sz w:val="24"/>
                <w:highlight w:val="none"/>
              </w:rPr>
              <w:t>如有</w:t>
            </w:r>
            <w:r>
              <w:rPr>
                <w:rFonts w:hint="eastAsia" w:ascii="仿宋" w:hAnsi="仿宋" w:eastAsia="仿宋" w:cs="仿宋"/>
                <w:color w:val="auto"/>
                <w:spacing w:val="2"/>
                <w:sz w:val="24"/>
                <w:highlight w:val="none"/>
              </w:rPr>
              <w:t>）</w:t>
            </w:r>
            <w:r>
              <w:rPr>
                <w:rFonts w:hint="eastAsia" w:ascii="仿宋" w:hAnsi="仿宋" w:eastAsia="仿宋" w:cs="仿宋"/>
                <w:color w:val="auto"/>
                <w:sz w:val="24"/>
                <w:highlight w:val="none"/>
              </w:rPr>
              <w:t>由采购人支付，进场交易费根据交易中心文件执行。</w:t>
            </w:r>
          </w:p>
        </w:tc>
      </w:tr>
      <w:tr w14:paraId="6FECE7B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6AECC076">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bookmarkStart w:id="13" w:name="_Toc233618972"/>
            <w:bookmarkStart w:id="14" w:name="_Toc994"/>
            <w:bookmarkStart w:id="15" w:name="_Toc522530041"/>
            <w:bookmarkStart w:id="16" w:name="_Toc226106516"/>
            <w:bookmarkStart w:id="17" w:name="_Toc226106467"/>
            <w:bookmarkStart w:id="18" w:name="_Toc225840109"/>
            <w:bookmarkStart w:id="19" w:name="_Toc226521904"/>
            <w:r>
              <w:rPr>
                <w:rFonts w:hint="eastAsia" w:ascii="仿宋" w:hAnsi="仿宋" w:eastAsia="仿宋" w:cs="仿宋"/>
                <w:color w:val="auto"/>
                <w:sz w:val="24"/>
                <w:highlight w:val="none"/>
                <w:lang w:val="en-US" w:eastAsia="zh-CN"/>
              </w:rPr>
              <w:t>31</w:t>
            </w:r>
          </w:p>
        </w:tc>
        <w:tc>
          <w:tcPr>
            <w:tcW w:w="1945" w:type="dxa"/>
            <w:vAlign w:val="top"/>
          </w:tcPr>
          <w:p w14:paraId="2CE92690">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b/>
                <w:color w:val="auto"/>
                <w:sz w:val="24"/>
                <w:highlight w:val="none"/>
              </w:rPr>
            </w:pPr>
          </w:p>
          <w:p w14:paraId="30A55E70">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b/>
                <w:color w:val="auto"/>
                <w:sz w:val="24"/>
                <w:highlight w:val="none"/>
              </w:rPr>
            </w:pPr>
          </w:p>
          <w:p w14:paraId="19E1702F">
            <w:pPr>
              <w:pStyle w:val="615"/>
              <w:keepNext w:val="0"/>
              <w:keepLines w:val="0"/>
              <w:pageBreakBefore w:val="0"/>
              <w:widowControl w:val="0"/>
              <w:kinsoku/>
              <w:wordWrap/>
              <w:overflowPunct/>
              <w:topLinePunct w:val="0"/>
              <w:autoSpaceDE/>
              <w:autoSpaceDN/>
              <w:bidi w:val="0"/>
              <w:adjustRightInd/>
              <w:spacing w:line="380" w:lineRule="exact"/>
              <w:ind w:right="113" w:rightChars="0"/>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在线提起询问、质疑、投诉方式</w:t>
            </w:r>
          </w:p>
        </w:tc>
        <w:tc>
          <w:tcPr>
            <w:tcW w:w="6881" w:type="dxa"/>
            <w:vAlign w:val="top"/>
          </w:tcPr>
          <w:p w14:paraId="37040163">
            <w:pPr>
              <w:pStyle w:val="615"/>
              <w:keepNext w:val="0"/>
              <w:keepLines w:val="0"/>
              <w:pageBreakBefore w:val="0"/>
              <w:widowControl w:val="0"/>
              <w:kinsoku/>
              <w:wordWrap/>
              <w:overflowPunct/>
              <w:topLinePunct w:val="0"/>
              <w:autoSpaceDE/>
              <w:autoSpaceDN/>
              <w:bidi w:val="0"/>
              <w:adjustRightInd/>
              <w:spacing w:line="380" w:lineRule="exact"/>
              <w:ind w:right="31"/>
              <w:jc w:val="lef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根据《浙江省财政厅关于进一步促进政府采购公平竞争打造最优营商环境的通知》（浙财采监（2021）22 号）文件关于“健全行政裁决机制”要求，鼓励供应商在线提起询问，路径为：政采云-项目采购-询问质疑投诉-询问列表。质疑供应商对在线质疑答复不满意的，可在线提起投诉，路径为：浙江政府服务网-政府采购投诉处理-在线办理。</w:t>
            </w:r>
          </w:p>
        </w:tc>
      </w:tr>
      <w:tr w14:paraId="2FA08630">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23862881">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lang w:val="en-US" w:eastAsia="zh-CN"/>
              </w:rPr>
              <w:t>32</w:t>
            </w:r>
          </w:p>
        </w:tc>
        <w:tc>
          <w:tcPr>
            <w:tcW w:w="1945" w:type="dxa"/>
            <w:vAlign w:val="center"/>
          </w:tcPr>
          <w:p w14:paraId="568BF113">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其他注意事项</w:t>
            </w:r>
          </w:p>
        </w:tc>
        <w:tc>
          <w:tcPr>
            <w:tcW w:w="6881" w:type="dxa"/>
            <w:vAlign w:val="top"/>
          </w:tcPr>
          <w:p w14:paraId="4792F73F">
            <w:pPr>
              <w:pStyle w:val="615"/>
              <w:keepNext w:val="0"/>
              <w:keepLines w:val="0"/>
              <w:pageBreakBefore w:val="0"/>
              <w:widowControl w:val="0"/>
              <w:kinsoku/>
              <w:wordWrap/>
              <w:overflowPunct/>
              <w:topLinePunct w:val="0"/>
              <w:autoSpaceDE/>
              <w:autoSpaceDN/>
              <w:bidi w:val="0"/>
              <w:adjustRightInd/>
              <w:spacing w:line="380" w:lineRule="exact"/>
              <w:ind w:right="160"/>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招标文件中部分加“▲”的条款，属于招标文件的实质性要求和条件，着重提醒各投标人注意，并认真查看招标文件中的每一个条款及要求，因误读招标文件而造成的后果，采购人概不负责。</w:t>
            </w:r>
          </w:p>
        </w:tc>
      </w:tr>
      <w:tr w14:paraId="2EAF3E5E">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4AFD99D3">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w:t>
            </w:r>
          </w:p>
        </w:tc>
        <w:tc>
          <w:tcPr>
            <w:tcW w:w="1945" w:type="dxa"/>
            <w:vAlign w:val="top"/>
          </w:tcPr>
          <w:p w14:paraId="6D9D2F2B">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178053FA">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5C5E706E">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178FE94F">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743A10A5">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675B9075">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3B20210E">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1EDEEC4C">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融资政策</w:t>
            </w:r>
          </w:p>
        </w:tc>
        <w:tc>
          <w:tcPr>
            <w:tcW w:w="6881" w:type="dxa"/>
            <w:vAlign w:val="top"/>
          </w:tcPr>
          <w:p w14:paraId="4ABDC889">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企业信用融资：省财政厅、浙江银监局、省金融办制定了《浙江省政府采购支持中小企业信用融资试点办法》（浙财采监[2012]13</w:t>
            </w:r>
            <w:r>
              <w:rPr>
                <w:rFonts w:hint="eastAsia" w:ascii="仿宋" w:hAnsi="仿宋" w:eastAsia="仿宋" w:cs="仿宋"/>
                <w:color w:val="auto"/>
                <w:spacing w:val="-30"/>
                <w:sz w:val="24"/>
                <w:highlight w:val="none"/>
              </w:rPr>
              <w:t xml:space="preserve"> 号</w:t>
            </w:r>
            <w:r>
              <w:rPr>
                <w:rFonts w:hint="eastAsia" w:ascii="仿宋" w:hAnsi="仿宋" w:eastAsia="仿宋" w:cs="仿宋"/>
                <w:color w:val="auto"/>
                <w:sz w:val="24"/>
                <w:highlight w:val="none"/>
              </w:rPr>
              <w:t>），所称的政府采购信用融资，是指银行业金融机构（以下简称银行）以政府采购诚信考核和信用审查为基础，凭借政府采购合同，按优于一般中小企业的贷款利率直接向申请贷款的供应商发放贷款的一种融资方式。供应</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"http://zfcg.czt.zj.gov.cn/" \h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rPr>
              <w:t>商可登陆浙江政府采购（http://zfcg.czt.zj.gov.cn/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）中小企业信用融资栏目了解相关信息。</w:t>
            </w:r>
          </w:p>
          <w:p w14:paraId="7F4DEEF4">
            <w:pPr>
              <w:pStyle w:val="615"/>
              <w:keepNext w:val="0"/>
              <w:keepLines w:val="0"/>
              <w:pageBreakBefore w:val="0"/>
              <w:widowControl w:val="0"/>
              <w:kinsoku/>
              <w:wordWrap/>
              <w:overflowPunct/>
              <w:topLinePunct w:val="0"/>
              <w:autoSpaceDE/>
              <w:autoSpaceDN/>
              <w:bidi w:val="0"/>
              <w:adjustRightInd/>
              <w:spacing w:line="380" w:lineRule="exact"/>
              <w:ind w:left="111" w:right="-44"/>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pacing w:val="-7"/>
                <w:sz w:val="24"/>
                <w:highlight w:val="none"/>
                <w:lang w:val="en-US" w:eastAsia="zh-CN"/>
              </w:rPr>
              <w:t>.</w:t>
            </w:r>
            <w:r>
              <w:rPr>
                <w:rFonts w:hint="eastAsia" w:ascii="仿宋" w:hAnsi="仿宋" w:eastAsia="仿宋" w:cs="仿宋"/>
                <w:color w:val="auto"/>
                <w:spacing w:val="-7"/>
                <w:sz w:val="24"/>
                <w:highlight w:val="none"/>
              </w:rPr>
              <w:t>根据浙江省财政厅《关于坚决打赢疫情防控狙击战进一步</w:t>
            </w:r>
            <w:r>
              <w:rPr>
                <w:rFonts w:hint="eastAsia" w:ascii="仿宋" w:hAnsi="仿宋" w:eastAsia="仿宋" w:cs="仿宋"/>
                <w:color w:val="auto"/>
                <w:spacing w:val="-8"/>
                <w:sz w:val="24"/>
                <w:highlight w:val="none"/>
              </w:rPr>
              <w:t>做好政府采购资金支持发展工作的通知》</w:t>
            </w:r>
            <w:r>
              <w:rPr>
                <w:rFonts w:hint="eastAsia" w:ascii="仿宋" w:hAnsi="仿宋" w:eastAsia="仿宋" w:cs="仿宋"/>
                <w:color w:val="auto"/>
                <w:spacing w:val="-3"/>
                <w:sz w:val="24"/>
                <w:highlight w:val="none"/>
              </w:rPr>
              <w:t>（浙财采监【</w:t>
            </w:r>
            <w:r>
              <w:rPr>
                <w:rFonts w:hint="eastAsia" w:ascii="仿宋" w:hAnsi="仿宋" w:eastAsia="仿宋" w:cs="仿宋"/>
                <w:color w:val="auto"/>
                <w:sz w:val="24"/>
                <w:highlight w:val="none"/>
              </w:rPr>
              <w:t>2020】3</w:t>
            </w:r>
            <w:r>
              <w:rPr>
                <w:rFonts w:hint="eastAsia" w:ascii="仿宋" w:hAnsi="仿宋" w:eastAsia="仿宋" w:cs="仿宋"/>
                <w:color w:val="auto"/>
                <w:spacing w:val="-30"/>
                <w:sz w:val="24"/>
                <w:highlight w:val="none"/>
              </w:rPr>
              <w:t xml:space="preserve"> 号</w:t>
            </w:r>
            <w:r>
              <w:rPr>
                <w:rFonts w:hint="eastAsia" w:ascii="仿宋" w:hAnsi="仿宋" w:eastAsia="仿宋" w:cs="仿宋"/>
                <w:color w:val="auto"/>
                <w:spacing w:val="-34"/>
                <w:sz w:val="24"/>
                <w:highlight w:val="none"/>
              </w:rPr>
              <w:t>）</w:t>
            </w:r>
            <w:r>
              <w:rPr>
                <w:rFonts w:hint="eastAsia" w:ascii="仿宋" w:hAnsi="仿宋" w:eastAsia="仿宋" w:cs="仿宋"/>
                <w:color w:val="auto"/>
                <w:spacing w:val="-8"/>
                <w:sz w:val="24"/>
                <w:highlight w:val="none"/>
              </w:rPr>
              <w:t>和《中国人民银行衢州市中心银行、衢州市财政局关于衢州市政府采购进一步支持中小企业质押融资的实施意见》</w:t>
            </w:r>
            <w:r>
              <w:rPr>
                <w:rFonts w:hint="eastAsia" w:ascii="仿宋" w:hAnsi="仿宋" w:eastAsia="仿宋" w:cs="仿宋"/>
                <w:color w:val="auto"/>
                <w:sz w:val="24"/>
                <w:highlight w:val="none"/>
              </w:rPr>
              <w:t>（</w:t>
            </w:r>
            <w:r>
              <w:rPr>
                <w:rFonts w:hint="eastAsia" w:ascii="仿宋" w:hAnsi="仿宋" w:eastAsia="仿宋" w:cs="仿宋"/>
                <w:color w:val="auto"/>
                <w:spacing w:val="-6"/>
                <w:sz w:val="24"/>
                <w:highlight w:val="none"/>
              </w:rPr>
              <w:t>衢银发【</w:t>
            </w:r>
            <w:r>
              <w:rPr>
                <w:rFonts w:hint="eastAsia" w:ascii="仿宋" w:hAnsi="仿宋" w:eastAsia="仿宋" w:cs="仿宋"/>
                <w:color w:val="auto"/>
                <w:sz w:val="24"/>
                <w:highlight w:val="none"/>
              </w:rPr>
              <w:t>2020</w:t>
            </w:r>
            <w:r>
              <w:rPr>
                <w:rFonts w:hint="eastAsia" w:ascii="仿宋" w:hAnsi="仿宋" w:eastAsia="仿宋" w:cs="仿宋"/>
                <w:color w:val="auto"/>
                <w:spacing w:val="-24"/>
                <w:sz w:val="24"/>
                <w:highlight w:val="none"/>
              </w:rPr>
              <w:t>】</w:t>
            </w:r>
            <w:r>
              <w:rPr>
                <w:rFonts w:hint="eastAsia" w:ascii="仿宋" w:hAnsi="仿宋" w:eastAsia="仿宋" w:cs="仿宋"/>
                <w:color w:val="auto"/>
                <w:sz w:val="24"/>
                <w:highlight w:val="none"/>
              </w:rPr>
              <w:t>4</w:t>
            </w:r>
            <w:r>
              <w:rPr>
                <w:rFonts w:hint="eastAsia" w:ascii="仿宋" w:hAnsi="仿宋" w:eastAsia="仿宋" w:cs="仿宋"/>
                <w:color w:val="auto"/>
                <w:spacing w:val="-20"/>
                <w:sz w:val="24"/>
                <w:highlight w:val="none"/>
              </w:rPr>
              <w:t xml:space="preserve"> 号文</w:t>
            </w:r>
            <w:r>
              <w:rPr>
                <w:rFonts w:hint="eastAsia" w:ascii="仿宋" w:hAnsi="仿宋" w:eastAsia="仿宋" w:cs="仿宋"/>
                <w:color w:val="auto"/>
                <w:spacing w:val="-27"/>
                <w:sz w:val="24"/>
                <w:highlight w:val="none"/>
              </w:rPr>
              <w:t>）</w:t>
            </w:r>
            <w:r>
              <w:rPr>
                <w:rFonts w:hint="eastAsia" w:ascii="仿宋" w:hAnsi="仿宋" w:eastAsia="仿宋" w:cs="仿宋"/>
                <w:color w:val="auto"/>
                <w:spacing w:val="-5"/>
                <w:sz w:val="24"/>
                <w:highlight w:val="none"/>
              </w:rPr>
              <w:t>文件精神，各中标供应商可通过浙</w:t>
            </w:r>
            <w:r>
              <w:rPr>
                <w:rFonts w:hint="eastAsia" w:ascii="仿宋" w:hAnsi="仿宋" w:eastAsia="仿宋" w:cs="仿宋"/>
                <w:color w:val="auto"/>
                <w:spacing w:val="-3"/>
                <w:sz w:val="24"/>
                <w:highlight w:val="none"/>
              </w:rPr>
              <w:t>江政府采购网</w:t>
            </w:r>
            <w:r>
              <w:rPr>
                <w:rFonts w:hint="eastAsia" w:ascii="仿宋" w:hAnsi="仿宋" w:eastAsia="仿宋" w:cs="仿宋"/>
                <w:color w:val="auto"/>
                <w:spacing w:val="-1"/>
                <w:sz w:val="24"/>
                <w:highlight w:val="none"/>
              </w:rPr>
              <w:t>（https://zfcg.czt.zj.gov.cn/）</w:t>
            </w:r>
            <w:r>
              <w:rPr>
                <w:rFonts w:hint="eastAsia" w:ascii="仿宋" w:hAnsi="仿宋" w:eastAsia="仿宋" w:cs="仿宋"/>
                <w:color w:val="auto"/>
                <w:spacing w:val="-3"/>
                <w:sz w:val="24"/>
                <w:highlight w:val="none"/>
              </w:rPr>
              <w:t>首页的“浙江政采贷”模块进入申请，还可以通过政府采购云平台</w:t>
            </w:r>
          </w:p>
          <w:p w14:paraId="6E1FDEE4">
            <w:pPr>
              <w:pStyle w:val="615"/>
              <w:keepNext w:val="0"/>
              <w:keepLines w:val="0"/>
              <w:pageBreakBefore w:val="0"/>
              <w:widowControl w:val="0"/>
              <w:kinsoku/>
              <w:wordWrap/>
              <w:overflowPunct/>
              <w:topLinePunct w:val="0"/>
              <w:autoSpaceDE/>
              <w:autoSpaceDN/>
              <w:bidi w:val="0"/>
              <w:adjustRightInd/>
              <w:spacing w:line="380" w:lineRule="exact"/>
              <w:ind w:left="111" w:right="160"/>
              <w:jc w:val="both"/>
              <w:textAlignment w:val="auto"/>
              <w:rPr>
                <w:rFonts w:hint="eastAsia" w:ascii="仿宋" w:hAnsi="仿宋" w:eastAsia="仿宋" w:cs="仿宋"/>
                <w:color w:val="auto"/>
                <w:sz w:val="24"/>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"http://www.zcygov.cn/" \h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rPr>
              <w:t>（https://www.zcygov.cn/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）首页的“金融服务”模块进入申请。</w:t>
            </w:r>
          </w:p>
          <w:p w14:paraId="76453869">
            <w:pPr>
              <w:pStyle w:val="615"/>
              <w:keepNext w:val="0"/>
              <w:keepLines w:val="0"/>
              <w:pageBreakBefore w:val="0"/>
              <w:widowControl w:val="0"/>
              <w:kinsoku/>
              <w:wordWrap/>
              <w:overflowPunct/>
              <w:topLinePunct w:val="0"/>
              <w:autoSpaceDE/>
              <w:autoSpaceDN/>
              <w:bidi w:val="0"/>
              <w:adjustRightInd/>
              <w:spacing w:line="380" w:lineRule="exact"/>
              <w:ind w:left="111" w:right="77"/>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3</w:t>
            </w:r>
            <w:r>
              <w:rPr>
                <w:rFonts w:hint="eastAsia" w:ascii="仿宋" w:hAnsi="仿宋" w:eastAsia="仿宋" w:cs="仿宋"/>
                <w:color w:val="auto"/>
                <w:spacing w:val="-6"/>
                <w:sz w:val="24"/>
                <w:highlight w:val="none"/>
                <w:lang w:val="en-US" w:eastAsia="zh-CN"/>
              </w:rPr>
              <w:t>.</w:t>
            </w:r>
            <w:r>
              <w:rPr>
                <w:rFonts w:hint="eastAsia" w:ascii="仿宋" w:hAnsi="仿宋" w:eastAsia="仿宋" w:cs="仿宋"/>
                <w:color w:val="auto"/>
                <w:spacing w:val="-6"/>
                <w:sz w:val="24"/>
                <w:highlight w:val="none"/>
              </w:rPr>
              <w:t>取得衢州市政府采购合同的供应商，均可凭政府采购合同及应收账款收益权，向银行申请质押融资。申请质押融资在</w:t>
            </w:r>
            <w:r>
              <w:rPr>
                <w:rFonts w:hint="eastAsia" w:ascii="仿宋" w:hAnsi="仿宋" w:eastAsia="仿宋" w:cs="仿宋"/>
                <w:color w:val="auto"/>
                <w:sz w:val="24"/>
                <w:highlight w:val="none"/>
              </w:rPr>
              <w:t>合同签订后七个工作日内将合同向同级政府采购监管部门备案。</w:t>
            </w:r>
          </w:p>
        </w:tc>
      </w:tr>
      <w:tr w14:paraId="4201D73F">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053F7AA0">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w:t>
            </w:r>
          </w:p>
        </w:tc>
        <w:tc>
          <w:tcPr>
            <w:tcW w:w="1945" w:type="dxa"/>
            <w:vAlign w:val="top"/>
          </w:tcPr>
          <w:p w14:paraId="09DBE54A">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6A51E4F6">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5E4AF527">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7A5A3372">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3D940153">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257782F6">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b/>
                <w:color w:val="auto"/>
                <w:sz w:val="24"/>
                <w:highlight w:val="none"/>
              </w:rPr>
            </w:pPr>
          </w:p>
          <w:p w14:paraId="46E3F0D0">
            <w:pPr>
              <w:pStyle w:val="615"/>
              <w:keepNext w:val="0"/>
              <w:keepLines w:val="0"/>
              <w:pageBreakBefore w:val="0"/>
              <w:widowControl w:val="0"/>
              <w:kinsoku/>
              <w:wordWrap/>
              <w:overflowPunct/>
              <w:topLinePunct w:val="0"/>
              <w:autoSpaceDE/>
              <w:autoSpaceDN/>
              <w:bidi w:val="0"/>
              <w:adjustRightInd/>
              <w:spacing w:line="380" w:lineRule="exact"/>
              <w:jc w:val="center"/>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信用查询</w:t>
            </w:r>
          </w:p>
        </w:tc>
        <w:tc>
          <w:tcPr>
            <w:tcW w:w="6881" w:type="dxa"/>
            <w:vAlign w:val="top"/>
          </w:tcPr>
          <w:p w14:paraId="72B4A579">
            <w:pPr>
              <w:pStyle w:val="615"/>
              <w:keepNext w:val="0"/>
              <w:keepLines w:val="0"/>
              <w:pageBreakBefore w:val="0"/>
              <w:widowControl w:val="0"/>
              <w:kinsoku/>
              <w:wordWrap/>
              <w:overflowPunct/>
              <w:topLinePunct w:val="0"/>
              <w:autoSpaceDE/>
              <w:autoSpaceDN/>
              <w:bidi w:val="0"/>
              <w:adjustRightInd/>
              <w:spacing w:line="380" w:lineRule="exact"/>
              <w:ind w:right="16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根据《关于在政府采购活动中查询及使用信用记录有关问题的通知》财库[2016]125 号的规定：</w:t>
            </w:r>
          </w:p>
          <w:p w14:paraId="23F8D132">
            <w:pPr>
              <w:pStyle w:val="615"/>
              <w:keepNext w:val="0"/>
              <w:keepLines w:val="0"/>
              <w:pageBreakBefore w:val="0"/>
              <w:widowControl w:val="0"/>
              <w:kinsoku/>
              <w:wordWrap/>
              <w:overflowPunct/>
              <w:topLinePunct w:val="0"/>
              <w:autoSpaceDE/>
              <w:autoSpaceDN/>
              <w:bidi w:val="0"/>
              <w:adjustRightInd/>
              <w:spacing w:line="380" w:lineRule="exact"/>
              <w:ind w:right="-44"/>
              <w:textAlignment w:val="auto"/>
              <w:rPr>
                <w:rFonts w:hint="eastAsia" w:ascii="仿宋" w:hAnsi="仿宋" w:eastAsia="仿宋" w:cs="仿宋"/>
                <w:color w:val="auto"/>
                <w:sz w:val="24"/>
                <w:highlight w:val="none"/>
              </w:rPr>
            </w:pPr>
            <w:r>
              <w:rPr>
                <w:rFonts w:hint="eastAsia" w:ascii="仿宋" w:hAnsi="仿宋" w:eastAsia="仿宋" w:cs="仿宋"/>
                <w:color w:val="auto"/>
                <w:spacing w:val="-20"/>
                <w:sz w:val="24"/>
                <w:highlight w:val="none"/>
              </w:rPr>
              <w:t>1）</w:t>
            </w:r>
            <w:r>
              <w:rPr>
                <w:rFonts w:hint="eastAsia" w:ascii="仿宋" w:hAnsi="仿宋" w:eastAsia="仿宋" w:cs="仿宋"/>
                <w:color w:val="auto"/>
                <w:sz w:val="24"/>
                <w:highlight w:val="none"/>
              </w:rPr>
              <w:t>采购人或采购代理机构将对本项目投标人的信用记录进行</w:t>
            </w:r>
            <w:r>
              <w:rPr>
                <w:rFonts w:hint="eastAsia" w:ascii="仿宋" w:hAnsi="仿宋" w:eastAsia="仿宋" w:cs="仿宋"/>
                <w:color w:val="auto"/>
                <w:spacing w:val="-15"/>
                <w:sz w:val="24"/>
                <w:highlight w:val="none"/>
              </w:rPr>
              <w:t>查询。查询渠道为信用中国网站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\h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rPr>
              <w:t>（www.creditchina.gov.cn</w:t>
            </w:r>
            <w:r>
              <w:rPr>
                <w:rFonts w:hint="eastAsia" w:ascii="仿宋" w:hAnsi="仿宋" w:eastAsia="仿宋" w:cs="仿宋"/>
                <w:color w:val="auto"/>
                <w:sz w:val="24"/>
                <w:highlight w:val="none"/>
              </w:rPr>
              <w:fldChar w:fldCharType="end"/>
            </w:r>
            <w:r>
              <w:rPr>
                <w:rFonts w:hint="eastAsia" w:ascii="仿宋" w:hAnsi="仿宋" w:eastAsia="仿宋" w:cs="仿宋"/>
                <w:color w:val="auto"/>
                <w:spacing w:val="-120"/>
                <w:sz w:val="24"/>
                <w:highlight w:val="none"/>
              </w:rPr>
              <w:t>）</w:t>
            </w:r>
            <w:r>
              <w:rPr>
                <w:rFonts w:hint="eastAsia" w:ascii="仿宋" w:hAnsi="仿宋" w:eastAsia="仿宋" w:cs="仿宋"/>
                <w:color w:val="auto"/>
                <w:sz w:val="24"/>
                <w:highlight w:val="none"/>
              </w:rPr>
              <w:t>、中国政府采购网（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 \h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rPr>
              <w:t>www.ccgp.gov.cn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w:t>
            </w:r>
          </w:p>
          <w:p w14:paraId="4802CA20">
            <w:pPr>
              <w:pStyle w:val="615"/>
              <w:keepNext w:val="0"/>
              <w:keepLines w:val="0"/>
              <w:pageBreakBefore w:val="0"/>
              <w:widowControl w:val="0"/>
              <w:kinsoku/>
              <w:wordWrap/>
              <w:overflowPunct/>
              <w:topLinePunct w:val="0"/>
              <w:autoSpaceDE/>
              <w:autoSpaceDN/>
              <w:bidi w:val="0"/>
              <w:adjustRightInd/>
              <w:spacing w:line="380" w:lineRule="exact"/>
              <w:ind w:right="-44"/>
              <w:textAlignment w:val="auto"/>
              <w:rPr>
                <w:rFonts w:hint="eastAsia" w:ascii="仿宋" w:hAnsi="仿宋" w:eastAsia="仿宋" w:cs="仿宋"/>
                <w:color w:val="auto"/>
                <w:sz w:val="24"/>
                <w:highlight w:val="none"/>
              </w:rPr>
            </w:pPr>
            <w:r>
              <w:rPr>
                <w:rFonts w:hint="eastAsia" w:ascii="仿宋" w:hAnsi="仿宋" w:eastAsia="仿宋" w:cs="仿宋"/>
                <w:color w:val="auto"/>
                <w:spacing w:val="-21"/>
                <w:sz w:val="24"/>
                <w:highlight w:val="none"/>
              </w:rPr>
              <w:t>2）</w:t>
            </w:r>
            <w:r>
              <w:rPr>
                <w:rFonts w:hint="eastAsia" w:ascii="仿宋" w:hAnsi="仿宋" w:eastAsia="仿宋" w:cs="仿宋"/>
                <w:color w:val="auto"/>
                <w:spacing w:val="-9"/>
                <w:sz w:val="24"/>
                <w:highlight w:val="none"/>
              </w:rPr>
              <w:t>截止时点：提交投标文件</w:t>
            </w:r>
            <w:r>
              <w:rPr>
                <w:rFonts w:hint="eastAsia" w:ascii="仿宋" w:hAnsi="仿宋" w:eastAsia="仿宋" w:cs="仿宋"/>
                <w:color w:val="auto"/>
                <w:sz w:val="24"/>
                <w:highlight w:val="none"/>
              </w:rPr>
              <w:t>（响应文件</w:t>
            </w:r>
            <w:r>
              <w:rPr>
                <w:rFonts w:hint="eastAsia" w:ascii="仿宋" w:hAnsi="仿宋" w:eastAsia="仿宋" w:cs="仿宋"/>
                <w:color w:val="auto"/>
                <w:spacing w:val="-41"/>
                <w:sz w:val="24"/>
                <w:highlight w:val="none"/>
              </w:rPr>
              <w:t>）</w:t>
            </w:r>
            <w:r>
              <w:rPr>
                <w:rFonts w:hint="eastAsia" w:ascii="仿宋" w:hAnsi="仿宋" w:eastAsia="仿宋" w:cs="仿宋"/>
                <w:color w:val="auto"/>
                <w:spacing w:val="-10"/>
                <w:sz w:val="24"/>
                <w:highlight w:val="none"/>
              </w:rPr>
              <w:t xml:space="preserve">截止时间前 </w:t>
            </w:r>
            <w:r>
              <w:rPr>
                <w:rFonts w:hint="eastAsia" w:ascii="仿宋" w:hAnsi="仿宋" w:eastAsia="仿宋" w:cs="仿宋"/>
                <w:color w:val="auto"/>
                <w:sz w:val="24"/>
                <w:highlight w:val="none"/>
              </w:rPr>
              <w:t>3</w:t>
            </w:r>
            <w:r>
              <w:rPr>
                <w:rFonts w:hint="eastAsia" w:ascii="仿宋" w:hAnsi="仿宋" w:eastAsia="仿宋" w:cs="仿宋"/>
                <w:color w:val="auto"/>
                <w:spacing w:val="-15"/>
                <w:sz w:val="24"/>
                <w:highlight w:val="none"/>
              </w:rPr>
              <w:t xml:space="preserve"> 年内；</w:t>
            </w:r>
          </w:p>
          <w:p w14:paraId="33329535">
            <w:pPr>
              <w:pStyle w:val="615"/>
              <w:keepNext w:val="0"/>
              <w:keepLines w:val="0"/>
              <w:pageBreakBefore w:val="0"/>
              <w:widowControl w:val="0"/>
              <w:kinsoku/>
              <w:wordWrap/>
              <w:overflowPunct/>
              <w:topLinePunct w:val="0"/>
              <w:autoSpaceDE/>
              <w:autoSpaceDN/>
              <w:bidi w:val="0"/>
              <w:adjustRightInd/>
              <w:spacing w:line="380" w:lineRule="exact"/>
              <w:ind w:right="2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3）查询记录和证据的留存：信用信息查询记录和证据以网页截图等方式留存。</w:t>
            </w:r>
          </w:p>
          <w:p w14:paraId="45D08A88">
            <w:pPr>
              <w:pStyle w:val="615"/>
              <w:keepNext w:val="0"/>
              <w:keepLines w:val="0"/>
              <w:pageBreakBefore w:val="0"/>
              <w:widowControl w:val="0"/>
              <w:kinsoku/>
              <w:wordWrap/>
              <w:overflowPunct/>
              <w:topLinePunct w:val="0"/>
              <w:autoSpaceDE/>
              <w:autoSpaceDN/>
              <w:bidi w:val="0"/>
              <w:adjustRightInd/>
              <w:spacing w:line="380" w:lineRule="exact"/>
              <w:ind w:right="-44"/>
              <w:textAlignment w:val="auto"/>
              <w:rPr>
                <w:rFonts w:hint="eastAsia" w:ascii="仿宋" w:hAnsi="仿宋" w:eastAsia="仿宋" w:cs="仿宋"/>
                <w:color w:val="auto"/>
                <w:sz w:val="24"/>
                <w:highlight w:val="none"/>
              </w:rPr>
            </w:pPr>
            <w:r>
              <w:rPr>
                <w:rFonts w:hint="eastAsia" w:ascii="仿宋" w:hAnsi="仿宋" w:eastAsia="仿宋" w:cs="仿宋"/>
                <w:color w:val="auto"/>
                <w:spacing w:val="-5"/>
                <w:sz w:val="24"/>
                <w:highlight w:val="none"/>
              </w:rPr>
              <w:t>4）</w:t>
            </w:r>
            <w:r>
              <w:rPr>
                <w:rFonts w:hint="eastAsia" w:ascii="仿宋" w:hAnsi="仿宋" w:eastAsia="仿宋" w:cs="仿宋"/>
                <w:color w:val="auto"/>
                <w:spacing w:val="-4"/>
                <w:sz w:val="24"/>
                <w:highlight w:val="none"/>
              </w:rPr>
              <w:t>使用规则：被列入失信被执行人、税收违法黑名单、政府采购严重违法失信行为记录名单及其它不符合《中华人民共</w:t>
            </w:r>
            <w:r>
              <w:rPr>
                <w:rFonts w:hint="eastAsia" w:ascii="仿宋" w:hAnsi="仿宋" w:eastAsia="仿宋" w:cs="仿宋"/>
                <w:color w:val="auto"/>
                <w:spacing w:val="-7"/>
                <w:sz w:val="24"/>
                <w:highlight w:val="none"/>
              </w:rPr>
              <w:t>和国政府采购法》第二十二条规定条件的，其投标将被拒绝。</w:t>
            </w:r>
          </w:p>
          <w:p w14:paraId="46F13516">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5）联合体成员任意一方存在不良信用记录的，视同联合体存</w:t>
            </w:r>
          </w:p>
          <w:p w14:paraId="4447B420">
            <w:pPr>
              <w:pStyle w:val="615"/>
              <w:keepNext w:val="0"/>
              <w:keepLines w:val="0"/>
              <w:pageBreakBefore w:val="0"/>
              <w:widowControl w:val="0"/>
              <w:kinsoku/>
              <w:wordWrap/>
              <w:overflowPunct/>
              <w:topLinePunct w:val="0"/>
              <w:autoSpaceDE/>
              <w:autoSpaceDN/>
              <w:bidi w:val="0"/>
              <w:adjustRightInd/>
              <w:spacing w:line="380" w:lineRule="exact"/>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在不良信用记录。</w:t>
            </w:r>
          </w:p>
        </w:tc>
      </w:tr>
      <w:tr w14:paraId="168E284D">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899" w:type="dxa"/>
            <w:vAlign w:val="center"/>
          </w:tcPr>
          <w:p w14:paraId="0E412A13">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w:t>
            </w:r>
          </w:p>
        </w:tc>
        <w:tc>
          <w:tcPr>
            <w:tcW w:w="1945" w:type="dxa"/>
            <w:vAlign w:val="top"/>
          </w:tcPr>
          <w:p w14:paraId="28D5A7C0">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p>
          <w:p w14:paraId="73871BC6">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p>
          <w:p w14:paraId="4E4DDBAB">
            <w:pPr>
              <w:pStyle w:val="615"/>
              <w:keepNext w:val="0"/>
              <w:keepLines w:val="0"/>
              <w:pageBreakBefore w:val="0"/>
              <w:kinsoku/>
              <w:wordWrap/>
              <w:overflowPunct/>
              <w:topLinePunct w:val="0"/>
              <w:bidi w:val="0"/>
              <w:spacing w:line="380" w:lineRule="exact"/>
              <w:ind w:left="180" w:leftChars="0" w:right="160" w:rightChars="0"/>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特别提醒</w:t>
            </w:r>
          </w:p>
        </w:tc>
        <w:tc>
          <w:tcPr>
            <w:tcW w:w="6881" w:type="dxa"/>
            <w:vAlign w:val="top"/>
          </w:tcPr>
          <w:p w14:paraId="5E649156">
            <w:pPr>
              <w:pStyle w:val="615"/>
              <w:keepNext w:val="0"/>
              <w:keepLines w:val="0"/>
              <w:pageBreakBefore w:val="0"/>
              <w:widowControl w:val="0"/>
              <w:kinsoku/>
              <w:wordWrap/>
              <w:overflowPunct/>
              <w:topLinePunct w:val="0"/>
              <w:autoSpaceDE/>
              <w:autoSpaceDN/>
              <w:bidi w:val="0"/>
              <w:adjustRightInd/>
              <w:spacing w:line="380" w:lineRule="exact"/>
              <w:ind w:right="16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1.所有询标流程，均在线上完成，请各投标人务必不要离开电脑太久，并留意手机短信。（请提前检查“政采云”内，关于“项目采购”的岗位权限是否已勾选上。如有问题，请致电 </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w:t>
            </w:r>
          </w:p>
          <w:p w14:paraId="261233AC">
            <w:pPr>
              <w:pStyle w:val="615"/>
              <w:keepNext w:val="0"/>
              <w:keepLines w:val="0"/>
              <w:pageBreakBefore w:val="0"/>
              <w:widowControl w:val="0"/>
              <w:kinsoku/>
              <w:wordWrap/>
              <w:overflowPunct/>
              <w:topLinePunct w:val="0"/>
              <w:autoSpaceDE/>
              <w:autoSpaceDN/>
              <w:bidi w:val="0"/>
              <w:adjustRightInd/>
              <w:spacing w:line="380" w:lineRule="exact"/>
              <w:jc w:val="both"/>
              <w:textAlignment w:val="auto"/>
              <w:rPr>
                <w:rFonts w:hint="eastAsia" w:ascii="仿宋" w:hAnsi="仿宋" w:eastAsia="仿宋" w:cs="仿宋"/>
                <w:color w:val="auto"/>
                <w:kern w:val="2"/>
                <w:sz w:val="24"/>
                <w:highlight w:val="none"/>
                <w:lang w:val="en-US" w:eastAsia="zh-CN" w:bidi="ar-SA"/>
              </w:rPr>
            </w:pPr>
            <w:r>
              <w:rPr>
                <w:rFonts w:hint="eastAsia" w:ascii="仿宋" w:hAnsi="仿宋" w:eastAsia="仿宋" w:cs="仿宋"/>
                <w:color w:val="auto"/>
                <w:sz w:val="24"/>
                <w:highlight w:val="none"/>
              </w:rPr>
              <w:t>2.投标人无须到开标现场，只需自备电脑在规定时间前进行在线解密文件即可。</w:t>
            </w:r>
          </w:p>
        </w:tc>
      </w:tr>
      <w:bookmarkEnd w:id="9"/>
    </w:tbl>
    <w:p w14:paraId="17AA8A6B">
      <w:pPr>
        <w:adjustRightInd w:val="0"/>
        <w:snapToGrid w:val="0"/>
        <w:spacing w:line="360" w:lineRule="auto"/>
        <w:jc w:val="center"/>
        <w:outlineLvl w:val="1"/>
        <w:rPr>
          <w:rFonts w:hint="eastAsia" w:ascii="仿宋" w:hAnsi="仿宋" w:eastAsia="仿宋" w:cs="仿宋"/>
          <w:b/>
          <w:color w:val="auto"/>
          <w:sz w:val="32"/>
          <w:highlight w:val="none"/>
          <w:lang w:eastAsia="zh-CN"/>
        </w:rPr>
      </w:pPr>
    </w:p>
    <w:p w14:paraId="7ED5D5E3">
      <w:pPr>
        <w:adjustRightInd w:val="0"/>
        <w:snapToGrid w:val="0"/>
        <w:spacing w:line="360" w:lineRule="auto"/>
        <w:jc w:val="center"/>
        <w:outlineLvl w:val="1"/>
        <w:rPr>
          <w:rFonts w:hint="eastAsia" w:ascii="仿宋" w:hAnsi="仿宋" w:eastAsia="仿宋" w:cs="仿宋"/>
          <w:b/>
          <w:color w:val="auto"/>
          <w:sz w:val="32"/>
          <w:highlight w:val="none"/>
          <w:lang w:eastAsia="zh-CN"/>
        </w:rPr>
      </w:pPr>
    </w:p>
    <w:p w14:paraId="5A917811">
      <w:pPr>
        <w:adjustRightInd w:val="0"/>
        <w:snapToGrid w:val="0"/>
        <w:spacing w:line="360" w:lineRule="auto"/>
        <w:jc w:val="center"/>
        <w:outlineLvl w:val="1"/>
        <w:rPr>
          <w:rFonts w:hint="eastAsia" w:ascii="仿宋" w:hAnsi="仿宋" w:eastAsia="仿宋" w:cs="仿宋"/>
          <w:b/>
          <w:color w:val="auto"/>
          <w:sz w:val="32"/>
          <w:highlight w:val="none"/>
          <w:lang w:eastAsia="zh-CN"/>
        </w:rPr>
      </w:pPr>
    </w:p>
    <w:p w14:paraId="5B2F054F">
      <w:pPr>
        <w:adjustRightInd w:val="0"/>
        <w:snapToGrid w:val="0"/>
        <w:spacing w:line="360" w:lineRule="auto"/>
        <w:jc w:val="center"/>
        <w:outlineLvl w:val="1"/>
        <w:rPr>
          <w:rFonts w:hint="eastAsia" w:ascii="仿宋" w:hAnsi="仿宋" w:eastAsia="仿宋" w:cs="仿宋"/>
          <w:b/>
          <w:color w:val="auto"/>
          <w:sz w:val="32"/>
          <w:highlight w:val="none"/>
          <w:lang w:eastAsia="zh-CN"/>
        </w:rPr>
      </w:pPr>
    </w:p>
    <w:p w14:paraId="5C6617BF">
      <w:pPr>
        <w:pStyle w:val="9"/>
        <w:rPr>
          <w:rFonts w:hint="eastAsia"/>
          <w:color w:val="auto"/>
          <w:highlight w:val="none"/>
          <w:lang w:eastAsia="zh-CN"/>
        </w:rPr>
      </w:pPr>
    </w:p>
    <w:p w14:paraId="24A002E0">
      <w:pPr>
        <w:rPr>
          <w:rFonts w:hint="eastAsia" w:ascii="仿宋" w:hAnsi="仿宋" w:eastAsia="仿宋" w:cs="仿宋"/>
          <w:color w:val="auto"/>
          <w:highlight w:val="none"/>
          <w:lang w:eastAsia="zh-CN"/>
        </w:rPr>
      </w:pPr>
    </w:p>
    <w:p w14:paraId="4DCF1152">
      <w:pPr>
        <w:adjustRightInd w:val="0"/>
        <w:snapToGrid w:val="0"/>
        <w:spacing w:line="360" w:lineRule="auto"/>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lang w:eastAsia="zh-CN"/>
        </w:rPr>
        <w:t>第二部分、投标须知</w:t>
      </w:r>
      <w:bookmarkEnd w:id="13"/>
      <w:bookmarkEnd w:id="14"/>
      <w:bookmarkEnd w:id="15"/>
    </w:p>
    <w:p w14:paraId="3D3FCE11">
      <w:pPr>
        <w:kinsoku/>
        <w:wordWrap/>
        <w:topLinePunct w:val="0"/>
        <w:bidi w:val="0"/>
        <w:snapToGrid w:val="0"/>
        <w:spacing w:before="156" w:beforeLines="50" w:after="156" w:afterLines="50" w:line="240" w:lineRule="auto"/>
        <w:jc w:val="center"/>
        <w:textAlignment w:val="auto"/>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一、总则</w:t>
      </w:r>
    </w:p>
    <w:p w14:paraId="742FD14B">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本次招标工作是按照《</w:t>
      </w:r>
      <w:r>
        <w:rPr>
          <w:rFonts w:hint="eastAsia" w:ascii="仿宋" w:hAnsi="仿宋" w:eastAsia="仿宋" w:cs="仿宋"/>
          <w:snapToGrid w:val="0"/>
          <w:color w:val="auto"/>
          <w:kern w:val="0"/>
          <w:sz w:val="24"/>
          <w:szCs w:val="24"/>
          <w:highlight w:val="none"/>
          <w:lang w:eastAsia="zh-CN"/>
        </w:rPr>
        <w:t>中华人民共和国政府采购法》《中华人民共和国政府采购法实施条例》《政府采购货物和服务招标投标管理办法》</w:t>
      </w:r>
      <w:r>
        <w:rPr>
          <w:rFonts w:hint="eastAsia" w:ascii="仿宋" w:hAnsi="仿宋" w:eastAsia="仿宋" w:cs="仿宋"/>
          <w:snapToGrid w:val="0"/>
          <w:color w:val="auto"/>
          <w:kern w:val="0"/>
          <w:sz w:val="24"/>
          <w:szCs w:val="24"/>
          <w:highlight w:val="none"/>
        </w:rPr>
        <w:t>等相关法律法规组织和实施，并接受同级政府采购监督管理部门监督。</w:t>
      </w:r>
    </w:p>
    <w:p w14:paraId="7B3664DB">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1.适用范围</w:t>
      </w:r>
    </w:p>
    <w:p w14:paraId="5E3AC89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1.1本采购文件仅适用于本次招标项目。</w:t>
      </w:r>
    </w:p>
    <w:p w14:paraId="7058086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1.2本项目采购方式为公开招标。</w:t>
      </w:r>
    </w:p>
    <w:p w14:paraId="1EFC63E3">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1.3投标须知为招标文件的通用条款，如通用条款与前附表、采购内容及要求、合同条款等特定条款不一致的，请按特定条款执行。</w:t>
      </w:r>
    </w:p>
    <w:p w14:paraId="79852B8B">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2</w:t>
      </w:r>
      <w:r>
        <w:rPr>
          <w:rFonts w:hint="eastAsia" w:ascii="仿宋" w:hAnsi="仿宋" w:eastAsia="仿宋" w:cs="仿宋"/>
          <w:b/>
          <w:snapToGrid w:val="0"/>
          <w:color w:val="auto"/>
          <w:kern w:val="0"/>
          <w:sz w:val="24"/>
          <w:szCs w:val="24"/>
          <w:highlight w:val="none"/>
          <w:lang w:val="en-US" w:eastAsia="zh-CN"/>
        </w:rPr>
        <w:t>.</w:t>
      </w:r>
      <w:r>
        <w:rPr>
          <w:rFonts w:hint="eastAsia" w:ascii="仿宋" w:hAnsi="仿宋" w:eastAsia="仿宋" w:cs="仿宋"/>
          <w:b/>
          <w:snapToGrid w:val="0"/>
          <w:color w:val="auto"/>
          <w:kern w:val="0"/>
          <w:sz w:val="24"/>
          <w:szCs w:val="24"/>
          <w:highlight w:val="none"/>
        </w:rPr>
        <w:t>定义</w:t>
      </w:r>
    </w:p>
    <w:p w14:paraId="12DE3113">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u w:val="none"/>
        </w:rPr>
      </w:pPr>
      <w:r>
        <w:rPr>
          <w:rFonts w:hint="eastAsia" w:ascii="仿宋" w:hAnsi="仿宋" w:eastAsia="仿宋" w:cs="仿宋"/>
          <w:snapToGrid w:val="0"/>
          <w:color w:val="auto"/>
          <w:kern w:val="0"/>
          <w:sz w:val="24"/>
          <w:szCs w:val="24"/>
          <w:highlight w:val="none"/>
        </w:rPr>
        <w:t>2.1采购</w:t>
      </w:r>
      <w:r>
        <w:rPr>
          <w:rFonts w:hint="eastAsia" w:ascii="仿宋" w:hAnsi="仿宋" w:eastAsia="仿宋" w:cs="仿宋"/>
          <w:snapToGrid w:val="0"/>
          <w:color w:val="auto"/>
          <w:kern w:val="0"/>
          <w:sz w:val="24"/>
          <w:szCs w:val="24"/>
          <w:highlight w:val="none"/>
          <w:u w:val="none"/>
        </w:rPr>
        <w:t>人：</w:t>
      </w:r>
      <w:r>
        <w:rPr>
          <w:rFonts w:hint="eastAsia" w:ascii="仿宋" w:hAnsi="仿宋" w:eastAsia="仿宋" w:cs="仿宋"/>
          <w:snapToGrid w:val="0"/>
          <w:color w:val="auto"/>
          <w:kern w:val="0"/>
          <w:sz w:val="24"/>
          <w:szCs w:val="24"/>
          <w:highlight w:val="none"/>
        </w:rPr>
        <w:t>指</w:t>
      </w:r>
      <w:r>
        <w:rPr>
          <w:rFonts w:hint="eastAsia" w:ascii="仿宋" w:hAnsi="仿宋" w:eastAsia="仿宋" w:cs="仿宋"/>
          <w:snapToGrid w:val="0"/>
          <w:color w:val="auto"/>
          <w:kern w:val="0"/>
          <w:sz w:val="24"/>
          <w:szCs w:val="24"/>
          <w:highlight w:val="none"/>
          <w:u w:val="single"/>
          <w:lang w:val="en-US" w:eastAsia="zh-CN"/>
        </w:rPr>
        <w:t xml:space="preserve"> 衢州智慧新城管理委员会 </w:t>
      </w:r>
      <w:r>
        <w:rPr>
          <w:rFonts w:hint="eastAsia" w:ascii="仿宋" w:hAnsi="仿宋" w:eastAsia="仿宋" w:cs="仿宋"/>
          <w:color w:val="auto"/>
          <w:sz w:val="24"/>
          <w:szCs w:val="24"/>
          <w:highlight w:val="none"/>
        </w:rPr>
        <w:t>（合同中的甲方）</w:t>
      </w:r>
      <w:r>
        <w:rPr>
          <w:rFonts w:hint="eastAsia" w:ascii="仿宋" w:hAnsi="仿宋" w:eastAsia="仿宋" w:cs="仿宋"/>
          <w:snapToGrid w:val="0"/>
          <w:color w:val="auto"/>
          <w:kern w:val="0"/>
          <w:sz w:val="24"/>
          <w:szCs w:val="24"/>
          <w:highlight w:val="none"/>
          <w:u w:val="none"/>
        </w:rPr>
        <w:t>。</w:t>
      </w:r>
    </w:p>
    <w:p w14:paraId="1BF9044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u w:val="none"/>
        </w:rPr>
      </w:pPr>
      <w:r>
        <w:rPr>
          <w:rFonts w:hint="eastAsia" w:ascii="仿宋" w:hAnsi="仿宋" w:eastAsia="仿宋" w:cs="仿宋"/>
          <w:snapToGrid w:val="0"/>
          <w:color w:val="auto"/>
          <w:kern w:val="0"/>
          <w:sz w:val="24"/>
          <w:szCs w:val="24"/>
          <w:highlight w:val="none"/>
          <w:u w:val="none"/>
        </w:rPr>
        <w:t>2.2招标（采购）代理机构：</w:t>
      </w:r>
      <w:r>
        <w:rPr>
          <w:rFonts w:hint="eastAsia" w:ascii="仿宋" w:hAnsi="仿宋" w:eastAsia="仿宋" w:cs="仿宋"/>
          <w:color w:val="auto"/>
          <w:sz w:val="24"/>
          <w:highlight w:val="none"/>
          <w:lang w:eastAsia="zh-CN"/>
        </w:rPr>
        <w:t>科信联合工程咨询有限公司</w:t>
      </w:r>
      <w:r>
        <w:rPr>
          <w:rFonts w:hint="eastAsia" w:ascii="仿宋" w:hAnsi="仿宋" w:eastAsia="仿宋" w:cs="仿宋"/>
          <w:snapToGrid w:val="0"/>
          <w:color w:val="auto"/>
          <w:kern w:val="0"/>
          <w:sz w:val="24"/>
          <w:szCs w:val="24"/>
          <w:highlight w:val="none"/>
          <w:u w:val="none"/>
        </w:rPr>
        <w:t>。</w:t>
      </w:r>
    </w:p>
    <w:p w14:paraId="79B352A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u w:val="none"/>
        </w:rPr>
      </w:pPr>
      <w:r>
        <w:rPr>
          <w:rFonts w:hint="eastAsia" w:ascii="仿宋" w:hAnsi="仿宋" w:eastAsia="仿宋" w:cs="仿宋"/>
          <w:snapToGrid w:val="0"/>
          <w:color w:val="auto"/>
          <w:kern w:val="0"/>
          <w:sz w:val="24"/>
          <w:szCs w:val="24"/>
          <w:highlight w:val="none"/>
          <w:u w:val="none"/>
        </w:rPr>
        <w:t>2.3同级政府采购监督管理部门：</w:t>
      </w:r>
      <w:r>
        <w:rPr>
          <w:rFonts w:hint="eastAsia" w:ascii="仿宋" w:hAnsi="仿宋" w:eastAsia="仿宋" w:cs="仿宋"/>
          <w:snapToGrid w:val="0"/>
          <w:color w:val="auto"/>
          <w:kern w:val="0"/>
          <w:sz w:val="24"/>
          <w:szCs w:val="24"/>
          <w:highlight w:val="none"/>
        </w:rPr>
        <w:t>指</w:t>
      </w:r>
      <w:r>
        <w:rPr>
          <w:rFonts w:hint="eastAsia" w:ascii="仿宋" w:hAnsi="仿宋" w:eastAsia="仿宋" w:cs="仿宋"/>
          <w:snapToGrid w:val="0"/>
          <w:color w:val="auto"/>
          <w:kern w:val="0"/>
          <w:sz w:val="24"/>
          <w:szCs w:val="24"/>
          <w:highlight w:val="none"/>
          <w:u w:val="single"/>
          <w:lang w:val="en-US" w:eastAsia="zh-CN"/>
        </w:rPr>
        <w:t xml:space="preserve"> 衢州市政府采购管理办公室 </w:t>
      </w:r>
      <w:r>
        <w:rPr>
          <w:rFonts w:hint="eastAsia" w:ascii="仿宋" w:hAnsi="仿宋" w:eastAsia="仿宋" w:cs="仿宋"/>
          <w:snapToGrid w:val="0"/>
          <w:color w:val="auto"/>
          <w:kern w:val="0"/>
          <w:sz w:val="24"/>
          <w:szCs w:val="24"/>
          <w:highlight w:val="none"/>
          <w:u w:val="none"/>
        </w:rPr>
        <w:t>。</w:t>
      </w:r>
    </w:p>
    <w:p w14:paraId="19828B5F">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u w:val="none"/>
        </w:rPr>
        <w:t>2.4供应商、投标人：系指响应本</w:t>
      </w:r>
      <w:r>
        <w:rPr>
          <w:rFonts w:hint="eastAsia" w:ascii="仿宋" w:hAnsi="仿宋" w:eastAsia="仿宋" w:cs="仿宋"/>
          <w:snapToGrid w:val="0"/>
          <w:color w:val="auto"/>
          <w:kern w:val="0"/>
          <w:sz w:val="24"/>
          <w:szCs w:val="24"/>
          <w:highlight w:val="none"/>
        </w:rPr>
        <w:t>次招标，参加本次投标的独立法人。</w:t>
      </w:r>
    </w:p>
    <w:p w14:paraId="7A9F774C">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2.5服务：指采购文件或合同规定投标人须承担的服务以及其他类似的义务。</w:t>
      </w:r>
    </w:p>
    <w:p w14:paraId="5F28D25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rPr>
        <w:t>2.6中标人、中标供应商：指经评审获得本项目最终合同签订资格的投标人</w:t>
      </w:r>
      <w:r>
        <w:rPr>
          <w:rFonts w:hint="eastAsia" w:ascii="仿宋" w:hAnsi="仿宋" w:eastAsia="仿宋" w:cs="仿宋"/>
          <w:snapToGrid w:val="0"/>
          <w:color w:val="auto"/>
          <w:kern w:val="0"/>
          <w:sz w:val="24"/>
          <w:szCs w:val="24"/>
          <w:highlight w:val="none"/>
          <w:lang w:eastAsia="zh-CN"/>
        </w:rPr>
        <w:t>。</w:t>
      </w:r>
    </w:p>
    <w:p w14:paraId="313A5CA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2.7</w:t>
      </w:r>
      <w:r>
        <w:rPr>
          <w:rFonts w:hint="eastAsia" w:ascii="仿宋" w:hAnsi="仿宋" w:eastAsia="仿宋" w:cs="仿宋"/>
          <w:snapToGrid w:val="0"/>
          <w:color w:val="auto"/>
          <w:kern w:val="0"/>
          <w:sz w:val="24"/>
          <w:szCs w:val="24"/>
          <w:highlight w:val="none"/>
          <w:lang w:val="zh-CN"/>
        </w:rPr>
        <w:t>投标人代表：指全权代表投标人参加招标活动并签署投标文件的人。本次投标的投标人代表必须是投标人的法定代表人或其授权委托人，如投标人代表不是法定代表人，须有法定代表人出具的授权委托书。</w:t>
      </w:r>
    </w:p>
    <w:p w14:paraId="2675E0AF">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2.8</w:t>
      </w:r>
      <w:r>
        <w:rPr>
          <w:rFonts w:hint="eastAsia" w:ascii="仿宋" w:hAnsi="仿宋" w:eastAsia="仿宋" w:cs="仿宋"/>
          <w:snapToGrid w:val="0"/>
          <w:color w:val="auto"/>
          <w:kern w:val="0"/>
          <w:sz w:val="24"/>
          <w:szCs w:val="24"/>
          <w:highlight w:val="none"/>
          <w:lang w:val="zh-CN"/>
        </w:rPr>
        <w:t>联合体：指两个以上供应商组成联合体，以一个供应商的身份参加投标。</w:t>
      </w:r>
    </w:p>
    <w:p w14:paraId="61817367">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2.9</w:t>
      </w:r>
      <w:r>
        <w:rPr>
          <w:rFonts w:hint="eastAsia" w:ascii="仿宋" w:hAnsi="仿宋" w:eastAsia="仿宋" w:cs="仿宋"/>
          <w:snapToGrid w:val="0"/>
          <w:color w:val="auto"/>
          <w:kern w:val="0"/>
          <w:sz w:val="24"/>
          <w:szCs w:val="24"/>
          <w:highlight w:val="none"/>
          <w:lang w:val="zh-CN"/>
        </w:rPr>
        <w:t>制造商：拥有投标产品自主知识产权的单位。</w:t>
      </w:r>
    </w:p>
    <w:p w14:paraId="1A6C8C6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2.10产品：指供方按采购文件规定，须向采购人提供的一切设备、保险、税金、备品备件、工具、手册及其它有关技术资料和材料。</w:t>
      </w:r>
    </w:p>
    <w:p w14:paraId="1CA1344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2.11项目：指投标人按采购文件规定向采购人提供的产品和服务。</w:t>
      </w:r>
    </w:p>
    <w:p w14:paraId="0C527080">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2.12书面形式：</w:t>
      </w:r>
      <w:r>
        <w:rPr>
          <w:rFonts w:hint="eastAsia" w:ascii="仿宋" w:hAnsi="仿宋" w:eastAsia="仿宋" w:cs="仿宋"/>
          <w:snapToGrid w:val="0"/>
          <w:color w:val="auto"/>
          <w:kern w:val="0"/>
          <w:sz w:val="24"/>
          <w:szCs w:val="24"/>
          <w:highlight w:val="none"/>
          <w:lang w:val="zh-CN"/>
        </w:rPr>
        <w:t>包括纸质文件、电子邮件、传真、信函、电报等</w:t>
      </w:r>
      <w:r>
        <w:rPr>
          <w:rFonts w:hint="eastAsia" w:ascii="仿宋" w:hAnsi="仿宋" w:eastAsia="仿宋" w:cs="仿宋"/>
          <w:snapToGrid w:val="0"/>
          <w:color w:val="auto"/>
          <w:kern w:val="0"/>
          <w:sz w:val="24"/>
          <w:szCs w:val="24"/>
          <w:highlight w:val="none"/>
        </w:rPr>
        <w:t>。</w:t>
      </w:r>
    </w:p>
    <w:p w14:paraId="0BEC3EEB">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2.13官方指定网站公示的内容视为书面告知。</w:t>
      </w:r>
    </w:p>
    <w:p w14:paraId="21E3FED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2.14电子签名：指数据电文中以电子形式所含、所附用于识别签名人身份并表明签名人认可其中内容的数据；“公章”系指单位法定名称章。</w:t>
      </w:r>
    </w:p>
    <w:p w14:paraId="7F264E60">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2.15“电子交易平台”系指本项目政府采购活动所依托的政府采购云平台（https://www.zcygov.cn/）。</w:t>
      </w:r>
    </w:p>
    <w:p w14:paraId="326B13CF">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2.16</w:t>
      </w:r>
      <w:r>
        <w:rPr>
          <w:rFonts w:hint="eastAsia" w:ascii="仿宋" w:hAnsi="仿宋" w:eastAsia="仿宋" w:cs="仿宋"/>
          <w:snapToGrid w:val="0"/>
          <w:color w:val="auto"/>
          <w:kern w:val="0"/>
          <w:sz w:val="24"/>
          <w:szCs w:val="24"/>
          <w:highlight w:val="none"/>
          <w:lang w:val="zh-CN"/>
        </w:rPr>
        <w:t>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产品应符合国家节能环保要求；投标人在投标文件中提供相关证明材料。</w:t>
      </w:r>
    </w:p>
    <w:p w14:paraId="7E9C1CD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2.17</w:t>
      </w:r>
      <w:r>
        <w:rPr>
          <w:rFonts w:hint="eastAsia" w:ascii="仿宋" w:hAnsi="仿宋" w:eastAsia="仿宋" w:cs="仿宋"/>
          <w:snapToGrid w:val="0"/>
          <w:color w:val="auto"/>
          <w:kern w:val="0"/>
          <w:sz w:val="24"/>
          <w:szCs w:val="24"/>
          <w:highlight w:val="none"/>
          <w:lang w:val="zh-CN"/>
        </w:rPr>
        <w:t>培训：系指按招标文件规定，向采购人提供操作使用培训、系统管理培训和其他相关培训等。</w:t>
      </w:r>
    </w:p>
    <w:p w14:paraId="71AC001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2.18</w:t>
      </w:r>
      <w:r>
        <w:rPr>
          <w:rFonts w:hint="eastAsia" w:ascii="仿宋" w:hAnsi="仿宋" w:eastAsia="仿宋" w:cs="仿宋"/>
          <w:snapToGrid w:val="0"/>
          <w:color w:val="auto"/>
          <w:kern w:val="0"/>
          <w:sz w:val="24"/>
          <w:szCs w:val="24"/>
          <w:highlight w:val="none"/>
          <w:lang w:val="zh-CN"/>
        </w:rPr>
        <w:t>实质性响应：系指投标文件符合招标文件规定的实质性内容、条件和规定。</w:t>
      </w:r>
    </w:p>
    <w:p w14:paraId="1377DA1A">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2.19</w:t>
      </w:r>
      <w:r>
        <w:rPr>
          <w:rFonts w:hint="eastAsia" w:ascii="仿宋" w:hAnsi="仿宋" w:eastAsia="仿宋" w:cs="仿宋"/>
          <w:snapToGrid w:val="0"/>
          <w:color w:val="auto"/>
          <w:kern w:val="0"/>
          <w:sz w:val="24"/>
          <w:szCs w:val="24"/>
          <w:highlight w:val="none"/>
          <w:lang w:val="zh-CN"/>
        </w:rPr>
        <w:t>重大偏离或保留：系指将会影响到招标文件规定的服务范围、质量标准，或会给合同中规定的采购人的权利和投标人的责任造成实质性限制，而纠正这些偏离或保留将对其他提交了实质性响应的投标文件的投标人产生不公平影响的。</w:t>
      </w:r>
    </w:p>
    <w:p w14:paraId="101C8A19">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zh-CN"/>
        </w:rPr>
        <w:t>细微偏离：系指投标文件对招标文件的非实质性内容存在不完全响应或不响应。</w:t>
      </w:r>
    </w:p>
    <w:p w14:paraId="54942C9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2.20“</w:t>
      </w:r>
      <w:r>
        <w:rPr>
          <w:rFonts w:hint="eastAsia" w:ascii="仿宋" w:hAnsi="仿宋" w:eastAsia="仿宋" w:cs="仿宋"/>
          <w:snapToGrid w:val="0"/>
          <w:color w:val="auto"/>
          <w:kern w:val="0"/>
          <w:sz w:val="24"/>
          <w:szCs w:val="24"/>
          <w:highlight w:val="none"/>
          <w:lang w:val="zh-CN"/>
        </w:rPr>
        <w:t>▲</w:t>
      </w:r>
      <w:r>
        <w:rPr>
          <w:rFonts w:hint="eastAsia" w:ascii="仿宋" w:hAnsi="仿宋" w:eastAsia="仿宋" w:cs="仿宋"/>
          <w:snapToGrid w:val="0"/>
          <w:color w:val="auto"/>
          <w:kern w:val="0"/>
          <w:sz w:val="24"/>
          <w:szCs w:val="24"/>
          <w:highlight w:val="none"/>
        </w:rPr>
        <w:t>”</w:t>
      </w:r>
      <w:r>
        <w:rPr>
          <w:rFonts w:hint="eastAsia" w:ascii="仿宋" w:hAnsi="仿宋" w:eastAsia="仿宋" w:cs="仿宋"/>
          <w:snapToGrid w:val="0"/>
          <w:color w:val="auto"/>
          <w:kern w:val="0"/>
          <w:sz w:val="24"/>
          <w:szCs w:val="24"/>
          <w:highlight w:val="none"/>
          <w:lang w:val="zh-CN"/>
        </w:rPr>
        <w:t>系指实质性的要求条款。</w:t>
      </w:r>
    </w:p>
    <w:p w14:paraId="187C70DA">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2.21“</w:t>
      </w:r>
      <w:r>
        <w:rPr>
          <w:rFonts w:hint="eastAsia" w:ascii="仿宋" w:hAnsi="仿宋" w:eastAsia="仿宋" w:cs="仿宋"/>
          <w:snapToGrid w:val="0"/>
          <w:color w:val="auto"/>
          <w:kern w:val="0"/>
          <w:sz w:val="24"/>
          <w:szCs w:val="24"/>
          <w:highlight w:val="none"/>
          <w:lang w:val="zh-CN"/>
        </w:rPr>
        <w:t>★</w:t>
      </w:r>
      <w:r>
        <w:rPr>
          <w:rFonts w:hint="eastAsia" w:ascii="仿宋" w:hAnsi="仿宋" w:eastAsia="仿宋" w:cs="仿宋"/>
          <w:snapToGrid w:val="0"/>
          <w:color w:val="auto"/>
          <w:kern w:val="0"/>
          <w:sz w:val="24"/>
          <w:szCs w:val="24"/>
          <w:highlight w:val="none"/>
        </w:rPr>
        <w:t>”</w:t>
      </w:r>
      <w:r>
        <w:rPr>
          <w:rFonts w:hint="eastAsia" w:ascii="仿宋" w:hAnsi="仿宋" w:eastAsia="仿宋" w:cs="仿宋"/>
          <w:snapToGrid w:val="0"/>
          <w:color w:val="auto"/>
          <w:kern w:val="0"/>
          <w:sz w:val="24"/>
          <w:szCs w:val="24"/>
          <w:highlight w:val="none"/>
          <w:lang w:val="zh-CN"/>
        </w:rPr>
        <w:t>系指投标人应特别关注的条款。</w:t>
      </w:r>
    </w:p>
    <w:p w14:paraId="676CC629">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2.22政府采购政府要求说明</w:t>
      </w:r>
    </w:p>
    <w:p w14:paraId="363662C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1</w:t>
      </w:r>
      <w:r>
        <w:rPr>
          <w:rFonts w:hint="eastAsia" w:ascii="仿宋" w:hAnsi="仿宋" w:eastAsia="仿宋" w:cs="仿宋"/>
          <w:snapToGrid w:val="0"/>
          <w:color w:val="auto"/>
          <w:kern w:val="0"/>
          <w:sz w:val="24"/>
          <w:szCs w:val="24"/>
          <w:highlight w:val="none"/>
          <w:lang w:val="en-US" w:eastAsia="zh-CN"/>
        </w:rPr>
        <w:t>.</w:t>
      </w:r>
      <w:bookmarkStart w:id="20" w:name="OLE_LINK26"/>
      <w:r>
        <w:rPr>
          <w:rFonts w:hint="eastAsia" w:ascii="仿宋" w:hAnsi="仿宋" w:eastAsia="仿宋" w:cs="仿宋"/>
          <w:snapToGrid w:val="0"/>
          <w:color w:val="auto"/>
          <w:kern w:val="0"/>
          <w:sz w:val="24"/>
          <w:szCs w:val="24"/>
          <w:highlight w:val="none"/>
          <w:lang w:val="zh-CN"/>
        </w:rPr>
        <w:t>▲</w:t>
      </w:r>
      <w:bookmarkEnd w:id="20"/>
      <w:r>
        <w:rPr>
          <w:rFonts w:hint="eastAsia" w:ascii="仿宋" w:hAnsi="仿宋" w:eastAsia="仿宋" w:cs="仿宋"/>
          <w:snapToGrid w:val="0"/>
          <w:color w:val="auto"/>
          <w:kern w:val="0"/>
          <w:sz w:val="24"/>
          <w:szCs w:val="24"/>
          <w:highlight w:val="none"/>
          <w:lang w:val="zh-CN"/>
        </w:rPr>
        <w:t>本项目采购本国生产的货物、工程和服务，不允许采购进口产品</w:t>
      </w:r>
      <w:bookmarkStart w:id="21" w:name="OLE_LINK27"/>
      <w:r>
        <w:rPr>
          <w:rFonts w:hint="eastAsia" w:ascii="仿宋" w:hAnsi="仿宋" w:eastAsia="仿宋" w:cs="仿宋"/>
          <w:snapToGrid w:val="0"/>
          <w:color w:val="auto"/>
          <w:kern w:val="0"/>
          <w:sz w:val="24"/>
          <w:szCs w:val="24"/>
          <w:highlight w:val="none"/>
          <w:lang w:val="zh-CN"/>
        </w:rPr>
        <w:t>。</w:t>
      </w:r>
      <w:bookmarkEnd w:id="21"/>
    </w:p>
    <w:p w14:paraId="0C4A818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w:t>
      </w:r>
      <w:r>
        <w:rPr>
          <w:rFonts w:hint="eastAsia" w:ascii="仿宋" w:hAnsi="仿宋" w:eastAsia="仿宋" w:cs="仿宋"/>
          <w:snapToGrid w:val="0"/>
          <w:color w:val="auto"/>
          <w:kern w:val="0"/>
          <w:sz w:val="24"/>
          <w:szCs w:val="24"/>
          <w:highlight w:val="none"/>
          <w:lang w:val="zh-CN"/>
        </w:rPr>
        <w:t>支持绿色发展</w:t>
      </w:r>
    </w:p>
    <w:p w14:paraId="424ADF71">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w:t>
      </w:r>
      <w:r>
        <w:rPr>
          <w:rFonts w:hint="eastAsia" w:ascii="仿宋" w:hAnsi="仿宋" w:eastAsia="仿宋" w:cs="仿宋"/>
          <w:snapToGrid w:val="0"/>
          <w:color w:val="auto"/>
          <w:kern w:val="0"/>
          <w:sz w:val="24"/>
          <w:szCs w:val="24"/>
          <w:highlight w:val="none"/>
        </w:rPr>
        <w:t>1</w:t>
      </w:r>
      <w:r>
        <w:rPr>
          <w:rFonts w:hint="eastAsia" w:ascii="仿宋" w:hAnsi="仿宋" w:eastAsia="仿宋" w:cs="仿宋"/>
          <w:snapToGrid w:val="0"/>
          <w:color w:val="auto"/>
          <w:kern w:val="0"/>
          <w:sz w:val="24"/>
          <w:szCs w:val="24"/>
          <w:highlight w:val="none"/>
          <w:lang w:val="zh-CN"/>
        </w:rPr>
        <w:t>）▲节能产品的强制采购政策：【本项目不涉及强制节能产品】；</w:t>
      </w:r>
    </w:p>
    <w:p w14:paraId="0F810670">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（2）节能产品、环境标志产品的优先采购政策：【本项目不涉及节能产品、环境标志产品】；</w:t>
      </w:r>
    </w:p>
    <w:p w14:paraId="7BFF6DAA">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（3）修缮、装修类项目采购建材的，供应商应按采购文件和合同规定的绿色建筑和绿色建材性能、指标进行采购。【本项目不涉及建材】；</w:t>
      </w:r>
    </w:p>
    <w:p w14:paraId="3C29F9BB">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eastAsia="zh-CN"/>
        </w:rPr>
      </w:pPr>
      <w:r>
        <w:rPr>
          <w:rFonts w:hint="eastAsia" w:ascii="仿宋" w:hAnsi="仿宋" w:eastAsia="仿宋" w:cs="仿宋"/>
          <w:snapToGrid w:val="0"/>
          <w:color w:val="auto"/>
          <w:kern w:val="0"/>
          <w:sz w:val="24"/>
          <w:szCs w:val="24"/>
          <w:highlight w:val="none"/>
          <w:lang w:val="zh-CN"/>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本项目不涉及商品包装和快递包装】。</w:t>
      </w:r>
    </w:p>
    <w:p w14:paraId="7E5EE147">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3</w:t>
      </w:r>
      <w:r>
        <w:rPr>
          <w:rFonts w:hint="eastAsia" w:ascii="仿宋" w:hAnsi="仿宋" w:eastAsia="仿宋" w:cs="仿宋"/>
          <w:snapToGrid w:val="0"/>
          <w:color w:val="auto"/>
          <w:kern w:val="0"/>
          <w:sz w:val="24"/>
          <w:szCs w:val="24"/>
          <w:highlight w:val="none"/>
          <w:lang w:val="en-US" w:eastAsia="zh-CN"/>
        </w:rPr>
        <w:t>.</w:t>
      </w:r>
      <w:r>
        <w:rPr>
          <w:rFonts w:hint="eastAsia" w:ascii="仿宋" w:hAnsi="仿宋" w:eastAsia="仿宋" w:cs="仿宋"/>
          <w:snapToGrid w:val="0"/>
          <w:color w:val="auto"/>
          <w:kern w:val="0"/>
          <w:sz w:val="24"/>
          <w:szCs w:val="24"/>
          <w:highlight w:val="none"/>
          <w:lang w:val="zh-CN"/>
        </w:rPr>
        <w:t>支持创新发展</w:t>
      </w:r>
    </w:p>
    <w:p w14:paraId="438B1E6C">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（1）采购人优先采购被认定为首台套产品和“制造精品”的自主创新产品。【本项目不涉及】；</w:t>
      </w:r>
    </w:p>
    <w:p w14:paraId="4F6343D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rPr>
        <w:t>4</w:t>
      </w:r>
      <w:r>
        <w:rPr>
          <w:rFonts w:hint="eastAsia" w:ascii="仿宋" w:hAnsi="仿宋" w:eastAsia="仿宋" w:cs="仿宋"/>
          <w:snapToGrid w:val="0"/>
          <w:color w:val="auto"/>
          <w:kern w:val="0"/>
          <w:sz w:val="24"/>
          <w:szCs w:val="24"/>
          <w:highlight w:val="none"/>
          <w:lang w:val="en-US" w:eastAsia="zh-CN"/>
        </w:rPr>
        <w:t>.</w:t>
      </w:r>
      <w:r>
        <w:rPr>
          <w:rFonts w:hint="eastAsia" w:ascii="仿宋" w:hAnsi="仿宋" w:eastAsia="仿宋" w:cs="仿宋"/>
          <w:snapToGrid w:val="0"/>
          <w:color w:val="auto"/>
          <w:kern w:val="0"/>
          <w:sz w:val="24"/>
          <w:szCs w:val="24"/>
          <w:highlight w:val="none"/>
          <w:lang w:val="zh-CN"/>
        </w:rPr>
        <w:t>支持中小企业发展</w:t>
      </w:r>
    </w:p>
    <w:p w14:paraId="31632E1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（1）根据财政部、工业和信息化部关于印发《政府采购促进中小企业发展管理办法》的通知（财库〔2020〕46号）的规定，本项目属于专门面向中小企业采购项目，</w:t>
      </w:r>
      <w:r>
        <w:rPr>
          <w:rFonts w:hint="eastAsia" w:ascii="仿宋" w:hAnsi="仿宋" w:eastAsia="仿宋" w:cs="仿宋"/>
          <w:snapToGrid w:val="0"/>
          <w:color w:val="auto"/>
          <w:kern w:val="0"/>
          <w:sz w:val="24"/>
          <w:szCs w:val="24"/>
          <w:highlight w:val="none"/>
          <w:u w:val="single"/>
          <w:lang w:val="zh-CN"/>
        </w:rPr>
        <w:t>对于专门面向中、小、微型企业或者监狱企业或者残疾人福利性单位的政府采购货物或服务项目或工程项目，符合资格条件的不再执行价格评审优惠的扶持政策。</w:t>
      </w:r>
    </w:p>
    <w:p w14:paraId="4F7977A7">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采购标的对应的中小企业划分标准所属行业：</w:t>
      </w:r>
      <w:r>
        <w:rPr>
          <w:rFonts w:hint="eastAsia" w:ascii="仿宋" w:hAnsi="仿宋" w:eastAsia="仿宋" w:cs="仿宋"/>
          <w:snapToGrid w:val="0"/>
          <w:color w:val="auto"/>
          <w:kern w:val="0"/>
          <w:sz w:val="24"/>
          <w:szCs w:val="24"/>
          <w:highlight w:val="none"/>
          <w:u w:val="single"/>
        </w:rPr>
        <w:t>【其他未列明行业】</w:t>
      </w:r>
      <w:r>
        <w:rPr>
          <w:rFonts w:hint="eastAsia" w:ascii="仿宋" w:hAnsi="仿宋" w:eastAsia="仿宋" w:cs="仿宋"/>
          <w:snapToGrid w:val="0"/>
          <w:color w:val="auto"/>
          <w:kern w:val="0"/>
          <w:sz w:val="24"/>
          <w:szCs w:val="24"/>
          <w:highlight w:val="none"/>
          <w:lang w:val="zh-CN"/>
        </w:rPr>
        <w:t>；</w:t>
      </w:r>
    </w:p>
    <w:p w14:paraId="721186D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中小企业划分标准：《中小企业划分标准》（工信部联企业[2011]300号）。</w:t>
      </w:r>
    </w:p>
    <w:p w14:paraId="1052F555">
      <w:pPr>
        <w:keepNext w:val="0"/>
        <w:keepLines w:val="0"/>
        <w:pageBreakBefore w:val="0"/>
        <w:widowControl w:val="0"/>
        <w:numPr>
          <w:ilvl w:val="0"/>
          <w:numId w:val="0"/>
        </w:numPr>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eastAsia="zh-CN" w:bidi="ar-SA"/>
        </w:rPr>
      </w:pPr>
      <w:r>
        <w:rPr>
          <w:rFonts w:hint="eastAsia" w:ascii="仿宋" w:hAnsi="仿宋" w:eastAsia="仿宋" w:cs="仿宋"/>
          <w:snapToGrid w:val="0"/>
          <w:color w:val="auto"/>
          <w:kern w:val="0"/>
          <w:sz w:val="24"/>
          <w:szCs w:val="24"/>
          <w:highlight w:val="none"/>
          <w:lang w:val="en-US" w:eastAsia="zh-CN" w:bidi="ar-SA"/>
        </w:rPr>
        <w:t>中</w:t>
      </w:r>
      <w:r>
        <w:rPr>
          <w:rFonts w:hint="eastAsia" w:ascii="仿宋" w:hAnsi="仿宋" w:eastAsia="仿宋" w:cs="仿宋"/>
          <w:snapToGrid w:val="0"/>
          <w:color w:val="auto"/>
          <w:kern w:val="0"/>
          <w:sz w:val="24"/>
          <w:szCs w:val="24"/>
          <w:highlight w:val="none"/>
          <w:lang w:val="zh-CN" w:eastAsia="zh-CN" w:bidi="ar-SA"/>
        </w:rPr>
        <w:t>小微企业划分标准：</w:t>
      </w:r>
      <w:r>
        <w:rPr>
          <w:rFonts w:hint="eastAsia" w:ascii="仿宋" w:hAnsi="仿宋" w:eastAsia="仿宋" w:cs="仿宋"/>
          <w:snapToGrid w:val="0"/>
          <w:color w:val="auto"/>
          <w:kern w:val="0"/>
          <w:sz w:val="24"/>
          <w:szCs w:val="24"/>
          <w:highlight w:val="none"/>
          <w:u w:val="single"/>
          <w:lang w:val="en-US" w:eastAsia="zh-CN" w:bidi="ar-SA"/>
        </w:rPr>
        <w:t>从业人员300人以下的为中小微型企业。其中，从业人员100人及以上的为中型企业；从业人员10人及以上的为小型企业；从业人员10人以下的为微型企业。</w:t>
      </w:r>
    </w:p>
    <w:p w14:paraId="085B3D3C">
      <w:pPr>
        <w:keepNext w:val="0"/>
        <w:keepLines w:val="0"/>
        <w:pageBreakBefore w:val="0"/>
        <w:widowControl w:val="0"/>
        <w:numPr>
          <w:ilvl w:val="0"/>
          <w:numId w:val="0"/>
        </w:numPr>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lang w:val="zh-CN" w:eastAsia="zh-CN" w:bidi="ar-SA"/>
        </w:rPr>
      </w:pPr>
      <w:r>
        <w:rPr>
          <w:rFonts w:hint="eastAsia" w:ascii="仿宋" w:hAnsi="仿宋" w:eastAsia="仿宋" w:cs="仿宋"/>
          <w:snapToGrid w:val="0"/>
          <w:color w:val="auto"/>
          <w:kern w:val="0"/>
          <w:sz w:val="24"/>
          <w:szCs w:val="24"/>
          <w:highlight w:val="none"/>
          <w:lang w:val="zh-CN" w:eastAsia="zh-CN" w:bidi="ar-SA"/>
        </w:rPr>
        <w:t>（2）根据财政部、司法部关于政府采购支持监狱企业发展有关问题的通知（财库〔2014〕68号）的规定，监狱企业【提供《监狱企业声明函》（格式详见第五章“应提交的有关格式范例”）及由省级以上监狱管理局、戒毒管理局（含新疆生产建设兵团）出具的属于监狱企业的证明文件】视同小型、微型企业。</w:t>
      </w:r>
    </w:p>
    <w:p w14:paraId="60BD5B52">
      <w:pPr>
        <w:keepNext w:val="0"/>
        <w:keepLines w:val="0"/>
        <w:pageBreakBefore w:val="0"/>
        <w:widowControl w:val="0"/>
        <w:numPr>
          <w:ilvl w:val="0"/>
          <w:numId w:val="0"/>
        </w:numPr>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zh-CN" w:eastAsia="zh-CN" w:bidi="ar-SA"/>
        </w:rPr>
        <w:t>（3）根据财政部、民政部、中国残疾人联合会关于促进残疾人就业政府采购政策的通知（财库〔2017〕141号）的规定，残疾人福利性单位【提供《残疾人福利性单位声明函》（格式详见第五章“应提交的有关格式范例”）】视同小型、微型企业。</w:t>
      </w:r>
    </w:p>
    <w:p w14:paraId="3DB988D5">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3.合格的投标人及合格的投标货物和服务</w:t>
      </w:r>
    </w:p>
    <w:p w14:paraId="116BB710">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 xml:space="preserve">3.1合格的投标人 </w:t>
      </w:r>
    </w:p>
    <w:p w14:paraId="5BB4E0FC">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b/>
          <w:bCs/>
          <w:color w:val="auto"/>
          <w:sz w:val="24"/>
          <w:szCs w:val="24"/>
          <w:highlight w:val="none"/>
          <w:u w:val="single"/>
        </w:rPr>
      </w:pPr>
      <w:r>
        <w:rPr>
          <w:rFonts w:hint="eastAsia" w:ascii="仿宋" w:hAnsi="仿宋" w:eastAsia="仿宋" w:cs="仿宋"/>
          <w:snapToGrid w:val="0"/>
          <w:color w:val="auto"/>
          <w:kern w:val="0"/>
          <w:sz w:val="24"/>
          <w:szCs w:val="24"/>
          <w:highlight w:val="none"/>
        </w:rPr>
        <w:t>详见采购公告“二、申请人的资格要求”规定的投标人必须具备的资格条件并经评标委员会审查通过的。</w:t>
      </w:r>
    </w:p>
    <w:p w14:paraId="327E30C7">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3.2对投标人的限制</w:t>
      </w:r>
    </w:p>
    <w:p w14:paraId="5E59F79B">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3.3.1单位负责人（指法定代表人或者法律、行政法规规定代表单位行使职权的主要负责人）为同一人或者存在直接控股、管理关系的不同供应商不得分别参加同一合同项下的采购活动。违反本条规定的，相关投标均无效；</w:t>
      </w:r>
    </w:p>
    <w:p w14:paraId="73B7975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3.3.2为本项目提供过整体设计、规范编制或者项目管理、监理、检测等服务的供应商，不得再参加该采购项目的其他采购活动（不包括为该项目提供整体设计、规范编制或者项目管理、监理、检测等服务）；</w:t>
      </w:r>
    </w:p>
    <w:p w14:paraId="42F041B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3.3.3以联合体形式参加政府采购活动的，联合体各方不得再单独参加或者与其他供应商另外组成联合体参加同一合同项下的政府采购活动；</w:t>
      </w:r>
    </w:p>
    <w:p w14:paraId="53CD0EC5">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3.3.4为证明投标人拥有的业绩、荣誉、知识产权、项目案例等而在投标文件中提供的证明材料必须为供应商自身所有。不同法人、其他组织的资料与供应商无关。</w:t>
      </w:r>
    </w:p>
    <w:p w14:paraId="3ABD5F06">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3.3.5在政府采购活动中，采购人员及相关人员与供应商有下列利害关系之一的，应当回避：</w:t>
      </w:r>
    </w:p>
    <w:p w14:paraId="49CDAE7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（1）参加采购活动前3年内与供应商存在劳动关系；</w:t>
      </w:r>
    </w:p>
    <w:p w14:paraId="25DE9756">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（2）参加采购活动前3年内担任供应商的董事、监事；</w:t>
      </w:r>
    </w:p>
    <w:p w14:paraId="5FBDB74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（3）参加采购活动前3年内是供应商的控股股东或者实际控制人；</w:t>
      </w:r>
    </w:p>
    <w:p w14:paraId="3AAEF09B">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（4）与供应商的法定代表人或者负责人有夫妻、直系血亲、三代以内旁系血亲或者近姻亲关系；</w:t>
      </w:r>
    </w:p>
    <w:p w14:paraId="13113276">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（5）法定代表人或负责人或实际控制人存在股份控制或实际控制关系；</w:t>
      </w:r>
    </w:p>
    <w:p w14:paraId="0C7504C5">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（6）存在共同直接或间接投资设立子公司、联营企业和合营企业情况；</w:t>
      </w:r>
    </w:p>
    <w:p w14:paraId="21505765">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（7）存在分级代理或代销关系、同一生产制造商关系、管理关系、重要业务（占主营业务收入50%以上）或重要财务往来关系（如融资）等其他实质性控制关系；</w:t>
      </w:r>
    </w:p>
    <w:p w14:paraId="0264ECB5">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与供应商有其他可能影响政府采购活动公平、公正进行的关系。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062D6370">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4.相关说明</w:t>
      </w:r>
    </w:p>
    <w:p w14:paraId="2149174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见本须知“前附表”，同时还需注意以下事项：</w:t>
      </w:r>
    </w:p>
    <w:p w14:paraId="20440F3F">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4.1投标费用</w:t>
      </w:r>
    </w:p>
    <w:p w14:paraId="2A576B1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供应商应承担其参加投标所涉及的一切费用，不管投标结果如何，采购人对这些费用不负任何责任。</w:t>
      </w:r>
    </w:p>
    <w:p w14:paraId="097F2540">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4.2供应商应仔细阅读采购文件的所有内容，按照采购文件的要求提交投标文件。投标文件应对采购文件的要求作出实质性响应，并对所提供的全部资料的真实性承担法律责任。</w:t>
      </w:r>
    </w:p>
    <w:p w14:paraId="78394EFC">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4.3供应商投标所使用的资格、信誉、荣誉、业绩与企业认证必须为本法人所拥有。供应商投标拟派项目实施人员必须为本法人员工。</w:t>
      </w:r>
    </w:p>
    <w:p w14:paraId="056BA0E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4.4供应商应仔细阅读采购文件的所有内容，按照采购文件的要求提交投标文件，并对所提供的全部资料的真实性承担法律责任。</w:t>
      </w:r>
    </w:p>
    <w:p w14:paraId="196ED7C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4.5▲投标人对所投标项内的采购内容必须全部进行投标。</w:t>
      </w:r>
    </w:p>
    <w:p w14:paraId="7242E16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4.6不论采购人、招标代理机构向投标人发送的资料文件，还是投标人提出的问题，均采用书面形式，任何口头提问及答复一律无效。</w:t>
      </w:r>
    </w:p>
    <w:p w14:paraId="4F42BEE7">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4.7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可能对其作出不利的评审。</w:t>
      </w:r>
    </w:p>
    <w:p w14:paraId="0502526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4.8▲投标人应保证所投产品整体或其任一部分，均免受第三方提出的侵犯其专利权、商标权、著作权或其他知识产权</w:t>
      </w:r>
      <w:r>
        <w:rPr>
          <w:rFonts w:hint="eastAsia" w:ascii="仿宋" w:hAnsi="仿宋" w:eastAsia="仿宋" w:cs="仿宋"/>
          <w:snapToGrid w:val="0"/>
          <w:color w:val="auto"/>
          <w:kern w:val="0"/>
          <w:sz w:val="24"/>
          <w:szCs w:val="24"/>
          <w:highlight w:val="none"/>
          <w:lang w:val="en-US" w:eastAsia="zh-CN"/>
        </w:rPr>
        <w:t>或合法权益</w:t>
      </w:r>
      <w:r>
        <w:rPr>
          <w:rFonts w:hint="eastAsia" w:ascii="仿宋" w:hAnsi="仿宋" w:eastAsia="仿宋" w:cs="仿宋"/>
          <w:snapToGrid w:val="0"/>
          <w:color w:val="auto"/>
          <w:kern w:val="0"/>
          <w:sz w:val="24"/>
          <w:szCs w:val="24"/>
          <w:highlight w:val="none"/>
        </w:rPr>
        <w:t>的起诉。投标人应承担由此可能产生的一切法律责任和费用。</w:t>
      </w:r>
    </w:p>
    <w:p w14:paraId="4A4E116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4.9供应商在投标活动中提供任何虚假材料,其投标无效，并报监管部门查处；中标后发现的,按《政府采购货物和服务招标投标管理办法》（财政部令第87号）相关规定承担相应的法律责任。</w:t>
      </w:r>
    </w:p>
    <w:p w14:paraId="2BBC29E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5.保密</w:t>
      </w:r>
    </w:p>
    <w:p w14:paraId="1E8041E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参与招标投标活动的各方应对招标文件和投标文件中的商业和技术等秘密保密，违者应对此造成的后果承担法律责任。</w:t>
      </w:r>
    </w:p>
    <w:p w14:paraId="110CF3BE">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bCs/>
          <w:color w:val="auto"/>
          <w:sz w:val="28"/>
          <w:szCs w:val="28"/>
          <w:highlight w:val="none"/>
        </w:rPr>
      </w:pPr>
      <w:bookmarkStart w:id="22" w:name="_Toc240450078"/>
      <w:bookmarkStart w:id="23" w:name="_Toc251566651"/>
      <w:bookmarkStart w:id="24" w:name="_Toc18941"/>
      <w:bookmarkStart w:id="25" w:name="_Toc27862"/>
      <w:bookmarkStart w:id="26" w:name="_Toc4927"/>
      <w:r>
        <w:rPr>
          <w:rFonts w:hint="eastAsia" w:ascii="仿宋" w:hAnsi="仿宋" w:eastAsia="仿宋" w:cs="仿宋"/>
          <w:b/>
          <w:bCs/>
          <w:color w:val="auto"/>
          <w:sz w:val="28"/>
          <w:szCs w:val="28"/>
          <w:highlight w:val="none"/>
        </w:rPr>
        <w:t>二、</w:t>
      </w:r>
      <w:bookmarkEnd w:id="22"/>
      <w:bookmarkEnd w:id="23"/>
      <w:r>
        <w:rPr>
          <w:rFonts w:hint="eastAsia" w:ascii="仿宋" w:hAnsi="仿宋" w:eastAsia="仿宋" w:cs="仿宋"/>
          <w:b/>
          <w:bCs/>
          <w:color w:val="auto"/>
          <w:sz w:val="28"/>
          <w:szCs w:val="28"/>
          <w:highlight w:val="none"/>
        </w:rPr>
        <w:t>采购文件</w:t>
      </w:r>
      <w:bookmarkEnd w:id="24"/>
      <w:bookmarkEnd w:id="25"/>
      <w:bookmarkEnd w:id="26"/>
    </w:p>
    <w:p w14:paraId="00E2A17A">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6.采购文件构成</w:t>
      </w:r>
    </w:p>
    <w:p w14:paraId="45007134">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6.1本采购文件包括目录所示内容及所有按本须知第6、7条发出的补充资料。</w:t>
      </w:r>
    </w:p>
    <w:p w14:paraId="3047CB2C">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6.2除上述所列内容外，采购人和采购代理机构的任何工作人员对供应商所作的任何口头解释、介绍、答复，只能供供应商参考，对采购人、采购代理机构和供应商无任何约束力。</w:t>
      </w:r>
    </w:p>
    <w:p w14:paraId="1180A001">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6.3采购文件是招标过程进行的有效依据，也是成交后签订合同的依据，对双方均具有约束力，凡不遵守采购文件规定或对采购文件的实质性内容不响应的，将可能被拒绝或以无效标处理。</w:t>
      </w:r>
    </w:p>
    <w:p w14:paraId="3E7B7D56">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6.4本采购文件由采购人或采购代理机构依据相关法律、法规、规章、省市规定及采购文件进行解释。</w:t>
      </w:r>
    </w:p>
    <w:p w14:paraId="6E519958">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7</w:t>
      </w:r>
      <w:r>
        <w:rPr>
          <w:rFonts w:hint="eastAsia" w:ascii="仿宋" w:hAnsi="仿宋" w:eastAsia="仿宋" w:cs="仿宋"/>
          <w:b/>
          <w:snapToGrid w:val="0"/>
          <w:color w:val="auto"/>
          <w:kern w:val="0"/>
          <w:sz w:val="24"/>
          <w:szCs w:val="24"/>
          <w:highlight w:val="none"/>
          <w:lang w:val="en-US" w:eastAsia="zh-CN"/>
        </w:rPr>
        <w:t>.</w:t>
      </w:r>
      <w:r>
        <w:rPr>
          <w:rFonts w:hint="eastAsia" w:ascii="仿宋" w:hAnsi="仿宋" w:eastAsia="仿宋" w:cs="仿宋"/>
          <w:b/>
          <w:snapToGrid w:val="0"/>
          <w:color w:val="auto"/>
          <w:kern w:val="0"/>
          <w:sz w:val="24"/>
          <w:szCs w:val="24"/>
          <w:highlight w:val="none"/>
        </w:rPr>
        <w:t>采购文件的澄清</w:t>
      </w:r>
    </w:p>
    <w:p w14:paraId="45764BC2">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7.1供应商在获取采购文件后，若有问题需要澄清或认为有必要与采购人进行技术交流，应于投标截止时间前，将问题发电子邮件至</w:t>
      </w:r>
      <w:r>
        <w:rPr>
          <w:rFonts w:hint="eastAsia" w:ascii="仿宋" w:hAnsi="仿宋" w:eastAsia="仿宋" w:cs="仿宋"/>
          <w:snapToGrid w:val="0"/>
          <w:color w:val="auto"/>
          <w:kern w:val="0"/>
          <w:sz w:val="24"/>
          <w:szCs w:val="24"/>
          <w:highlight w:val="none"/>
          <w:lang w:val="en-US" w:eastAsia="zh-CN"/>
        </w:rPr>
        <w:t>953598720@qq.com</w:t>
      </w:r>
      <w:r>
        <w:rPr>
          <w:rFonts w:hint="eastAsia" w:ascii="仿宋" w:hAnsi="仿宋" w:eastAsia="仿宋" w:cs="仿宋"/>
          <w:snapToGrid w:val="0"/>
          <w:color w:val="auto"/>
          <w:kern w:val="0"/>
          <w:sz w:val="24"/>
          <w:szCs w:val="24"/>
          <w:highlight w:val="none"/>
        </w:rPr>
        <w:t>（电子邮件与书面文件有不一致的，以书面文件为准）。截止期后的疑问将不予受理、答复。</w:t>
      </w:r>
    </w:p>
    <w:p w14:paraId="0A689F3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7.2供应商要求解释或澄清的问题应以书面形式送达，并加盖公章、写明日期。</w:t>
      </w:r>
    </w:p>
    <w:p w14:paraId="3D2C0749">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7.3所有要求解释或澄清的问题都予以解答，答疑内容与补充内容以更正（澄清）公告形式告知所有获取采购文件的供应商。</w:t>
      </w:r>
    </w:p>
    <w:p w14:paraId="718ED2D3">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8.采购文件的修改</w:t>
      </w:r>
    </w:p>
    <w:p w14:paraId="251BB43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8.1采购人或者采购代理机构可以对已发出的采购文件进行必要的澄清或者修改。澄清或者修改的内容可能影响投标文件编制的，采购人或者采购代理机构应当在投标截止时间至少15日前，以更正（澄清）公告形式通知所有获取采购文件的潜在供应商；不足15日的，采购人或者采购代理机构应当顺延提交投标文件的截止时间。</w:t>
      </w:r>
    </w:p>
    <w:p w14:paraId="754459DD">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8.2采购文件的修改将以更正（澄清）公告通知所有获取采购文件的供应商，并对其具有约束力。供应商</w:t>
      </w:r>
      <w:r>
        <w:rPr>
          <w:rFonts w:hint="eastAsia" w:ascii="仿宋" w:hAnsi="仿宋" w:eastAsia="仿宋" w:cs="仿宋"/>
          <w:color w:val="auto"/>
          <w:sz w:val="24"/>
          <w:szCs w:val="24"/>
          <w:highlight w:val="none"/>
        </w:rPr>
        <w:t>应及时关注浙江政府采购网上该项目的公告信息</w:t>
      </w:r>
      <w:r>
        <w:rPr>
          <w:rFonts w:hint="eastAsia" w:ascii="仿宋" w:hAnsi="仿宋" w:eastAsia="仿宋" w:cs="仿宋"/>
          <w:snapToGrid w:val="0"/>
          <w:color w:val="auto"/>
          <w:kern w:val="0"/>
          <w:sz w:val="24"/>
          <w:szCs w:val="24"/>
          <w:highlight w:val="none"/>
        </w:rPr>
        <w:t>。</w:t>
      </w:r>
    </w:p>
    <w:p w14:paraId="65C11A58">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8.3在更正（澄清）公告发布后，如果供应商认为编制投标文件的时间不充分的，必须在公告发布之日的24小时内通知采购人和采购代理机构。否则，视同供应商有充足时间编制投标文件。</w:t>
      </w:r>
    </w:p>
    <w:p w14:paraId="5DAC781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8.4采购文件澄清、答复、修改、补充的内容为采购文件的组成部分。当采购文件与采购文件的答复、澄清、修改、补充通知就同一内容的表述不一致时，以最后发出的更正（澄清）公告为准。</w:t>
      </w:r>
    </w:p>
    <w:p w14:paraId="016336F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8.5采购文件的澄清、答复、修改或补充都应该通过本代理机构以法定形式发布，除此以外的发布不属于采购文件的组成部分。</w:t>
      </w:r>
    </w:p>
    <w:p w14:paraId="0DBB642A">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bCs/>
          <w:color w:val="auto"/>
          <w:sz w:val="28"/>
          <w:szCs w:val="28"/>
          <w:highlight w:val="none"/>
        </w:rPr>
      </w:pPr>
      <w:bookmarkStart w:id="27" w:name="_Toc15075"/>
      <w:bookmarkStart w:id="28" w:name="_Toc240450079"/>
      <w:bookmarkStart w:id="29" w:name="_Toc251566652"/>
      <w:bookmarkStart w:id="30" w:name="_Toc22768"/>
      <w:bookmarkStart w:id="31" w:name="_Toc31368"/>
      <w:r>
        <w:rPr>
          <w:rFonts w:hint="eastAsia" w:ascii="仿宋" w:hAnsi="仿宋" w:eastAsia="仿宋" w:cs="仿宋"/>
          <w:b/>
          <w:bCs/>
          <w:color w:val="auto"/>
          <w:sz w:val="28"/>
          <w:szCs w:val="28"/>
          <w:highlight w:val="none"/>
        </w:rPr>
        <w:t>三、投标文件的编制</w:t>
      </w:r>
      <w:bookmarkEnd w:id="27"/>
      <w:bookmarkEnd w:id="28"/>
      <w:bookmarkEnd w:id="29"/>
      <w:bookmarkEnd w:id="30"/>
      <w:bookmarkEnd w:id="31"/>
    </w:p>
    <w:p w14:paraId="7726599E">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供应商应认真阅读采购文件中所有的事项、格式、条款和技术要求等。如果供应商没有按照采购文件要求和规定编制投标文件及提交全部资料，或者投标没有对采购文件中各方面作出实质性响应，其风险应由供应商承担。</w:t>
      </w:r>
    </w:p>
    <w:p w14:paraId="3D189059">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投标人应确保所提供投标文件资料的有效性和真实性，所有文件资料必须是针对本次投标的。如发现投标人在投标活动中提供虚假文件资料，其投标无效，并报监管部门查处；中标后发现的，中标人还须按照《中华人民共和国消费者权益保护法》第49条之规定双倍赔偿采购人，且民事赔偿并不免除违法投标人的行政与刑事责任。</w:t>
      </w:r>
    </w:p>
    <w:p w14:paraId="22F7B24C">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9.投标文件的语言、计量单位、形式及效力</w:t>
      </w:r>
    </w:p>
    <w:p w14:paraId="5EFEB7FB">
      <w:pPr>
        <w:keepNext w:val="0"/>
        <w:keepLines w:val="0"/>
        <w:pageBreakBefore w:val="0"/>
        <w:widowControl w:val="0"/>
        <w:kinsoku/>
        <w:wordWrap/>
        <w:overflowPunct/>
        <w:topLinePunct w:val="0"/>
        <w:autoSpaceDE/>
        <w:autoSpaceDN/>
        <w:bidi w:val="0"/>
        <w:adjustRightInd w:val="0"/>
        <w:snapToGrid w:val="0"/>
        <w:spacing w:line="43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9.1语言及计量单位</w:t>
      </w:r>
    </w:p>
    <w:p w14:paraId="7EA7D721">
      <w:pPr>
        <w:keepNext w:val="0"/>
        <w:keepLines w:val="0"/>
        <w:pageBreakBefore w:val="0"/>
        <w:widowControl w:val="0"/>
        <w:kinsoku/>
        <w:wordWrap/>
        <w:overflowPunct/>
        <w:topLinePunct w:val="0"/>
        <w:autoSpaceDE/>
        <w:autoSpaceDN/>
        <w:bidi w:val="0"/>
        <w:adjustRightInd w:val="0"/>
        <w:snapToGrid w:val="0"/>
        <w:spacing w:line="43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9.1.1投标文件及供应商与采购人之间与投标有关的来往通知、函件和文件均应使用简体中文。除签名、盖章、专用名称等特殊情形外，以中文汉语以外的文字表述的投标文件视同未提供。供应商提交的支持文件和印刷的文献可以用另一种语言，但相应内容应附有中文翻译文本，在解释投标文件时以中文翻译文本为准。</w:t>
      </w:r>
    </w:p>
    <w:p w14:paraId="5C9458EE">
      <w:pPr>
        <w:keepNext w:val="0"/>
        <w:keepLines w:val="0"/>
        <w:pageBreakBefore w:val="0"/>
        <w:widowControl w:val="0"/>
        <w:kinsoku/>
        <w:wordWrap/>
        <w:overflowPunct/>
        <w:topLinePunct w:val="0"/>
        <w:autoSpaceDE/>
        <w:autoSpaceDN/>
        <w:bidi w:val="0"/>
        <w:adjustRightInd w:val="0"/>
        <w:snapToGrid w:val="0"/>
        <w:spacing w:line="43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9.1.2除采购文件另有规定外，投标文件所使用的计量单位，均须采用中华人民共和国法定计量单位，否则视同未响应。</w:t>
      </w:r>
    </w:p>
    <w:p w14:paraId="2679AB7C">
      <w:pPr>
        <w:keepNext w:val="0"/>
        <w:keepLines w:val="0"/>
        <w:pageBreakBefore w:val="0"/>
        <w:widowControl w:val="0"/>
        <w:kinsoku/>
        <w:wordWrap/>
        <w:overflowPunct/>
        <w:topLinePunct w:val="0"/>
        <w:autoSpaceDE/>
        <w:autoSpaceDN/>
        <w:bidi w:val="0"/>
        <w:adjustRightInd w:val="0"/>
        <w:snapToGrid w:val="0"/>
        <w:spacing w:line="43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10</w:t>
      </w:r>
      <w:r>
        <w:rPr>
          <w:rFonts w:hint="eastAsia" w:ascii="仿宋" w:hAnsi="仿宋" w:eastAsia="仿宋" w:cs="仿宋"/>
          <w:b/>
          <w:snapToGrid w:val="0"/>
          <w:color w:val="auto"/>
          <w:kern w:val="0"/>
          <w:sz w:val="24"/>
          <w:szCs w:val="24"/>
          <w:highlight w:val="none"/>
          <w:lang w:val="en-US" w:eastAsia="zh-CN"/>
        </w:rPr>
        <w:t>.</w:t>
      </w:r>
      <w:r>
        <w:rPr>
          <w:rFonts w:hint="eastAsia" w:ascii="仿宋" w:hAnsi="仿宋" w:eastAsia="仿宋" w:cs="仿宋"/>
          <w:b/>
          <w:snapToGrid w:val="0"/>
          <w:color w:val="auto"/>
          <w:kern w:val="0"/>
          <w:sz w:val="24"/>
          <w:szCs w:val="24"/>
          <w:highlight w:val="none"/>
        </w:rPr>
        <w:t>投标文件构成</w:t>
      </w:r>
    </w:p>
    <w:p w14:paraId="739B4FA6">
      <w:pPr>
        <w:keepNext w:val="0"/>
        <w:keepLines w:val="0"/>
        <w:pageBreakBefore w:val="0"/>
        <w:widowControl w:val="0"/>
        <w:kinsoku/>
        <w:wordWrap/>
        <w:overflowPunct/>
        <w:topLinePunct w:val="0"/>
        <w:autoSpaceDE/>
        <w:autoSpaceDN/>
        <w:bidi w:val="0"/>
        <w:adjustRightInd w:val="0"/>
        <w:snapToGrid w:val="0"/>
        <w:spacing w:line="43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供应商向采购人递交的投标文件均由</w:t>
      </w:r>
      <w:r>
        <w:rPr>
          <w:rFonts w:hint="eastAsia" w:ascii="仿宋" w:hAnsi="仿宋" w:eastAsia="仿宋" w:cs="仿宋"/>
          <w:b/>
          <w:bCs/>
          <w:snapToGrid w:val="0"/>
          <w:color w:val="auto"/>
          <w:kern w:val="0"/>
          <w:sz w:val="24"/>
          <w:szCs w:val="24"/>
          <w:highlight w:val="none"/>
        </w:rPr>
        <w:t>资格审查文件、商务技术文件、报价文件</w:t>
      </w:r>
      <w:r>
        <w:rPr>
          <w:rFonts w:hint="eastAsia" w:ascii="仿宋" w:hAnsi="仿宋" w:eastAsia="仿宋" w:cs="仿宋"/>
          <w:snapToGrid w:val="0"/>
          <w:color w:val="auto"/>
          <w:kern w:val="0"/>
          <w:sz w:val="24"/>
          <w:szCs w:val="24"/>
          <w:highlight w:val="none"/>
        </w:rPr>
        <w:t>组成，具体内容如下：</w:t>
      </w:r>
    </w:p>
    <w:p w14:paraId="477A8727">
      <w:pPr>
        <w:pStyle w:val="87"/>
        <w:keepNext w:val="0"/>
        <w:keepLines w:val="0"/>
        <w:pageBreakBefore w:val="0"/>
        <w:widowControl w:val="0"/>
        <w:kinsoku/>
        <w:wordWrap/>
        <w:overflowPunct/>
        <w:topLinePunct w:val="0"/>
        <w:autoSpaceDE/>
        <w:autoSpaceDN/>
        <w:bidi w:val="0"/>
        <w:spacing w:after="0" w:line="430" w:lineRule="exact"/>
        <w:ind w:left="0" w:leftChars="0" w:firstLine="482"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b/>
          <w:bCs/>
          <w:snapToGrid w:val="0"/>
          <w:color w:val="auto"/>
          <w:kern w:val="0"/>
          <w:sz w:val="24"/>
          <w:szCs w:val="24"/>
          <w:highlight w:val="none"/>
        </w:rPr>
        <w:t>1</w:t>
      </w:r>
      <w:r>
        <w:rPr>
          <w:rFonts w:hint="eastAsia" w:ascii="仿宋" w:hAnsi="仿宋" w:eastAsia="仿宋" w:cs="仿宋"/>
          <w:b/>
          <w:bCs/>
          <w:snapToGrid w:val="0"/>
          <w:color w:val="auto"/>
          <w:kern w:val="0"/>
          <w:sz w:val="24"/>
          <w:szCs w:val="24"/>
          <w:highlight w:val="none"/>
          <w:lang w:val="en-US" w:eastAsia="zh-CN"/>
        </w:rPr>
        <w:t>0</w:t>
      </w:r>
      <w:r>
        <w:rPr>
          <w:rFonts w:hint="eastAsia" w:ascii="仿宋" w:hAnsi="仿宋" w:eastAsia="仿宋" w:cs="仿宋"/>
          <w:b/>
          <w:bCs/>
          <w:snapToGrid w:val="0"/>
          <w:color w:val="auto"/>
          <w:kern w:val="0"/>
          <w:sz w:val="24"/>
          <w:szCs w:val="24"/>
          <w:highlight w:val="none"/>
        </w:rPr>
        <w:t>.1资格审查文件</w:t>
      </w:r>
    </w:p>
    <w:tbl>
      <w:tblPr>
        <w:tblStyle w:val="88"/>
        <w:tblW w:w="9780" w:type="dxa"/>
        <w:tblInd w:w="-4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4379"/>
        <w:gridCol w:w="4669"/>
      </w:tblGrid>
      <w:tr w14:paraId="7C28A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2" w:type="dxa"/>
          </w:tcPr>
          <w:p w14:paraId="168C4E89">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b/>
                <w:color w:val="auto"/>
                <w:sz w:val="24"/>
                <w:szCs w:val="24"/>
                <w:highlight w:val="none"/>
              </w:rPr>
            </w:pPr>
            <w:bookmarkStart w:id="32" w:name="_Toc16764"/>
            <w:r>
              <w:rPr>
                <w:rFonts w:hint="eastAsia" w:ascii="仿宋" w:hAnsi="仿宋" w:eastAsia="仿宋" w:cs="仿宋"/>
                <w:b/>
                <w:color w:val="auto"/>
                <w:sz w:val="24"/>
                <w:szCs w:val="24"/>
                <w:highlight w:val="none"/>
              </w:rPr>
              <w:t>序号</w:t>
            </w:r>
          </w:p>
        </w:tc>
        <w:tc>
          <w:tcPr>
            <w:tcW w:w="9048" w:type="dxa"/>
            <w:gridSpan w:val="2"/>
          </w:tcPr>
          <w:p w14:paraId="5A5A2AD2">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内容</w:t>
            </w:r>
          </w:p>
        </w:tc>
      </w:tr>
      <w:tr w14:paraId="707DB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80" w:type="dxa"/>
            <w:gridSpan w:val="3"/>
            <w:vAlign w:val="center"/>
          </w:tcPr>
          <w:p w14:paraId="77E470B8">
            <w:pPr>
              <w:keepNext w:val="0"/>
              <w:keepLines w:val="0"/>
              <w:pageBreakBefore w:val="0"/>
              <w:widowControl w:val="0"/>
              <w:kinsoku/>
              <w:wordWrap/>
              <w:overflowPunct w:val="0"/>
              <w:topLinePunct w:val="0"/>
              <w:autoSpaceDE/>
              <w:autoSpaceDN/>
              <w:bidi w:val="0"/>
              <w:adjustRightInd/>
              <w:snapToGrid/>
              <w:spacing w:line="35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u w:val="single"/>
              </w:rPr>
              <w:t>▲资格审查文件（强制性要求，供应商</w:t>
            </w:r>
            <w:r>
              <w:rPr>
                <w:rFonts w:hint="eastAsia" w:ascii="仿宋" w:hAnsi="仿宋" w:eastAsia="仿宋" w:cs="仿宋"/>
                <w:b/>
                <w:color w:val="auto"/>
                <w:sz w:val="24"/>
                <w:szCs w:val="24"/>
                <w:highlight w:val="none"/>
                <w:u w:val="single"/>
                <w:lang w:val="zh-CN"/>
              </w:rPr>
              <w:t>须按以下要求提供资格</w:t>
            </w:r>
            <w:r>
              <w:rPr>
                <w:rFonts w:hint="eastAsia" w:ascii="仿宋" w:hAnsi="仿宋" w:eastAsia="仿宋" w:cs="仿宋"/>
                <w:b/>
                <w:color w:val="auto"/>
                <w:sz w:val="24"/>
                <w:szCs w:val="24"/>
                <w:highlight w:val="none"/>
                <w:u w:val="single"/>
              </w:rPr>
              <w:t>审查</w:t>
            </w:r>
            <w:r>
              <w:rPr>
                <w:rFonts w:hint="eastAsia" w:ascii="仿宋" w:hAnsi="仿宋" w:eastAsia="仿宋" w:cs="仿宋"/>
                <w:b/>
                <w:color w:val="auto"/>
                <w:sz w:val="24"/>
                <w:szCs w:val="24"/>
                <w:highlight w:val="none"/>
                <w:u w:val="single"/>
                <w:lang w:val="zh-CN"/>
              </w:rPr>
              <w:t>文件，否则资格性审查不通过的，责任自负</w:t>
            </w:r>
            <w:r>
              <w:rPr>
                <w:rFonts w:hint="eastAsia" w:ascii="仿宋" w:hAnsi="仿宋" w:eastAsia="仿宋" w:cs="仿宋"/>
                <w:b/>
                <w:color w:val="auto"/>
                <w:sz w:val="24"/>
                <w:szCs w:val="24"/>
                <w:highlight w:val="none"/>
                <w:u w:val="single"/>
              </w:rPr>
              <w:t>）</w:t>
            </w:r>
          </w:p>
        </w:tc>
      </w:tr>
      <w:tr w14:paraId="78791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2" w:type="dxa"/>
            <w:vAlign w:val="center"/>
          </w:tcPr>
          <w:p w14:paraId="2F3AF6DB">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379" w:type="dxa"/>
            <w:vAlign w:val="center"/>
          </w:tcPr>
          <w:p w14:paraId="2166620E">
            <w:pPr>
              <w:keepNext w:val="0"/>
              <w:keepLines w:val="0"/>
              <w:pageBreakBefore w:val="0"/>
              <w:widowControl w:val="0"/>
              <w:kinsoku/>
              <w:wordWrap/>
              <w:overflowPunct/>
              <w:topLinePunct w:val="0"/>
              <w:autoSpaceDE/>
              <w:autoSpaceDN/>
              <w:bidi w:val="0"/>
              <w:adjustRightInd/>
              <w:snapToGrid/>
              <w:spacing w:line="35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符合参加政府采购活动应当具备的一般条件的承诺函</w:t>
            </w:r>
          </w:p>
        </w:tc>
        <w:tc>
          <w:tcPr>
            <w:tcW w:w="4669" w:type="dxa"/>
            <w:vAlign w:val="center"/>
          </w:tcPr>
          <w:p w14:paraId="6078FBB7">
            <w:pPr>
              <w:keepNext w:val="0"/>
              <w:keepLines w:val="0"/>
              <w:pageBreakBefore w:val="0"/>
              <w:widowControl w:val="0"/>
              <w:kinsoku/>
              <w:wordWrap/>
              <w:topLinePunct w:val="0"/>
              <w:autoSpaceDE/>
              <w:autoSpaceDN/>
              <w:bidi w:val="0"/>
              <w:adjustRightInd/>
              <w:snapToGrid/>
              <w:spacing w:line="3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供应商须在投标文件中出具符合参加政府采购活动应当具备的一般条件的承诺函</w:t>
            </w:r>
            <w:r>
              <w:rPr>
                <w:rFonts w:hint="eastAsia" w:ascii="仿宋" w:hAnsi="仿宋" w:eastAsia="仿宋" w:cs="仿宋"/>
                <w:color w:val="auto"/>
                <w:sz w:val="24"/>
                <w:szCs w:val="24"/>
                <w:highlight w:val="none"/>
              </w:rPr>
              <w:t>（详见第五章应提交的有关格式范例）</w:t>
            </w:r>
          </w:p>
        </w:tc>
      </w:tr>
      <w:tr w14:paraId="64001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2" w:type="dxa"/>
            <w:vAlign w:val="center"/>
          </w:tcPr>
          <w:p w14:paraId="346B67B5">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4379" w:type="dxa"/>
            <w:vAlign w:val="center"/>
          </w:tcPr>
          <w:p w14:paraId="66557253">
            <w:pPr>
              <w:keepNext w:val="0"/>
              <w:keepLines w:val="0"/>
              <w:pageBreakBefore w:val="0"/>
              <w:widowControl w:val="0"/>
              <w:kinsoku/>
              <w:wordWrap/>
              <w:overflowPunct/>
              <w:topLinePunct w:val="0"/>
              <w:autoSpaceDE/>
              <w:autoSpaceDN/>
              <w:bidi w:val="0"/>
              <w:adjustRightInd/>
              <w:snapToGrid/>
              <w:spacing w:line="35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具有独立承担民事责任的能力证明材料</w:t>
            </w:r>
          </w:p>
        </w:tc>
        <w:tc>
          <w:tcPr>
            <w:tcW w:w="4669" w:type="dxa"/>
            <w:vAlign w:val="center"/>
          </w:tcPr>
          <w:p w14:paraId="2BA50A7A">
            <w:pPr>
              <w:keepNext w:val="0"/>
              <w:keepLines w:val="0"/>
              <w:pageBreakBefore w:val="0"/>
              <w:widowControl w:val="0"/>
              <w:kinsoku/>
              <w:wordWrap/>
              <w:topLinePunct w:val="0"/>
              <w:autoSpaceDE/>
              <w:autoSpaceDN/>
              <w:bidi w:val="0"/>
              <w:adjustRightInd/>
              <w:snapToGrid/>
              <w:spacing w:line="3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有效的法人或者其他组织的营业执照等证明文件，自然人的身份证明；</w:t>
            </w:r>
          </w:p>
        </w:tc>
      </w:tr>
      <w:tr w14:paraId="0530D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732" w:type="dxa"/>
            <w:vAlign w:val="center"/>
          </w:tcPr>
          <w:p w14:paraId="266558E4">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4379" w:type="dxa"/>
            <w:vAlign w:val="center"/>
          </w:tcPr>
          <w:p w14:paraId="08A3EE0E">
            <w:pPr>
              <w:keepNext w:val="0"/>
              <w:keepLines w:val="0"/>
              <w:pageBreakBefore w:val="0"/>
              <w:widowControl w:val="0"/>
              <w:kinsoku/>
              <w:wordWrap/>
              <w:overflowPunct/>
              <w:topLinePunct w:val="0"/>
              <w:autoSpaceDE/>
              <w:autoSpaceDN/>
              <w:bidi w:val="0"/>
              <w:adjustRightInd/>
              <w:snapToGrid/>
              <w:spacing w:line="35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zh-CN"/>
              </w:rPr>
              <w:t>落实政府采购政策需满足的资格要求</w:t>
            </w:r>
            <w:r>
              <w:rPr>
                <w:rFonts w:hint="eastAsia" w:ascii="仿宋" w:hAnsi="仿宋" w:eastAsia="仿宋" w:cs="仿宋"/>
                <w:b/>
                <w:bCs/>
                <w:color w:val="auto"/>
                <w:sz w:val="24"/>
                <w:szCs w:val="24"/>
                <w:highlight w:val="none"/>
              </w:rPr>
              <w:t>证明材料</w:t>
            </w:r>
            <w:r>
              <w:rPr>
                <w:rFonts w:hint="eastAsia" w:ascii="仿宋" w:hAnsi="仿宋" w:eastAsia="仿宋" w:cs="仿宋"/>
                <w:b/>
                <w:bCs/>
                <w:color w:val="auto"/>
                <w:sz w:val="24"/>
                <w:szCs w:val="24"/>
                <w:highlight w:val="none"/>
                <w:lang w:val="zh-CN"/>
              </w:rPr>
              <w:t>：（1）本项目属于</w:t>
            </w:r>
            <w:r>
              <w:rPr>
                <w:rFonts w:hint="eastAsia" w:ascii="仿宋" w:hAnsi="仿宋" w:eastAsia="仿宋" w:cs="仿宋"/>
                <w:b/>
                <w:bCs/>
                <w:color w:val="auto"/>
                <w:sz w:val="24"/>
                <w:szCs w:val="24"/>
                <w:highlight w:val="none"/>
                <w:u w:val="single"/>
                <w:lang w:val="zh-CN"/>
              </w:rPr>
              <w:t>【其他未列明行业】</w:t>
            </w:r>
            <w:r>
              <w:rPr>
                <w:rFonts w:hint="eastAsia" w:ascii="仿宋" w:hAnsi="仿宋" w:eastAsia="仿宋" w:cs="仿宋"/>
                <w:b/>
                <w:bCs/>
                <w:color w:val="auto"/>
                <w:sz w:val="24"/>
                <w:szCs w:val="24"/>
                <w:highlight w:val="none"/>
                <w:lang w:val="zh-CN"/>
              </w:rPr>
              <w:t>，要求供应商为</w:t>
            </w:r>
            <w:r>
              <w:rPr>
                <w:rFonts w:hint="eastAsia" w:ascii="仿宋" w:hAnsi="仿宋" w:eastAsia="仿宋" w:cs="仿宋"/>
                <w:b/>
                <w:bCs/>
                <w:color w:val="auto"/>
                <w:sz w:val="24"/>
                <w:szCs w:val="24"/>
                <w:highlight w:val="none"/>
                <w:u w:val="single"/>
              </w:rPr>
              <w:t xml:space="preserve"> </w:t>
            </w:r>
            <w:r>
              <w:rPr>
                <w:rFonts w:hint="eastAsia" w:ascii="仿宋" w:hAnsi="仿宋" w:eastAsia="仿宋" w:cs="仿宋"/>
                <w:b/>
                <w:bCs/>
                <w:color w:val="auto"/>
                <w:sz w:val="24"/>
                <w:szCs w:val="24"/>
                <w:highlight w:val="none"/>
                <w:u w:val="single"/>
                <w:lang w:eastAsia="zh-CN"/>
              </w:rPr>
              <w:t>中小企业</w:t>
            </w:r>
            <w:r>
              <w:rPr>
                <w:rFonts w:hint="eastAsia" w:ascii="仿宋" w:hAnsi="仿宋" w:eastAsia="仿宋" w:cs="仿宋"/>
                <w:b/>
                <w:bCs/>
                <w:color w:val="auto"/>
                <w:sz w:val="24"/>
                <w:szCs w:val="24"/>
                <w:highlight w:val="none"/>
                <w:u w:val="single"/>
              </w:rPr>
              <w:t xml:space="preserve"> </w:t>
            </w:r>
            <w:r>
              <w:rPr>
                <w:rFonts w:hint="eastAsia" w:ascii="仿宋" w:hAnsi="仿宋" w:eastAsia="仿宋" w:cs="仿宋"/>
                <w:b/>
                <w:bCs/>
                <w:color w:val="auto"/>
                <w:sz w:val="24"/>
                <w:szCs w:val="24"/>
                <w:highlight w:val="none"/>
                <w:lang w:val="zh-CN"/>
              </w:rPr>
              <w:t>。</w:t>
            </w:r>
            <w:r>
              <w:rPr>
                <w:rFonts w:hint="eastAsia" w:ascii="仿宋" w:hAnsi="仿宋" w:eastAsia="仿宋" w:cs="仿宋"/>
                <w:b/>
                <w:bCs/>
                <w:color w:val="auto"/>
                <w:sz w:val="24"/>
                <w:szCs w:val="24"/>
                <w:highlight w:val="none"/>
              </w:rPr>
              <w:t>中小</w:t>
            </w:r>
            <w:r>
              <w:rPr>
                <w:rFonts w:hint="eastAsia" w:ascii="仿宋" w:hAnsi="仿宋" w:eastAsia="仿宋" w:cs="仿宋"/>
                <w:b/>
                <w:bCs/>
                <w:color w:val="auto"/>
                <w:sz w:val="24"/>
                <w:szCs w:val="24"/>
                <w:highlight w:val="none"/>
                <w:lang w:val="zh-CN"/>
              </w:rPr>
              <w:t>企业是指满足《政府采购促进中小企业发展管理办法》（财库〔2020〕46号）第二条规定的企业。监狱企业、残疾人福利性单位视为</w:t>
            </w:r>
            <w:r>
              <w:rPr>
                <w:rFonts w:hint="eastAsia" w:ascii="仿宋" w:hAnsi="仿宋" w:eastAsia="仿宋" w:cs="仿宋"/>
                <w:b/>
                <w:bCs/>
                <w:color w:val="auto"/>
                <w:sz w:val="24"/>
                <w:szCs w:val="24"/>
                <w:highlight w:val="none"/>
              </w:rPr>
              <w:t>小微</w:t>
            </w:r>
            <w:r>
              <w:rPr>
                <w:rFonts w:hint="eastAsia" w:ascii="仿宋" w:hAnsi="仿宋" w:eastAsia="仿宋" w:cs="仿宋"/>
                <w:b/>
                <w:bCs/>
                <w:color w:val="auto"/>
                <w:sz w:val="24"/>
                <w:szCs w:val="24"/>
                <w:highlight w:val="none"/>
                <w:lang w:val="zh-CN"/>
              </w:rPr>
              <w:t>企业。供应商需上传《中小企业声明函》等。</w:t>
            </w:r>
          </w:p>
        </w:tc>
        <w:tc>
          <w:tcPr>
            <w:tcW w:w="4669" w:type="dxa"/>
            <w:vAlign w:val="center"/>
          </w:tcPr>
          <w:p w14:paraId="29B187D9">
            <w:pPr>
              <w:pStyle w:val="3"/>
              <w:keepNext w:val="0"/>
              <w:keepLines w:val="0"/>
              <w:pageBreakBefore w:val="0"/>
              <w:widowControl w:val="0"/>
              <w:kinsoku/>
              <w:wordWrap/>
              <w:topLinePunct w:val="0"/>
              <w:autoSpaceDE/>
              <w:autoSpaceDN/>
              <w:bidi w:val="0"/>
              <w:adjustRightInd/>
              <w:snapToGrid/>
              <w:spacing w:after="0" w:line="3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sz w:val="24"/>
                <w:szCs w:val="24"/>
                <w:highlight w:val="none"/>
              </w:rPr>
              <w:t>供应商</w:t>
            </w:r>
            <w:r>
              <w:rPr>
                <w:rFonts w:hint="eastAsia" w:ascii="仿宋" w:hAnsi="仿宋" w:eastAsia="仿宋" w:cs="仿宋"/>
                <w:color w:val="auto"/>
                <w:sz w:val="24"/>
                <w:szCs w:val="24"/>
                <w:highlight w:val="none"/>
                <w:lang w:val="zh-CN"/>
              </w:rPr>
              <w:t>须在</w:t>
            </w:r>
            <w:r>
              <w:rPr>
                <w:rFonts w:hint="eastAsia" w:ascii="仿宋" w:hAnsi="仿宋" w:eastAsia="仿宋" w:cs="仿宋"/>
                <w:color w:val="auto"/>
                <w:kern w:val="0"/>
                <w:sz w:val="24"/>
                <w:szCs w:val="24"/>
                <w:highlight w:val="none"/>
              </w:rPr>
              <w:t>投标文件中</w:t>
            </w:r>
            <w:r>
              <w:rPr>
                <w:rFonts w:hint="eastAsia" w:ascii="仿宋" w:hAnsi="仿宋" w:eastAsia="仿宋" w:cs="仿宋"/>
                <w:color w:val="auto"/>
                <w:sz w:val="24"/>
                <w:szCs w:val="24"/>
                <w:highlight w:val="none"/>
                <w:lang w:val="zh-CN"/>
              </w:rPr>
              <w:t>出具中小企业声明函/</w:t>
            </w:r>
            <w:bookmarkStart w:id="33" w:name="OLE_LINK18"/>
            <w:bookmarkStart w:id="34" w:name="OLE_LINK32"/>
            <w:r>
              <w:rPr>
                <w:rFonts w:hint="eastAsia" w:ascii="仿宋" w:hAnsi="仿宋" w:eastAsia="仿宋" w:cs="仿宋"/>
                <w:color w:val="auto"/>
                <w:sz w:val="24"/>
                <w:szCs w:val="24"/>
                <w:highlight w:val="none"/>
                <w:lang w:val="zh-CN"/>
              </w:rPr>
              <w:t>监狱企业声明函</w:t>
            </w:r>
            <w:bookmarkEnd w:id="33"/>
            <w:r>
              <w:rPr>
                <w:rFonts w:hint="eastAsia" w:ascii="仿宋" w:hAnsi="仿宋" w:eastAsia="仿宋" w:cs="仿宋"/>
                <w:color w:val="auto"/>
                <w:sz w:val="24"/>
                <w:szCs w:val="24"/>
                <w:highlight w:val="none"/>
                <w:lang w:val="zh-CN"/>
              </w:rPr>
              <w:t>及其相关的充分的证明材料</w:t>
            </w:r>
            <w:bookmarkEnd w:id="34"/>
            <w:r>
              <w:rPr>
                <w:rFonts w:hint="eastAsia" w:ascii="仿宋" w:hAnsi="仿宋" w:eastAsia="仿宋" w:cs="仿宋"/>
                <w:color w:val="auto"/>
                <w:sz w:val="24"/>
                <w:szCs w:val="24"/>
                <w:highlight w:val="none"/>
                <w:lang w:val="zh-CN"/>
              </w:rPr>
              <w:t>/残疾人福利性单位声明函</w:t>
            </w:r>
            <w:r>
              <w:rPr>
                <w:rFonts w:hint="eastAsia" w:ascii="仿宋" w:hAnsi="仿宋" w:eastAsia="仿宋" w:cs="仿宋"/>
                <w:color w:val="auto"/>
                <w:sz w:val="24"/>
                <w:szCs w:val="24"/>
                <w:highlight w:val="none"/>
              </w:rPr>
              <w:t>（详见第五章应提交的有关格式范例）；</w:t>
            </w:r>
          </w:p>
          <w:p w14:paraId="1102E1B4">
            <w:pPr>
              <w:keepNext w:val="0"/>
              <w:keepLines w:val="0"/>
              <w:pageBreakBefore w:val="0"/>
              <w:widowControl w:val="0"/>
              <w:kinsoku/>
              <w:wordWrap/>
              <w:topLinePunct w:val="0"/>
              <w:autoSpaceDE/>
              <w:autoSpaceDN/>
              <w:bidi w:val="0"/>
              <w:adjustRightInd/>
              <w:snapToGrid/>
              <w:spacing w:line="35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u w:val="single"/>
              </w:rPr>
              <w:t>供应商在填写声明函前，须先自查本企业是否满足</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lang w:eastAsia="zh-CN"/>
              </w:rPr>
              <w:t>中小企业</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rPr>
              <w:t>认定标准（可通过国务院客户端和工业和信息化部网站上的自测小程序进行自查）。</w:t>
            </w:r>
          </w:p>
        </w:tc>
      </w:tr>
      <w:tr w14:paraId="670FD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2" w:hRule="atLeast"/>
        </w:trPr>
        <w:tc>
          <w:tcPr>
            <w:tcW w:w="732" w:type="dxa"/>
            <w:vAlign w:val="center"/>
          </w:tcPr>
          <w:p w14:paraId="7D6AE6DE">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4379" w:type="dxa"/>
            <w:vAlign w:val="center"/>
          </w:tcPr>
          <w:p w14:paraId="0BC0B0F3">
            <w:pPr>
              <w:pStyle w:val="3"/>
              <w:keepNext w:val="0"/>
              <w:keepLines w:val="0"/>
              <w:pageBreakBefore w:val="0"/>
              <w:widowControl w:val="0"/>
              <w:kinsoku/>
              <w:wordWrap/>
              <w:overflowPunct/>
              <w:topLinePunct w:val="0"/>
              <w:autoSpaceDE/>
              <w:autoSpaceDN/>
              <w:bidi w:val="0"/>
              <w:adjustRightInd/>
              <w:snapToGrid/>
              <w:spacing w:after="0" w:line="35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根据《关于规范政府采购供应商资格设定及资格审查的通知》（浙财采监[2013]24 号）第6条规定接受金融、保险、通讯等特定行业的全国性企业所设立的区域性分支机构以及个体工商户、个人独资企业、合伙企业（应依法办理了工商、税务和社保登记手续，并且获得总公司（总机构）授权或能够提供房产权证或其他有效财产证明材料（在投标文件中提供相关材料），能证明其具备实际承担责任的能力和法定的缔结合同能力，可以独立参加政府采购活动，由单位负责人签署相关文件材料）</w:t>
            </w:r>
          </w:p>
        </w:tc>
        <w:tc>
          <w:tcPr>
            <w:tcW w:w="4669" w:type="dxa"/>
            <w:vAlign w:val="center"/>
          </w:tcPr>
          <w:p w14:paraId="21CD8D6A">
            <w:pPr>
              <w:pStyle w:val="3"/>
              <w:keepNext w:val="0"/>
              <w:keepLines w:val="0"/>
              <w:pageBreakBefore w:val="0"/>
              <w:widowControl w:val="0"/>
              <w:kinsoku/>
              <w:wordWrap/>
              <w:topLinePunct w:val="0"/>
              <w:autoSpaceDE/>
              <w:autoSpaceDN/>
              <w:bidi w:val="0"/>
              <w:adjustRightInd/>
              <w:snapToGrid/>
              <w:spacing w:after="0" w:line="3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属于此种情形的</w:t>
            </w:r>
            <w:r>
              <w:rPr>
                <w:rFonts w:hint="eastAsia" w:ascii="仿宋" w:hAnsi="仿宋" w:eastAsia="仿宋" w:cs="仿宋"/>
                <w:snapToGrid w:val="0"/>
                <w:color w:val="auto"/>
                <w:kern w:val="0"/>
                <w:sz w:val="24"/>
                <w:szCs w:val="24"/>
                <w:highlight w:val="none"/>
              </w:rPr>
              <w:t>供应商</w:t>
            </w:r>
            <w:r>
              <w:rPr>
                <w:rFonts w:hint="eastAsia" w:ascii="仿宋" w:hAnsi="仿宋" w:eastAsia="仿宋" w:cs="仿宋"/>
                <w:color w:val="auto"/>
                <w:sz w:val="24"/>
                <w:szCs w:val="24"/>
                <w:highlight w:val="none"/>
              </w:rPr>
              <w:t>除资格要求应提供资料外。还应提供以下资料：（1）金融、保险、通讯等特定行业的全国性企业所设立的区域性分支机构提供总公司（总机构）授权；（2）个体工商户、个人独资企业、合伙企业应提供房产权证或其他有效财产证明材料。</w:t>
            </w:r>
          </w:p>
          <w:p w14:paraId="2D3EFBE4">
            <w:pPr>
              <w:pStyle w:val="3"/>
              <w:keepNext w:val="0"/>
              <w:keepLines w:val="0"/>
              <w:pageBreakBefore w:val="0"/>
              <w:widowControl w:val="0"/>
              <w:kinsoku/>
              <w:wordWrap/>
              <w:topLinePunct w:val="0"/>
              <w:autoSpaceDE/>
              <w:autoSpaceDN/>
              <w:bidi w:val="0"/>
              <w:adjustRightInd/>
              <w:snapToGrid/>
              <w:spacing w:after="0" w:line="35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不属于此种情况的</w:t>
            </w:r>
            <w:r>
              <w:rPr>
                <w:rFonts w:hint="eastAsia" w:ascii="仿宋" w:hAnsi="仿宋" w:eastAsia="仿宋" w:cs="仿宋"/>
                <w:snapToGrid w:val="0"/>
                <w:color w:val="auto"/>
                <w:kern w:val="0"/>
                <w:sz w:val="24"/>
                <w:szCs w:val="24"/>
                <w:highlight w:val="none"/>
              </w:rPr>
              <w:t>供应商</w:t>
            </w:r>
            <w:r>
              <w:rPr>
                <w:rFonts w:hint="eastAsia" w:ascii="仿宋" w:hAnsi="仿宋" w:eastAsia="仿宋" w:cs="仿宋"/>
                <w:color w:val="auto"/>
                <w:sz w:val="24"/>
                <w:szCs w:val="24"/>
                <w:highlight w:val="none"/>
              </w:rPr>
              <w:t>提供以下资料：企业类型的声明函（详见第五章应提交的有关格式范例）。</w:t>
            </w:r>
          </w:p>
        </w:tc>
      </w:tr>
      <w:tr w14:paraId="66F5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2" w:type="dxa"/>
            <w:vAlign w:val="center"/>
          </w:tcPr>
          <w:p w14:paraId="76AE0919">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4379" w:type="dxa"/>
            <w:vAlign w:val="center"/>
          </w:tcPr>
          <w:p w14:paraId="27B8A61F">
            <w:pPr>
              <w:keepNext w:val="0"/>
              <w:keepLines w:val="0"/>
              <w:pageBreakBefore w:val="0"/>
              <w:widowControl w:val="0"/>
              <w:kinsoku/>
              <w:wordWrap/>
              <w:overflowPunct/>
              <w:topLinePunct w:val="0"/>
              <w:autoSpaceDE/>
              <w:autoSpaceDN/>
              <w:bidi w:val="0"/>
              <w:adjustRightInd/>
              <w:snapToGrid/>
              <w:spacing w:line="350" w:lineRule="exact"/>
              <w:ind w:firstLine="482" w:firstLineChars="200"/>
              <w:textAlignment w:val="auto"/>
              <w:rPr>
                <w:rFonts w:hint="eastAsia" w:ascii="仿宋" w:hAnsi="仿宋" w:eastAsia="仿宋" w:cs="仿宋"/>
                <w:b/>
                <w:bCs/>
                <w:color w:val="auto"/>
                <w:kern w:val="2"/>
                <w:sz w:val="24"/>
                <w:szCs w:val="24"/>
                <w:highlight w:val="none"/>
                <w:lang w:val="zh-CN" w:eastAsia="zh-CN" w:bidi="ar-SA"/>
              </w:rPr>
            </w:pPr>
            <w:r>
              <w:rPr>
                <w:rFonts w:hint="eastAsia" w:ascii="仿宋" w:hAnsi="仿宋" w:eastAsia="仿宋" w:cs="仿宋"/>
                <w:b/>
                <w:bCs/>
                <w:color w:val="auto"/>
                <w:kern w:val="2"/>
                <w:sz w:val="24"/>
                <w:szCs w:val="24"/>
                <w:highlight w:val="none"/>
                <w:lang w:val="zh-CN" w:eastAsia="zh-CN" w:bidi="ar-SA"/>
              </w:rPr>
              <w:t>供应商必须具有独立法人资格，且具备市政公用工程施工总承包企业资质</w:t>
            </w:r>
            <w:r>
              <w:rPr>
                <w:rFonts w:hint="eastAsia" w:ascii="仿宋" w:hAnsi="仿宋" w:eastAsia="仿宋" w:cs="仿宋"/>
                <w:b/>
                <w:bCs/>
                <w:color w:val="auto"/>
                <w:kern w:val="2"/>
                <w:sz w:val="24"/>
                <w:szCs w:val="24"/>
                <w:highlight w:val="none"/>
                <w:lang w:val="en-US" w:eastAsia="zh-CN" w:bidi="ar-SA"/>
              </w:rPr>
              <w:t>二</w:t>
            </w:r>
            <w:r>
              <w:rPr>
                <w:rFonts w:hint="eastAsia" w:ascii="仿宋" w:hAnsi="仿宋" w:eastAsia="仿宋" w:cs="仿宋"/>
                <w:b/>
                <w:bCs/>
                <w:color w:val="auto"/>
                <w:kern w:val="2"/>
                <w:sz w:val="24"/>
                <w:szCs w:val="24"/>
                <w:highlight w:val="none"/>
                <w:lang w:val="zh-CN" w:eastAsia="zh-CN" w:bidi="ar-SA"/>
              </w:rPr>
              <w:t>级及以上资质（对应资质在“浙江省建筑市场监管公共服务系统”上资质动态核查结果处于“合格”状态的核查证明）；</w:t>
            </w:r>
          </w:p>
        </w:tc>
        <w:tc>
          <w:tcPr>
            <w:tcW w:w="4669" w:type="dxa"/>
            <w:vAlign w:val="center"/>
          </w:tcPr>
          <w:p w14:paraId="7354EF99">
            <w:pPr>
              <w:pStyle w:val="3"/>
              <w:keepNext w:val="0"/>
              <w:keepLines w:val="0"/>
              <w:pageBreakBefore w:val="0"/>
              <w:widowControl w:val="0"/>
              <w:kinsoku/>
              <w:wordWrap/>
              <w:topLinePunct w:val="0"/>
              <w:autoSpaceDE/>
              <w:autoSpaceDN/>
              <w:bidi w:val="0"/>
              <w:adjustRightInd/>
              <w:snapToGrid/>
              <w:spacing w:after="0" w:line="350" w:lineRule="exact"/>
              <w:ind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提供资质证书扫描件及</w:t>
            </w:r>
            <w:r>
              <w:rPr>
                <w:rFonts w:hint="eastAsia" w:ascii="仿宋" w:hAnsi="仿宋" w:eastAsia="仿宋" w:cs="仿宋"/>
                <w:b/>
                <w:bCs/>
                <w:color w:val="auto"/>
                <w:sz w:val="24"/>
                <w:szCs w:val="24"/>
                <w:highlight w:val="none"/>
              </w:rPr>
              <w:t>动态核查证明</w:t>
            </w:r>
            <w:r>
              <w:rPr>
                <w:rFonts w:hint="eastAsia" w:ascii="仿宋" w:hAnsi="仿宋" w:eastAsia="仿宋" w:cs="仿宋"/>
                <w:b/>
                <w:bCs/>
                <w:color w:val="auto"/>
                <w:sz w:val="24"/>
                <w:szCs w:val="24"/>
                <w:highlight w:val="none"/>
                <w:lang w:val="en-US" w:eastAsia="zh-CN"/>
              </w:rPr>
              <w:t>截图。</w:t>
            </w:r>
          </w:p>
        </w:tc>
      </w:tr>
      <w:tr w14:paraId="3ADEF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2" w:type="dxa"/>
            <w:vAlign w:val="center"/>
          </w:tcPr>
          <w:p w14:paraId="38FB1591">
            <w:pPr>
              <w:keepNext w:val="0"/>
              <w:keepLines w:val="0"/>
              <w:pageBreakBefore w:val="0"/>
              <w:widowControl w:val="0"/>
              <w:kinsoku/>
              <w:wordWrap/>
              <w:overflowPunct w:val="0"/>
              <w:topLinePunct w:val="0"/>
              <w:autoSpaceDE/>
              <w:autoSpaceDN/>
              <w:bidi w:val="0"/>
              <w:adjustRightInd/>
              <w:snapToGrid/>
              <w:spacing w:line="35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4379" w:type="dxa"/>
            <w:vAlign w:val="center"/>
          </w:tcPr>
          <w:p w14:paraId="1FB86594">
            <w:pPr>
              <w:pStyle w:val="3"/>
              <w:keepNext w:val="0"/>
              <w:keepLines w:val="0"/>
              <w:pageBreakBefore w:val="0"/>
              <w:widowControl w:val="0"/>
              <w:kinsoku/>
              <w:wordWrap/>
              <w:overflowPunct/>
              <w:topLinePunct w:val="0"/>
              <w:autoSpaceDE/>
              <w:autoSpaceDN/>
              <w:bidi w:val="0"/>
              <w:adjustRightInd/>
              <w:snapToGrid/>
              <w:spacing w:after="0" w:line="350" w:lineRule="exact"/>
              <w:ind w:firstLine="482" w:firstLineChars="200"/>
              <w:textAlignment w:val="auto"/>
              <w:rPr>
                <w:rFonts w:hint="eastAsia" w:ascii="仿宋" w:hAnsi="仿宋" w:eastAsia="仿宋" w:cs="仿宋"/>
                <w:b/>
                <w:bCs/>
                <w:color w:val="auto"/>
                <w:kern w:val="2"/>
                <w:sz w:val="24"/>
                <w:szCs w:val="24"/>
                <w:highlight w:val="none"/>
                <w:lang w:val="zh-CN" w:eastAsia="zh-CN" w:bidi="ar-SA"/>
              </w:rPr>
            </w:pPr>
            <w:r>
              <w:rPr>
                <w:rFonts w:hint="eastAsia" w:ascii="仿宋" w:hAnsi="仿宋" w:eastAsia="仿宋" w:cs="仿宋"/>
                <w:b/>
                <w:bCs/>
                <w:color w:val="auto"/>
                <w:kern w:val="2"/>
                <w:sz w:val="24"/>
                <w:szCs w:val="24"/>
                <w:highlight w:val="none"/>
                <w:lang w:val="zh-CN" w:eastAsia="zh-CN" w:bidi="ar-SA"/>
              </w:rPr>
              <w:t>拟派项目负责人具有市政公用工程二级及以上注册建造师执业证。</w:t>
            </w:r>
          </w:p>
        </w:tc>
        <w:tc>
          <w:tcPr>
            <w:tcW w:w="4669" w:type="dxa"/>
            <w:vAlign w:val="center"/>
          </w:tcPr>
          <w:p w14:paraId="36BF473A">
            <w:pPr>
              <w:pStyle w:val="3"/>
              <w:keepNext w:val="0"/>
              <w:keepLines w:val="0"/>
              <w:pageBreakBefore w:val="0"/>
              <w:widowControl w:val="0"/>
              <w:kinsoku/>
              <w:wordWrap/>
              <w:topLinePunct w:val="0"/>
              <w:autoSpaceDE/>
              <w:autoSpaceDN/>
              <w:bidi w:val="0"/>
              <w:adjustRightInd/>
              <w:snapToGrid/>
              <w:spacing w:after="0" w:line="35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提供项目负责人</w:t>
            </w:r>
            <w:r>
              <w:rPr>
                <w:rFonts w:hint="eastAsia" w:ascii="仿宋" w:hAnsi="仿宋" w:eastAsia="仿宋" w:cs="仿宋"/>
                <w:b/>
                <w:bCs/>
                <w:color w:val="auto"/>
                <w:sz w:val="24"/>
                <w:szCs w:val="24"/>
                <w:highlight w:val="none"/>
              </w:rPr>
              <w:t>执业</w:t>
            </w:r>
            <w:r>
              <w:rPr>
                <w:rFonts w:hint="eastAsia" w:ascii="仿宋" w:hAnsi="仿宋" w:eastAsia="仿宋" w:cs="仿宋"/>
                <w:b/>
                <w:bCs/>
                <w:color w:val="auto"/>
                <w:sz w:val="24"/>
                <w:szCs w:val="24"/>
                <w:highlight w:val="none"/>
                <w:lang w:val="en-US" w:eastAsia="zh-CN"/>
              </w:rPr>
              <w:t>证书扫描件。</w:t>
            </w:r>
          </w:p>
        </w:tc>
      </w:tr>
      <w:tr w14:paraId="0DC25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732" w:type="dxa"/>
            <w:vAlign w:val="center"/>
          </w:tcPr>
          <w:p w14:paraId="52B43657">
            <w:pPr>
              <w:keepNext w:val="0"/>
              <w:keepLines w:val="0"/>
              <w:pageBreakBefore w:val="0"/>
              <w:kinsoku/>
              <w:wordWrap/>
              <w:overflowPunct w:val="0"/>
              <w:topLinePunct w:val="0"/>
              <w:autoSpaceDE/>
              <w:autoSpaceDN/>
              <w:bidi w:val="0"/>
              <w:spacing w:line="45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9048" w:type="dxa"/>
            <w:gridSpan w:val="2"/>
            <w:vAlign w:val="center"/>
          </w:tcPr>
          <w:p w14:paraId="69484B45">
            <w:pPr>
              <w:pStyle w:val="3"/>
              <w:keepNext w:val="0"/>
              <w:keepLines w:val="0"/>
              <w:pageBreakBefore w:val="0"/>
              <w:kinsoku/>
              <w:wordWrap/>
              <w:topLinePunct w:val="0"/>
              <w:autoSpaceDE/>
              <w:autoSpaceDN/>
              <w:bidi w:val="0"/>
              <w:spacing w:after="0" w:line="450" w:lineRule="exact"/>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snapToGrid w:val="0"/>
                <w:color w:val="auto"/>
                <w:kern w:val="0"/>
                <w:sz w:val="24"/>
                <w:szCs w:val="24"/>
                <w:highlight w:val="none"/>
              </w:rPr>
              <w:t>供应商</w:t>
            </w:r>
            <w:r>
              <w:rPr>
                <w:rFonts w:hint="eastAsia" w:ascii="仿宋" w:hAnsi="仿宋" w:eastAsia="仿宋" w:cs="仿宋"/>
                <w:color w:val="auto"/>
                <w:sz w:val="24"/>
                <w:szCs w:val="24"/>
                <w:highlight w:val="none"/>
              </w:rPr>
              <w:t>认为需要在资格审查文件里说明的其他材料（如有）</w:t>
            </w:r>
          </w:p>
        </w:tc>
      </w:tr>
      <w:bookmarkEnd w:id="32"/>
    </w:tbl>
    <w:p w14:paraId="718D247C">
      <w:pPr>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注：上述资格条件审查材料有一项不提供的，视为资格审查不通过,不进入后续评审。</w:t>
      </w:r>
    </w:p>
    <w:p w14:paraId="7C45860C">
      <w:pPr>
        <w:pStyle w:val="87"/>
        <w:keepNext w:val="0"/>
        <w:keepLines w:val="0"/>
        <w:pageBreakBefore w:val="0"/>
        <w:kinsoku/>
        <w:wordWrap/>
        <w:topLinePunct w:val="0"/>
        <w:autoSpaceDE/>
        <w:autoSpaceDN/>
        <w:bidi w:val="0"/>
        <w:spacing w:after="0" w:line="450" w:lineRule="exact"/>
        <w:ind w:left="0" w:leftChars="0" w:firstLine="482" w:firstLineChars="200"/>
        <w:jc w:val="both"/>
        <w:textAlignment w:val="auto"/>
        <w:outlineLvl w:val="2"/>
        <w:rPr>
          <w:rFonts w:hint="eastAsia" w:ascii="仿宋" w:hAnsi="仿宋" w:eastAsia="仿宋" w:cs="仿宋"/>
          <w:b/>
          <w:bCs/>
          <w:snapToGrid w:val="0"/>
          <w:color w:val="auto"/>
          <w:kern w:val="0"/>
          <w:sz w:val="24"/>
          <w:szCs w:val="24"/>
          <w:highlight w:val="none"/>
        </w:rPr>
      </w:pPr>
      <w:bookmarkStart w:id="35" w:name="_Toc11990"/>
      <w:r>
        <w:rPr>
          <w:rFonts w:hint="eastAsia" w:ascii="仿宋" w:hAnsi="仿宋" w:eastAsia="仿宋" w:cs="仿宋"/>
          <w:b/>
          <w:bCs/>
          <w:snapToGrid w:val="0"/>
          <w:color w:val="auto"/>
          <w:kern w:val="0"/>
          <w:sz w:val="24"/>
          <w:szCs w:val="24"/>
          <w:highlight w:val="none"/>
        </w:rPr>
        <w:t>1</w:t>
      </w:r>
      <w:r>
        <w:rPr>
          <w:rFonts w:hint="eastAsia" w:ascii="仿宋" w:hAnsi="仿宋" w:eastAsia="仿宋" w:cs="仿宋"/>
          <w:b/>
          <w:bCs/>
          <w:snapToGrid w:val="0"/>
          <w:color w:val="auto"/>
          <w:kern w:val="0"/>
          <w:sz w:val="24"/>
          <w:szCs w:val="24"/>
          <w:highlight w:val="none"/>
          <w:lang w:val="en-US" w:eastAsia="zh-CN"/>
        </w:rPr>
        <w:t>0</w:t>
      </w:r>
      <w:r>
        <w:rPr>
          <w:rFonts w:hint="eastAsia" w:ascii="仿宋" w:hAnsi="仿宋" w:eastAsia="仿宋" w:cs="仿宋"/>
          <w:b/>
          <w:bCs/>
          <w:snapToGrid w:val="0"/>
          <w:color w:val="auto"/>
          <w:kern w:val="0"/>
          <w:sz w:val="24"/>
          <w:szCs w:val="24"/>
          <w:highlight w:val="none"/>
        </w:rPr>
        <w:t>.2商务技术文件</w:t>
      </w:r>
      <w:bookmarkEnd w:id="35"/>
    </w:p>
    <w:tbl>
      <w:tblPr>
        <w:tblStyle w:val="88"/>
        <w:tblW w:w="9179" w:type="dxa"/>
        <w:tblInd w:w="1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8071"/>
      </w:tblGrid>
      <w:tr w14:paraId="5CDFE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108" w:type="dxa"/>
            <w:vAlign w:val="center"/>
          </w:tcPr>
          <w:p w14:paraId="00533249">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8071" w:type="dxa"/>
            <w:vAlign w:val="center"/>
          </w:tcPr>
          <w:p w14:paraId="46ED8971">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内容</w:t>
            </w:r>
          </w:p>
        </w:tc>
      </w:tr>
      <w:tr w14:paraId="52B83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8" w:type="dxa"/>
            <w:vAlign w:val="center"/>
          </w:tcPr>
          <w:p w14:paraId="4491E993">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071" w:type="dxa"/>
            <w:vAlign w:val="center"/>
          </w:tcPr>
          <w:p w14:paraId="3D8EB7C5">
            <w:pPr>
              <w:keepNext w:val="0"/>
              <w:keepLines w:val="0"/>
              <w:pageBreakBefore w:val="0"/>
              <w:kinsoku/>
              <w:wordWrap/>
              <w:topLinePunct w:val="0"/>
              <w:autoSpaceDE/>
              <w:autoSpaceDN/>
              <w:bidi w:val="0"/>
              <w:spacing w:line="450" w:lineRule="exact"/>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自评表</w:t>
            </w:r>
            <w:r>
              <w:rPr>
                <w:rFonts w:hint="eastAsia" w:ascii="仿宋" w:hAnsi="仿宋" w:eastAsia="仿宋" w:cs="仿宋"/>
                <w:color w:val="auto"/>
                <w:sz w:val="24"/>
                <w:szCs w:val="24"/>
                <w:highlight w:val="none"/>
                <w:u w:val="single"/>
              </w:rPr>
              <w:t>（详见第五章应提交的有关格式范例）</w:t>
            </w:r>
          </w:p>
        </w:tc>
      </w:tr>
      <w:tr w14:paraId="205F3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8" w:type="dxa"/>
            <w:vAlign w:val="center"/>
          </w:tcPr>
          <w:p w14:paraId="27504C2D">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071" w:type="dxa"/>
            <w:vAlign w:val="center"/>
          </w:tcPr>
          <w:p w14:paraId="6836F0A0">
            <w:pPr>
              <w:keepNext w:val="0"/>
              <w:keepLines w:val="0"/>
              <w:pageBreakBefore w:val="0"/>
              <w:kinsoku/>
              <w:wordWrap/>
              <w:topLinePunct w:val="0"/>
              <w:autoSpaceDE/>
              <w:autoSpaceDN/>
              <w:bidi w:val="0"/>
              <w:spacing w:line="45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u w:val="single"/>
              </w:rPr>
              <w:t>▲</w:t>
            </w:r>
            <w:r>
              <w:rPr>
                <w:rFonts w:hint="eastAsia" w:ascii="仿宋" w:hAnsi="仿宋" w:eastAsia="仿宋" w:cs="仿宋"/>
                <w:color w:val="auto"/>
                <w:sz w:val="24"/>
                <w:szCs w:val="24"/>
                <w:highlight w:val="none"/>
                <w:u w:val="single"/>
              </w:rPr>
              <w:t>投标函（详见第五章应提交的有关格式范例）</w:t>
            </w:r>
          </w:p>
        </w:tc>
      </w:tr>
      <w:tr w14:paraId="175F4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8" w:type="dxa"/>
            <w:vAlign w:val="center"/>
          </w:tcPr>
          <w:p w14:paraId="12AE242A">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071" w:type="dxa"/>
            <w:vAlign w:val="center"/>
          </w:tcPr>
          <w:p w14:paraId="476B47AE">
            <w:pPr>
              <w:keepNext w:val="0"/>
              <w:keepLines w:val="0"/>
              <w:pageBreakBefore w:val="0"/>
              <w:kinsoku/>
              <w:wordWrap/>
              <w:topLinePunct w:val="0"/>
              <w:autoSpaceDE/>
              <w:autoSpaceDN/>
              <w:bidi w:val="0"/>
              <w:spacing w:line="45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u w:val="single"/>
              </w:rPr>
              <w:t>▲</w:t>
            </w:r>
            <w:r>
              <w:rPr>
                <w:rFonts w:hint="eastAsia" w:ascii="仿宋" w:hAnsi="仿宋" w:eastAsia="仿宋" w:cs="仿宋"/>
                <w:bCs/>
                <w:color w:val="auto"/>
                <w:sz w:val="24"/>
                <w:szCs w:val="24"/>
                <w:highlight w:val="none"/>
                <w:u w:val="single"/>
              </w:rPr>
              <w:t>法定代表人资格证明书及法定代表人授权书</w:t>
            </w:r>
            <w:r>
              <w:rPr>
                <w:rFonts w:hint="eastAsia" w:ascii="仿宋" w:hAnsi="仿宋" w:eastAsia="仿宋" w:cs="仿宋"/>
                <w:b/>
                <w:color w:val="auto"/>
                <w:sz w:val="24"/>
                <w:szCs w:val="24"/>
                <w:highlight w:val="none"/>
                <w:u w:val="single"/>
              </w:rPr>
              <w:t>（法定代表人直接参加投标并对相应文件签字的，只需提供前者）</w:t>
            </w:r>
            <w:r>
              <w:rPr>
                <w:rFonts w:hint="eastAsia" w:ascii="仿宋" w:hAnsi="仿宋" w:eastAsia="仿宋" w:cs="仿宋"/>
                <w:bCs/>
                <w:color w:val="auto"/>
                <w:sz w:val="24"/>
                <w:szCs w:val="24"/>
                <w:highlight w:val="none"/>
                <w:u w:val="single"/>
              </w:rPr>
              <w:t>，同时须附法定代表人和授权委托代表的有效身份证复印件；</w:t>
            </w:r>
            <w:r>
              <w:rPr>
                <w:rFonts w:hint="eastAsia" w:ascii="仿宋" w:hAnsi="仿宋" w:eastAsia="仿宋" w:cs="仿宋"/>
                <w:color w:val="auto"/>
                <w:sz w:val="24"/>
                <w:szCs w:val="24"/>
                <w:highlight w:val="none"/>
                <w:u w:val="single"/>
              </w:rPr>
              <w:t>（详见第五章应提交的有关格式范例）</w:t>
            </w:r>
          </w:p>
        </w:tc>
      </w:tr>
      <w:tr w14:paraId="067E8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8" w:type="dxa"/>
            <w:vAlign w:val="center"/>
          </w:tcPr>
          <w:p w14:paraId="12581557">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8071" w:type="dxa"/>
            <w:vAlign w:val="center"/>
          </w:tcPr>
          <w:p w14:paraId="7D04D199">
            <w:pPr>
              <w:keepNext w:val="0"/>
              <w:keepLines w:val="0"/>
              <w:pageBreakBefore w:val="0"/>
              <w:kinsoku/>
              <w:wordWrap/>
              <w:topLinePunct w:val="0"/>
              <w:autoSpaceDE/>
              <w:autoSpaceDN/>
              <w:bidi w:val="0"/>
              <w:spacing w:line="450" w:lineRule="exact"/>
              <w:textAlignment w:val="auto"/>
              <w:rPr>
                <w:rFonts w:hint="eastAsia" w:ascii="仿宋" w:hAnsi="仿宋" w:eastAsia="仿宋" w:cs="仿宋"/>
                <w:b/>
                <w:color w:val="auto"/>
                <w:sz w:val="24"/>
                <w:szCs w:val="24"/>
                <w:highlight w:val="none"/>
                <w:u w:val="single"/>
              </w:rPr>
            </w:pPr>
            <w:r>
              <w:rPr>
                <w:rFonts w:hint="eastAsia" w:ascii="仿宋" w:hAnsi="仿宋" w:eastAsia="仿宋" w:cs="仿宋"/>
                <w:color w:val="auto"/>
                <w:sz w:val="24"/>
                <w:szCs w:val="24"/>
                <w:highlight w:val="none"/>
              </w:rPr>
              <w:t>偏离表</w:t>
            </w:r>
            <w:r>
              <w:rPr>
                <w:rFonts w:hint="eastAsia" w:ascii="仿宋" w:hAnsi="仿宋" w:eastAsia="仿宋" w:cs="仿宋"/>
                <w:b w:val="0"/>
                <w:bCs w:val="0"/>
                <w:color w:val="auto"/>
                <w:sz w:val="24"/>
                <w:szCs w:val="24"/>
                <w:highlight w:val="none"/>
                <w:lang w:val="en-US" w:eastAsia="zh-CN"/>
              </w:rPr>
              <w:t>（详见第五章应提交的有关格式范例）</w:t>
            </w:r>
          </w:p>
        </w:tc>
      </w:tr>
      <w:tr w14:paraId="42EC7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179" w:type="dxa"/>
            <w:gridSpan w:val="2"/>
            <w:vAlign w:val="center"/>
          </w:tcPr>
          <w:p w14:paraId="6ECD6D8E">
            <w:pPr>
              <w:keepNext w:val="0"/>
              <w:keepLines w:val="0"/>
              <w:pageBreakBefore w:val="0"/>
              <w:kinsoku/>
              <w:wordWrap/>
              <w:topLinePunct w:val="0"/>
              <w:autoSpaceDE/>
              <w:autoSpaceDN/>
              <w:bidi w:val="0"/>
              <w:spacing w:line="45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说明：以下第</w:t>
            </w:r>
            <w:r>
              <w:rPr>
                <w:rFonts w:hint="eastAsia" w:ascii="仿宋" w:hAnsi="仿宋" w:eastAsia="仿宋" w:cs="仿宋"/>
                <w:b/>
                <w:color w:val="auto"/>
                <w:sz w:val="24"/>
                <w:szCs w:val="24"/>
                <w:highlight w:val="none"/>
                <w:lang w:val="en-US" w:eastAsia="zh-CN"/>
              </w:rPr>
              <w:t>5</w:t>
            </w:r>
            <w:r>
              <w:rPr>
                <w:rFonts w:hint="eastAsia" w:ascii="仿宋" w:hAnsi="仿宋" w:eastAsia="仿宋" w:cs="仿宋"/>
                <w:b/>
                <w:color w:val="auto"/>
                <w:sz w:val="24"/>
                <w:szCs w:val="24"/>
                <w:highlight w:val="none"/>
              </w:rPr>
              <w:t>项附件格式仅供供应商参考使用，该部分内容为商务技术评分内容，非强质性要求，供应商应</w:t>
            </w:r>
            <w:r>
              <w:rPr>
                <w:rFonts w:hint="eastAsia" w:ascii="仿宋" w:hAnsi="仿宋" w:eastAsia="仿宋" w:cs="仿宋"/>
                <w:color w:val="auto"/>
                <w:sz w:val="24"/>
                <w:szCs w:val="24"/>
                <w:highlight w:val="none"/>
              </w:rPr>
              <w:t>根据第六章评标办法及开标程序“评分细则”中“评分标准”的相应要求编制或提供，未按要求编制相关内容或未按要求提供相关证明材料可能对供应商产生不利影响。</w:t>
            </w:r>
          </w:p>
        </w:tc>
      </w:tr>
      <w:tr w14:paraId="64E11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108" w:type="dxa"/>
            <w:vAlign w:val="center"/>
          </w:tcPr>
          <w:p w14:paraId="7E49CE08">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p>
        </w:tc>
        <w:tc>
          <w:tcPr>
            <w:tcW w:w="8071" w:type="dxa"/>
            <w:vAlign w:val="center"/>
          </w:tcPr>
          <w:p w14:paraId="77946D80">
            <w:pPr>
              <w:keepNext w:val="0"/>
              <w:keepLines w:val="0"/>
              <w:pageBreakBefore w:val="0"/>
              <w:kinsoku/>
              <w:wordWrap/>
              <w:topLinePunct w:val="0"/>
              <w:autoSpaceDE/>
              <w:autoSpaceDN/>
              <w:bidi w:val="0"/>
              <w:adjustRightInd w:val="0"/>
              <w:snapToGrid w:val="0"/>
              <w:spacing w:line="45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认为需要在商务技术文件里说明的其他材料（如有）</w:t>
            </w:r>
          </w:p>
        </w:tc>
      </w:tr>
    </w:tbl>
    <w:p w14:paraId="67F7D284">
      <w:pPr>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color w:val="auto"/>
          <w:sz w:val="24"/>
          <w:szCs w:val="24"/>
          <w:highlight w:val="none"/>
        </w:rPr>
      </w:pPr>
      <w:bookmarkStart w:id="36" w:name="_Toc221356886"/>
      <w:r>
        <w:rPr>
          <w:rFonts w:hint="eastAsia" w:ascii="仿宋" w:hAnsi="仿宋" w:eastAsia="仿宋" w:cs="仿宋"/>
          <w:b/>
          <w:color w:val="auto"/>
          <w:sz w:val="24"/>
          <w:szCs w:val="24"/>
          <w:highlight w:val="none"/>
        </w:rPr>
        <w:t>说明：</w:t>
      </w:r>
    </w:p>
    <w:p w14:paraId="0DBE596E">
      <w:pPr>
        <w:keepNext w:val="0"/>
        <w:keepLines w:val="0"/>
        <w:pageBreakBefore w:val="0"/>
        <w:numPr>
          <w:ilvl w:val="0"/>
          <w:numId w:val="2"/>
        </w:numPr>
        <w:kinsoku/>
        <w:wordWrap/>
        <w:topLinePunct w:val="0"/>
        <w:autoSpaceDE/>
        <w:autoSpaceDN/>
        <w:bidi w:val="0"/>
        <w:snapToGrid w:val="0"/>
        <w:spacing w:line="450" w:lineRule="exact"/>
        <w:ind w:left="0" w:firstLine="42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供应商可根据采购文件中的技术规格书以及评分细则，提供供应商认为需要提供的文件和资料。</w:t>
      </w:r>
    </w:p>
    <w:p w14:paraId="57E95AE4">
      <w:pPr>
        <w:keepNext w:val="0"/>
        <w:keepLines w:val="0"/>
        <w:pageBreakBefore w:val="0"/>
        <w:numPr>
          <w:ilvl w:val="0"/>
          <w:numId w:val="2"/>
        </w:numPr>
        <w:kinsoku/>
        <w:wordWrap/>
        <w:topLinePunct w:val="0"/>
        <w:autoSpaceDE/>
        <w:autoSpaceDN/>
        <w:bidi w:val="0"/>
        <w:snapToGrid w:val="0"/>
        <w:spacing w:line="450" w:lineRule="exact"/>
        <w:ind w:left="0" w:firstLine="42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供应商所提供的技术资料的所有权归供应商所有。如若发生第三方侵权事件，其侵权责任与采购人及采购代理机构无关，由供应商承担全部责任。侵权造成的所有相关费用，均由供应商支付，保证不伤害采购人的利益。</w:t>
      </w:r>
    </w:p>
    <w:bookmarkEnd w:id="36"/>
    <w:p w14:paraId="0A65125A">
      <w:pPr>
        <w:pStyle w:val="87"/>
        <w:keepNext w:val="0"/>
        <w:keepLines w:val="0"/>
        <w:pageBreakBefore w:val="0"/>
        <w:kinsoku/>
        <w:wordWrap/>
        <w:topLinePunct w:val="0"/>
        <w:autoSpaceDE/>
        <w:autoSpaceDN/>
        <w:bidi w:val="0"/>
        <w:spacing w:after="0" w:line="450" w:lineRule="exact"/>
        <w:ind w:left="0" w:leftChars="0" w:firstLine="482" w:firstLineChars="200"/>
        <w:jc w:val="both"/>
        <w:textAlignment w:val="auto"/>
        <w:outlineLvl w:val="2"/>
        <w:rPr>
          <w:rFonts w:hint="eastAsia" w:ascii="仿宋" w:hAnsi="仿宋" w:eastAsia="仿宋" w:cs="仿宋"/>
          <w:b/>
          <w:bCs/>
          <w:snapToGrid w:val="0"/>
          <w:color w:val="auto"/>
          <w:kern w:val="0"/>
          <w:sz w:val="24"/>
          <w:szCs w:val="24"/>
          <w:highlight w:val="none"/>
        </w:rPr>
      </w:pPr>
      <w:bookmarkStart w:id="37" w:name="_Toc7255"/>
      <w:r>
        <w:rPr>
          <w:rFonts w:hint="eastAsia" w:ascii="仿宋" w:hAnsi="仿宋" w:eastAsia="仿宋" w:cs="仿宋"/>
          <w:b/>
          <w:bCs/>
          <w:snapToGrid w:val="0"/>
          <w:color w:val="auto"/>
          <w:kern w:val="0"/>
          <w:sz w:val="24"/>
          <w:szCs w:val="24"/>
          <w:highlight w:val="none"/>
        </w:rPr>
        <w:t>1</w:t>
      </w:r>
      <w:r>
        <w:rPr>
          <w:rFonts w:hint="eastAsia" w:ascii="仿宋" w:hAnsi="仿宋" w:eastAsia="仿宋" w:cs="仿宋"/>
          <w:b/>
          <w:bCs/>
          <w:snapToGrid w:val="0"/>
          <w:color w:val="auto"/>
          <w:kern w:val="0"/>
          <w:sz w:val="24"/>
          <w:szCs w:val="24"/>
          <w:highlight w:val="none"/>
          <w:lang w:val="en-US" w:eastAsia="zh-CN"/>
        </w:rPr>
        <w:t>0</w:t>
      </w:r>
      <w:r>
        <w:rPr>
          <w:rFonts w:hint="eastAsia" w:ascii="仿宋" w:hAnsi="仿宋" w:eastAsia="仿宋" w:cs="仿宋"/>
          <w:b/>
          <w:bCs/>
          <w:snapToGrid w:val="0"/>
          <w:color w:val="auto"/>
          <w:kern w:val="0"/>
          <w:sz w:val="24"/>
          <w:szCs w:val="24"/>
          <w:highlight w:val="none"/>
        </w:rPr>
        <w:t>.3报价文件</w:t>
      </w:r>
      <w:bookmarkEnd w:id="37"/>
    </w:p>
    <w:tbl>
      <w:tblPr>
        <w:tblStyle w:val="88"/>
        <w:tblW w:w="9215"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8315"/>
      </w:tblGrid>
      <w:tr w14:paraId="3D149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vAlign w:val="center"/>
          </w:tcPr>
          <w:p w14:paraId="0F4E625C">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8315" w:type="dxa"/>
            <w:vAlign w:val="center"/>
          </w:tcPr>
          <w:p w14:paraId="1B4A9230">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内容</w:t>
            </w:r>
          </w:p>
        </w:tc>
      </w:tr>
      <w:tr w14:paraId="506C2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vAlign w:val="center"/>
          </w:tcPr>
          <w:p w14:paraId="4A325F71">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8315" w:type="dxa"/>
            <w:vAlign w:val="center"/>
          </w:tcPr>
          <w:p w14:paraId="017B2135">
            <w:pPr>
              <w:keepNext w:val="0"/>
              <w:keepLines w:val="0"/>
              <w:pageBreakBefore w:val="0"/>
              <w:kinsoku/>
              <w:wordWrap/>
              <w:topLinePunct w:val="0"/>
              <w:autoSpaceDE/>
              <w:autoSpaceDN/>
              <w:bidi w:val="0"/>
              <w:spacing w:line="45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u w:val="single"/>
              </w:rPr>
              <w:t>▲</w:t>
            </w:r>
            <w:r>
              <w:rPr>
                <w:rFonts w:hint="eastAsia" w:ascii="仿宋" w:hAnsi="仿宋" w:eastAsia="仿宋" w:cs="仿宋"/>
                <w:color w:val="auto"/>
                <w:sz w:val="24"/>
                <w:szCs w:val="24"/>
                <w:highlight w:val="none"/>
                <w:u w:val="single"/>
              </w:rPr>
              <w:t>报价一览表（详见第五章应提交的有关格式范例）</w:t>
            </w:r>
          </w:p>
        </w:tc>
      </w:tr>
      <w:tr w14:paraId="688EE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vAlign w:val="center"/>
          </w:tcPr>
          <w:p w14:paraId="2DE43F21">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8315" w:type="dxa"/>
            <w:vAlign w:val="center"/>
          </w:tcPr>
          <w:p w14:paraId="2C7E57F3">
            <w:pPr>
              <w:keepNext w:val="0"/>
              <w:keepLines w:val="0"/>
              <w:pageBreakBefore w:val="0"/>
              <w:kinsoku/>
              <w:wordWrap/>
              <w:topLinePunct w:val="0"/>
              <w:autoSpaceDE/>
              <w:autoSpaceDN/>
              <w:bidi w:val="0"/>
              <w:spacing w:line="450" w:lineRule="exact"/>
              <w:jc w:val="left"/>
              <w:textAlignment w:val="auto"/>
              <w:rPr>
                <w:rFonts w:hint="eastAsia" w:ascii="仿宋" w:hAnsi="仿宋" w:eastAsia="仿宋" w:cs="仿宋"/>
                <w:b/>
                <w:color w:val="auto"/>
                <w:sz w:val="24"/>
                <w:szCs w:val="24"/>
                <w:highlight w:val="none"/>
                <w:u w:val="single"/>
              </w:rPr>
            </w:pPr>
            <w:r>
              <w:rPr>
                <w:rFonts w:hint="eastAsia" w:ascii="仿宋" w:hAnsi="仿宋" w:eastAsia="仿宋" w:cs="仿宋"/>
                <w:b w:val="0"/>
                <w:bCs/>
                <w:color w:val="auto"/>
                <w:sz w:val="24"/>
                <w:szCs w:val="24"/>
                <w:highlight w:val="none"/>
                <w:u w:val="single"/>
              </w:rPr>
              <w:t>▲投标报价明细表（详见第五章应</w:t>
            </w:r>
            <w:r>
              <w:rPr>
                <w:rFonts w:hint="eastAsia" w:ascii="仿宋" w:hAnsi="仿宋" w:eastAsia="仿宋" w:cs="仿宋"/>
                <w:bCs/>
                <w:color w:val="auto"/>
                <w:sz w:val="24"/>
                <w:szCs w:val="24"/>
                <w:highlight w:val="none"/>
                <w:u w:val="single"/>
              </w:rPr>
              <w:t>提交的有关格式范例）</w:t>
            </w:r>
          </w:p>
        </w:tc>
      </w:tr>
      <w:tr w14:paraId="7900B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0" w:type="dxa"/>
            <w:vAlign w:val="center"/>
          </w:tcPr>
          <w:p w14:paraId="38565349">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8315" w:type="dxa"/>
            <w:vAlign w:val="center"/>
          </w:tcPr>
          <w:p w14:paraId="2849AFE0">
            <w:pPr>
              <w:keepNext w:val="0"/>
              <w:keepLines w:val="0"/>
              <w:pageBreakBefore w:val="0"/>
              <w:kinsoku/>
              <w:wordWrap/>
              <w:topLinePunct w:val="0"/>
              <w:autoSpaceDE/>
              <w:autoSpaceDN/>
              <w:bidi w:val="0"/>
              <w:spacing w:line="45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供应商认为需要在报价文件说明的其他材料（如有）</w:t>
            </w:r>
          </w:p>
        </w:tc>
      </w:tr>
    </w:tbl>
    <w:p w14:paraId="04968839">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11.陈述和答辩</w:t>
      </w:r>
    </w:p>
    <w:p w14:paraId="25ADA39E">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本项目无设陈述和答辩环节。</w:t>
      </w:r>
    </w:p>
    <w:p w14:paraId="1927A371">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12.投标函</w:t>
      </w:r>
    </w:p>
    <w:p w14:paraId="6832EC5C">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12.1</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应完整地填写采购文件中提供的投标函和投标相关附件。</w:t>
      </w:r>
    </w:p>
    <w:p w14:paraId="7A0F840F">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12.2投标文件应当对采购文件中有关投标有效期、采购需求等实质性内容作出响应。</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在满足采购文件实质性要求的基础上，可以提出比采购文件要求更有利于采购人的承诺。</w:t>
      </w:r>
    </w:p>
    <w:p w14:paraId="35DAD207">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13</w:t>
      </w:r>
      <w:r>
        <w:rPr>
          <w:rFonts w:hint="eastAsia" w:ascii="仿宋" w:hAnsi="仿宋" w:eastAsia="仿宋" w:cs="仿宋"/>
          <w:b/>
          <w:bCs/>
          <w:snapToGrid w:val="0"/>
          <w:color w:val="auto"/>
          <w:kern w:val="0"/>
          <w:sz w:val="24"/>
          <w:szCs w:val="24"/>
          <w:highlight w:val="none"/>
          <w:lang w:val="en-US" w:eastAsia="zh-CN"/>
        </w:rPr>
        <w:t>.</w:t>
      </w:r>
      <w:r>
        <w:rPr>
          <w:rFonts w:hint="eastAsia" w:ascii="仿宋" w:hAnsi="仿宋" w:eastAsia="仿宋" w:cs="仿宋"/>
          <w:b/>
          <w:bCs/>
          <w:snapToGrid w:val="0"/>
          <w:color w:val="auto"/>
          <w:kern w:val="0"/>
          <w:sz w:val="24"/>
          <w:szCs w:val="24"/>
          <w:highlight w:val="none"/>
        </w:rPr>
        <w:t>投标报价</w:t>
      </w:r>
    </w:p>
    <w:p w14:paraId="2F2274D6">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13.1供应商应按采购文件中规定填写报价相关表单；</w:t>
      </w:r>
    </w:p>
    <w:p w14:paraId="06494788">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13.2本项目报价采用人民币报价形式，投标人的报价应低于最高限价，否则其投标无效。签约合同价包含本项目招标内容及要求及合同约定所有运维服务所需的全部人工费、服装及工具配备、</w:t>
      </w:r>
      <w:r>
        <w:rPr>
          <w:rFonts w:hint="eastAsia" w:ascii="仿宋" w:hAnsi="仿宋" w:eastAsia="仿宋" w:cs="仿宋"/>
          <w:b/>
          <w:bCs/>
          <w:snapToGrid w:val="0"/>
          <w:color w:val="auto"/>
          <w:kern w:val="0"/>
          <w:sz w:val="24"/>
          <w:szCs w:val="24"/>
          <w:highlight w:val="none"/>
          <w:lang w:eastAsia="zh-CN"/>
        </w:rPr>
        <w:t>材料费、机械设备使用费、常规设备维修费</w:t>
      </w:r>
      <w:r>
        <w:rPr>
          <w:rFonts w:hint="eastAsia" w:ascii="仿宋" w:hAnsi="仿宋" w:eastAsia="仿宋" w:cs="仿宋"/>
          <w:b/>
          <w:bCs/>
          <w:snapToGrid w:val="0"/>
          <w:color w:val="auto"/>
          <w:kern w:val="0"/>
          <w:sz w:val="24"/>
          <w:szCs w:val="24"/>
          <w:highlight w:val="none"/>
        </w:rPr>
        <w:t>、检测与监测费、安全生产费用、保险费用、应急响应及演练、管理经费、</w:t>
      </w:r>
      <w:r>
        <w:rPr>
          <w:rFonts w:hint="eastAsia" w:ascii="仿宋" w:hAnsi="仿宋" w:eastAsia="仿宋" w:cs="仿宋"/>
          <w:b/>
          <w:bCs/>
          <w:snapToGrid w:val="0"/>
          <w:color w:val="auto"/>
          <w:kern w:val="0"/>
          <w:sz w:val="24"/>
          <w:szCs w:val="24"/>
          <w:highlight w:val="none"/>
          <w:lang w:eastAsia="zh-CN"/>
        </w:rPr>
        <w:t>无线电频率占用费</w:t>
      </w:r>
      <w:r>
        <w:rPr>
          <w:rFonts w:hint="eastAsia" w:ascii="仿宋" w:hAnsi="仿宋" w:eastAsia="仿宋" w:cs="仿宋"/>
          <w:b/>
          <w:bCs/>
          <w:snapToGrid w:val="0"/>
          <w:color w:val="auto"/>
          <w:kern w:val="0"/>
          <w:sz w:val="24"/>
          <w:szCs w:val="24"/>
          <w:highlight w:val="none"/>
        </w:rPr>
        <w:t>、税费、规费、利润等完成本项目的所有费用。在合同服务期间内不得违反国家相关政策规定</w:t>
      </w:r>
      <w:r>
        <w:rPr>
          <w:rFonts w:hint="eastAsia" w:ascii="仿宋" w:hAnsi="仿宋" w:eastAsia="仿宋" w:cs="仿宋"/>
          <w:b/>
          <w:bCs/>
          <w:color w:val="auto"/>
          <w:sz w:val="24"/>
          <w:szCs w:val="24"/>
          <w:highlight w:val="none"/>
        </w:rPr>
        <w:t>。</w:t>
      </w:r>
    </w:p>
    <w:p w14:paraId="6C527DF3">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lang w:val="en-US" w:eastAsia="zh-CN"/>
        </w:rPr>
      </w:pPr>
      <w:r>
        <w:rPr>
          <w:rFonts w:hint="eastAsia" w:ascii="仿宋" w:hAnsi="仿宋" w:eastAsia="仿宋" w:cs="仿宋"/>
          <w:b/>
          <w:bCs/>
          <w:snapToGrid w:val="0"/>
          <w:color w:val="auto"/>
          <w:kern w:val="0"/>
          <w:sz w:val="24"/>
          <w:szCs w:val="24"/>
          <w:highlight w:val="none"/>
          <w:lang w:val="en-US" w:eastAsia="zh-CN"/>
        </w:rPr>
        <w:t>供应商应认真计算可能发生的各相关费用并计入报价内，在项目实施过程中不得藉此要求增加任何费用，并不得出现选择性的报价。</w:t>
      </w:r>
    </w:p>
    <w:p w14:paraId="2536A8DF">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13.3本项目只允许一次报价，不允许以开标后调整的报价作为评标的依据（但按本采购文件投标须知投标文件错误的修正并经评标委员会认定或经供应商确认同意的除外）。</w:t>
      </w:r>
    </w:p>
    <w:p w14:paraId="0AFD7469">
      <w:pPr>
        <w:keepNext w:val="0"/>
        <w:keepLines w:val="0"/>
        <w:pageBreakBefore w:val="0"/>
        <w:kinsoku/>
        <w:wordWrap/>
        <w:overflowPunct/>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13</w:t>
      </w:r>
      <w:r>
        <w:rPr>
          <w:rFonts w:hint="eastAsia" w:ascii="仿宋" w:hAnsi="仿宋" w:eastAsia="仿宋" w:cs="仿宋"/>
          <w:snapToGrid w:val="0"/>
          <w:color w:val="auto"/>
          <w:kern w:val="0"/>
          <w:sz w:val="24"/>
          <w:szCs w:val="24"/>
          <w:highlight w:val="none"/>
        </w:rPr>
        <w:t>.</w:t>
      </w:r>
      <w:r>
        <w:rPr>
          <w:rFonts w:hint="eastAsia" w:ascii="仿宋" w:hAnsi="仿宋" w:eastAsia="仿宋" w:cs="仿宋"/>
          <w:snapToGrid w:val="0"/>
          <w:color w:val="auto"/>
          <w:kern w:val="0"/>
          <w:sz w:val="24"/>
          <w:szCs w:val="24"/>
          <w:highlight w:val="none"/>
          <w:lang w:val="en-US" w:eastAsia="zh-CN"/>
        </w:rPr>
        <w:t>4</w:t>
      </w:r>
      <w:r>
        <w:rPr>
          <w:rFonts w:hint="eastAsia" w:ascii="仿宋" w:hAnsi="仿宋" w:eastAsia="仿宋" w:cs="仿宋"/>
          <w:snapToGrid w:val="0"/>
          <w:color w:val="auto"/>
          <w:kern w:val="0"/>
          <w:sz w:val="24"/>
          <w:szCs w:val="24"/>
          <w:highlight w:val="none"/>
        </w:rPr>
        <w:t>其它需在报价中考虑的因素：</w:t>
      </w:r>
    </w:p>
    <w:p w14:paraId="1393A648">
      <w:pPr>
        <w:keepNext w:val="0"/>
        <w:keepLines w:val="0"/>
        <w:pageBreakBefore w:val="0"/>
        <w:kinsoku/>
        <w:wordWrap/>
        <w:overflowPunct/>
        <w:topLinePunct w:val="0"/>
        <w:autoSpaceDE/>
        <w:autoSpaceDN/>
        <w:bidi w:val="0"/>
        <w:adjustRightInd w:val="0"/>
        <w:snapToGrid w:val="0"/>
        <w:spacing w:line="450" w:lineRule="exact"/>
        <w:ind w:firstLine="241" w:firstLineChars="100"/>
        <w:jc w:val="left"/>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bCs/>
          <w:snapToGrid w:val="0"/>
          <w:color w:val="auto"/>
          <w:kern w:val="0"/>
          <w:sz w:val="24"/>
          <w:szCs w:val="24"/>
          <w:highlight w:val="none"/>
          <w:lang w:val="en-US" w:eastAsia="zh-CN"/>
        </w:rPr>
        <w:t>1</w:t>
      </w:r>
      <w:r>
        <w:rPr>
          <w:rFonts w:hint="eastAsia" w:ascii="仿宋" w:hAnsi="仿宋" w:eastAsia="仿宋" w:cs="仿宋"/>
          <w:b/>
          <w:bCs/>
          <w:snapToGrid w:val="0"/>
          <w:color w:val="auto"/>
          <w:kern w:val="0"/>
          <w:sz w:val="24"/>
          <w:szCs w:val="24"/>
          <w:highlight w:val="none"/>
          <w:lang w:eastAsia="zh-CN"/>
        </w:rPr>
        <w:t>）</w:t>
      </w:r>
      <w:r>
        <w:rPr>
          <w:rFonts w:hint="eastAsia" w:ascii="仿宋" w:hAnsi="仿宋" w:eastAsia="仿宋" w:cs="仿宋"/>
          <w:b/>
          <w:snapToGrid w:val="0"/>
          <w:color w:val="auto"/>
          <w:kern w:val="0"/>
          <w:sz w:val="24"/>
          <w:szCs w:val="24"/>
          <w:highlight w:val="none"/>
        </w:rPr>
        <w:t>采购内容及要求中明确的需供应商承担的费用均应含在总价报价中；</w:t>
      </w:r>
    </w:p>
    <w:p w14:paraId="46821352">
      <w:pPr>
        <w:keepNext w:val="0"/>
        <w:keepLines w:val="0"/>
        <w:pageBreakBefore w:val="0"/>
        <w:numPr>
          <w:ilvl w:val="0"/>
          <w:numId w:val="0"/>
        </w:numPr>
        <w:tabs>
          <w:tab w:val="left" w:pos="993"/>
        </w:tabs>
        <w:kinsoku/>
        <w:wordWrap/>
        <w:overflowPunct/>
        <w:topLinePunct w:val="0"/>
        <w:autoSpaceDE/>
        <w:autoSpaceDN/>
        <w:bidi w:val="0"/>
        <w:adjustRightInd w:val="0"/>
        <w:snapToGrid w:val="0"/>
        <w:spacing w:line="450" w:lineRule="exact"/>
        <w:ind w:firstLine="241" w:firstLineChars="100"/>
        <w:jc w:val="left"/>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采购文件未明示但供应商认为可能产生的潜在费用支出均需自行考虑并计入报价中；</w:t>
      </w:r>
    </w:p>
    <w:p w14:paraId="01537FCE">
      <w:pPr>
        <w:keepNext w:val="0"/>
        <w:keepLines w:val="0"/>
        <w:pageBreakBefore w:val="0"/>
        <w:numPr>
          <w:ilvl w:val="0"/>
          <w:numId w:val="0"/>
        </w:numPr>
        <w:tabs>
          <w:tab w:val="left" w:pos="431"/>
        </w:tabs>
        <w:kinsoku/>
        <w:wordWrap/>
        <w:overflowPunct/>
        <w:topLinePunct w:val="0"/>
        <w:autoSpaceDE/>
        <w:autoSpaceDN/>
        <w:bidi w:val="0"/>
        <w:adjustRightInd w:val="0"/>
        <w:snapToGrid w:val="0"/>
        <w:spacing w:line="450" w:lineRule="exact"/>
        <w:ind w:firstLine="241" w:firstLineChars="100"/>
        <w:jc w:val="left"/>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lang w:eastAsia="zh-CN"/>
        </w:rPr>
        <w:t>（</w:t>
      </w:r>
      <w:r>
        <w:rPr>
          <w:rFonts w:hint="eastAsia" w:ascii="仿宋" w:hAnsi="仿宋" w:eastAsia="仿宋" w:cs="仿宋"/>
          <w:b/>
          <w:snapToGrid w:val="0"/>
          <w:color w:val="auto"/>
          <w:kern w:val="0"/>
          <w:sz w:val="24"/>
          <w:szCs w:val="24"/>
          <w:highlight w:val="none"/>
          <w:lang w:val="en-US" w:eastAsia="zh-CN"/>
        </w:rPr>
        <w:t>3</w:t>
      </w:r>
      <w:r>
        <w:rPr>
          <w:rFonts w:hint="eastAsia" w:ascii="仿宋" w:hAnsi="仿宋" w:eastAsia="仿宋" w:cs="仿宋"/>
          <w:b/>
          <w:snapToGrid w:val="0"/>
          <w:color w:val="auto"/>
          <w:kern w:val="0"/>
          <w:sz w:val="24"/>
          <w:szCs w:val="24"/>
          <w:highlight w:val="none"/>
          <w:lang w:eastAsia="zh-CN"/>
        </w:rPr>
        <w:t>）</w:t>
      </w:r>
      <w:r>
        <w:rPr>
          <w:rFonts w:hint="eastAsia" w:ascii="仿宋" w:hAnsi="仿宋" w:eastAsia="仿宋" w:cs="仿宋"/>
          <w:b/>
          <w:snapToGrid w:val="0"/>
          <w:color w:val="auto"/>
          <w:kern w:val="0"/>
          <w:sz w:val="24"/>
          <w:szCs w:val="24"/>
          <w:highlight w:val="none"/>
        </w:rPr>
        <w:t>对于没有填报的项目，采购人将不再支付，并均认为已包含在报价内。</w:t>
      </w:r>
    </w:p>
    <w:p w14:paraId="65EE1F35">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13.</w:t>
      </w:r>
      <w:r>
        <w:rPr>
          <w:rFonts w:hint="eastAsia" w:ascii="仿宋" w:hAnsi="仿宋" w:eastAsia="仿宋" w:cs="仿宋"/>
          <w:b/>
          <w:bCs/>
          <w:snapToGrid w:val="0"/>
          <w:color w:val="auto"/>
          <w:kern w:val="0"/>
          <w:sz w:val="24"/>
          <w:szCs w:val="24"/>
          <w:highlight w:val="none"/>
          <w:lang w:val="en-US" w:eastAsia="zh-CN"/>
        </w:rPr>
        <w:t>5</w:t>
      </w:r>
      <w:r>
        <w:rPr>
          <w:rFonts w:hint="eastAsia" w:ascii="仿宋" w:hAnsi="仿宋" w:eastAsia="仿宋" w:cs="仿宋"/>
          <w:b/>
          <w:bCs/>
          <w:snapToGrid w:val="0"/>
          <w:color w:val="auto"/>
          <w:kern w:val="0"/>
          <w:sz w:val="24"/>
          <w:szCs w:val="24"/>
          <w:highlight w:val="none"/>
        </w:rPr>
        <w:t>投标人不得进行影响产品质量或者诚信履约的恶意报价。投标人在项目评审前准备好报价核算、报价明细、报价说明等材料，以备评审专家核查。供应商报价低于项目预算50%的，应当在报价文件中详细阐述</w:t>
      </w:r>
      <w:bookmarkStart w:id="38" w:name="OLE_LINK19"/>
      <w:r>
        <w:rPr>
          <w:rFonts w:hint="eastAsia" w:ascii="仿宋" w:hAnsi="仿宋" w:eastAsia="仿宋" w:cs="仿宋"/>
          <w:b/>
          <w:bCs/>
          <w:snapToGrid w:val="0"/>
          <w:color w:val="auto"/>
          <w:kern w:val="0"/>
          <w:sz w:val="24"/>
          <w:szCs w:val="24"/>
          <w:highlight w:val="none"/>
        </w:rPr>
        <w:t>不影响产品质量或者</w:t>
      </w:r>
      <w:bookmarkEnd w:id="38"/>
      <w:r>
        <w:rPr>
          <w:rFonts w:hint="eastAsia" w:ascii="仿宋" w:hAnsi="仿宋" w:eastAsia="仿宋" w:cs="仿宋"/>
          <w:b/>
          <w:bCs/>
          <w:snapToGrid w:val="0"/>
          <w:color w:val="auto"/>
          <w:kern w:val="0"/>
          <w:sz w:val="24"/>
          <w:szCs w:val="24"/>
          <w:highlight w:val="none"/>
        </w:rPr>
        <w:t>诚信履约的具体原因。</w:t>
      </w:r>
    </w:p>
    <w:p w14:paraId="44164ED5">
      <w:pPr>
        <w:keepNext w:val="0"/>
        <w:keepLines w:val="0"/>
        <w:pageBreakBefore w:val="0"/>
        <w:tabs>
          <w:tab w:val="left" w:pos="431"/>
        </w:tabs>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14</w:t>
      </w:r>
      <w:r>
        <w:rPr>
          <w:rFonts w:hint="eastAsia" w:ascii="仿宋" w:hAnsi="仿宋" w:eastAsia="仿宋" w:cs="仿宋"/>
          <w:b/>
          <w:bCs/>
          <w:snapToGrid w:val="0"/>
          <w:color w:val="auto"/>
          <w:kern w:val="0"/>
          <w:sz w:val="24"/>
          <w:szCs w:val="24"/>
          <w:highlight w:val="none"/>
          <w:lang w:val="en-US" w:eastAsia="zh-CN"/>
        </w:rPr>
        <w:t>.</w:t>
      </w:r>
      <w:r>
        <w:rPr>
          <w:rFonts w:hint="eastAsia" w:ascii="仿宋" w:hAnsi="仿宋" w:eastAsia="仿宋" w:cs="仿宋"/>
          <w:b/>
          <w:color w:val="auto"/>
          <w:sz w:val="24"/>
          <w:szCs w:val="24"/>
          <w:highlight w:val="none"/>
        </w:rPr>
        <w:t>投标文件的编制</w:t>
      </w:r>
    </w:p>
    <w:p w14:paraId="705AD492">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zh-CN"/>
        </w:rPr>
        <w:t>1</w:t>
      </w:r>
      <w:r>
        <w:rPr>
          <w:rFonts w:hint="eastAsia" w:ascii="仿宋" w:hAnsi="仿宋" w:eastAsia="仿宋" w:cs="仿宋"/>
          <w:snapToGrid w:val="0"/>
          <w:color w:val="auto"/>
          <w:kern w:val="0"/>
          <w:sz w:val="24"/>
          <w:szCs w:val="24"/>
          <w:highlight w:val="none"/>
        </w:rPr>
        <w:t>4</w:t>
      </w:r>
      <w:r>
        <w:rPr>
          <w:rFonts w:hint="eastAsia" w:ascii="仿宋" w:hAnsi="仿宋" w:eastAsia="仿宋" w:cs="仿宋"/>
          <w:snapToGrid w:val="0"/>
          <w:color w:val="auto"/>
          <w:kern w:val="0"/>
          <w:sz w:val="24"/>
          <w:szCs w:val="24"/>
          <w:highlight w:val="none"/>
          <w:lang w:val="zh-CN"/>
        </w:rPr>
        <w:t>.1投标文件分为资格审查文件、商务技术文件、报价文件三部分。各供应商在编制投标文件时请按照采购文件第五</w:t>
      </w:r>
      <w:r>
        <w:rPr>
          <w:rFonts w:hint="eastAsia" w:ascii="仿宋" w:hAnsi="仿宋" w:eastAsia="仿宋" w:cs="仿宋"/>
          <w:snapToGrid w:val="0"/>
          <w:color w:val="auto"/>
          <w:kern w:val="0"/>
          <w:sz w:val="24"/>
          <w:szCs w:val="24"/>
          <w:highlight w:val="none"/>
        </w:rPr>
        <w:t>章</w:t>
      </w:r>
      <w:r>
        <w:rPr>
          <w:rFonts w:hint="eastAsia" w:ascii="仿宋" w:hAnsi="仿宋" w:eastAsia="仿宋" w:cs="仿宋"/>
          <w:snapToGrid w:val="0"/>
          <w:color w:val="auto"/>
          <w:kern w:val="0"/>
          <w:sz w:val="24"/>
          <w:szCs w:val="24"/>
          <w:highlight w:val="none"/>
          <w:lang w:val="zh-CN"/>
        </w:rPr>
        <w:t>规定的格式进行，混乱的编排导致投标文件被误读或评标委员会查找不到有效文件是</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lang w:val="zh-CN"/>
        </w:rPr>
        <w:t>的风险。</w:t>
      </w:r>
      <w:r>
        <w:rPr>
          <w:rFonts w:hint="eastAsia" w:ascii="仿宋" w:hAnsi="仿宋" w:eastAsia="仿宋" w:cs="仿宋"/>
          <w:snapToGrid w:val="0"/>
          <w:color w:val="auto"/>
          <w:kern w:val="0"/>
          <w:sz w:val="24"/>
          <w:szCs w:val="24"/>
          <w:highlight w:val="none"/>
        </w:rPr>
        <w:t>▲投标文件未按规定的格式编制的，投标无效；</w:t>
      </w:r>
    </w:p>
    <w:p w14:paraId="1F8DB8F2">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1</w:t>
      </w:r>
      <w:r>
        <w:rPr>
          <w:rFonts w:hint="eastAsia" w:ascii="仿宋" w:hAnsi="仿宋" w:eastAsia="仿宋" w:cs="仿宋"/>
          <w:snapToGrid w:val="0"/>
          <w:color w:val="auto"/>
          <w:kern w:val="0"/>
          <w:sz w:val="24"/>
          <w:szCs w:val="24"/>
          <w:highlight w:val="none"/>
        </w:rPr>
        <w:t>4</w:t>
      </w:r>
      <w:r>
        <w:rPr>
          <w:rFonts w:hint="eastAsia" w:ascii="仿宋" w:hAnsi="仿宋" w:eastAsia="仿宋" w:cs="仿宋"/>
          <w:snapToGrid w:val="0"/>
          <w:color w:val="auto"/>
          <w:kern w:val="0"/>
          <w:sz w:val="24"/>
          <w:szCs w:val="24"/>
          <w:highlight w:val="none"/>
          <w:lang w:val="zh-CN"/>
        </w:rPr>
        <w:t>.</w:t>
      </w:r>
      <w:r>
        <w:rPr>
          <w:rFonts w:hint="eastAsia" w:ascii="仿宋" w:hAnsi="仿宋" w:eastAsia="仿宋" w:cs="仿宋"/>
          <w:snapToGrid w:val="0"/>
          <w:color w:val="auto"/>
          <w:kern w:val="0"/>
          <w:sz w:val="24"/>
          <w:szCs w:val="24"/>
          <w:highlight w:val="none"/>
        </w:rPr>
        <w:t>2</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lang w:val="zh-CN"/>
        </w:rPr>
        <w:t>进行电子投标应安装客户端软件—“政采云电子交易客户端”，并按照招标文件和电子交易平台的要求编制并加密投标文件。</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lang w:val="zh-CN"/>
        </w:rPr>
        <w:t>未按规定加密的投标文件，电子交易平台将拒收并提示。</w:t>
      </w:r>
    </w:p>
    <w:p w14:paraId="0F173C1D">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lang w:val="zh-CN"/>
        </w:rPr>
      </w:pPr>
      <w:r>
        <w:rPr>
          <w:rFonts w:hint="eastAsia" w:ascii="仿宋" w:hAnsi="仿宋" w:eastAsia="仿宋" w:cs="仿宋"/>
          <w:snapToGrid w:val="0"/>
          <w:color w:val="auto"/>
          <w:kern w:val="0"/>
          <w:sz w:val="24"/>
          <w:szCs w:val="24"/>
          <w:highlight w:val="none"/>
          <w:lang w:val="zh-CN"/>
        </w:rPr>
        <w:t>1</w:t>
      </w:r>
      <w:r>
        <w:rPr>
          <w:rFonts w:hint="eastAsia" w:ascii="仿宋" w:hAnsi="仿宋" w:eastAsia="仿宋" w:cs="仿宋"/>
          <w:snapToGrid w:val="0"/>
          <w:color w:val="auto"/>
          <w:kern w:val="0"/>
          <w:sz w:val="24"/>
          <w:szCs w:val="24"/>
          <w:highlight w:val="none"/>
        </w:rPr>
        <w:t>4</w:t>
      </w:r>
      <w:r>
        <w:rPr>
          <w:rFonts w:hint="eastAsia" w:ascii="仿宋" w:hAnsi="仿宋" w:eastAsia="仿宋" w:cs="仿宋"/>
          <w:snapToGrid w:val="0"/>
          <w:color w:val="auto"/>
          <w:kern w:val="0"/>
          <w:sz w:val="24"/>
          <w:szCs w:val="24"/>
          <w:highlight w:val="none"/>
          <w:lang w:val="zh-CN"/>
        </w:rPr>
        <w:t>.3使用“政采云电子交易客户端”需要提前申领CA数字证书，申领流程请自行前往“浙江政府采购网-下载专区-电子交易客户端-CA驱动和申领流程”进行查阅。</w:t>
      </w:r>
    </w:p>
    <w:p w14:paraId="02F9E2A5">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15.投标保证金</w:t>
      </w:r>
    </w:p>
    <w:p w14:paraId="205BE727">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15.1本项目不收取投标保证金。但违反政府采购相关规定给采购人造成损失的，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应当承担赔偿责任。</w:t>
      </w:r>
    </w:p>
    <w:p w14:paraId="5EE0B093">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16.投标有效期</w:t>
      </w:r>
    </w:p>
    <w:p w14:paraId="455A3404">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16.1投标文件在开标之日起90个日历天内有效。</w:t>
      </w:r>
    </w:p>
    <w:p w14:paraId="2F052F98">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16.2在原定投标有效期满之前，如果出现特殊情况，采购人可以以书面形式向</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提出延长投标有效期的要求。这种要求与答复均应采用书面形式如传真或信件等。</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可以拒绝接受采购人的这种要求而放弃投标。接受延长投标有效期的投标人将不会被要求和允许修正其投标。</w:t>
      </w:r>
    </w:p>
    <w:p w14:paraId="5278848E">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16.3中标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的投标文件自开标之日起至合同履行完毕止均应保持有效。</w:t>
      </w:r>
    </w:p>
    <w:p w14:paraId="10DCD03A">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17投标文件的签署、盖章</w:t>
      </w:r>
    </w:p>
    <w:p w14:paraId="4E58F491">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17.1投标文件按照采购文件第五章格式要求进行签署、盖章。</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的投标文件未按照招标文件要求签署、盖章的，其投标无效。</w:t>
      </w:r>
    </w:p>
    <w:p w14:paraId="6ED7F47F">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17.2为确保网上操作合法、有效和安全，</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应当在投标截止时间前完成在“政府采购云平台”的身份认证，确保在电子投标过程中能够对相关数据电文进行加密和使用电子签名。</w:t>
      </w:r>
    </w:p>
    <w:p w14:paraId="178D05DF">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17.3投标人应按本招标文件规定的格式和顺序编制、装订投标文件并标注页码，投标文件内容不完整、编排混乱导致投标文件被误读、漏读或者查找不到相关内容的，是投标人的责任。</w:t>
      </w:r>
    </w:p>
    <w:p w14:paraId="17059159">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17.4本项目通过“政采云平台（www.zcygov.cn）”实行在线投标响应（电子投标）。供应商应通过“政采云电子交易客户端”，并按照本招标文件和“政采云平台”的要求编制并加密投标文件。</w:t>
      </w:r>
    </w:p>
    <w:p w14:paraId="269065A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17.5投标人应当按照“投标文件组成”规定的内容及顺序在“政采云电子交易客户端”编制投标文件。其中《资格审查文件》和《商务技术文件》中不得出现本项目投标报价，如因投标人原因提前泄露投标报价，是投标人的责任。</w:t>
      </w:r>
    </w:p>
    <w:p w14:paraId="7FE6041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17.6投标文件需做好“标书关联”（即设置关联点），未设置关联点而导致失分或无效投标处理的风险由投标人承担。</w:t>
      </w:r>
    </w:p>
    <w:p w14:paraId="4F837181">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17.7投标文件应按招标文件中投标格式文件所示列要求由投标人的法定代表人或其授权的代理人签字、盖单位公章。投标人的法定代表人授权代理人签字的，投标文件应附由法定代表人签署的授权委托书。</w:t>
      </w:r>
    </w:p>
    <w:p w14:paraId="073607E6">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17.8投标文件不得涂改，若有修改和增删处，必须加盖单位公章或法定代表人或授权委托人签字或盖章。投标文件字迹模糊、潦草或在关键的技术、商务条款上表述不清所引起的后果由投标人负责。</w:t>
      </w:r>
    </w:p>
    <w:p w14:paraId="7B3D1FCE">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四、投标文件的递交</w:t>
      </w:r>
    </w:p>
    <w:p w14:paraId="6611B31D">
      <w:pPr>
        <w:pStyle w:val="48"/>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18.投标文件的递交</w:t>
      </w:r>
    </w:p>
    <w:p w14:paraId="2C1EE9F2">
      <w:pPr>
        <w:pStyle w:val="48"/>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color w:val="auto"/>
          <w:sz w:val="24"/>
          <w:szCs w:val="24"/>
          <w:highlight w:val="none"/>
        </w:rPr>
        <w:t>18.</w:t>
      </w:r>
      <w:r>
        <w:rPr>
          <w:rFonts w:hint="eastAsia" w:ascii="仿宋" w:hAnsi="仿宋" w:eastAsia="仿宋" w:cs="仿宋"/>
          <w:b/>
          <w:bCs/>
          <w:snapToGrid w:val="0"/>
          <w:color w:val="auto"/>
          <w:kern w:val="0"/>
          <w:sz w:val="24"/>
          <w:szCs w:val="24"/>
          <w:highlight w:val="none"/>
        </w:rPr>
        <w:t>1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14:paraId="49C3BACB">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18.2投标截止时间后，供应商登录政采云平台，用“项目采购-开标评标”功能对电子投标文件进行在线解密。在线解密电子投标文件时间为开标时间起30分钟内。</w:t>
      </w:r>
    </w:p>
    <w:p w14:paraId="6574FFF2">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19.备份投标文件</w:t>
      </w:r>
    </w:p>
    <w:p w14:paraId="4F594CFD">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19.1供应商在电子交易平台传输递交投标文件后，还可以按投标须知前附表规定（</w:t>
      </w:r>
      <w:r>
        <w:rPr>
          <w:rFonts w:hint="eastAsia" w:ascii="仿宋" w:hAnsi="仿宋" w:eastAsia="仿宋" w:cs="仿宋"/>
          <w:color w:val="auto"/>
          <w:sz w:val="24"/>
          <w:szCs w:val="24"/>
          <w:highlight w:val="none"/>
        </w:rPr>
        <w:t>非强制性要求，推荐EMS或顺丰邮寄形式</w:t>
      </w:r>
      <w:r>
        <w:rPr>
          <w:rFonts w:hint="eastAsia" w:ascii="仿宋" w:hAnsi="仿宋" w:eastAsia="仿宋" w:cs="仿宋"/>
          <w:snapToGrid w:val="0"/>
          <w:color w:val="auto"/>
          <w:kern w:val="0"/>
          <w:sz w:val="24"/>
          <w:szCs w:val="24"/>
          <w:highlight w:val="none"/>
        </w:rPr>
        <w:t>）递交“备份投标文件”1份，但采购人、代理机构不强制或变相强制</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提交“备份投标文件”。</w:t>
      </w:r>
    </w:p>
    <w:p w14:paraId="2525BBB5">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19.2“备份投标文件”须在“政采云投标客户端”制作生成，并储存在U盘中。“备份投标文件”应当密封包装并在包装上加盖公章并注明投标项目名称，</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名称。▲不符合上述制作、存储、密封规定的“备份投标文件”将被视为无效或者被拒绝接收。</w:t>
      </w:r>
    </w:p>
    <w:p w14:paraId="53FC2DC1">
      <w:pPr>
        <w:pStyle w:val="48"/>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20.投标截止期</w:t>
      </w:r>
    </w:p>
    <w:p w14:paraId="27D2AF16">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20.1</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应按前附表规定的日期、时间和方式递交投标文件。</w:t>
      </w:r>
    </w:p>
    <w:p w14:paraId="2E51D7C6">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20.2采购人可以按本须知第7条规定，通过修改采购文件适当延长投标截止日期。在此情况下，采购人与</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受投标截止期制约的所有权利和义务均应延长至新的截止期。</w:t>
      </w:r>
    </w:p>
    <w:p w14:paraId="5B291971">
      <w:pPr>
        <w:pStyle w:val="48"/>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21.迟交的投标文件</w:t>
      </w:r>
    </w:p>
    <w:p w14:paraId="0A2D49F5">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在本须知第18条规定的截止期后收到的任何投标文件，采购人将不予接收。</w:t>
      </w:r>
    </w:p>
    <w:p w14:paraId="2BCF331E">
      <w:pPr>
        <w:pStyle w:val="48"/>
        <w:keepNext w:val="0"/>
        <w:keepLines w:val="0"/>
        <w:pageBreakBefore w:val="0"/>
        <w:kinsoku/>
        <w:wordWrap/>
        <w:topLinePunct w:val="0"/>
        <w:autoSpaceDE/>
        <w:autoSpaceDN/>
        <w:bidi w:val="0"/>
        <w:spacing w:line="450" w:lineRule="exact"/>
        <w:ind w:firstLine="422" w:firstLineChars="150"/>
        <w:jc w:val="center"/>
        <w:textAlignment w:val="auto"/>
        <w:rPr>
          <w:rFonts w:hint="eastAsia" w:ascii="仿宋" w:hAnsi="仿宋" w:eastAsia="仿宋" w:cs="仿宋"/>
          <w:b/>
          <w:bCs/>
          <w:color w:val="auto"/>
          <w:sz w:val="28"/>
          <w:szCs w:val="28"/>
          <w:highlight w:val="none"/>
        </w:rPr>
      </w:pPr>
      <w:bookmarkStart w:id="39" w:name="_Toc22131"/>
      <w:bookmarkStart w:id="40" w:name="_Toc13578"/>
      <w:bookmarkStart w:id="41" w:name="_Toc15503"/>
      <w:bookmarkStart w:id="42" w:name="_Toc240450081"/>
      <w:bookmarkStart w:id="43" w:name="_Toc251566654"/>
      <w:bookmarkStart w:id="44" w:name="_Toc14566"/>
      <w:r>
        <w:rPr>
          <w:rFonts w:hint="eastAsia" w:ascii="仿宋" w:hAnsi="仿宋" w:eastAsia="仿宋" w:cs="仿宋"/>
          <w:b/>
          <w:bCs/>
          <w:color w:val="auto"/>
          <w:sz w:val="28"/>
          <w:szCs w:val="28"/>
          <w:highlight w:val="none"/>
        </w:rPr>
        <w:t>五、开标与评标</w:t>
      </w:r>
      <w:bookmarkEnd w:id="39"/>
      <w:bookmarkEnd w:id="40"/>
      <w:bookmarkEnd w:id="41"/>
      <w:bookmarkEnd w:id="42"/>
      <w:bookmarkEnd w:id="43"/>
      <w:bookmarkEnd w:id="44"/>
    </w:p>
    <w:p w14:paraId="5278C2A6">
      <w:pPr>
        <w:pStyle w:val="48"/>
        <w:keepNext w:val="0"/>
        <w:keepLines w:val="0"/>
        <w:pageBreakBefore w:val="0"/>
        <w:kinsoku/>
        <w:wordWrap/>
        <w:topLinePunct w:val="0"/>
        <w:autoSpaceDE/>
        <w:autoSpaceDN/>
        <w:bidi w:val="0"/>
        <w:spacing w:line="450" w:lineRule="exact"/>
        <w:ind w:firstLine="361" w:firstLineChars="15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22.开标</w:t>
      </w:r>
    </w:p>
    <w:p w14:paraId="59A576DF">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22.1采购人将于前附表规定的时间和地点公开开标。若采购人按本须知第7条规定，通过修改采购文件更改了开标时间和地点的，以后者为准，供应商不足3家的，不得开标。</w:t>
      </w:r>
    </w:p>
    <w:p w14:paraId="24F3C641">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22.2开标时，电子交易平台按开标时间自动提取所有投标文件。代理机构依托电子交易平台发起开始解密指令，供应商按照平台提示和招标文件的规定在半小时内完成在线解密。</w:t>
      </w:r>
    </w:p>
    <w:p w14:paraId="28763FB3">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22.3投标文件未按时解密，供应商提供了“备份投标文件”的，以“备份投标文件”作为依据，否则视为投标文件撤回。投标文件已按时解密的，“备份投标文件”自动失效。</w:t>
      </w:r>
    </w:p>
    <w:p w14:paraId="773BBABD">
      <w:pPr>
        <w:pStyle w:val="48"/>
        <w:keepNext w:val="0"/>
        <w:keepLines w:val="0"/>
        <w:pageBreakBefore w:val="0"/>
        <w:kinsoku/>
        <w:wordWrap/>
        <w:topLinePunct w:val="0"/>
        <w:autoSpaceDE/>
        <w:autoSpaceDN/>
        <w:bidi w:val="0"/>
        <w:spacing w:line="450" w:lineRule="exact"/>
        <w:ind w:firstLine="361" w:firstLineChars="15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23.资格审查</w:t>
      </w:r>
    </w:p>
    <w:p w14:paraId="54270940">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23.1开标后，采购人或代理机构将依法对供应商的资格进行审查。</w:t>
      </w:r>
    </w:p>
    <w:p w14:paraId="24919DDB">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23.2采购人或代理机构依据法律法规和采购文件的规定，对供应商的基本资格条件、特定资格条件进行审查。</w:t>
      </w:r>
    </w:p>
    <w:p w14:paraId="54DC5792">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23.3供应商未按照采购文件要求提供与资格条件相应的有效资格证明材料的，视为供应商不具备采购文件中规定的资格要求，其投标无效。</w:t>
      </w:r>
    </w:p>
    <w:p w14:paraId="34388AD3">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23.4对未通过资格审查的供应商，采购人或代理机构告知其未通过的原因。</w:t>
      </w:r>
    </w:p>
    <w:p w14:paraId="56D0EE09">
      <w:pPr>
        <w:pStyle w:val="48"/>
        <w:keepNext w:val="0"/>
        <w:keepLines w:val="0"/>
        <w:pageBreakBefore w:val="0"/>
        <w:kinsoku/>
        <w:wordWrap/>
        <w:topLinePunct w:val="0"/>
        <w:autoSpaceDE/>
        <w:autoSpaceDN/>
        <w:bidi w:val="0"/>
        <w:spacing w:line="450" w:lineRule="exact"/>
        <w:ind w:firstLine="360" w:firstLineChars="15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23.5合格供应商不足3家的，不再评标。</w:t>
      </w:r>
    </w:p>
    <w:p w14:paraId="386B9160">
      <w:pPr>
        <w:pStyle w:val="310"/>
        <w:keepNext w:val="0"/>
        <w:keepLines w:val="0"/>
        <w:pageBreakBefore w:val="0"/>
        <w:kinsoku/>
        <w:wordWrap/>
        <w:topLinePunct w:val="0"/>
        <w:autoSpaceDE/>
        <w:autoSpaceDN/>
        <w:bidi w:val="0"/>
        <w:spacing w:before="0" w:line="450" w:lineRule="exac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24.信用信息查询</w:t>
      </w:r>
    </w:p>
    <w:p w14:paraId="135A4B0B">
      <w:pPr>
        <w:pStyle w:val="310"/>
        <w:keepNext w:val="0"/>
        <w:keepLines w:val="0"/>
        <w:pageBreakBefore w:val="0"/>
        <w:kinsoku/>
        <w:wordWrap/>
        <w:topLinePunct w:val="0"/>
        <w:autoSpaceDE/>
        <w:autoSpaceDN/>
        <w:bidi w:val="0"/>
        <w:spacing w:before="0" w:line="450" w:lineRule="exact"/>
        <w:ind w:firstLine="48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24.1信用信息查询渠道及截止时间：代理机构将通过“信用中国”网站(www.creditchina.gov.cn)、中国政府采购网(www.ccgp.gov.cn)、</w:t>
      </w:r>
      <w:r>
        <w:rPr>
          <w:rFonts w:hint="eastAsia" w:ascii="仿宋" w:hAnsi="仿宋" w:eastAsia="仿宋" w:cs="仿宋"/>
          <w:color w:val="auto"/>
          <w:sz w:val="24"/>
          <w:szCs w:val="24"/>
          <w:highlight w:val="none"/>
        </w:rPr>
        <w:t>浙江政府采购网（ccgp-zhejiang.gov.cn）</w:t>
      </w:r>
      <w:r>
        <w:rPr>
          <w:rFonts w:hint="eastAsia" w:ascii="仿宋" w:hAnsi="仿宋" w:eastAsia="仿宋" w:cs="仿宋"/>
          <w:snapToGrid w:val="0"/>
          <w:color w:val="auto"/>
          <w:kern w:val="0"/>
          <w:sz w:val="24"/>
          <w:szCs w:val="24"/>
          <w:highlight w:val="none"/>
        </w:rPr>
        <w:t>渠道查询</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投标截止时间当天前三年内的信用记录。</w:t>
      </w:r>
    </w:p>
    <w:p w14:paraId="13A454DC">
      <w:pPr>
        <w:pStyle w:val="310"/>
        <w:keepNext w:val="0"/>
        <w:keepLines w:val="0"/>
        <w:pageBreakBefore w:val="0"/>
        <w:kinsoku/>
        <w:wordWrap/>
        <w:topLinePunct w:val="0"/>
        <w:autoSpaceDE/>
        <w:autoSpaceDN/>
        <w:bidi w:val="0"/>
        <w:spacing w:before="0" w:line="450" w:lineRule="exact"/>
        <w:ind w:firstLine="48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24.2信用信息查询记录和证据留存的具体方式：现场查询的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的信用记录、查询结果经确认后将与采购文件一起存档。</w:t>
      </w:r>
    </w:p>
    <w:p w14:paraId="7B1A5C97">
      <w:pPr>
        <w:pStyle w:val="310"/>
        <w:keepNext w:val="0"/>
        <w:keepLines w:val="0"/>
        <w:pageBreakBefore w:val="0"/>
        <w:kinsoku/>
        <w:wordWrap/>
        <w:topLinePunct w:val="0"/>
        <w:autoSpaceDE/>
        <w:autoSpaceDN/>
        <w:bidi w:val="0"/>
        <w:spacing w:before="0" w:line="450" w:lineRule="exact"/>
        <w:ind w:firstLine="48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24.3信用信息的使用规则：经查询列入</w:t>
      </w:r>
      <w:r>
        <w:rPr>
          <w:rFonts w:hint="eastAsia" w:ascii="仿宋" w:hAnsi="仿宋" w:eastAsia="仿宋" w:cs="仿宋"/>
          <w:color w:val="auto"/>
          <w:sz w:val="24"/>
          <w:szCs w:val="24"/>
          <w:highlight w:val="none"/>
        </w:rPr>
        <w:t>被列入失信被执行人、重大税收违法案件当事人名单、政府采购严重违法失信行为记录名单或浙江政府采购网曝光台中尚在行政处罚期内及其它不符合《中华人民共和国政府采购法》第二十二条规定条件的情形</w:t>
      </w:r>
      <w:r>
        <w:rPr>
          <w:rFonts w:hint="eastAsia" w:ascii="仿宋" w:hAnsi="仿宋" w:eastAsia="仿宋" w:cs="仿宋"/>
          <w:snapToGrid w:val="0"/>
          <w:color w:val="auto"/>
          <w:kern w:val="0"/>
          <w:sz w:val="24"/>
          <w:szCs w:val="24"/>
          <w:highlight w:val="none"/>
        </w:rPr>
        <w:t>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将被拒绝参与政府采购活动。</w:t>
      </w:r>
    </w:p>
    <w:p w14:paraId="1F8DA72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24.4联合体信用信息查询：两个以上的自然人、法人或者其他组织组成一个联合体，以一个</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的身份共同参加政府采购活动的，应当对所有联合体成员进行信用记录查询，联合体成员存在不良信用记录的，视同联合体存在不良信用记录。（本项目不适用）</w:t>
      </w:r>
    </w:p>
    <w:p w14:paraId="2BFF79C0">
      <w:pPr>
        <w:pStyle w:val="310"/>
        <w:keepNext w:val="0"/>
        <w:keepLines w:val="0"/>
        <w:pageBreakBefore w:val="0"/>
        <w:kinsoku/>
        <w:wordWrap/>
        <w:topLinePunct w:val="0"/>
        <w:autoSpaceDE/>
        <w:autoSpaceDN/>
        <w:bidi w:val="0"/>
        <w:spacing w:before="0" w:line="450" w:lineRule="exact"/>
        <w:ind w:firstLine="549" w:firstLineChars="228"/>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25.</w:t>
      </w:r>
      <w:r>
        <w:rPr>
          <w:rFonts w:hint="eastAsia" w:ascii="仿宋" w:hAnsi="仿宋" w:eastAsia="仿宋" w:cs="仿宋"/>
          <w:b/>
          <w:bCs/>
          <w:snapToGrid w:val="0"/>
          <w:color w:val="auto"/>
          <w:kern w:val="0"/>
          <w:sz w:val="24"/>
          <w:szCs w:val="24"/>
          <w:highlight w:val="none"/>
        </w:rPr>
        <w:t>评标程序</w:t>
      </w:r>
    </w:p>
    <w:p w14:paraId="7E5E8592">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25</w:t>
      </w:r>
      <w:r>
        <w:rPr>
          <w:rFonts w:hint="eastAsia" w:ascii="仿宋" w:hAnsi="仿宋" w:eastAsia="仿宋" w:cs="仿宋"/>
          <w:b w:val="0"/>
          <w:bCs w:val="0"/>
          <w:snapToGrid w:val="0"/>
          <w:color w:val="auto"/>
          <w:kern w:val="0"/>
          <w:sz w:val="24"/>
          <w:szCs w:val="24"/>
          <w:highlight w:val="none"/>
        </w:rPr>
        <w:t>.1符合性审查：评标时，评标委员会将首先评定每份投标文件是否在实质上响应了招标文件要求。所谓实质上的响应，是指投标文件与招标文件的所有实质性条款、条件和要求相符，无显著差异或保留，或者对合同中约定的采购人的权利和</w:t>
      </w:r>
      <w:r>
        <w:rPr>
          <w:rFonts w:hint="eastAsia" w:ascii="仿宋" w:hAnsi="仿宋" w:eastAsia="仿宋" w:cs="仿宋"/>
          <w:b w:val="0"/>
          <w:bCs w:val="0"/>
          <w:snapToGrid w:val="0"/>
          <w:color w:val="auto"/>
          <w:kern w:val="0"/>
          <w:sz w:val="24"/>
          <w:szCs w:val="24"/>
          <w:highlight w:val="none"/>
          <w:lang w:val="en-US" w:eastAsia="zh-CN"/>
        </w:rPr>
        <w:t>投标人</w:t>
      </w:r>
      <w:r>
        <w:rPr>
          <w:rFonts w:hint="eastAsia" w:ascii="仿宋" w:hAnsi="仿宋" w:eastAsia="仿宋" w:cs="仿宋"/>
          <w:b w:val="0"/>
          <w:bCs w:val="0"/>
          <w:snapToGrid w:val="0"/>
          <w:color w:val="auto"/>
          <w:kern w:val="0"/>
          <w:sz w:val="24"/>
          <w:szCs w:val="24"/>
          <w:highlight w:val="none"/>
        </w:rPr>
        <w:t>的义务方面造成重大的限制，纠正这些显著差异或保留将会对其他实质上响应招标文件要求的投标文件的供应商的竞争地位产生不公正的影响。评标委员会决定投标文件的响应性只根据投标文件本身的内容，而不寻求外部证据。如果投标文件实质不响应招标文件的各项要求，评标委员会将予以拒绝，并且不允许供应商通过修改或撤销其不符合要求的差异或保留，使之成为具有实质性响应的投标。符合投标无效情形的，投标无效。</w:t>
      </w:r>
    </w:p>
    <w:p w14:paraId="275A1F04">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zh-CN"/>
        </w:rPr>
      </w:pPr>
      <w:r>
        <w:rPr>
          <w:rFonts w:hint="eastAsia" w:ascii="仿宋" w:hAnsi="仿宋" w:eastAsia="仿宋" w:cs="仿宋"/>
          <w:b w:val="0"/>
          <w:bCs w:val="0"/>
          <w:snapToGrid w:val="0"/>
          <w:color w:val="auto"/>
          <w:kern w:val="0"/>
          <w:sz w:val="24"/>
          <w:szCs w:val="24"/>
          <w:highlight w:val="none"/>
          <w:lang w:val="zh-CN"/>
        </w:rPr>
        <w:t>在符合性审查时，如发现下列情形之一的，投标文件将被视为无效投标：</w:t>
      </w:r>
    </w:p>
    <w:p w14:paraId="7BFF7598">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（1）单位负责人为同一人或者存在直接控股、管理关系的不同供应商参加同一合同项下的政府采购活动的（均无效）；</w:t>
      </w:r>
    </w:p>
    <w:p w14:paraId="1BD672ED">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（2）</w:t>
      </w:r>
      <w:r>
        <w:rPr>
          <w:rFonts w:hint="eastAsia" w:ascii="仿宋" w:hAnsi="仿宋" w:eastAsia="仿宋" w:cs="仿宋"/>
          <w:b w:val="0"/>
          <w:bCs w:val="0"/>
          <w:snapToGrid w:val="0"/>
          <w:color w:val="auto"/>
          <w:kern w:val="0"/>
          <w:sz w:val="24"/>
          <w:szCs w:val="24"/>
          <w:highlight w:val="none"/>
        </w:rPr>
        <w:t>为采购项目提供整体设计、规范编制或者项目管理、监理、检测等服务的供应商再参加该采购项目的其他采购活动的；</w:t>
      </w:r>
    </w:p>
    <w:p w14:paraId="6467C798">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（3）</w:t>
      </w:r>
      <w:r>
        <w:rPr>
          <w:rFonts w:hint="eastAsia" w:ascii="仿宋" w:hAnsi="仿宋" w:eastAsia="仿宋" w:cs="仿宋"/>
          <w:b w:val="0"/>
          <w:bCs w:val="0"/>
          <w:snapToGrid w:val="0"/>
          <w:color w:val="auto"/>
          <w:kern w:val="0"/>
          <w:sz w:val="24"/>
          <w:szCs w:val="24"/>
          <w:highlight w:val="none"/>
        </w:rPr>
        <w:t>如以联合体形式参加政府采购活动的，联合体协议不符合采购文件规定的联合体协议要求的；</w:t>
      </w:r>
    </w:p>
    <w:p w14:paraId="095D4F6C">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（4）</w:t>
      </w:r>
      <w:r>
        <w:rPr>
          <w:rFonts w:hint="eastAsia" w:ascii="仿宋" w:hAnsi="仿宋" w:eastAsia="仿宋" w:cs="仿宋"/>
          <w:b w:val="0"/>
          <w:bCs w:val="0"/>
          <w:snapToGrid w:val="0"/>
          <w:color w:val="auto"/>
          <w:kern w:val="0"/>
          <w:sz w:val="24"/>
          <w:szCs w:val="24"/>
          <w:highlight w:val="none"/>
        </w:rPr>
        <w:t>投标文件未按规定的格式编制的；</w:t>
      </w:r>
    </w:p>
    <w:p w14:paraId="49DA6D67">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（5）</w:t>
      </w:r>
      <w:r>
        <w:rPr>
          <w:rFonts w:hint="eastAsia" w:ascii="仿宋" w:hAnsi="仿宋" w:eastAsia="仿宋" w:cs="仿宋"/>
          <w:b w:val="0"/>
          <w:bCs w:val="0"/>
          <w:snapToGrid w:val="0"/>
          <w:color w:val="auto"/>
          <w:kern w:val="0"/>
          <w:sz w:val="24"/>
          <w:szCs w:val="24"/>
          <w:highlight w:val="none"/>
        </w:rPr>
        <w:t>投标文件未按采购文件的澄清、修改的内容编制，又不符合实质性要求的</w:t>
      </w:r>
      <w:r>
        <w:rPr>
          <w:rFonts w:hint="eastAsia" w:ascii="仿宋" w:hAnsi="仿宋" w:eastAsia="仿宋" w:cs="仿宋"/>
          <w:b w:val="0"/>
          <w:bCs w:val="0"/>
          <w:snapToGrid w:val="0"/>
          <w:color w:val="auto"/>
          <w:kern w:val="0"/>
          <w:sz w:val="24"/>
          <w:szCs w:val="24"/>
          <w:highlight w:val="none"/>
          <w:lang w:eastAsia="zh-CN"/>
        </w:rPr>
        <w:t>；</w:t>
      </w:r>
    </w:p>
    <w:p w14:paraId="4D40EE18">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（6）</w:t>
      </w:r>
      <w:r>
        <w:rPr>
          <w:rFonts w:hint="eastAsia" w:ascii="仿宋" w:hAnsi="仿宋" w:eastAsia="仿宋" w:cs="仿宋"/>
          <w:b w:val="0"/>
          <w:bCs w:val="0"/>
          <w:snapToGrid w:val="0"/>
          <w:color w:val="auto"/>
          <w:kern w:val="0"/>
          <w:sz w:val="24"/>
          <w:szCs w:val="24"/>
          <w:highlight w:val="none"/>
        </w:rPr>
        <w:t>投标文件组成漏项，内容不全或内容字迹模糊辨认不清的</w:t>
      </w:r>
      <w:r>
        <w:rPr>
          <w:rFonts w:hint="eastAsia" w:ascii="仿宋" w:hAnsi="仿宋" w:eastAsia="仿宋" w:cs="仿宋"/>
          <w:b w:val="0"/>
          <w:bCs w:val="0"/>
          <w:snapToGrid w:val="0"/>
          <w:color w:val="auto"/>
          <w:kern w:val="0"/>
          <w:sz w:val="24"/>
          <w:szCs w:val="24"/>
          <w:highlight w:val="none"/>
          <w:lang w:eastAsia="zh-CN"/>
        </w:rPr>
        <w:t>；</w:t>
      </w:r>
    </w:p>
    <w:p w14:paraId="068352F6">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（7）</w:t>
      </w:r>
      <w:r>
        <w:rPr>
          <w:rFonts w:hint="eastAsia" w:ascii="仿宋" w:hAnsi="仿宋" w:eastAsia="仿宋" w:cs="仿宋"/>
          <w:b w:val="0"/>
          <w:bCs w:val="0"/>
          <w:snapToGrid w:val="0"/>
          <w:color w:val="auto"/>
          <w:kern w:val="0"/>
          <w:sz w:val="24"/>
          <w:szCs w:val="24"/>
          <w:highlight w:val="none"/>
        </w:rPr>
        <w:t>《</w:t>
      </w:r>
      <w:r>
        <w:rPr>
          <w:rFonts w:hint="eastAsia" w:ascii="仿宋" w:hAnsi="仿宋" w:eastAsia="仿宋" w:cs="仿宋"/>
          <w:b w:val="0"/>
          <w:bCs w:val="0"/>
          <w:snapToGrid w:val="0"/>
          <w:color w:val="auto"/>
          <w:kern w:val="0"/>
          <w:sz w:val="24"/>
          <w:szCs w:val="24"/>
          <w:highlight w:val="none"/>
          <w:lang w:val="en-US" w:eastAsia="zh-CN"/>
        </w:rPr>
        <w:t>报价</w:t>
      </w:r>
      <w:r>
        <w:rPr>
          <w:rFonts w:hint="eastAsia" w:ascii="仿宋" w:hAnsi="仿宋" w:eastAsia="仿宋" w:cs="仿宋"/>
          <w:b w:val="0"/>
          <w:bCs w:val="0"/>
          <w:snapToGrid w:val="0"/>
          <w:color w:val="auto"/>
          <w:kern w:val="0"/>
          <w:sz w:val="24"/>
          <w:szCs w:val="24"/>
          <w:highlight w:val="none"/>
        </w:rPr>
        <w:t>一览表》填写不完整或字迹不能辨认或有漏项的</w:t>
      </w:r>
      <w:r>
        <w:rPr>
          <w:rFonts w:hint="eastAsia" w:ascii="仿宋" w:hAnsi="仿宋" w:eastAsia="仿宋" w:cs="仿宋"/>
          <w:b w:val="0"/>
          <w:bCs w:val="0"/>
          <w:snapToGrid w:val="0"/>
          <w:color w:val="auto"/>
          <w:kern w:val="0"/>
          <w:sz w:val="24"/>
          <w:szCs w:val="24"/>
          <w:highlight w:val="none"/>
          <w:lang w:eastAsia="zh-CN"/>
        </w:rPr>
        <w:t>；</w:t>
      </w:r>
    </w:p>
    <w:p w14:paraId="79CDA17D">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（8）投标文件未按照招标文件要求签署、盖章的；</w:t>
      </w:r>
    </w:p>
    <w:p w14:paraId="598565AD">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（9）采购人拟采购的产品属于政府强制采购的节能产品品目清单范围的，投标人相应的投标产品未获得国家确定的认证机构出具的、处于有效期之内的节能产品认证证书的；</w:t>
      </w:r>
    </w:p>
    <w:p w14:paraId="7F4FBC55">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（10）投标文件含有采购人不能接受的附加条件的；</w:t>
      </w:r>
    </w:p>
    <w:p w14:paraId="212C99D6">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（11）投标文件中承诺的投标有效期少于招标文件中载明的投标有效期的；</w:t>
      </w:r>
    </w:p>
    <w:p w14:paraId="4FDFDFD6">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（12）投标文件出现不是唯一的、有选择性投标报价的；</w:t>
      </w:r>
    </w:p>
    <w:p w14:paraId="66401AC2">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（13）投标报价超过招标文件中规定的预算金额或者最高限价的；</w:t>
      </w:r>
    </w:p>
    <w:p w14:paraId="36D56385">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（14）报价明显低于其他通过符合性审查投标人的报价，有可能影响产品质量或者不能诚信履约的，未能按要求提供书面说明或者提交相关证明材料，不能证明其报价合理性的；</w:t>
      </w:r>
    </w:p>
    <w:p w14:paraId="230556F4">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（15）投标人对根据修正原则修正后的报价不确认的；</w:t>
      </w:r>
    </w:p>
    <w:p w14:paraId="43EDA5A4">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（16）投标人仅提交备份投标文件，未在电子交易平台传输递交投标文件的，投标无效；</w:t>
      </w:r>
    </w:p>
    <w:p w14:paraId="505ED09E">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en-US" w:eastAsia="zh-CN"/>
        </w:rPr>
      </w:pPr>
      <w:r>
        <w:rPr>
          <w:rFonts w:hint="eastAsia" w:ascii="仿宋" w:hAnsi="仿宋" w:eastAsia="仿宋" w:cs="仿宋"/>
          <w:b w:val="0"/>
          <w:bCs w:val="0"/>
          <w:snapToGrid w:val="0"/>
          <w:color w:val="auto"/>
          <w:kern w:val="0"/>
          <w:sz w:val="24"/>
          <w:szCs w:val="24"/>
          <w:highlight w:val="none"/>
          <w:lang w:val="en-US" w:eastAsia="zh-CN"/>
        </w:rPr>
        <w:t>（17）对一个标项存在一个或一个以上备选（替代）投标方案的；</w:t>
      </w:r>
    </w:p>
    <w:p w14:paraId="760152CE">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eastAsia="zh-CN"/>
        </w:rPr>
      </w:pPr>
      <w:r>
        <w:rPr>
          <w:rFonts w:hint="eastAsia" w:ascii="仿宋" w:hAnsi="仿宋" w:eastAsia="仿宋" w:cs="仿宋"/>
          <w:b w:val="0"/>
          <w:bCs w:val="0"/>
          <w:snapToGrid w:val="0"/>
          <w:color w:val="auto"/>
          <w:kern w:val="0"/>
          <w:sz w:val="24"/>
          <w:szCs w:val="24"/>
          <w:highlight w:val="none"/>
          <w:lang w:val="en-US" w:eastAsia="zh-CN"/>
        </w:rPr>
        <w:t>（18）未采用人民币报价或者未按照招标文件标明的币种报价的；</w:t>
      </w:r>
    </w:p>
    <w:p w14:paraId="5AB464C6">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eastAsia="zh-CN"/>
        </w:rPr>
      </w:pPr>
      <w:r>
        <w:rPr>
          <w:rFonts w:hint="eastAsia" w:ascii="仿宋" w:hAnsi="仿宋" w:eastAsia="仿宋" w:cs="仿宋"/>
          <w:b w:val="0"/>
          <w:bCs w:val="0"/>
          <w:snapToGrid w:val="0"/>
          <w:color w:val="auto"/>
          <w:kern w:val="0"/>
          <w:sz w:val="24"/>
          <w:szCs w:val="24"/>
          <w:highlight w:val="none"/>
          <w:lang w:val="en-US" w:eastAsia="zh-CN"/>
        </w:rPr>
        <w:t>（19）投标</w:t>
      </w:r>
      <w:r>
        <w:rPr>
          <w:rFonts w:hint="eastAsia" w:ascii="仿宋" w:hAnsi="仿宋" w:eastAsia="仿宋" w:cs="仿宋"/>
          <w:b w:val="0"/>
          <w:bCs w:val="0"/>
          <w:snapToGrid w:val="0"/>
          <w:color w:val="auto"/>
          <w:kern w:val="0"/>
          <w:sz w:val="24"/>
          <w:szCs w:val="24"/>
          <w:highlight w:val="none"/>
        </w:rPr>
        <w:t>文件没有对本采购文件作出实质性响应的，或不满足（不响应）本采购文件中标注“▲”的实质性要求条款的，或存在采购文件中明确规定的其他无效响应文件情形的</w:t>
      </w:r>
      <w:r>
        <w:rPr>
          <w:rFonts w:hint="eastAsia" w:ascii="仿宋" w:hAnsi="仿宋" w:eastAsia="仿宋" w:cs="仿宋"/>
          <w:b w:val="0"/>
          <w:bCs w:val="0"/>
          <w:snapToGrid w:val="0"/>
          <w:color w:val="auto"/>
          <w:kern w:val="0"/>
          <w:sz w:val="24"/>
          <w:szCs w:val="24"/>
          <w:highlight w:val="none"/>
          <w:lang w:eastAsia="zh-CN"/>
        </w:rPr>
        <w:t>；</w:t>
      </w:r>
    </w:p>
    <w:p w14:paraId="7825874F">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eastAsia="zh-CN"/>
        </w:rPr>
      </w:pPr>
      <w:r>
        <w:rPr>
          <w:rFonts w:hint="eastAsia" w:ascii="仿宋" w:hAnsi="仿宋" w:eastAsia="仿宋" w:cs="仿宋"/>
          <w:b w:val="0"/>
          <w:bCs w:val="0"/>
          <w:snapToGrid w:val="0"/>
          <w:color w:val="auto"/>
          <w:kern w:val="0"/>
          <w:sz w:val="24"/>
          <w:szCs w:val="24"/>
          <w:highlight w:val="none"/>
          <w:lang w:val="en-US" w:eastAsia="zh-CN"/>
        </w:rPr>
        <w:t>（20）</w:t>
      </w:r>
      <w:r>
        <w:rPr>
          <w:rFonts w:hint="eastAsia" w:ascii="仿宋" w:hAnsi="仿宋" w:eastAsia="仿宋" w:cs="仿宋"/>
          <w:b w:val="0"/>
          <w:bCs w:val="0"/>
          <w:snapToGrid w:val="0"/>
          <w:color w:val="auto"/>
          <w:kern w:val="0"/>
          <w:sz w:val="24"/>
          <w:szCs w:val="24"/>
          <w:highlight w:val="none"/>
          <w:lang w:eastAsia="zh-CN"/>
        </w:rPr>
        <w:t>供应商提供虚假材料响应的（包括但不限于以下情节）；</w:t>
      </w:r>
    </w:p>
    <w:p w14:paraId="59A8BBF1">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1）</w:t>
      </w:r>
      <w:r>
        <w:rPr>
          <w:rFonts w:hint="eastAsia" w:ascii="仿宋" w:hAnsi="仿宋" w:eastAsia="仿宋" w:cs="仿宋"/>
          <w:b w:val="0"/>
          <w:bCs w:val="0"/>
          <w:snapToGrid w:val="0"/>
          <w:color w:val="auto"/>
          <w:kern w:val="0"/>
          <w:sz w:val="24"/>
          <w:szCs w:val="24"/>
          <w:highlight w:val="none"/>
        </w:rPr>
        <w:t>使用伪造、变造的许可证件；</w:t>
      </w:r>
    </w:p>
    <w:p w14:paraId="758518FB">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2）</w:t>
      </w:r>
      <w:r>
        <w:rPr>
          <w:rFonts w:hint="eastAsia" w:ascii="仿宋" w:hAnsi="仿宋" w:eastAsia="仿宋" w:cs="仿宋"/>
          <w:b w:val="0"/>
          <w:bCs w:val="0"/>
          <w:snapToGrid w:val="0"/>
          <w:color w:val="auto"/>
          <w:kern w:val="0"/>
          <w:sz w:val="24"/>
          <w:szCs w:val="24"/>
          <w:highlight w:val="none"/>
        </w:rPr>
        <w:t>提供虚假的财务状况或者业绩；</w:t>
      </w:r>
    </w:p>
    <w:p w14:paraId="5FBC8347">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3）</w:t>
      </w:r>
      <w:r>
        <w:rPr>
          <w:rFonts w:hint="eastAsia" w:ascii="仿宋" w:hAnsi="仿宋" w:eastAsia="仿宋" w:cs="仿宋"/>
          <w:b w:val="0"/>
          <w:bCs w:val="0"/>
          <w:snapToGrid w:val="0"/>
          <w:color w:val="auto"/>
          <w:kern w:val="0"/>
          <w:sz w:val="24"/>
          <w:szCs w:val="24"/>
          <w:highlight w:val="none"/>
        </w:rPr>
        <w:t>提供虚假的项目负责人或者主要技术人员简历、劳动关系证明；</w:t>
      </w:r>
    </w:p>
    <w:p w14:paraId="58450CF3">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4）</w:t>
      </w:r>
      <w:r>
        <w:rPr>
          <w:rFonts w:hint="eastAsia" w:ascii="仿宋" w:hAnsi="仿宋" w:eastAsia="仿宋" w:cs="仿宋"/>
          <w:b w:val="0"/>
          <w:bCs w:val="0"/>
          <w:snapToGrid w:val="0"/>
          <w:color w:val="auto"/>
          <w:kern w:val="0"/>
          <w:sz w:val="24"/>
          <w:szCs w:val="24"/>
          <w:highlight w:val="none"/>
        </w:rPr>
        <w:t>提供虚假的信用状况；</w:t>
      </w:r>
    </w:p>
    <w:p w14:paraId="0184399E">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5）</w:t>
      </w:r>
      <w:r>
        <w:rPr>
          <w:rFonts w:hint="eastAsia" w:ascii="仿宋" w:hAnsi="仿宋" w:eastAsia="仿宋" w:cs="仿宋"/>
          <w:b w:val="0"/>
          <w:bCs w:val="0"/>
          <w:snapToGrid w:val="0"/>
          <w:color w:val="auto"/>
          <w:kern w:val="0"/>
          <w:sz w:val="24"/>
          <w:szCs w:val="24"/>
          <w:highlight w:val="none"/>
        </w:rPr>
        <w:t>其他弄虚作假的行为。</w:t>
      </w:r>
    </w:p>
    <w:p w14:paraId="36C92471">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eastAsia="zh-CN"/>
        </w:rPr>
      </w:pPr>
      <w:r>
        <w:rPr>
          <w:rFonts w:hint="eastAsia" w:ascii="仿宋" w:hAnsi="仿宋" w:eastAsia="仿宋" w:cs="仿宋"/>
          <w:b w:val="0"/>
          <w:bCs w:val="0"/>
          <w:snapToGrid w:val="0"/>
          <w:color w:val="auto"/>
          <w:kern w:val="0"/>
          <w:sz w:val="24"/>
          <w:szCs w:val="24"/>
          <w:highlight w:val="none"/>
          <w:lang w:eastAsia="zh-CN"/>
        </w:rPr>
        <w:t>（</w:t>
      </w:r>
      <w:r>
        <w:rPr>
          <w:rFonts w:hint="eastAsia" w:ascii="仿宋" w:hAnsi="仿宋" w:eastAsia="仿宋" w:cs="仿宋"/>
          <w:b w:val="0"/>
          <w:bCs w:val="0"/>
          <w:snapToGrid w:val="0"/>
          <w:color w:val="auto"/>
          <w:kern w:val="0"/>
          <w:sz w:val="24"/>
          <w:szCs w:val="24"/>
          <w:highlight w:val="none"/>
          <w:lang w:val="en-US" w:eastAsia="zh-CN"/>
        </w:rPr>
        <w:t>21）</w:t>
      </w:r>
      <w:r>
        <w:rPr>
          <w:rFonts w:hint="eastAsia" w:ascii="仿宋" w:hAnsi="仿宋" w:eastAsia="仿宋" w:cs="仿宋"/>
          <w:b w:val="0"/>
          <w:bCs w:val="0"/>
          <w:snapToGrid w:val="0"/>
          <w:color w:val="auto"/>
          <w:kern w:val="0"/>
          <w:sz w:val="24"/>
          <w:szCs w:val="24"/>
          <w:highlight w:val="none"/>
          <w:lang w:eastAsia="zh-CN"/>
        </w:rPr>
        <w:t>供应商有恶意串通、妨碍其他供应商的竞争行为、损害采购人或者其他供应商的合法权益情形的，有下列情形之一的，属于或视为恶意串通，其响应无效：</w:t>
      </w:r>
    </w:p>
    <w:p w14:paraId="2D96BC43">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1）</w:t>
      </w:r>
      <w:r>
        <w:rPr>
          <w:rFonts w:hint="eastAsia" w:ascii="仿宋" w:hAnsi="仿宋" w:eastAsia="仿宋" w:cs="仿宋"/>
          <w:b w:val="0"/>
          <w:bCs w:val="0"/>
          <w:snapToGrid w:val="0"/>
          <w:color w:val="auto"/>
          <w:kern w:val="0"/>
          <w:sz w:val="24"/>
          <w:szCs w:val="24"/>
          <w:highlight w:val="none"/>
        </w:rPr>
        <w:t>供应商直接或者间接从采购人或者采购代理机构处获得其他供应商的相关情况并修改其投标文件；</w:t>
      </w:r>
    </w:p>
    <w:p w14:paraId="7A71EB60">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2）</w:t>
      </w:r>
      <w:r>
        <w:rPr>
          <w:rFonts w:hint="eastAsia" w:ascii="仿宋" w:hAnsi="仿宋" w:eastAsia="仿宋" w:cs="仿宋"/>
          <w:b w:val="0"/>
          <w:bCs w:val="0"/>
          <w:snapToGrid w:val="0"/>
          <w:color w:val="auto"/>
          <w:kern w:val="0"/>
          <w:sz w:val="24"/>
          <w:szCs w:val="24"/>
          <w:highlight w:val="none"/>
        </w:rPr>
        <w:t>供应商按照采购人或者采购代理机构的授意撤换、修改投标文件或者响应文件；</w:t>
      </w:r>
    </w:p>
    <w:p w14:paraId="160F7F37">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3）</w:t>
      </w:r>
      <w:r>
        <w:rPr>
          <w:rFonts w:hint="eastAsia" w:ascii="仿宋" w:hAnsi="仿宋" w:eastAsia="仿宋" w:cs="仿宋"/>
          <w:b w:val="0"/>
          <w:bCs w:val="0"/>
          <w:snapToGrid w:val="0"/>
          <w:color w:val="auto"/>
          <w:kern w:val="0"/>
          <w:sz w:val="24"/>
          <w:szCs w:val="24"/>
          <w:highlight w:val="none"/>
        </w:rPr>
        <w:t>供应商之间协商报价、技术方案等投标文件或者响应文件的实质性内容；</w:t>
      </w:r>
    </w:p>
    <w:p w14:paraId="333C9295">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4）</w:t>
      </w:r>
      <w:r>
        <w:rPr>
          <w:rFonts w:hint="eastAsia" w:ascii="仿宋" w:hAnsi="仿宋" w:eastAsia="仿宋" w:cs="仿宋"/>
          <w:b w:val="0"/>
          <w:bCs w:val="0"/>
          <w:snapToGrid w:val="0"/>
          <w:color w:val="auto"/>
          <w:kern w:val="0"/>
          <w:sz w:val="24"/>
          <w:szCs w:val="24"/>
          <w:highlight w:val="none"/>
        </w:rPr>
        <w:t>属于同一集团、协会、商会等组织成员的供应商按照该组织要求协同参加政府采购活动；</w:t>
      </w:r>
    </w:p>
    <w:p w14:paraId="243F5AE5">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5）</w:t>
      </w:r>
      <w:r>
        <w:rPr>
          <w:rFonts w:hint="eastAsia" w:ascii="仿宋" w:hAnsi="仿宋" w:eastAsia="仿宋" w:cs="仿宋"/>
          <w:b w:val="0"/>
          <w:bCs w:val="0"/>
          <w:snapToGrid w:val="0"/>
          <w:color w:val="auto"/>
          <w:kern w:val="0"/>
          <w:sz w:val="24"/>
          <w:szCs w:val="24"/>
          <w:highlight w:val="none"/>
        </w:rPr>
        <w:t>供应商之间事先约定由某一特定供应商中标、成交；</w:t>
      </w:r>
    </w:p>
    <w:p w14:paraId="05A75DF3">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6）</w:t>
      </w:r>
      <w:r>
        <w:rPr>
          <w:rFonts w:hint="eastAsia" w:ascii="仿宋" w:hAnsi="仿宋" w:eastAsia="仿宋" w:cs="仿宋"/>
          <w:b w:val="0"/>
          <w:bCs w:val="0"/>
          <w:snapToGrid w:val="0"/>
          <w:color w:val="auto"/>
          <w:kern w:val="0"/>
          <w:sz w:val="24"/>
          <w:szCs w:val="24"/>
          <w:highlight w:val="none"/>
        </w:rPr>
        <w:t>供应商之间商定部分供应商放弃参加政府采购活动或者放弃中标、成交；</w:t>
      </w:r>
    </w:p>
    <w:p w14:paraId="72E5D711">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7）</w:t>
      </w:r>
      <w:r>
        <w:rPr>
          <w:rFonts w:hint="eastAsia" w:ascii="仿宋" w:hAnsi="仿宋" w:eastAsia="仿宋" w:cs="仿宋"/>
          <w:b w:val="0"/>
          <w:bCs w:val="0"/>
          <w:snapToGrid w:val="0"/>
          <w:color w:val="auto"/>
          <w:kern w:val="0"/>
          <w:sz w:val="24"/>
          <w:szCs w:val="24"/>
          <w:highlight w:val="none"/>
        </w:rPr>
        <w:t>供应商与采购人或者采购代理机构之间、供应商相互之间，为谋求特定供应商中标、成交或者排斥其他供应商的其他串通行为。</w:t>
      </w:r>
    </w:p>
    <w:p w14:paraId="74C7F1B6">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8）</w:t>
      </w:r>
      <w:r>
        <w:rPr>
          <w:rFonts w:hint="eastAsia" w:ascii="仿宋" w:hAnsi="仿宋" w:eastAsia="仿宋" w:cs="仿宋"/>
          <w:b w:val="0"/>
          <w:bCs w:val="0"/>
          <w:snapToGrid w:val="0"/>
          <w:color w:val="auto"/>
          <w:kern w:val="0"/>
          <w:sz w:val="24"/>
          <w:szCs w:val="24"/>
          <w:highlight w:val="none"/>
        </w:rPr>
        <w:t>不同供应商的响应文件由同一单位或者个人编制；</w:t>
      </w:r>
    </w:p>
    <w:p w14:paraId="05978478">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9）</w:t>
      </w:r>
      <w:r>
        <w:rPr>
          <w:rFonts w:hint="eastAsia" w:ascii="仿宋" w:hAnsi="仿宋" w:eastAsia="仿宋" w:cs="仿宋"/>
          <w:b w:val="0"/>
          <w:bCs w:val="0"/>
          <w:snapToGrid w:val="0"/>
          <w:color w:val="auto"/>
          <w:kern w:val="0"/>
          <w:sz w:val="24"/>
          <w:szCs w:val="24"/>
          <w:highlight w:val="none"/>
        </w:rPr>
        <w:t>不同供应商委托同一单位或者个人办理响应事宜；</w:t>
      </w:r>
    </w:p>
    <w:p w14:paraId="650F4F3E">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10）</w:t>
      </w:r>
      <w:r>
        <w:rPr>
          <w:rFonts w:hint="eastAsia" w:ascii="仿宋" w:hAnsi="仿宋" w:eastAsia="仿宋" w:cs="仿宋"/>
          <w:b w:val="0"/>
          <w:bCs w:val="0"/>
          <w:snapToGrid w:val="0"/>
          <w:color w:val="auto"/>
          <w:kern w:val="0"/>
          <w:sz w:val="24"/>
          <w:szCs w:val="24"/>
          <w:highlight w:val="none"/>
        </w:rPr>
        <w:t>不同供应商的响应文件载明的项目管理成员或者联系人员为同一人；</w:t>
      </w:r>
    </w:p>
    <w:p w14:paraId="192CDACB">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rPr>
      </w:pPr>
      <w:r>
        <w:rPr>
          <w:rFonts w:hint="eastAsia" w:ascii="仿宋" w:hAnsi="仿宋" w:eastAsia="仿宋" w:cs="仿宋"/>
          <w:b w:val="0"/>
          <w:bCs w:val="0"/>
          <w:snapToGrid w:val="0"/>
          <w:color w:val="auto"/>
          <w:kern w:val="0"/>
          <w:sz w:val="24"/>
          <w:szCs w:val="24"/>
          <w:highlight w:val="none"/>
          <w:lang w:val="en-US" w:eastAsia="zh-CN"/>
        </w:rPr>
        <w:t>11）</w:t>
      </w:r>
      <w:r>
        <w:rPr>
          <w:rFonts w:hint="eastAsia" w:ascii="仿宋" w:hAnsi="仿宋" w:eastAsia="仿宋" w:cs="仿宋"/>
          <w:b w:val="0"/>
          <w:bCs w:val="0"/>
          <w:snapToGrid w:val="0"/>
          <w:color w:val="auto"/>
          <w:kern w:val="0"/>
          <w:sz w:val="24"/>
          <w:szCs w:val="24"/>
          <w:highlight w:val="none"/>
        </w:rPr>
        <w:t>不同供应商的响应文件异常一致或者最后报价呈规律性差异；</w:t>
      </w:r>
    </w:p>
    <w:p w14:paraId="443DFD9F">
      <w:pPr>
        <w:pStyle w:val="310"/>
        <w:keepNext w:val="0"/>
        <w:keepLines w:val="0"/>
        <w:pageBreakBefore w:val="0"/>
        <w:kinsoku/>
        <w:wordWrap/>
        <w:topLinePunct w:val="0"/>
        <w:autoSpaceDE/>
        <w:autoSpaceDN/>
        <w:bidi w:val="0"/>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eastAsia="zh-CN"/>
        </w:rPr>
      </w:pPr>
      <w:r>
        <w:rPr>
          <w:rFonts w:hint="eastAsia" w:ascii="仿宋" w:hAnsi="仿宋" w:eastAsia="仿宋" w:cs="仿宋"/>
          <w:b w:val="0"/>
          <w:bCs w:val="0"/>
          <w:snapToGrid w:val="0"/>
          <w:color w:val="auto"/>
          <w:kern w:val="0"/>
          <w:sz w:val="24"/>
          <w:szCs w:val="24"/>
          <w:highlight w:val="none"/>
          <w:lang w:val="en-US" w:eastAsia="zh-CN"/>
        </w:rPr>
        <w:t>12）不同供应商的MAC地址相同或计算机硬盘序列号相同或投标文件细节错误致且无合理解释等情形</w:t>
      </w:r>
      <w:r>
        <w:rPr>
          <w:rFonts w:hint="eastAsia" w:ascii="仿宋" w:hAnsi="仿宋" w:eastAsia="仿宋" w:cs="仿宋"/>
          <w:b w:val="0"/>
          <w:bCs w:val="0"/>
          <w:snapToGrid w:val="0"/>
          <w:color w:val="auto"/>
          <w:kern w:val="0"/>
          <w:sz w:val="24"/>
          <w:szCs w:val="24"/>
          <w:highlight w:val="none"/>
          <w:lang w:eastAsia="zh-CN"/>
        </w:rPr>
        <w:t>。</w:t>
      </w:r>
    </w:p>
    <w:p w14:paraId="7E12CE78">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b w:val="0"/>
          <w:bCs w:val="0"/>
          <w:snapToGrid w:val="0"/>
          <w:color w:val="auto"/>
          <w:kern w:val="0"/>
          <w:sz w:val="24"/>
          <w:szCs w:val="24"/>
          <w:highlight w:val="none"/>
          <w:lang w:val="zh-CN"/>
        </w:rPr>
      </w:pPr>
      <w:r>
        <w:rPr>
          <w:rFonts w:hint="eastAsia" w:ascii="仿宋" w:hAnsi="仿宋" w:eastAsia="仿宋" w:cs="仿宋"/>
          <w:b w:val="0"/>
          <w:bCs w:val="0"/>
          <w:snapToGrid w:val="0"/>
          <w:color w:val="auto"/>
          <w:kern w:val="0"/>
          <w:sz w:val="24"/>
          <w:szCs w:val="24"/>
          <w:highlight w:val="none"/>
          <w:lang w:val="en-US" w:eastAsia="zh-CN"/>
        </w:rPr>
        <w:t>（22）法律、法规、规章（适用本市的）及省级以上规范性文件（适用本市的）规定的其他无效情形；</w:t>
      </w:r>
    </w:p>
    <w:p w14:paraId="1BEAE725">
      <w:pPr>
        <w:pStyle w:val="310"/>
        <w:keepNext w:val="0"/>
        <w:keepLines w:val="0"/>
        <w:pageBreakBefore w:val="0"/>
        <w:widowControl w:val="0"/>
        <w:kinsoku/>
        <w:wordWrap/>
        <w:overflowPunct/>
        <w:topLinePunct w:val="0"/>
        <w:autoSpaceDE/>
        <w:autoSpaceDN/>
        <w:bidi w:val="0"/>
        <w:adjustRightInd/>
        <w:spacing w:before="0" w:line="450" w:lineRule="exact"/>
        <w:ind w:firstLine="549" w:firstLineChars="228"/>
        <w:textAlignment w:val="auto"/>
        <w:rPr>
          <w:rFonts w:hint="eastAsia" w:ascii="仿宋" w:hAnsi="仿宋" w:eastAsia="仿宋" w:cs="仿宋"/>
          <w:snapToGrid w:val="0"/>
          <w:color w:val="auto"/>
          <w:kern w:val="0"/>
          <w:sz w:val="24"/>
          <w:szCs w:val="24"/>
          <w:highlight w:val="none"/>
        </w:rPr>
      </w:pPr>
      <w:bookmarkStart w:id="45" w:name="_Toc240450082"/>
      <w:bookmarkStart w:id="46" w:name="_Toc251566655"/>
      <w:bookmarkStart w:id="47" w:name="_Toc25029"/>
      <w:bookmarkStart w:id="48" w:name="_Toc26186"/>
      <w:bookmarkStart w:id="49" w:name="_Toc16847"/>
      <w:bookmarkStart w:id="50" w:name="OLE_LINK28"/>
      <w:r>
        <w:rPr>
          <w:rFonts w:hint="eastAsia" w:ascii="仿宋" w:hAnsi="仿宋" w:eastAsia="仿宋" w:cs="仿宋"/>
          <w:b/>
          <w:bCs/>
          <w:snapToGrid w:val="0"/>
          <w:color w:val="auto"/>
          <w:kern w:val="0"/>
          <w:sz w:val="24"/>
          <w:szCs w:val="24"/>
          <w:highlight w:val="none"/>
          <w:lang w:val="en-US" w:eastAsia="zh-CN"/>
        </w:rPr>
        <w:t>25</w:t>
      </w:r>
      <w:r>
        <w:rPr>
          <w:rFonts w:hint="eastAsia" w:ascii="仿宋" w:hAnsi="仿宋" w:eastAsia="仿宋" w:cs="仿宋"/>
          <w:b/>
          <w:bCs/>
          <w:snapToGrid w:val="0"/>
          <w:color w:val="auto"/>
          <w:kern w:val="0"/>
          <w:sz w:val="24"/>
          <w:szCs w:val="24"/>
          <w:highlight w:val="none"/>
        </w:rPr>
        <w:t>.2投标人澄清、说明或者补正：</w:t>
      </w:r>
      <w:r>
        <w:rPr>
          <w:rFonts w:hint="eastAsia" w:ascii="仿宋" w:hAnsi="仿宋" w:eastAsia="仿宋" w:cs="仿宋"/>
          <w:snapToGrid w:val="0"/>
          <w:color w:val="auto"/>
          <w:kern w:val="0"/>
          <w:sz w:val="24"/>
          <w:szCs w:val="24"/>
          <w:highlight w:val="none"/>
        </w:rPr>
        <w:t>对于投标文件中含义不明确、同类问题表述不一致或者有明显文字和计算错误的内容需要投标人作出必要的澄清、说明或者补正的，评标委员会和</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通过电子交易平台交换数据电文，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提交使用电子签名的相关数据电文或通过平台上传加盖公章的扫描件。给予</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提交澄清、说明或补正的时间不得少于半小时，</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已经明确表示澄清说明或补正完毕的除外。</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的澄清、说明或者补正不得超出投标文件的范围或者改变投标文件的实质性内容。</w:t>
      </w:r>
    </w:p>
    <w:p w14:paraId="595CA281">
      <w:pPr>
        <w:pStyle w:val="310"/>
        <w:keepNext w:val="0"/>
        <w:keepLines w:val="0"/>
        <w:pageBreakBefore w:val="0"/>
        <w:widowControl w:val="0"/>
        <w:kinsoku/>
        <w:wordWrap/>
        <w:overflowPunct/>
        <w:topLinePunct w:val="0"/>
        <w:autoSpaceDE/>
        <w:autoSpaceDN/>
        <w:bidi w:val="0"/>
        <w:adjustRightInd/>
        <w:spacing w:before="0" w:line="450" w:lineRule="exact"/>
        <w:ind w:firstLine="602" w:firstLineChars="250"/>
        <w:textAlignment w:val="auto"/>
        <w:rPr>
          <w:rFonts w:hint="eastAsia" w:ascii="仿宋" w:hAnsi="仿宋" w:eastAsia="仿宋" w:cs="仿宋"/>
          <w:color w:val="auto"/>
          <w:kern w:val="0"/>
          <w:sz w:val="22"/>
          <w:szCs w:val="22"/>
          <w:highlight w:val="none"/>
        </w:rPr>
      </w:pPr>
      <w:r>
        <w:rPr>
          <w:rFonts w:hint="eastAsia" w:ascii="仿宋" w:hAnsi="仿宋" w:eastAsia="仿宋" w:cs="仿宋"/>
          <w:b/>
          <w:bCs/>
          <w:snapToGrid w:val="0"/>
          <w:color w:val="auto"/>
          <w:kern w:val="0"/>
          <w:sz w:val="24"/>
          <w:szCs w:val="24"/>
          <w:highlight w:val="none"/>
          <w:lang w:val="en-US" w:eastAsia="zh-CN"/>
        </w:rPr>
        <w:t>25</w:t>
      </w:r>
      <w:r>
        <w:rPr>
          <w:rFonts w:hint="eastAsia" w:ascii="仿宋" w:hAnsi="仿宋" w:eastAsia="仿宋" w:cs="仿宋"/>
          <w:b/>
          <w:bCs/>
          <w:snapToGrid w:val="0"/>
          <w:color w:val="auto"/>
          <w:kern w:val="0"/>
          <w:sz w:val="24"/>
          <w:szCs w:val="24"/>
          <w:highlight w:val="none"/>
        </w:rPr>
        <w:t>.3比较与评价：</w:t>
      </w:r>
      <w:r>
        <w:rPr>
          <w:rFonts w:hint="eastAsia" w:ascii="仿宋" w:hAnsi="仿宋" w:eastAsia="仿宋" w:cs="仿宋"/>
          <w:snapToGrid w:val="0"/>
          <w:color w:val="auto"/>
          <w:kern w:val="0"/>
          <w:sz w:val="24"/>
          <w:szCs w:val="24"/>
          <w:highlight w:val="none"/>
        </w:rPr>
        <w:t>评标委员会应当按照评标标准，对符合性审查合格的投标文件进行商务和技术评估，综合比较与评价。</w:t>
      </w:r>
    </w:p>
    <w:p w14:paraId="4E9388A7">
      <w:pPr>
        <w:pStyle w:val="310"/>
        <w:keepNext w:val="0"/>
        <w:keepLines w:val="0"/>
        <w:pageBreakBefore w:val="0"/>
        <w:widowControl w:val="0"/>
        <w:kinsoku/>
        <w:wordWrap/>
        <w:overflowPunct/>
        <w:topLinePunct w:val="0"/>
        <w:autoSpaceDE/>
        <w:autoSpaceDN/>
        <w:bidi w:val="0"/>
        <w:adjustRightInd/>
        <w:spacing w:before="0" w:line="450" w:lineRule="exact"/>
        <w:ind w:firstLine="602" w:firstLineChars="250"/>
        <w:textAlignment w:val="auto"/>
        <w:rPr>
          <w:rFonts w:hint="eastAsia" w:ascii="仿宋" w:hAnsi="仿宋" w:eastAsia="仿宋" w:cs="仿宋"/>
          <w:color w:val="auto"/>
          <w:kern w:val="0"/>
          <w:sz w:val="22"/>
          <w:szCs w:val="22"/>
          <w:highlight w:val="none"/>
        </w:rPr>
      </w:pPr>
      <w:r>
        <w:rPr>
          <w:rFonts w:hint="eastAsia" w:ascii="仿宋" w:hAnsi="仿宋" w:eastAsia="仿宋" w:cs="仿宋"/>
          <w:b/>
          <w:bCs/>
          <w:snapToGrid w:val="0"/>
          <w:color w:val="auto"/>
          <w:kern w:val="0"/>
          <w:sz w:val="24"/>
          <w:szCs w:val="24"/>
          <w:highlight w:val="none"/>
          <w:lang w:val="en-US" w:eastAsia="zh-CN"/>
        </w:rPr>
        <w:t>25</w:t>
      </w:r>
      <w:r>
        <w:rPr>
          <w:rFonts w:hint="eastAsia" w:ascii="仿宋" w:hAnsi="仿宋" w:eastAsia="仿宋" w:cs="仿宋"/>
          <w:b/>
          <w:bCs/>
          <w:snapToGrid w:val="0"/>
          <w:color w:val="auto"/>
          <w:kern w:val="0"/>
          <w:sz w:val="24"/>
          <w:szCs w:val="24"/>
          <w:highlight w:val="none"/>
        </w:rPr>
        <w:t>.4汇总（商务技术得分情况）：</w:t>
      </w:r>
      <w:r>
        <w:rPr>
          <w:rFonts w:hint="eastAsia" w:ascii="仿宋" w:hAnsi="仿宋" w:eastAsia="仿宋" w:cs="仿宋"/>
          <w:snapToGrid w:val="0"/>
          <w:color w:val="auto"/>
          <w:kern w:val="0"/>
          <w:sz w:val="24"/>
          <w:szCs w:val="24"/>
          <w:highlight w:val="none"/>
        </w:rPr>
        <w:t>评标委员会各成员应当独立对每个</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的商务和技术文件进行评价，并汇总商务技术得分情况。</w:t>
      </w:r>
    </w:p>
    <w:p w14:paraId="2A6B4096">
      <w:pPr>
        <w:pStyle w:val="310"/>
        <w:keepNext w:val="0"/>
        <w:keepLines w:val="0"/>
        <w:pageBreakBefore w:val="0"/>
        <w:widowControl w:val="0"/>
        <w:kinsoku/>
        <w:wordWrap/>
        <w:overflowPunct/>
        <w:topLinePunct w:val="0"/>
        <w:autoSpaceDE/>
        <w:autoSpaceDN/>
        <w:bidi w:val="0"/>
        <w:adjustRightInd/>
        <w:spacing w:before="0" w:line="450" w:lineRule="exact"/>
        <w:ind w:firstLine="602" w:firstLineChars="250"/>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lang w:val="en-US" w:eastAsia="zh-CN"/>
        </w:rPr>
        <w:t>25</w:t>
      </w:r>
      <w:r>
        <w:rPr>
          <w:rFonts w:hint="eastAsia" w:ascii="仿宋" w:hAnsi="仿宋" w:eastAsia="仿宋" w:cs="仿宋"/>
          <w:b/>
          <w:bCs/>
          <w:snapToGrid w:val="0"/>
          <w:color w:val="auto"/>
          <w:kern w:val="0"/>
          <w:sz w:val="24"/>
          <w:szCs w:val="24"/>
          <w:highlight w:val="none"/>
        </w:rPr>
        <w:t>.5报价审核：</w:t>
      </w:r>
      <w:r>
        <w:rPr>
          <w:rFonts w:hint="eastAsia" w:ascii="仿宋" w:hAnsi="仿宋" w:eastAsia="仿宋" w:cs="仿宋"/>
          <w:snapToGrid w:val="0"/>
          <w:color w:val="auto"/>
          <w:kern w:val="0"/>
          <w:sz w:val="24"/>
          <w:szCs w:val="24"/>
          <w:highlight w:val="none"/>
        </w:rPr>
        <w:t>对经商务和技术评审符合采购需求的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的报价的合理性、准确性等进行审查核实。</w:t>
      </w:r>
    </w:p>
    <w:p w14:paraId="0DD0AC13">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.5.1评标委员会认为</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的报价明显低于其他通过符合性审查</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的报价，有可能影响产品质量或者不能诚信履约的，应当要求其在合理的时间内提供书面说明，必要时提交相关证明材料。</w:t>
      </w:r>
    </w:p>
    <w:p w14:paraId="284042A8">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投标价格的修正原则。投标文件报价出现前后不一致的，按照下列规定修正：</w:t>
      </w:r>
    </w:p>
    <w:p w14:paraId="2A0FEAAA">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.1投标文件中</w:t>
      </w:r>
      <w:r>
        <w:rPr>
          <w:rFonts w:hint="eastAsia" w:ascii="仿宋" w:hAnsi="仿宋" w:eastAsia="仿宋" w:cs="仿宋"/>
          <w:snapToGrid w:val="0"/>
          <w:color w:val="auto"/>
          <w:kern w:val="0"/>
          <w:sz w:val="24"/>
          <w:szCs w:val="24"/>
          <w:highlight w:val="none"/>
          <w:lang w:val="en-US" w:eastAsia="zh-CN"/>
        </w:rPr>
        <w:t>报价</w:t>
      </w:r>
      <w:r>
        <w:rPr>
          <w:rFonts w:hint="eastAsia" w:ascii="仿宋" w:hAnsi="仿宋" w:eastAsia="仿宋" w:cs="仿宋"/>
          <w:snapToGrid w:val="0"/>
          <w:color w:val="auto"/>
          <w:kern w:val="0"/>
          <w:sz w:val="24"/>
          <w:szCs w:val="24"/>
          <w:highlight w:val="none"/>
        </w:rPr>
        <w:t>一览表内容与投标文件中相应内容不一致的，以</w:t>
      </w:r>
      <w:r>
        <w:rPr>
          <w:rFonts w:hint="eastAsia" w:ascii="仿宋" w:hAnsi="仿宋" w:eastAsia="仿宋" w:cs="仿宋"/>
          <w:snapToGrid w:val="0"/>
          <w:color w:val="auto"/>
          <w:kern w:val="0"/>
          <w:sz w:val="24"/>
          <w:szCs w:val="24"/>
          <w:highlight w:val="none"/>
          <w:lang w:val="en-US" w:eastAsia="zh-CN"/>
        </w:rPr>
        <w:t>报价</w:t>
      </w:r>
      <w:r>
        <w:rPr>
          <w:rFonts w:hint="eastAsia" w:ascii="仿宋" w:hAnsi="仿宋" w:eastAsia="仿宋" w:cs="仿宋"/>
          <w:snapToGrid w:val="0"/>
          <w:color w:val="auto"/>
          <w:kern w:val="0"/>
          <w:sz w:val="24"/>
          <w:szCs w:val="24"/>
          <w:highlight w:val="none"/>
        </w:rPr>
        <w:t>一览表为准;</w:t>
      </w:r>
    </w:p>
    <w:p w14:paraId="3A4FADB8">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.2大写金额和小写金额不一致的，以大写金额为准;</w:t>
      </w:r>
    </w:p>
    <w:p w14:paraId="57BC691D">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.3单价金额小数点或者百分比有明显错位的，以</w:t>
      </w:r>
      <w:r>
        <w:rPr>
          <w:rFonts w:hint="eastAsia" w:ascii="仿宋" w:hAnsi="仿宋" w:eastAsia="仿宋" w:cs="仿宋"/>
          <w:snapToGrid w:val="0"/>
          <w:color w:val="auto"/>
          <w:kern w:val="0"/>
          <w:sz w:val="24"/>
          <w:szCs w:val="24"/>
          <w:highlight w:val="none"/>
          <w:lang w:val="en-US" w:eastAsia="zh-CN"/>
        </w:rPr>
        <w:t>报价</w:t>
      </w:r>
      <w:r>
        <w:rPr>
          <w:rFonts w:hint="eastAsia" w:ascii="仿宋" w:hAnsi="仿宋" w:eastAsia="仿宋" w:cs="仿宋"/>
          <w:snapToGrid w:val="0"/>
          <w:color w:val="auto"/>
          <w:kern w:val="0"/>
          <w:sz w:val="24"/>
          <w:szCs w:val="24"/>
          <w:highlight w:val="none"/>
        </w:rPr>
        <w:t>一览表的总价为准，并修改单价;</w:t>
      </w:r>
    </w:p>
    <w:p w14:paraId="0ACB3175">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25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2</w:t>
      </w:r>
      <w:r>
        <w:rPr>
          <w:rFonts w:hint="eastAsia" w:ascii="仿宋" w:hAnsi="仿宋" w:eastAsia="仿宋" w:cs="仿宋"/>
          <w:snapToGrid w:val="0"/>
          <w:color w:val="auto"/>
          <w:kern w:val="0"/>
          <w:sz w:val="24"/>
          <w:szCs w:val="24"/>
          <w:highlight w:val="none"/>
        </w:rPr>
        <w:t>.4总价金额与按单价汇总金额不一致的，以单价金额计算结果为准。</w:t>
      </w:r>
    </w:p>
    <w:p w14:paraId="79CFE7FD">
      <w:pPr>
        <w:pStyle w:val="310"/>
        <w:keepNext w:val="0"/>
        <w:keepLines w:val="0"/>
        <w:pageBreakBefore w:val="0"/>
        <w:widowControl w:val="0"/>
        <w:kinsoku/>
        <w:wordWrap/>
        <w:overflowPunct/>
        <w:topLinePunct w:val="0"/>
        <w:autoSpaceDE/>
        <w:autoSpaceDN/>
        <w:bidi w:val="0"/>
        <w:adjustRightInd/>
        <w:spacing w:before="0" w:line="450" w:lineRule="exact"/>
        <w:ind w:firstLine="547" w:firstLineChars="228"/>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25</w:t>
      </w:r>
      <w:r>
        <w:rPr>
          <w:rFonts w:hint="eastAsia" w:ascii="仿宋" w:hAnsi="仿宋" w:eastAsia="仿宋" w:cs="仿宋"/>
          <w:snapToGrid w:val="0"/>
          <w:color w:val="auto"/>
          <w:kern w:val="0"/>
          <w:sz w:val="24"/>
          <w:szCs w:val="24"/>
          <w:highlight w:val="none"/>
        </w:rPr>
        <w:t>.5.</w:t>
      </w:r>
      <w:r>
        <w:rPr>
          <w:rFonts w:hint="eastAsia" w:ascii="仿宋" w:hAnsi="仿宋" w:eastAsia="仿宋" w:cs="仿宋"/>
          <w:snapToGrid w:val="0"/>
          <w:color w:val="auto"/>
          <w:kern w:val="0"/>
          <w:sz w:val="24"/>
          <w:szCs w:val="24"/>
          <w:highlight w:val="none"/>
          <w:lang w:val="en-US" w:eastAsia="zh-CN"/>
        </w:rPr>
        <w:t>3</w:t>
      </w:r>
      <w:r>
        <w:rPr>
          <w:rFonts w:hint="eastAsia" w:ascii="仿宋" w:hAnsi="仿宋" w:eastAsia="仿宋" w:cs="仿宋"/>
          <w:snapToGrid w:val="0"/>
          <w:color w:val="auto"/>
          <w:kern w:val="0"/>
          <w:sz w:val="24"/>
          <w:szCs w:val="24"/>
          <w:highlight w:val="none"/>
        </w:rPr>
        <w:t>同时出现两种以上不一致的，按照前款规定的顺序修正。修正后的报价按照财政部第87号令《政府采购货物和服务招标投标管理办法》第五十一条第二款的规定经</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确认后产生约束力。</w:t>
      </w:r>
    </w:p>
    <w:p w14:paraId="6E5EA6CC">
      <w:pPr>
        <w:keepNext w:val="0"/>
        <w:keepLines w:val="0"/>
        <w:pageBreakBefore w:val="0"/>
        <w:widowControl w:val="0"/>
        <w:kinsoku/>
        <w:wordWrap/>
        <w:overflowPunct/>
        <w:topLinePunct w:val="0"/>
        <w:autoSpaceDE/>
        <w:autoSpaceDN/>
        <w:bidi w:val="0"/>
        <w:adjustRightInd/>
        <w:spacing w:line="450" w:lineRule="exact"/>
        <w:ind w:firstLine="720" w:firstLineChars="300"/>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w:t>
      </w:r>
      <w:r>
        <w:rPr>
          <w:rFonts w:hint="eastAsia" w:ascii="仿宋" w:hAnsi="仿宋" w:eastAsia="仿宋" w:cs="仿宋"/>
          <w:b/>
          <w:bCs/>
          <w:snapToGrid w:val="0"/>
          <w:color w:val="auto"/>
          <w:kern w:val="0"/>
          <w:sz w:val="24"/>
          <w:szCs w:val="24"/>
          <w:highlight w:val="none"/>
        </w:rPr>
        <w:t>供应商对根据修正原则修正后的报价不确认的，投标无效。采购人将以合同形式有偿取得货物或服务，不接受供应商给予的赠品、回扣或者与采购无关的其他商品、服务。</w:t>
      </w:r>
    </w:p>
    <w:p w14:paraId="58D5EB02">
      <w:pPr>
        <w:keepNext w:val="0"/>
        <w:keepLines w:val="0"/>
        <w:pageBreakBefore w:val="0"/>
        <w:widowControl w:val="0"/>
        <w:kinsoku/>
        <w:wordWrap/>
        <w:overflowPunct/>
        <w:topLinePunct w:val="0"/>
        <w:autoSpaceDE/>
        <w:autoSpaceDN/>
        <w:bidi w:val="0"/>
        <w:adjustRightInd/>
        <w:spacing w:line="450" w:lineRule="exact"/>
        <w:ind w:firstLine="720" w:firstLineChars="300"/>
        <w:textAlignment w:val="auto"/>
        <w:rPr>
          <w:rFonts w:hint="eastAsia" w:ascii="仿宋" w:hAnsi="仿宋" w:eastAsia="仿宋" w:cs="仿宋"/>
          <w:snapToGrid w:val="0"/>
          <w:color w:val="auto"/>
          <w:kern w:val="0"/>
          <w:sz w:val="24"/>
          <w:szCs w:val="24"/>
          <w:highlight w:val="none"/>
          <w:lang w:val="en-US" w:eastAsia="zh-CN" w:bidi="ar-SA"/>
        </w:rPr>
      </w:pPr>
      <w:r>
        <w:rPr>
          <w:rFonts w:hint="eastAsia" w:ascii="仿宋" w:hAnsi="仿宋" w:eastAsia="仿宋" w:cs="仿宋"/>
          <w:snapToGrid w:val="0"/>
          <w:color w:val="auto"/>
          <w:kern w:val="0"/>
          <w:sz w:val="24"/>
          <w:szCs w:val="24"/>
          <w:highlight w:val="none"/>
          <w:lang w:val="en-US" w:eastAsia="zh-CN" w:bidi="ar-SA"/>
        </w:rPr>
        <w:t>25.6汇总得分：评标委员会各成员应当独立对每个</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lang w:val="en-US" w:eastAsia="zh-CN" w:bidi="ar-SA"/>
        </w:rPr>
        <w:t>的投标文件进行评价，并汇总每个</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lang w:val="en-US" w:eastAsia="zh-CN" w:bidi="ar-SA"/>
        </w:rPr>
        <w:t>的得分。</w:t>
      </w:r>
    </w:p>
    <w:p w14:paraId="670CFC32">
      <w:pPr>
        <w:keepNext w:val="0"/>
        <w:keepLines w:val="0"/>
        <w:pageBreakBefore w:val="0"/>
        <w:widowControl w:val="0"/>
        <w:kinsoku/>
        <w:wordWrap/>
        <w:overflowPunct/>
        <w:topLinePunct w:val="0"/>
        <w:autoSpaceDE/>
        <w:autoSpaceDN/>
        <w:bidi w:val="0"/>
        <w:adjustRightInd/>
        <w:spacing w:line="450" w:lineRule="exact"/>
        <w:ind w:firstLine="442" w:firstLineChars="200"/>
        <w:textAlignment w:val="auto"/>
        <w:rPr>
          <w:rFonts w:hint="eastAsia" w:ascii="仿宋" w:hAnsi="仿宋" w:eastAsia="仿宋" w:cs="仿宋"/>
          <w:b/>
          <w:bCs/>
          <w:snapToGrid w:val="0"/>
          <w:color w:val="auto"/>
          <w:kern w:val="0"/>
          <w:sz w:val="22"/>
          <w:szCs w:val="22"/>
          <w:highlight w:val="none"/>
        </w:rPr>
      </w:pPr>
      <w:r>
        <w:rPr>
          <w:rFonts w:hint="eastAsia" w:ascii="仿宋" w:hAnsi="仿宋" w:eastAsia="仿宋" w:cs="仿宋"/>
          <w:b/>
          <w:bCs/>
          <w:snapToGrid w:val="0"/>
          <w:color w:val="auto"/>
          <w:kern w:val="0"/>
          <w:sz w:val="22"/>
          <w:szCs w:val="22"/>
          <w:highlight w:val="none"/>
          <w:lang w:val="en-US" w:eastAsia="zh-CN"/>
        </w:rPr>
        <w:t>26.</w:t>
      </w:r>
      <w:r>
        <w:rPr>
          <w:rFonts w:hint="eastAsia" w:ascii="仿宋" w:hAnsi="仿宋" w:eastAsia="仿宋" w:cs="仿宋"/>
          <w:b/>
          <w:bCs/>
          <w:snapToGrid w:val="0"/>
          <w:color w:val="auto"/>
          <w:kern w:val="0"/>
          <w:sz w:val="22"/>
          <w:szCs w:val="22"/>
          <w:highlight w:val="none"/>
        </w:rPr>
        <w:t>顺序排列与中标候选推荐</w:t>
      </w:r>
    </w:p>
    <w:p w14:paraId="71E6BF1C">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26</w:t>
      </w:r>
      <w:r>
        <w:rPr>
          <w:rFonts w:hint="eastAsia" w:ascii="仿宋" w:hAnsi="仿宋" w:eastAsia="仿宋" w:cs="仿宋"/>
          <w:snapToGrid w:val="0"/>
          <w:color w:val="auto"/>
          <w:kern w:val="0"/>
          <w:sz w:val="24"/>
          <w:szCs w:val="24"/>
          <w:highlight w:val="none"/>
        </w:rPr>
        <w:t>.1评标结果按评审后得分由高到低顺序排列，确定综合得分最高的供应商为第一中标人，得分第二高者为第二中标候选人，得分第三高者为第三中标候选人。如出现综合得分相同时，投标报价低的优先；如综合得分和投标报价均相同，则现场抽签确定</w:t>
      </w:r>
      <w:r>
        <w:rPr>
          <w:rFonts w:hint="eastAsia" w:ascii="仿宋" w:hAnsi="仿宋" w:eastAsia="仿宋" w:cs="仿宋"/>
          <w:snapToGrid w:val="0"/>
          <w:color w:val="auto"/>
          <w:kern w:val="0"/>
          <w:sz w:val="24"/>
          <w:szCs w:val="24"/>
          <w:highlight w:val="none"/>
          <w:lang w:eastAsia="zh-CN"/>
        </w:rPr>
        <w:t>。</w:t>
      </w:r>
    </w:p>
    <w:p w14:paraId="0967800C">
      <w:pPr>
        <w:keepNext w:val="0"/>
        <w:keepLines w:val="0"/>
        <w:pageBreakBefore w:val="0"/>
        <w:widowControl w:val="0"/>
        <w:kinsoku/>
        <w:wordWrap/>
        <w:overflowPunct/>
        <w:topLinePunct w:val="0"/>
        <w:autoSpaceDE/>
        <w:autoSpaceDN/>
        <w:bidi w:val="0"/>
        <w:adjustRightInd/>
        <w:spacing w:line="450" w:lineRule="exact"/>
        <w:ind w:firstLine="480" w:firstLineChars="20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rPr>
        <w:t>2</w:t>
      </w:r>
      <w:r>
        <w:rPr>
          <w:rFonts w:hint="eastAsia" w:ascii="仿宋" w:hAnsi="仿宋" w:eastAsia="仿宋" w:cs="仿宋"/>
          <w:snapToGrid w:val="0"/>
          <w:color w:val="auto"/>
          <w:kern w:val="0"/>
          <w:sz w:val="24"/>
          <w:szCs w:val="24"/>
          <w:highlight w:val="none"/>
          <w:lang w:val="en-US" w:eastAsia="zh-CN"/>
        </w:rPr>
        <w:t>6</w:t>
      </w:r>
      <w:r>
        <w:rPr>
          <w:rFonts w:hint="eastAsia" w:ascii="仿宋" w:hAnsi="仿宋" w:eastAsia="仿宋" w:cs="仿宋"/>
          <w:snapToGrid w:val="0"/>
          <w:color w:val="auto"/>
          <w:kern w:val="0"/>
          <w:sz w:val="24"/>
          <w:szCs w:val="24"/>
          <w:highlight w:val="none"/>
        </w:rPr>
        <w:t>.2使用综合评分法的采购项目，提供相同品牌产品</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单一产品采购项目中的该产品或者非单一产品采购项目的核心产品</w:t>
      </w: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r>
        <w:rPr>
          <w:rFonts w:hint="eastAsia" w:ascii="仿宋" w:hAnsi="仿宋" w:eastAsia="仿宋" w:cs="仿宋"/>
          <w:snapToGrid w:val="0"/>
          <w:color w:val="auto"/>
          <w:kern w:val="0"/>
          <w:sz w:val="24"/>
          <w:szCs w:val="24"/>
          <w:highlight w:val="none"/>
          <w:lang w:eastAsia="zh-CN"/>
        </w:rPr>
        <w:t>。</w:t>
      </w:r>
    </w:p>
    <w:p w14:paraId="38AD1150">
      <w:pPr>
        <w:pStyle w:val="48"/>
        <w:keepNext w:val="0"/>
        <w:keepLines w:val="0"/>
        <w:pageBreakBefore w:val="0"/>
        <w:widowControl w:val="0"/>
        <w:kinsoku/>
        <w:wordWrap/>
        <w:overflowPunct/>
        <w:topLinePunct w:val="0"/>
        <w:autoSpaceDE/>
        <w:autoSpaceDN/>
        <w:bidi w:val="0"/>
        <w:adjustRightInd/>
        <w:spacing w:line="450" w:lineRule="exact"/>
        <w:ind w:firstLine="442" w:firstLineChars="200"/>
        <w:textAlignment w:val="auto"/>
        <w:rPr>
          <w:rFonts w:hint="eastAsia" w:ascii="仿宋" w:hAnsi="仿宋" w:eastAsia="仿宋" w:cs="仿宋"/>
          <w:b/>
          <w:bCs/>
          <w:snapToGrid w:val="0"/>
          <w:color w:val="auto"/>
          <w:kern w:val="0"/>
          <w:sz w:val="22"/>
          <w:szCs w:val="22"/>
          <w:highlight w:val="none"/>
          <w:lang w:val="en-US" w:eastAsia="zh-CN" w:bidi="ar-SA"/>
        </w:rPr>
      </w:pPr>
      <w:r>
        <w:rPr>
          <w:rFonts w:hint="eastAsia" w:ascii="仿宋" w:hAnsi="仿宋" w:eastAsia="仿宋" w:cs="仿宋"/>
          <w:b/>
          <w:bCs/>
          <w:snapToGrid w:val="0"/>
          <w:color w:val="auto"/>
          <w:kern w:val="0"/>
          <w:sz w:val="22"/>
          <w:szCs w:val="22"/>
          <w:highlight w:val="none"/>
          <w:lang w:val="en-US" w:eastAsia="zh-CN" w:bidi="ar-SA"/>
        </w:rPr>
        <w:t>27.在招标采购中，出现下列情形之一的，应予废标：</w:t>
      </w:r>
    </w:p>
    <w:p w14:paraId="1C4B35EA">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根据《中华人民共和国政府采购法》第三十六条之规定，在采购中，出现下列情形之一的，应予废标：</w:t>
      </w:r>
    </w:p>
    <w:p w14:paraId="35222C99">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27</w:t>
      </w:r>
      <w:r>
        <w:rPr>
          <w:rFonts w:hint="eastAsia" w:ascii="仿宋" w:hAnsi="仿宋" w:eastAsia="仿宋" w:cs="仿宋"/>
          <w:snapToGrid w:val="0"/>
          <w:color w:val="auto"/>
          <w:kern w:val="0"/>
          <w:sz w:val="24"/>
          <w:szCs w:val="24"/>
          <w:highlight w:val="none"/>
          <w:lang w:eastAsia="zh-CN"/>
        </w:rPr>
        <w:t>.1符合专业条件的供应商或者对招标文件作实质响应的供应商不足3家的；</w:t>
      </w:r>
    </w:p>
    <w:p w14:paraId="63A0B8FB">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27</w:t>
      </w:r>
      <w:r>
        <w:rPr>
          <w:rFonts w:hint="eastAsia" w:ascii="仿宋" w:hAnsi="仿宋" w:eastAsia="仿宋" w:cs="仿宋"/>
          <w:snapToGrid w:val="0"/>
          <w:color w:val="auto"/>
          <w:kern w:val="0"/>
          <w:sz w:val="24"/>
          <w:szCs w:val="24"/>
          <w:highlight w:val="none"/>
          <w:lang w:eastAsia="zh-CN"/>
        </w:rPr>
        <w:t>.2出现影响采购公正的违法、违规行为的；</w:t>
      </w:r>
    </w:p>
    <w:p w14:paraId="0AFA1173">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27</w:t>
      </w:r>
      <w:r>
        <w:rPr>
          <w:rFonts w:hint="eastAsia" w:ascii="仿宋" w:hAnsi="仿宋" w:eastAsia="仿宋" w:cs="仿宋"/>
          <w:snapToGrid w:val="0"/>
          <w:color w:val="auto"/>
          <w:kern w:val="0"/>
          <w:sz w:val="24"/>
          <w:szCs w:val="24"/>
          <w:highlight w:val="none"/>
          <w:lang w:eastAsia="zh-CN"/>
        </w:rPr>
        <w:t>.3供应商的报价均超过了采购预算，采购人不能支付的；</w:t>
      </w:r>
    </w:p>
    <w:p w14:paraId="500A5F21">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27</w:t>
      </w:r>
      <w:r>
        <w:rPr>
          <w:rFonts w:hint="eastAsia" w:ascii="仿宋" w:hAnsi="仿宋" w:eastAsia="仿宋" w:cs="仿宋"/>
          <w:snapToGrid w:val="0"/>
          <w:color w:val="auto"/>
          <w:kern w:val="0"/>
          <w:sz w:val="24"/>
          <w:szCs w:val="24"/>
          <w:highlight w:val="none"/>
          <w:lang w:eastAsia="zh-CN"/>
        </w:rPr>
        <w:t>.4因重大变故，采购任务取消的。</w:t>
      </w:r>
    </w:p>
    <w:p w14:paraId="0054D24F">
      <w:pPr>
        <w:pStyle w:val="48"/>
        <w:keepNext w:val="0"/>
        <w:keepLines w:val="0"/>
        <w:pageBreakBefore w:val="0"/>
        <w:widowControl w:val="0"/>
        <w:kinsoku/>
        <w:wordWrap/>
        <w:overflowPunct/>
        <w:topLinePunct w:val="0"/>
        <w:autoSpaceDE/>
        <w:autoSpaceDN/>
        <w:bidi w:val="0"/>
        <w:adjustRightInd/>
        <w:spacing w:line="450" w:lineRule="exact"/>
        <w:ind w:firstLine="360" w:firstLineChars="150"/>
        <w:textAlignment w:val="auto"/>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废标后，代理机构应当将废标理由通知所有供应商。</w:t>
      </w:r>
    </w:p>
    <w:p w14:paraId="61D7A5A5">
      <w:pPr>
        <w:keepNext w:val="0"/>
        <w:keepLines w:val="0"/>
        <w:pageBreakBefore w:val="0"/>
        <w:widowControl w:val="0"/>
        <w:kinsoku/>
        <w:wordWrap/>
        <w:overflowPunct/>
        <w:topLinePunct w:val="0"/>
        <w:autoSpaceDE/>
        <w:autoSpaceDN/>
        <w:bidi w:val="0"/>
        <w:adjustRightInd/>
        <w:snapToGrid w:val="0"/>
        <w:spacing w:line="450" w:lineRule="exact"/>
        <w:ind w:firstLine="442" w:firstLineChars="200"/>
        <w:textAlignment w:val="auto"/>
        <w:rPr>
          <w:rFonts w:hint="eastAsia" w:ascii="仿宋" w:hAnsi="仿宋" w:eastAsia="仿宋" w:cs="仿宋"/>
          <w:b/>
          <w:bCs/>
          <w:color w:val="auto"/>
          <w:sz w:val="24"/>
          <w:szCs w:val="16"/>
          <w:highlight w:val="none"/>
        </w:rPr>
      </w:pPr>
      <w:r>
        <w:rPr>
          <w:rFonts w:hint="eastAsia" w:ascii="仿宋" w:hAnsi="仿宋" w:eastAsia="仿宋" w:cs="仿宋"/>
          <w:b/>
          <w:bCs/>
          <w:color w:val="auto"/>
          <w:sz w:val="22"/>
          <w:szCs w:val="21"/>
          <w:highlight w:val="none"/>
          <w:lang w:val="en-US" w:eastAsia="zh-CN"/>
        </w:rPr>
        <w:t>28.</w:t>
      </w:r>
      <w:r>
        <w:rPr>
          <w:rFonts w:hint="eastAsia" w:ascii="仿宋" w:hAnsi="仿宋" w:eastAsia="仿宋" w:cs="仿宋"/>
          <w:b/>
          <w:bCs/>
          <w:color w:val="auto"/>
          <w:kern w:val="2"/>
          <w:sz w:val="22"/>
          <w:szCs w:val="21"/>
          <w:highlight w:val="none"/>
          <w:lang w:val="en-US" w:eastAsia="zh-CN" w:bidi="ar-SA"/>
        </w:rPr>
        <w:t>重新组织采购</w:t>
      </w:r>
    </w:p>
    <w:p w14:paraId="67107AA4">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2" w:firstLineChars="200"/>
        <w:textAlignment w:val="auto"/>
        <w:rPr>
          <w:rFonts w:hint="eastAsia" w:ascii="仿宋" w:hAnsi="仿宋" w:eastAsia="仿宋" w:cs="仿宋"/>
          <w:color w:val="auto"/>
          <w:sz w:val="24"/>
          <w:szCs w:val="22"/>
          <w:highlight w:val="none"/>
        </w:rPr>
      </w:pPr>
      <w:r>
        <w:rPr>
          <w:rFonts w:hint="eastAsia" w:ascii="仿宋" w:hAnsi="仿宋" w:eastAsia="仿宋" w:cs="仿宋"/>
          <w:b/>
          <w:color w:val="auto"/>
          <w:sz w:val="24"/>
          <w:szCs w:val="22"/>
          <w:highlight w:val="none"/>
          <w:lang w:val="en-US" w:eastAsia="zh-CN"/>
        </w:rPr>
        <w:t>28</w:t>
      </w:r>
      <w:r>
        <w:rPr>
          <w:rFonts w:hint="eastAsia" w:ascii="仿宋" w:hAnsi="仿宋" w:eastAsia="仿宋" w:cs="仿宋"/>
          <w:b/>
          <w:color w:val="auto"/>
          <w:sz w:val="24"/>
          <w:szCs w:val="22"/>
          <w:highlight w:val="none"/>
        </w:rPr>
        <w:t>.1修改招标文件，重新组织采购活动。</w:t>
      </w:r>
      <w:r>
        <w:rPr>
          <w:rFonts w:hint="eastAsia" w:ascii="仿宋" w:hAnsi="仿宋" w:eastAsia="仿宋" w:cs="仿宋"/>
          <w:color w:val="auto"/>
          <w:sz w:val="24"/>
          <w:szCs w:val="22"/>
          <w:highlight w:val="none"/>
        </w:rPr>
        <w:t>评标委员会发现采购文件存在歧义、重大缺陷导致评标工作无法进行，或者采购文件内容违反国家有关强制性规定的，将停止评标工作，并与采购人、代理机构沟通并作书面记录。采购人、代理机构确认后，将修改采购文件，重新组织采购活动。</w:t>
      </w:r>
    </w:p>
    <w:p w14:paraId="5B9B33F2">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2" w:firstLineChars="200"/>
        <w:textAlignment w:val="auto"/>
        <w:rPr>
          <w:rFonts w:hint="eastAsia" w:ascii="仿宋" w:hAnsi="仿宋" w:eastAsia="仿宋" w:cs="仿宋"/>
          <w:color w:val="auto"/>
          <w:sz w:val="24"/>
          <w:szCs w:val="22"/>
          <w:highlight w:val="none"/>
        </w:rPr>
      </w:pPr>
      <w:r>
        <w:rPr>
          <w:rFonts w:hint="eastAsia" w:ascii="仿宋" w:hAnsi="仿宋" w:eastAsia="仿宋" w:cs="仿宋"/>
          <w:b/>
          <w:color w:val="auto"/>
          <w:kern w:val="0"/>
          <w:sz w:val="24"/>
          <w:szCs w:val="22"/>
          <w:highlight w:val="none"/>
          <w:lang w:val="en-US" w:eastAsia="zh-CN"/>
        </w:rPr>
        <w:t>28</w:t>
      </w:r>
      <w:r>
        <w:rPr>
          <w:rFonts w:hint="eastAsia" w:ascii="仿宋" w:hAnsi="仿宋" w:eastAsia="仿宋" w:cs="仿宋"/>
          <w:b/>
          <w:color w:val="auto"/>
          <w:kern w:val="0"/>
          <w:sz w:val="24"/>
          <w:szCs w:val="22"/>
          <w:highlight w:val="none"/>
        </w:rPr>
        <w:t>.2重新开展采购。</w:t>
      </w:r>
      <w:r>
        <w:rPr>
          <w:rFonts w:hint="eastAsia" w:ascii="仿宋" w:hAnsi="仿宋" w:eastAsia="仿宋" w:cs="仿宋"/>
          <w:color w:val="auto"/>
          <w:sz w:val="24"/>
          <w:szCs w:val="22"/>
          <w:highlight w:val="none"/>
        </w:rPr>
        <w:t>有政府采购法第七十一条、第七十二条规定的违法行为之一，影响或者可能影响中标、成交结果的，依照下列规定处理：</w:t>
      </w:r>
    </w:p>
    <w:p w14:paraId="32821C37">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28</w:t>
      </w:r>
      <w:r>
        <w:rPr>
          <w:rFonts w:hint="eastAsia" w:ascii="仿宋" w:hAnsi="仿宋" w:eastAsia="仿宋" w:cs="仿宋"/>
          <w:color w:val="auto"/>
          <w:sz w:val="24"/>
          <w:szCs w:val="22"/>
          <w:highlight w:val="none"/>
        </w:rPr>
        <w:t>.2.1未确定中标或者</w:t>
      </w:r>
      <w:r>
        <w:rPr>
          <w:rFonts w:hint="eastAsia" w:ascii="仿宋" w:hAnsi="仿宋" w:eastAsia="仿宋" w:cs="仿宋"/>
          <w:color w:val="auto"/>
          <w:sz w:val="24"/>
          <w:szCs w:val="22"/>
          <w:highlight w:val="none"/>
          <w:lang w:eastAsia="zh-CN"/>
        </w:rPr>
        <w:t>中标供应商</w:t>
      </w:r>
      <w:r>
        <w:rPr>
          <w:rFonts w:hint="eastAsia" w:ascii="仿宋" w:hAnsi="仿宋" w:eastAsia="仿宋" w:cs="仿宋"/>
          <w:color w:val="auto"/>
          <w:sz w:val="24"/>
          <w:szCs w:val="22"/>
          <w:highlight w:val="none"/>
        </w:rPr>
        <w:t>的，终止本次政府采购活动，重新开展政府采购活动。</w:t>
      </w:r>
    </w:p>
    <w:p w14:paraId="11D13027">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28</w:t>
      </w:r>
      <w:r>
        <w:rPr>
          <w:rFonts w:hint="eastAsia" w:ascii="仿宋" w:hAnsi="仿宋" w:eastAsia="仿宋" w:cs="仿宋"/>
          <w:color w:val="auto"/>
          <w:sz w:val="24"/>
          <w:szCs w:val="22"/>
          <w:highlight w:val="none"/>
        </w:rPr>
        <w:t>.2.2已确定中标或者</w:t>
      </w:r>
      <w:r>
        <w:rPr>
          <w:rFonts w:hint="eastAsia" w:ascii="仿宋" w:hAnsi="仿宋" w:eastAsia="仿宋" w:cs="仿宋"/>
          <w:color w:val="auto"/>
          <w:sz w:val="24"/>
          <w:szCs w:val="22"/>
          <w:highlight w:val="none"/>
          <w:lang w:eastAsia="zh-CN"/>
        </w:rPr>
        <w:t>中标供应商</w:t>
      </w:r>
      <w:r>
        <w:rPr>
          <w:rFonts w:hint="eastAsia" w:ascii="仿宋" w:hAnsi="仿宋" w:eastAsia="仿宋" w:cs="仿宋"/>
          <w:color w:val="auto"/>
          <w:sz w:val="24"/>
          <w:szCs w:val="22"/>
          <w:highlight w:val="none"/>
        </w:rPr>
        <w:t>但尚未签订政府采购合同的，中标或者成交结果无效，从合格的中标或者成交候选人中另行确定中标或者</w:t>
      </w:r>
      <w:r>
        <w:rPr>
          <w:rFonts w:hint="eastAsia" w:ascii="仿宋" w:hAnsi="仿宋" w:eastAsia="仿宋" w:cs="仿宋"/>
          <w:color w:val="auto"/>
          <w:sz w:val="24"/>
          <w:szCs w:val="22"/>
          <w:highlight w:val="none"/>
          <w:lang w:eastAsia="zh-CN"/>
        </w:rPr>
        <w:t>中标供应商</w:t>
      </w:r>
      <w:r>
        <w:rPr>
          <w:rFonts w:hint="eastAsia" w:ascii="仿宋" w:hAnsi="仿宋" w:eastAsia="仿宋" w:cs="仿宋"/>
          <w:color w:val="auto"/>
          <w:sz w:val="24"/>
          <w:szCs w:val="22"/>
          <w:highlight w:val="none"/>
        </w:rPr>
        <w:t>；没有合格的中标或者成交候选人的，重新开展政府采购活动。</w:t>
      </w:r>
    </w:p>
    <w:p w14:paraId="13FF7927">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28</w:t>
      </w:r>
      <w:r>
        <w:rPr>
          <w:rFonts w:hint="eastAsia" w:ascii="仿宋" w:hAnsi="仿宋" w:eastAsia="仿宋" w:cs="仿宋"/>
          <w:color w:val="auto"/>
          <w:sz w:val="24"/>
          <w:szCs w:val="22"/>
          <w:highlight w:val="none"/>
        </w:rPr>
        <w:t>.2.3政府采购合同已签订但尚未履行的，撤销合同，从合格的中标或者成交候选人中另行确定中标或者</w:t>
      </w:r>
      <w:r>
        <w:rPr>
          <w:rFonts w:hint="eastAsia" w:ascii="仿宋" w:hAnsi="仿宋" w:eastAsia="仿宋" w:cs="仿宋"/>
          <w:color w:val="auto"/>
          <w:sz w:val="24"/>
          <w:szCs w:val="22"/>
          <w:highlight w:val="none"/>
          <w:lang w:eastAsia="zh-CN"/>
        </w:rPr>
        <w:t>中标供应商</w:t>
      </w:r>
      <w:r>
        <w:rPr>
          <w:rFonts w:hint="eastAsia" w:ascii="仿宋" w:hAnsi="仿宋" w:eastAsia="仿宋" w:cs="仿宋"/>
          <w:color w:val="auto"/>
          <w:sz w:val="24"/>
          <w:szCs w:val="22"/>
          <w:highlight w:val="none"/>
        </w:rPr>
        <w:t>；没有合格的中标或者成交候选人的，重新开展政府采购活动。</w:t>
      </w:r>
    </w:p>
    <w:p w14:paraId="439852CC">
      <w:pPr>
        <w:pStyle w:val="37"/>
        <w:keepNext w:val="0"/>
        <w:keepLines w:val="0"/>
        <w:pageBreakBefore w:val="0"/>
        <w:widowControl w:val="0"/>
        <w:kinsoku/>
        <w:wordWrap/>
        <w:overflowPunct/>
        <w:topLinePunct w:val="0"/>
        <w:autoSpaceDE/>
        <w:autoSpaceDN/>
        <w:bidi w:val="0"/>
        <w:adjustRightInd/>
        <w:snapToGrid w:val="0"/>
        <w:spacing w:after="0" w:line="450" w:lineRule="exact"/>
        <w:ind w:left="0" w:leftChars="0" w:firstLine="480" w:firstLineChars="200"/>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28</w:t>
      </w:r>
      <w:r>
        <w:rPr>
          <w:rFonts w:hint="eastAsia" w:ascii="仿宋" w:hAnsi="仿宋" w:eastAsia="仿宋" w:cs="仿宋"/>
          <w:color w:val="auto"/>
          <w:sz w:val="24"/>
          <w:szCs w:val="22"/>
          <w:highlight w:val="none"/>
        </w:rPr>
        <w:t>.2.4政府采购合同已经履行，给采购人、供应商造成损失的，由责任人承担赔偿责任。</w:t>
      </w:r>
    </w:p>
    <w:p w14:paraId="49C1A1FA">
      <w:pPr>
        <w:keepNext w:val="0"/>
        <w:keepLines w:val="0"/>
        <w:pageBreakBefore w:val="0"/>
        <w:widowControl w:val="0"/>
        <w:kinsoku/>
        <w:wordWrap/>
        <w:overflowPunct/>
        <w:topLinePunct w:val="0"/>
        <w:autoSpaceDE/>
        <w:autoSpaceDN/>
        <w:bidi w:val="0"/>
        <w:adjustRightInd/>
        <w:spacing w:line="450" w:lineRule="exact"/>
        <w:ind w:firstLine="480" w:firstLineChars="200"/>
        <w:jc w:val="left"/>
        <w:textAlignment w:val="auto"/>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28</w:t>
      </w:r>
      <w:r>
        <w:rPr>
          <w:rFonts w:hint="eastAsia" w:ascii="仿宋" w:hAnsi="仿宋" w:eastAsia="仿宋" w:cs="仿宋"/>
          <w:color w:val="auto"/>
          <w:sz w:val="24"/>
          <w:szCs w:val="22"/>
          <w:highlight w:val="none"/>
        </w:rPr>
        <w:t>.2.5政府采购当事人有其他违反政府采购法或者本条例规定的行为，经改正后仍然影响或者可能影响中标、成交结果或者依法被认定为中标、成交无效的，依照2</w:t>
      </w:r>
      <w:r>
        <w:rPr>
          <w:rFonts w:hint="eastAsia" w:ascii="仿宋" w:hAnsi="仿宋" w:eastAsia="仿宋" w:cs="仿宋"/>
          <w:color w:val="auto"/>
          <w:sz w:val="24"/>
          <w:szCs w:val="22"/>
          <w:highlight w:val="none"/>
          <w:lang w:val="en-US" w:eastAsia="zh-CN"/>
        </w:rPr>
        <w:t>8</w:t>
      </w:r>
      <w:r>
        <w:rPr>
          <w:rFonts w:hint="eastAsia" w:ascii="仿宋" w:hAnsi="仿宋" w:eastAsia="仿宋" w:cs="仿宋"/>
          <w:color w:val="auto"/>
          <w:sz w:val="24"/>
          <w:szCs w:val="22"/>
          <w:highlight w:val="none"/>
        </w:rPr>
        <w:t>.2.1-2</w:t>
      </w:r>
      <w:r>
        <w:rPr>
          <w:rFonts w:hint="eastAsia" w:ascii="仿宋" w:hAnsi="仿宋" w:eastAsia="仿宋" w:cs="仿宋"/>
          <w:color w:val="auto"/>
          <w:sz w:val="24"/>
          <w:szCs w:val="22"/>
          <w:highlight w:val="none"/>
          <w:lang w:val="en-US" w:eastAsia="zh-CN"/>
        </w:rPr>
        <w:t>8</w:t>
      </w:r>
      <w:r>
        <w:rPr>
          <w:rFonts w:hint="eastAsia" w:ascii="仿宋" w:hAnsi="仿宋" w:eastAsia="仿宋" w:cs="仿宋"/>
          <w:color w:val="auto"/>
          <w:sz w:val="24"/>
          <w:szCs w:val="22"/>
          <w:highlight w:val="none"/>
        </w:rPr>
        <w:t>.2.4规定处理。</w:t>
      </w:r>
    </w:p>
    <w:p w14:paraId="319ECA75">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六、确定中标供应商及授予合同</w:t>
      </w:r>
      <w:bookmarkEnd w:id="45"/>
      <w:bookmarkEnd w:id="46"/>
      <w:bookmarkEnd w:id="47"/>
      <w:bookmarkEnd w:id="48"/>
      <w:bookmarkEnd w:id="49"/>
    </w:p>
    <w:p w14:paraId="0C4EAD4A">
      <w:pPr>
        <w:pStyle w:val="48"/>
        <w:keepNext w:val="0"/>
        <w:keepLines w:val="0"/>
        <w:pageBreakBefore w:val="0"/>
        <w:kinsoku/>
        <w:wordWrap/>
        <w:topLinePunct w:val="0"/>
        <w:autoSpaceDE/>
        <w:autoSpaceDN/>
        <w:bidi w:val="0"/>
        <w:spacing w:line="450" w:lineRule="exact"/>
        <w:ind w:firstLine="482" w:firstLineChars="200"/>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29.中标供应商的确定</w:t>
      </w:r>
    </w:p>
    <w:p w14:paraId="02DC63D8">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29.1采购代理机构应当自评审结束之日起2个工作日内将评审报告送交采购人。</w:t>
      </w:r>
    </w:p>
    <w:p w14:paraId="55E3E9CF">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采购人应当自收到评标报告之日起５个工作日内，在评标报告确定的中标候选人名单中按顺序确定中标供应商。中标候选人并列的，由采购人或者采购人委托评标委员会按照采购文件规定的方式确定中标供应商；采购文件未规定的，采取随机抽取的方式确定。</w:t>
      </w:r>
    </w:p>
    <w:p w14:paraId="15FE0798">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采购人在收到评标报告5个工作日内未按评标报告推荐的中标候选人顺序确定中标供应商，又不能说明合法理由的，视同按评标报告推荐的顺序确定排名第一的中标候选人为中标供应商。</w:t>
      </w:r>
    </w:p>
    <w:p w14:paraId="6B5116BF">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采购人或者采购代理机构应当自中标候选人确定之日起2个工作日内，在原招标公告发布媒体上公告中标结果，采购文件应当随中标结果同时公告。</w:t>
      </w:r>
    </w:p>
    <w:p w14:paraId="44D88FEE">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公告期限为1个工作日。</w:t>
      </w:r>
    </w:p>
    <w:p w14:paraId="1F389809">
      <w:pPr>
        <w:pStyle w:val="48"/>
        <w:keepNext w:val="0"/>
        <w:keepLines w:val="0"/>
        <w:pageBreakBefore w:val="0"/>
        <w:kinsoku/>
        <w:wordWrap/>
        <w:topLinePunct w:val="0"/>
        <w:autoSpaceDE/>
        <w:autoSpaceDN/>
        <w:bidi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29.2除国务院财政部门规定的情形外，采购人、采购代理机构不得以任何理由组织重新评审。采购人、采购代理机构按照国务院财政部门的规定组织重新评审的，应当书面报告本级人民政府财政部门。</w:t>
      </w:r>
    </w:p>
    <w:p w14:paraId="4EC1E8A5">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29.3中标通知书发出后，采购人不得违法改变中标结果，中标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无正当理由不得放弃中标。</w:t>
      </w:r>
    </w:p>
    <w:p w14:paraId="38F2E926">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30.合同授予</w:t>
      </w:r>
    </w:p>
    <w:p w14:paraId="20667011">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30.1本项目的合同将授予按本须知第30.1款所确定的中标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w:t>
      </w:r>
    </w:p>
    <w:p w14:paraId="63732EE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30.2中标或者中标供应商拒绝与采购人签订合同的，采购人可以重新开展政府采购活动。</w:t>
      </w:r>
    </w:p>
    <w:bookmarkEnd w:id="50"/>
    <w:p w14:paraId="424EB82F">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31.签订合同</w:t>
      </w:r>
    </w:p>
    <w:p w14:paraId="0ECFE9F8">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31.1中标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应按中标通知书规定的时间与采购人签订合同。中标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在领取中标通知书时须向采购人提供一份关于本项目在实施过程中的相关人员的通讯录作为合同附件。</w:t>
      </w:r>
    </w:p>
    <w:p w14:paraId="4A4D0C79">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31.2中标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如不遵守采购文件或投标文件各项条款的邀约与要约，或在接到中标通知书后借故拖延，拒签合同的，采购人将依据国家和采购文件有关规定要求中标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予以赔偿，同时采购人可根据</w:t>
      </w:r>
      <w:r>
        <w:rPr>
          <w:rFonts w:hint="eastAsia" w:ascii="仿宋" w:hAnsi="仿宋" w:eastAsia="仿宋" w:cs="仿宋"/>
          <w:snapToGrid w:val="0"/>
          <w:color w:val="auto"/>
          <w:kern w:val="0"/>
          <w:sz w:val="24"/>
          <w:szCs w:val="24"/>
          <w:highlight w:val="none"/>
          <w:lang w:val="en-US" w:eastAsia="zh-CN"/>
        </w:rPr>
        <w:t>30.2</w:t>
      </w:r>
      <w:r>
        <w:rPr>
          <w:rFonts w:hint="eastAsia" w:ascii="仿宋" w:hAnsi="仿宋" w:eastAsia="仿宋" w:cs="仿宋"/>
          <w:snapToGrid w:val="0"/>
          <w:color w:val="auto"/>
          <w:kern w:val="0"/>
          <w:sz w:val="24"/>
          <w:szCs w:val="24"/>
          <w:highlight w:val="none"/>
        </w:rPr>
        <w:t>的原则重新开展政府采购活动；</w:t>
      </w:r>
    </w:p>
    <w:p w14:paraId="418B6700">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31.3采购文件、中标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的投标文件及投标修改文件、评标过程中有关澄清文件及经投标人法定代表人或授权代表签字确认的询标回复和承诺及中标通知书均作为合同组成部分。</w:t>
      </w:r>
    </w:p>
    <w:p w14:paraId="2482B261">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32.履约保证金</w:t>
      </w:r>
    </w:p>
    <w:p w14:paraId="34808A14">
      <w:pPr>
        <w:keepNext w:val="0"/>
        <w:keepLines w:val="0"/>
        <w:pageBreakBefore w:val="0"/>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32.1</w:t>
      </w:r>
      <w:r>
        <w:rPr>
          <w:rFonts w:hint="eastAsia" w:ascii="仿宋" w:hAnsi="仿宋" w:eastAsia="仿宋" w:cs="仿宋"/>
          <w:bCs/>
          <w:color w:val="auto"/>
          <w:sz w:val="24"/>
          <w:highlight w:val="none"/>
          <w:lang w:val="en-US" w:eastAsia="zh-CN"/>
        </w:rPr>
        <w:t>合同签订之日起15个工作日内</w:t>
      </w:r>
      <w:r>
        <w:rPr>
          <w:rFonts w:hint="eastAsia" w:ascii="仿宋" w:hAnsi="仿宋" w:eastAsia="仿宋" w:cs="仿宋"/>
          <w:snapToGrid w:val="0"/>
          <w:color w:val="auto"/>
          <w:kern w:val="0"/>
          <w:sz w:val="24"/>
          <w:szCs w:val="24"/>
          <w:highlight w:val="none"/>
        </w:rPr>
        <w:t>，</w:t>
      </w:r>
      <w:r>
        <w:rPr>
          <w:rFonts w:hint="eastAsia" w:ascii="仿宋" w:hAnsi="仿宋" w:eastAsia="仿宋" w:cs="仿宋"/>
          <w:snapToGrid w:val="0"/>
          <w:color w:val="auto"/>
          <w:kern w:val="0"/>
          <w:sz w:val="24"/>
          <w:szCs w:val="24"/>
          <w:highlight w:val="none"/>
          <w:lang w:val="en-US" w:eastAsia="zh-CN"/>
        </w:rPr>
        <w:t>中标</w:t>
      </w:r>
      <w:r>
        <w:rPr>
          <w:rFonts w:hint="eastAsia" w:ascii="仿宋" w:hAnsi="仿宋" w:eastAsia="仿宋" w:cs="仿宋"/>
          <w:snapToGrid w:val="0"/>
          <w:color w:val="auto"/>
          <w:kern w:val="0"/>
          <w:sz w:val="24"/>
          <w:szCs w:val="24"/>
          <w:highlight w:val="none"/>
        </w:rPr>
        <w:t>供应商</w:t>
      </w:r>
      <w:r>
        <w:rPr>
          <w:rFonts w:hint="eastAsia" w:ascii="仿宋" w:hAnsi="仿宋" w:eastAsia="仿宋" w:cs="仿宋"/>
          <w:snapToGrid w:val="0"/>
          <w:color w:val="auto"/>
          <w:kern w:val="0"/>
          <w:sz w:val="24"/>
          <w:szCs w:val="24"/>
          <w:highlight w:val="none"/>
          <w:lang w:val="en-US" w:eastAsia="zh-CN"/>
        </w:rPr>
        <w:t>应</w:t>
      </w:r>
      <w:r>
        <w:rPr>
          <w:rFonts w:hint="eastAsia" w:ascii="仿宋" w:hAnsi="仿宋" w:eastAsia="仿宋" w:cs="仿宋"/>
          <w:bCs/>
          <w:color w:val="auto"/>
          <w:sz w:val="24"/>
          <w:highlight w:val="none"/>
        </w:rPr>
        <w:t>通过基本账户以银行转账方式缴纳或采用银行保函或保险公司保函</w:t>
      </w:r>
      <w:r>
        <w:rPr>
          <w:rFonts w:hint="eastAsia" w:ascii="仿宋" w:hAnsi="仿宋" w:eastAsia="仿宋" w:cs="仿宋"/>
          <w:snapToGrid w:val="0"/>
          <w:color w:val="auto"/>
          <w:kern w:val="0"/>
          <w:sz w:val="24"/>
          <w:szCs w:val="24"/>
          <w:highlight w:val="none"/>
        </w:rPr>
        <w:t>向采购人交纳</w:t>
      </w:r>
      <w:r>
        <w:rPr>
          <w:rFonts w:hint="eastAsia" w:ascii="仿宋" w:hAnsi="仿宋" w:eastAsia="仿宋" w:cs="仿宋"/>
          <w:b/>
          <w:bCs/>
          <w:snapToGrid w:val="0"/>
          <w:color w:val="auto"/>
          <w:kern w:val="0"/>
          <w:sz w:val="24"/>
          <w:szCs w:val="24"/>
          <w:highlight w:val="none"/>
          <w:u w:val="single"/>
          <w:lang w:val="en-US" w:eastAsia="zh-CN"/>
        </w:rPr>
        <w:t>中标金额（合同价）</w:t>
      </w:r>
      <w:r>
        <w:rPr>
          <w:rFonts w:hint="eastAsia" w:ascii="仿宋" w:hAnsi="仿宋" w:eastAsia="仿宋" w:cs="仿宋"/>
          <w:b/>
          <w:bCs/>
          <w:snapToGrid w:val="0"/>
          <w:color w:val="auto"/>
          <w:kern w:val="0"/>
          <w:sz w:val="24"/>
          <w:szCs w:val="24"/>
          <w:highlight w:val="none"/>
          <w:u w:val="single"/>
        </w:rPr>
        <w:t>1%</w:t>
      </w:r>
      <w:r>
        <w:rPr>
          <w:rFonts w:hint="eastAsia" w:ascii="仿宋" w:hAnsi="仿宋" w:eastAsia="仿宋" w:cs="仿宋"/>
          <w:snapToGrid w:val="0"/>
          <w:color w:val="auto"/>
          <w:kern w:val="0"/>
          <w:sz w:val="24"/>
          <w:szCs w:val="24"/>
          <w:highlight w:val="none"/>
        </w:rPr>
        <w:t>的履约保证金</w:t>
      </w:r>
      <w:r>
        <w:rPr>
          <w:rFonts w:hint="eastAsia" w:ascii="仿宋" w:hAnsi="仿宋" w:eastAsia="仿宋" w:cs="仿宋"/>
          <w:color w:val="auto"/>
          <w:kern w:val="0"/>
          <w:sz w:val="24"/>
          <w:highlight w:val="none"/>
          <w:lang w:eastAsia="zh-CN"/>
        </w:rPr>
        <w:t>。</w:t>
      </w:r>
      <w:r>
        <w:rPr>
          <w:rFonts w:hint="eastAsia" w:ascii="仿宋" w:hAnsi="仿宋" w:eastAsia="仿宋" w:cs="仿宋"/>
          <w:b/>
          <w:bCs/>
          <w:snapToGrid w:val="0"/>
          <w:color w:val="auto"/>
          <w:kern w:val="0"/>
          <w:sz w:val="24"/>
          <w:szCs w:val="24"/>
          <w:highlight w:val="none"/>
          <w:u w:val="single"/>
          <w:lang w:eastAsia="zh-CN"/>
        </w:rPr>
        <w:t>（</w:t>
      </w:r>
      <w:r>
        <w:rPr>
          <w:rFonts w:hint="eastAsia" w:ascii="仿宋" w:hAnsi="仿宋" w:eastAsia="仿宋" w:cs="仿宋"/>
          <w:b/>
          <w:bCs/>
          <w:snapToGrid w:val="0"/>
          <w:color w:val="auto"/>
          <w:kern w:val="0"/>
          <w:sz w:val="24"/>
          <w:szCs w:val="24"/>
          <w:highlight w:val="none"/>
          <w:u w:val="single"/>
          <w:lang w:val="en-US" w:eastAsia="zh-CN"/>
        </w:rPr>
        <w:t>具体要求详见第三章采购内容及要求、第四章合同主要条款规定。</w:t>
      </w:r>
      <w:r>
        <w:rPr>
          <w:rFonts w:hint="eastAsia" w:ascii="仿宋" w:hAnsi="仿宋" w:eastAsia="仿宋" w:cs="仿宋"/>
          <w:b/>
          <w:bCs/>
          <w:snapToGrid w:val="0"/>
          <w:color w:val="auto"/>
          <w:kern w:val="0"/>
          <w:sz w:val="24"/>
          <w:szCs w:val="24"/>
          <w:highlight w:val="none"/>
          <w:u w:val="single"/>
          <w:lang w:eastAsia="zh-CN"/>
        </w:rPr>
        <w:t>）</w:t>
      </w:r>
      <w:r>
        <w:rPr>
          <w:rFonts w:hint="eastAsia" w:ascii="仿宋" w:hAnsi="仿宋" w:eastAsia="仿宋" w:cs="仿宋"/>
          <w:snapToGrid w:val="0"/>
          <w:color w:val="auto"/>
          <w:kern w:val="0"/>
          <w:sz w:val="24"/>
          <w:szCs w:val="24"/>
          <w:highlight w:val="none"/>
        </w:rPr>
        <w:t>。</w:t>
      </w:r>
    </w:p>
    <w:p w14:paraId="3BDC337D">
      <w:pPr>
        <w:keepNext w:val="0"/>
        <w:keepLines w:val="0"/>
        <w:pageBreakBefore w:val="0"/>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32.2</w:t>
      </w:r>
      <w:r>
        <w:rPr>
          <w:rFonts w:hint="eastAsia" w:ascii="仿宋" w:hAnsi="仿宋" w:eastAsia="仿宋" w:cs="仿宋"/>
          <w:snapToGrid w:val="0"/>
          <w:color w:val="auto"/>
          <w:kern w:val="0"/>
          <w:sz w:val="24"/>
          <w:szCs w:val="24"/>
          <w:highlight w:val="none"/>
        </w:rPr>
        <w:t>履约保证金用于补偿采购人因</w:t>
      </w:r>
      <w:r>
        <w:rPr>
          <w:rFonts w:hint="eastAsia" w:ascii="仿宋" w:hAnsi="仿宋" w:eastAsia="仿宋" w:cs="仿宋"/>
          <w:snapToGrid w:val="0"/>
          <w:color w:val="auto"/>
          <w:kern w:val="0"/>
          <w:sz w:val="24"/>
          <w:szCs w:val="24"/>
          <w:highlight w:val="none"/>
          <w:lang w:val="en-US" w:eastAsia="zh-CN"/>
        </w:rPr>
        <w:t>中标</w:t>
      </w:r>
      <w:r>
        <w:rPr>
          <w:rFonts w:hint="eastAsia" w:ascii="仿宋" w:hAnsi="仿宋" w:eastAsia="仿宋" w:cs="仿宋"/>
          <w:snapToGrid w:val="0"/>
          <w:color w:val="auto"/>
          <w:kern w:val="0"/>
          <w:sz w:val="24"/>
          <w:szCs w:val="24"/>
          <w:highlight w:val="none"/>
        </w:rPr>
        <w:t>供应商不能完成其合同义务而蒙受的损失。</w:t>
      </w:r>
    </w:p>
    <w:p w14:paraId="03EFB687">
      <w:pPr>
        <w:keepNext w:val="0"/>
        <w:keepLines w:val="0"/>
        <w:pageBreakBefore w:val="0"/>
        <w:kinsoku/>
        <w:wordWrap/>
        <w:overflowPunct/>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val="en-US" w:eastAsia="zh-CN"/>
        </w:rPr>
        <w:t>32.3</w:t>
      </w:r>
      <w:r>
        <w:rPr>
          <w:rFonts w:hint="eastAsia" w:ascii="仿宋" w:hAnsi="仿宋" w:eastAsia="仿宋" w:cs="仿宋"/>
          <w:snapToGrid w:val="0"/>
          <w:color w:val="auto"/>
          <w:kern w:val="0"/>
          <w:sz w:val="24"/>
          <w:szCs w:val="24"/>
          <w:highlight w:val="none"/>
        </w:rPr>
        <w:t>履约保证金在</w:t>
      </w:r>
      <w:r>
        <w:rPr>
          <w:rFonts w:hint="eastAsia" w:ascii="仿宋" w:hAnsi="仿宋" w:eastAsia="仿宋" w:cs="仿宋"/>
          <w:snapToGrid w:val="0"/>
          <w:color w:val="auto"/>
          <w:kern w:val="0"/>
          <w:sz w:val="24"/>
          <w:szCs w:val="24"/>
          <w:highlight w:val="none"/>
          <w:lang w:val="en-US" w:eastAsia="zh-CN"/>
        </w:rPr>
        <w:t>中标</w:t>
      </w:r>
      <w:r>
        <w:rPr>
          <w:rFonts w:hint="eastAsia" w:ascii="仿宋" w:hAnsi="仿宋" w:eastAsia="仿宋" w:cs="仿宋"/>
          <w:snapToGrid w:val="0"/>
          <w:color w:val="auto"/>
          <w:kern w:val="0"/>
          <w:sz w:val="24"/>
          <w:szCs w:val="24"/>
          <w:highlight w:val="none"/>
        </w:rPr>
        <w:t>供应商按合同完成所有服务内容后，如采用电汇、转账方式缴纳则退还给</w:t>
      </w:r>
      <w:r>
        <w:rPr>
          <w:rFonts w:hint="eastAsia" w:ascii="仿宋" w:hAnsi="仿宋" w:eastAsia="仿宋" w:cs="仿宋"/>
          <w:snapToGrid w:val="0"/>
          <w:color w:val="auto"/>
          <w:kern w:val="0"/>
          <w:sz w:val="24"/>
          <w:szCs w:val="24"/>
          <w:highlight w:val="none"/>
          <w:lang w:val="en-US" w:eastAsia="zh-CN"/>
        </w:rPr>
        <w:t>中标</w:t>
      </w:r>
      <w:r>
        <w:rPr>
          <w:rFonts w:hint="eastAsia" w:ascii="仿宋" w:hAnsi="仿宋" w:eastAsia="仿宋" w:cs="仿宋"/>
          <w:snapToGrid w:val="0"/>
          <w:color w:val="auto"/>
          <w:kern w:val="0"/>
          <w:sz w:val="24"/>
          <w:szCs w:val="24"/>
          <w:highlight w:val="none"/>
        </w:rPr>
        <w:t>供应商</w:t>
      </w:r>
      <w:r>
        <w:rPr>
          <w:rFonts w:hint="eastAsia" w:ascii="仿宋" w:hAnsi="仿宋" w:eastAsia="仿宋" w:cs="仿宋"/>
          <w:snapToGrid w:val="0"/>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扣除合同约定的违约金后</w:t>
      </w:r>
      <w:r>
        <w:rPr>
          <w:rFonts w:hint="eastAsia" w:ascii="仿宋" w:hAnsi="仿宋" w:eastAsia="仿宋" w:cs="仿宋"/>
          <w:snapToGrid w:val="0"/>
          <w:color w:val="auto"/>
          <w:kern w:val="0"/>
          <w:sz w:val="24"/>
          <w:szCs w:val="24"/>
          <w:highlight w:val="none"/>
          <w:lang w:val="en-US" w:eastAsia="zh-CN"/>
        </w:rPr>
        <w:t>）</w:t>
      </w:r>
      <w:r>
        <w:rPr>
          <w:rFonts w:hint="eastAsia" w:ascii="仿宋" w:hAnsi="仿宋" w:eastAsia="仿宋" w:cs="仿宋"/>
          <w:snapToGrid w:val="0"/>
          <w:color w:val="auto"/>
          <w:kern w:val="0"/>
          <w:sz w:val="24"/>
          <w:szCs w:val="24"/>
          <w:highlight w:val="none"/>
        </w:rPr>
        <w:t>。</w:t>
      </w:r>
    </w:p>
    <w:p w14:paraId="55100901">
      <w:pPr>
        <w:keepNext w:val="0"/>
        <w:keepLines w:val="0"/>
        <w:pageBreakBefore w:val="0"/>
        <w:kinsoku/>
        <w:wordWrap/>
        <w:topLinePunct w:val="0"/>
        <w:autoSpaceDE/>
        <w:autoSpaceDN/>
        <w:bidi w:val="0"/>
        <w:adjustRightInd w:val="0"/>
        <w:snapToGrid w:val="0"/>
        <w:spacing w:line="450" w:lineRule="exact"/>
        <w:ind w:firstLine="482" w:firstLineChars="200"/>
        <w:jc w:val="left"/>
        <w:textAlignment w:val="auto"/>
        <w:rPr>
          <w:rFonts w:hint="eastAsia" w:ascii="仿宋" w:hAnsi="仿宋" w:eastAsia="仿宋" w:cs="仿宋"/>
          <w:b/>
          <w:bCs/>
          <w:snapToGrid w:val="0"/>
          <w:color w:val="auto"/>
          <w:kern w:val="0"/>
          <w:sz w:val="24"/>
          <w:szCs w:val="24"/>
          <w:highlight w:val="none"/>
        </w:rPr>
      </w:pPr>
      <w:r>
        <w:rPr>
          <w:rFonts w:hint="eastAsia" w:ascii="仿宋" w:hAnsi="仿宋" w:eastAsia="仿宋" w:cs="仿宋"/>
          <w:b/>
          <w:bCs/>
          <w:snapToGrid w:val="0"/>
          <w:color w:val="auto"/>
          <w:kern w:val="0"/>
          <w:sz w:val="24"/>
          <w:szCs w:val="24"/>
          <w:highlight w:val="none"/>
        </w:rPr>
        <w:t>33.采购代理服务费</w:t>
      </w:r>
    </w:p>
    <w:p w14:paraId="1340CC80">
      <w:pPr>
        <w:keepNext w:val="0"/>
        <w:keepLines w:val="0"/>
        <w:pageBreakBefore w:val="0"/>
        <w:kinsoku/>
        <w:wordWrap/>
        <w:topLinePunct w:val="0"/>
        <w:autoSpaceDE/>
        <w:autoSpaceDN/>
        <w:bidi w:val="0"/>
        <w:snapToGrid w:val="0"/>
        <w:spacing w:line="450" w:lineRule="exact"/>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详见投标须知前附表。</w:t>
      </w:r>
    </w:p>
    <w:p w14:paraId="372F66D7">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34.质疑与投诉</w:t>
      </w:r>
    </w:p>
    <w:p w14:paraId="1DFF7D89">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根据《中华人民共和国政府采购法》《财政部关于加强政府采购供应商投诉受理审查工作的通知》(财库〔2007〕1号)和《政府采购质疑和投诉办法》（财政部令第94号）的规定，政府采购供应商（投标人，下同）可以依法提起质疑和投诉。</w:t>
      </w:r>
    </w:p>
    <w:p w14:paraId="699A94B6">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质疑函范本、投诉书范本请到浙江政府采购网下载专区下载。</w:t>
      </w:r>
    </w:p>
    <w:p w14:paraId="4FC3A0C4">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34.1投标人询问</w:t>
      </w:r>
    </w:p>
    <w:p w14:paraId="714B2A5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对政府采购活动事项有疑问的，可以向采购机构提出询问，采购人或者采购代理机构应当在3个工作日内对</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依法提出的询问作出答复，但答复的内容不得涉及商业秘密。</w:t>
      </w:r>
    </w:p>
    <w:p w14:paraId="20845E51">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34.2投标人质疑</w:t>
      </w:r>
    </w:p>
    <w:p w14:paraId="0FA2E54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34.2.1</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认为采购文件、采购过程、中标或者成交结果使自己的权益受到损害的，可以在知道或者应知其权益受到损害之日起7个工作日内，以书面形式向采购人、采购代理机构提出质疑。</w:t>
      </w:r>
    </w:p>
    <w:p w14:paraId="0BC44291">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本项目要求</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在法定质疑期内一次性提出针对同一采购程序环节的质疑。</w:t>
      </w:r>
    </w:p>
    <w:p w14:paraId="410FA79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34.2.2提出质疑的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（以下简称质疑人）应当是参与所质疑项目采购活动的</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w:t>
      </w:r>
    </w:p>
    <w:p w14:paraId="0EBE7491">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潜</w:t>
      </w:r>
      <w:r>
        <w:rPr>
          <w:rFonts w:hint="eastAsia" w:ascii="仿宋" w:hAnsi="仿宋" w:eastAsia="仿宋" w:cs="仿宋"/>
          <w:snapToGrid w:val="0"/>
          <w:color w:val="auto"/>
          <w:spacing w:val="-6"/>
          <w:kern w:val="0"/>
          <w:sz w:val="24"/>
          <w:szCs w:val="24"/>
          <w:highlight w:val="none"/>
        </w:rPr>
        <w:t>在</w:t>
      </w:r>
      <w:r>
        <w:rPr>
          <w:rFonts w:hint="eastAsia" w:ascii="仿宋" w:hAnsi="仿宋" w:eastAsia="仿宋" w:cs="仿宋"/>
          <w:color w:val="auto"/>
          <w:spacing w:val="-6"/>
          <w:sz w:val="24"/>
          <w:szCs w:val="24"/>
          <w:highlight w:val="none"/>
        </w:rPr>
        <w:t>供应商</w:t>
      </w:r>
      <w:r>
        <w:rPr>
          <w:rFonts w:hint="eastAsia" w:ascii="仿宋" w:hAnsi="仿宋" w:eastAsia="仿宋" w:cs="仿宋"/>
          <w:snapToGrid w:val="0"/>
          <w:color w:val="auto"/>
          <w:spacing w:val="-6"/>
          <w:kern w:val="0"/>
          <w:sz w:val="24"/>
          <w:szCs w:val="24"/>
          <w:highlight w:val="none"/>
        </w:rPr>
        <w:t>已依法获取其可质疑的采购文件的，可以对该文件提出质疑。对采购文件提出质疑的，应当在获取采购文件或者采购文件公告期限届满之日起7个工作日内提出</w:t>
      </w:r>
      <w:r>
        <w:rPr>
          <w:rFonts w:hint="eastAsia" w:ascii="仿宋" w:hAnsi="仿宋" w:eastAsia="仿宋" w:cs="仿宋"/>
          <w:snapToGrid w:val="0"/>
          <w:color w:val="auto"/>
          <w:kern w:val="0"/>
          <w:sz w:val="24"/>
          <w:szCs w:val="24"/>
          <w:highlight w:val="none"/>
        </w:rPr>
        <w:t>。</w:t>
      </w:r>
    </w:p>
    <w:p w14:paraId="4EEBC9E0">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34.2.3</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提出质疑应当提交质疑函和必要的证明材料。质疑函应当包括下列内容：</w:t>
      </w:r>
    </w:p>
    <w:p w14:paraId="351B4BA5">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（一）</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的姓名或者名称、地址、邮编、联系人及联系电话；</w:t>
      </w:r>
    </w:p>
    <w:p w14:paraId="5914BA33">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（二）质疑项目的名称、编号；</w:t>
      </w:r>
    </w:p>
    <w:p w14:paraId="588B3095">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（三）具体、明确的质疑事项和与质疑事项相关的请求；</w:t>
      </w:r>
    </w:p>
    <w:p w14:paraId="285B1396">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（四）事实依据；</w:t>
      </w:r>
    </w:p>
    <w:p w14:paraId="39590D0B">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（五）必要的法律依据；</w:t>
      </w:r>
    </w:p>
    <w:p w14:paraId="614DBF48">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（六）提出质疑的日期。</w:t>
      </w:r>
    </w:p>
    <w:p w14:paraId="433D6583">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为自然人的，应当由本人签字；</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为法人或者其他组织的，应当由法定代表人、主要负责人，或者其授权代表签字或者盖章，并加盖公章。</w:t>
      </w:r>
    </w:p>
    <w:p w14:paraId="73E744A7">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34.2.4采购人、采购代理机构在收到法定质疑期内发出的质疑函后7个工作日内作出答复，并以书面形式通知质疑人和其他有关</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。质疑答复的内容不得涉及商业秘密。</w:t>
      </w:r>
    </w:p>
    <w:p w14:paraId="56A90874">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34.3投标人投诉</w:t>
      </w:r>
    </w:p>
    <w:p w14:paraId="67DBFF7C">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质疑人对采购机构的答复不满意或者采购机构未在规定的时间内作出答复的，可以在答复期满后十五个工作日内向同级政府采购监督管理部门提出投诉。</w:t>
      </w:r>
    </w:p>
    <w:p w14:paraId="4A3878B4">
      <w:pPr>
        <w:keepNext w:val="0"/>
        <w:keepLines w:val="0"/>
        <w:pageBreakBefore w:val="0"/>
        <w:kinsoku/>
        <w:wordWrap/>
        <w:topLinePunct w:val="0"/>
        <w:autoSpaceDE/>
        <w:autoSpaceDN/>
        <w:bidi w:val="0"/>
        <w:adjustRightInd w:val="0"/>
        <w:snapToGrid w:val="0"/>
        <w:spacing w:line="450" w:lineRule="exact"/>
        <w:ind w:firstLine="482" w:firstLineChars="200"/>
        <w:textAlignment w:val="auto"/>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35.采购结束</w:t>
      </w:r>
    </w:p>
    <w:p w14:paraId="2124B769">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35.1中标</w:t>
      </w:r>
      <w:r>
        <w:rPr>
          <w:rFonts w:hint="eastAsia" w:ascii="仿宋" w:hAnsi="仿宋" w:eastAsia="仿宋" w:cs="仿宋"/>
          <w:color w:val="auto"/>
          <w:sz w:val="24"/>
          <w:szCs w:val="24"/>
          <w:highlight w:val="none"/>
        </w:rPr>
        <w:t>供应商</w:t>
      </w:r>
      <w:r>
        <w:rPr>
          <w:rFonts w:hint="eastAsia" w:ascii="仿宋" w:hAnsi="仿宋" w:eastAsia="仿宋" w:cs="仿宋"/>
          <w:snapToGrid w:val="0"/>
          <w:color w:val="auto"/>
          <w:kern w:val="0"/>
          <w:sz w:val="24"/>
          <w:szCs w:val="24"/>
          <w:highlight w:val="none"/>
        </w:rPr>
        <w:t>与采购人签订合同生效后即为采购结束。</w:t>
      </w:r>
    </w:p>
    <w:p w14:paraId="581724CE">
      <w:pPr>
        <w:keepNext w:val="0"/>
        <w:keepLines w:val="0"/>
        <w:pageBreakBefore w:val="0"/>
        <w:kinsoku/>
        <w:wordWrap/>
        <w:topLinePunct w:val="0"/>
        <w:autoSpaceDE/>
        <w:autoSpaceDN/>
        <w:bidi w:val="0"/>
        <w:adjustRightInd w:val="0"/>
        <w:snapToGrid w:val="0"/>
        <w:spacing w:line="450" w:lineRule="exact"/>
        <w:ind w:firstLine="480" w:firstLineChars="200"/>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35.2本项目的投标文件（包括“备份投标文件”）不予退回。</w:t>
      </w:r>
    </w:p>
    <w:p w14:paraId="1B22C29D">
      <w:pPr>
        <w:keepNext w:val="0"/>
        <w:keepLines w:val="0"/>
        <w:pageBreakBefore w:val="0"/>
        <w:kinsoku/>
        <w:wordWrap/>
        <w:topLinePunct w:val="0"/>
        <w:autoSpaceDE/>
        <w:autoSpaceDN/>
        <w:bidi w:val="0"/>
        <w:spacing w:line="450" w:lineRule="exact"/>
        <w:jc w:val="center"/>
        <w:textAlignment w:val="auto"/>
        <w:rPr>
          <w:rFonts w:hint="eastAsia" w:ascii="仿宋" w:hAnsi="仿宋" w:eastAsia="仿宋" w:cs="仿宋"/>
          <w:b/>
          <w:bCs/>
          <w:color w:val="auto"/>
          <w:sz w:val="28"/>
          <w:szCs w:val="28"/>
          <w:highlight w:val="none"/>
        </w:rPr>
      </w:pPr>
      <w:bookmarkStart w:id="51" w:name="_Toc21366"/>
      <w:r>
        <w:rPr>
          <w:rFonts w:hint="eastAsia" w:ascii="仿宋" w:hAnsi="仿宋" w:eastAsia="仿宋" w:cs="仿宋"/>
          <w:b/>
          <w:bCs/>
          <w:color w:val="auto"/>
          <w:sz w:val="28"/>
          <w:szCs w:val="28"/>
          <w:highlight w:val="none"/>
        </w:rPr>
        <w:t>七、其他</w:t>
      </w:r>
      <w:bookmarkEnd w:id="51"/>
    </w:p>
    <w:p w14:paraId="48E1F20B">
      <w:pPr>
        <w:pStyle w:val="11"/>
        <w:keepNext w:val="0"/>
        <w:keepLines w:val="0"/>
        <w:pageBreakBefore w:val="0"/>
        <w:kinsoku/>
        <w:wordWrap/>
        <w:topLinePunct w:val="0"/>
        <w:autoSpaceDE/>
        <w:autoSpaceDN/>
        <w:bidi w:val="0"/>
        <w:spacing w:line="450" w:lineRule="exact"/>
        <w:ind w:firstLine="482"/>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36.解释权：</w:t>
      </w:r>
      <w:r>
        <w:rPr>
          <w:rFonts w:hint="eastAsia" w:ascii="仿宋" w:hAnsi="仿宋" w:eastAsia="仿宋" w:cs="仿宋"/>
          <w:color w:val="auto"/>
          <w:sz w:val="24"/>
          <w:szCs w:val="24"/>
          <w:highlight w:val="none"/>
        </w:rPr>
        <w:t>本招标文件是参照《中华人民共和国政府采购法》《中华人民共和国政府采购法实施条例》（中华人民共和国国务院令第658号）、《政府采购货物和服务招标投标管理办法》（中华人民共和国财政部令第87号）及有关规定编制的，解释权属采购人。</w:t>
      </w:r>
    </w:p>
    <w:p w14:paraId="149F9873">
      <w:pPr>
        <w:pStyle w:val="11"/>
        <w:keepNext w:val="0"/>
        <w:keepLines w:val="0"/>
        <w:pageBreakBefore w:val="0"/>
        <w:kinsoku/>
        <w:wordWrap/>
        <w:topLinePunct w:val="0"/>
        <w:autoSpaceDE/>
        <w:autoSpaceDN/>
        <w:bidi w:val="0"/>
        <w:spacing w:line="450" w:lineRule="exact"/>
        <w:ind w:firstLine="482"/>
        <w:textAlignment w:val="auto"/>
        <w:rPr>
          <w:rFonts w:hint="eastAsia" w:ascii="仿宋" w:hAnsi="仿宋" w:eastAsia="仿宋" w:cs="仿宋"/>
          <w:snapToGrid w:val="0"/>
          <w:color w:val="auto"/>
          <w:kern w:val="28"/>
          <w:sz w:val="24"/>
          <w:szCs w:val="24"/>
          <w:highlight w:val="none"/>
        </w:rPr>
      </w:pPr>
      <w:r>
        <w:rPr>
          <w:rFonts w:hint="eastAsia" w:ascii="仿宋" w:hAnsi="仿宋" w:eastAsia="仿宋" w:cs="仿宋"/>
          <w:b/>
          <w:bCs/>
          <w:color w:val="auto"/>
          <w:sz w:val="24"/>
          <w:szCs w:val="24"/>
          <w:highlight w:val="none"/>
        </w:rPr>
        <w:t>37.可中止电子交易活动的情形：</w:t>
      </w:r>
      <w:r>
        <w:rPr>
          <w:rFonts w:hint="eastAsia" w:ascii="仿宋" w:hAnsi="仿宋" w:eastAsia="仿宋" w:cs="仿宋"/>
          <w:snapToGrid w:val="0"/>
          <w:color w:val="auto"/>
          <w:kern w:val="28"/>
          <w:sz w:val="24"/>
          <w:szCs w:val="24"/>
          <w:highlight w:val="none"/>
        </w:rPr>
        <w:t>采购过程中出现以下情形，导致电子交易平台无法正常运行，或者无法保证电子交易的公平、公正和安全时，采购代理机构可中止电子交易活动：</w:t>
      </w:r>
    </w:p>
    <w:p w14:paraId="778F06F4">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37.1电子交易平台发生故障而无法登录访问的；</w:t>
      </w:r>
    </w:p>
    <w:p w14:paraId="4A873562">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37.2电子交易平台应用或数据库出现错误，不能进行正常操作的；</w:t>
      </w:r>
    </w:p>
    <w:p w14:paraId="218E35EA">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37.3电子交易平台发现严重安全漏洞，有潜在泄密危险的；</w:t>
      </w:r>
    </w:p>
    <w:p w14:paraId="775A429E">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37.4病毒发作导致不能进行正常操作的；</w:t>
      </w:r>
    </w:p>
    <w:p w14:paraId="2FB33EC2">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37.5其他无法保证电子交易的公平、公正和安全的情况。</w:t>
      </w:r>
    </w:p>
    <w:p w14:paraId="2ECA4239">
      <w:pPr>
        <w:keepNext w:val="0"/>
        <w:keepLines w:val="0"/>
        <w:pageBreakBefore w:val="0"/>
        <w:kinsoku/>
        <w:wordWrap/>
        <w:topLinePunct w:val="0"/>
        <w:autoSpaceDE/>
        <w:autoSpaceDN/>
        <w:bidi w:val="0"/>
        <w:adjustRightInd w:val="0"/>
        <w:snapToGrid w:val="0"/>
        <w:spacing w:line="450" w:lineRule="exact"/>
        <w:ind w:firstLine="480" w:firstLineChars="200"/>
        <w:jc w:val="left"/>
        <w:textAlignment w:val="auto"/>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rPr>
        <w:t>出现前款规定情形，不影响采购公平、公正性的，采购代理机构可以待上述情形消除后继续组织电子交易活动；影响或可能影响采购公平、公正性的，应当重新采购。</w:t>
      </w:r>
    </w:p>
    <w:p w14:paraId="2A8E522B">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bookmarkStart w:id="52" w:name="_Toc4895"/>
    </w:p>
    <w:p w14:paraId="4D523709">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5EBB9CBD">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78D4BBD1">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3C108317">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3F1546F5">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1D60B5F4">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1EE01FE1">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322C4214">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2021D84F">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6384A3D1">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45E6F58D">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04F448DA">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3E5969E8">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4768D068">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3546018A">
      <w:pPr>
        <w:pStyle w:val="310"/>
        <w:numPr>
          <w:ilvl w:val="0"/>
          <w:numId w:val="0"/>
        </w:numPr>
        <w:spacing w:before="0" w:line="276" w:lineRule="auto"/>
        <w:jc w:val="center"/>
        <w:outlineLvl w:val="0"/>
        <w:rPr>
          <w:rFonts w:hint="eastAsia" w:ascii="仿宋" w:hAnsi="仿宋" w:eastAsia="仿宋" w:cs="仿宋"/>
          <w:b/>
          <w:color w:val="auto"/>
          <w:sz w:val="36"/>
          <w:highlight w:val="none"/>
          <w:lang w:eastAsia="zh-CN"/>
        </w:rPr>
      </w:pPr>
    </w:p>
    <w:p w14:paraId="201DCDA1">
      <w:pPr>
        <w:pStyle w:val="310"/>
        <w:numPr>
          <w:ilvl w:val="0"/>
          <w:numId w:val="0"/>
        </w:numPr>
        <w:spacing w:before="0" w:line="276" w:lineRule="auto"/>
        <w:jc w:val="center"/>
        <w:outlineLvl w:val="0"/>
        <w:rPr>
          <w:rFonts w:hint="eastAsia" w:ascii="仿宋" w:hAnsi="仿宋" w:eastAsia="仿宋" w:cs="仿宋"/>
          <w:b/>
          <w:color w:val="auto"/>
          <w:sz w:val="36"/>
          <w:szCs w:val="36"/>
          <w:highlight w:val="none"/>
          <w:lang w:eastAsia="zh-CN"/>
        </w:rPr>
      </w:pPr>
      <w:r>
        <w:rPr>
          <w:rFonts w:hint="eastAsia" w:ascii="仿宋" w:hAnsi="仿宋" w:eastAsia="仿宋" w:cs="仿宋"/>
          <w:b/>
          <w:color w:val="auto"/>
          <w:sz w:val="36"/>
          <w:highlight w:val="none"/>
          <w:lang w:eastAsia="zh-CN"/>
        </w:rPr>
        <w:t>第三章</w:t>
      </w:r>
      <w:r>
        <w:rPr>
          <w:rFonts w:hint="eastAsia" w:ascii="仿宋" w:hAnsi="仿宋" w:eastAsia="仿宋" w:cs="仿宋"/>
          <w:b/>
          <w:color w:val="auto"/>
          <w:sz w:val="36"/>
          <w:highlight w:val="none"/>
          <w:lang w:val="en-US" w:eastAsia="zh-CN"/>
        </w:rPr>
        <w:t xml:space="preserve">  </w:t>
      </w:r>
      <w:bookmarkEnd w:id="52"/>
      <w:r>
        <w:rPr>
          <w:rFonts w:hint="eastAsia" w:ascii="仿宋" w:hAnsi="仿宋" w:eastAsia="仿宋" w:cs="仿宋"/>
          <w:b/>
          <w:color w:val="auto"/>
          <w:sz w:val="36"/>
          <w:highlight w:val="none"/>
          <w:lang w:eastAsia="zh-CN"/>
        </w:rPr>
        <w:t>采购内容及要求</w:t>
      </w:r>
    </w:p>
    <w:p w14:paraId="469791A6">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jc w:val="center"/>
        <w:textAlignment w:val="auto"/>
        <w:outlineLvl w:val="0"/>
        <w:rPr>
          <w:rFonts w:hint="eastAsia" w:ascii="仿宋" w:hAnsi="仿宋" w:eastAsia="仿宋" w:cs="仿宋"/>
          <w:b/>
          <w:bCs/>
          <w:color w:val="auto"/>
          <w:sz w:val="28"/>
          <w:szCs w:val="28"/>
          <w:highlight w:val="none"/>
          <w:lang w:val="en-US" w:eastAsia="zh-CN"/>
        </w:rPr>
      </w:pPr>
      <w:bookmarkStart w:id="53" w:name="_Toc508371563"/>
      <w:bookmarkStart w:id="54" w:name="_Toc359856816"/>
      <w:bookmarkStart w:id="55" w:name="_Toc322352984"/>
      <w:bookmarkStart w:id="56" w:name="_Toc354401534"/>
      <w:bookmarkStart w:id="57" w:name="_Toc350256315"/>
      <w:r>
        <w:rPr>
          <w:rFonts w:hint="eastAsia" w:ascii="仿宋" w:hAnsi="仿宋" w:eastAsia="仿宋" w:cs="仿宋"/>
          <w:b/>
          <w:bCs/>
          <w:color w:val="auto"/>
          <w:sz w:val="28"/>
          <w:szCs w:val="28"/>
          <w:highlight w:val="none"/>
          <w:lang w:val="en-US" w:eastAsia="zh-CN"/>
        </w:rPr>
        <w:t>第一部分、隧道部分</w:t>
      </w:r>
    </w:p>
    <w:p w14:paraId="3C30FD02">
      <w:pPr>
        <w:keepNext w:val="0"/>
        <w:keepLines w:val="0"/>
        <w:pageBreakBefore w:val="0"/>
        <w:numPr>
          <w:ilvl w:val="0"/>
          <w:numId w:val="3"/>
        </w:numPr>
        <w:kinsoku/>
        <w:wordWrap/>
        <w:overflowPunct/>
        <w:topLinePunct w:val="0"/>
        <w:bidi w:val="0"/>
        <w:adjustRightInd/>
        <w:snapToGrid/>
        <w:spacing w:beforeLines="0" w:line="360" w:lineRule="auto"/>
        <w:textAlignment w:val="auto"/>
        <w:outlineLvl w:val="9"/>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工程概述</w:t>
      </w:r>
    </w:p>
    <w:p w14:paraId="5DE3FFE1">
      <w:pPr>
        <w:keepNext w:val="0"/>
        <w:keepLines w:val="0"/>
        <w:pageBreakBefore w:val="0"/>
        <w:kinsoku/>
        <w:wordWrap/>
        <w:overflowPunct/>
        <w:topLinePunct w:val="0"/>
        <w:bidi w:val="0"/>
        <w:adjustRightInd/>
        <w:snapToGrid/>
        <w:spacing w:beforeLines="0" w:line="360" w:lineRule="auto"/>
        <w:ind w:firstLine="501" w:firstLineChars="209"/>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（一）工程概况</w:t>
      </w:r>
    </w:p>
    <w:p w14:paraId="0510BDC9">
      <w:pPr>
        <w:keepNext w:val="0"/>
        <w:keepLines w:val="0"/>
        <w:pageBreakBefore w:val="0"/>
        <w:kinsoku/>
        <w:wordWrap/>
        <w:overflowPunct/>
        <w:topLinePunct w:val="0"/>
        <w:bidi w:val="0"/>
        <w:adjustRightInd/>
        <w:snapToGrid/>
        <w:spacing w:beforeLines="0" w:line="360" w:lineRule="auto"/>
        <w:ind w:firstLine="501" w:firstLineChars="209"/>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 xml:space="preserve">1.三条城市（过江）隧道工程包含荷一路过江隧道、三江中路三江隧道、九华大道隧道及紫薇隧道，及其三座隧道洞内给排水、消防、通风、供配电、照明及综合监控等配套附属设施，隧道工程全长5.78km，单线运营里程11.55km。 </w:t>
      </w:r>
    </w:p>
    <w:tbl>
      <w:tblPr>
        <w:tblStyle w:val="88"/>
        <w:tblW w:w="9316" w:type="dxa"/>
        <w:tblInd w:w="-74" w:type="dxa"/>
        <w:tblLayout w:type="fixed"/>
        <w:tblCellMar>
          <w:top w:w="0" w:type="dxa"/>
          <w:left w:w="108" w:type="dxa"/>
          <w:bottom w:w="0" w:type="dxa"/>
          <w:right w:w="108" w:type="dxa"/>
        </w:tblCellMar>
      </w:tblPr>
      <w:tblGrid>
        <w:gridCol w:w="666"/>
        <w:gridCol w:w="1760"/>
        <w:gridCol w:w="1133"/>
        <w:gridCol w:w="1132"/>
        <w:gridCol w:w="1385"/>
        <w:gridCol w:w="1132"/>
        <w:gridCol w:w="1372"/>
        <w:gridCol w:w="736"/>
      </w:tblGrid>
      <w:tr w14:paraId="6B167104">
        <w:tblPrEx>
          <w:tblCellMar>
            <w:top w:w="0" w:type="dxa"/>
            <w:left w:w="108" w:type="dxa"/>
            <w:bottom w:w="0" w:type="dxa"/>
            <w:right w:w="108" w:type="dxa"/>
          </w:tblCellMar>
        </w:tblPrEx>
        <w:trPr>
          <w:trHeight w:val="329" w:hRule="atLeast"/>
        </w:trPr>
        <w:tc>
          <w:tcPr>
            <w:tcW w:w="666" w:type="dxa"/>
            <w:tcBorders>
              <w:top w:val="single" w:color="auto" w:sz="4" w:space="0"/>
              <w:left w:val="single" w:color="auto" w:sz="4" w:space="0"/>
              <w:bottom w:val="single" w:color="auto" w:sz="4" w:space="0"/>
              <w:right w:val="single" w:color="auto" w:sz="4" w:space="0"/>
            </w:tcBorders>
            <w:noWrap w:val="0"/>
            <w:vAlign w:val="center"/>
          </w:tcPr>
          <w:p w14:paraId="18BCF46A">
            <w:pP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序号</w:t>
            </w:r>
          </w:p>
        </w:tc>
        <w:tc>
          <w:tcPr>
            <w:tcW w:w="1760" w:type="dxa"/>
            <w:tcBorders>
              <w:top w:val="single" w:color="auto" w:sz="4" w:space="0"/>
              <w:left w:val="nil"/>
              <w:bottom w:val="single" w:color="auto" w:sz="4" w:space="0"/>
              <w:right w:val="single" w:color="auto" w:sz="4" w:space="0"/>
            </w:tcBorders>
            <w:noWrap w:val="0"/>
            <w:vAlign w:val="center"/>
          </w:tcPr>
          <w:p w14:paraId="1476EA8B">
            <w:pPr>
              <w:pStyle w:val="61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隧道名称</w:t>
            </w:r>
          </w:p>
        </w:tc>
        <w:tc>
          <w:tcPr>
            <w:tcW w:w="1133" w:type="dxa"/>
            <w:tcBorders>
              <w:top w:val="single" w:color="auto" w:sz="4" w:space="0"/>
              <w:left w:val="nil"/>
              <w:bottom w:val="single" w:color="auto" w:sz="4" w:space="0"/>
              <w:right w:val="single" w:color="auto" w:sz="4" w:space="0"/>
            </w:tcBorders>
            <w:noWrap w:val="0"/>
            <w:vAlign w:val="center"/>
          </w:tcPr>
          <w:p w14:paraId="5439FC45">
            <w:pPr>
              <w:pStyle w:val="619"/>
              <w:rPr>
                <w:rFonts w:hint="eastAsia" w:ascii="仿宋" w:hAnsi="仿宋" w:eastAsia="仿宋" w:cs="仿宋"/>
                <w:color w:val="auto"/>
                <w:highlight w:val="none"/>
              </w:rPr>
            </w:pPr>
            <w:r>
              <w:rPr>
                <w:rFonts w:hint="eastAsia" w:ascii="仿宋" w:hAnsi="仿宋" w:eastAsia="仿宋" w:cs="仿宋"/>
                <w:color w:val="auto"/>
                <w:highlight w:val="none"/>
              </w:rPr>
              <w:t>隧道所在区域</w:t>
            </w:r>
          </w:p>
        </w:tc>
        <w:tc>
          <w:tcPr>
            <w:tcW w:w="1132" w:type="dxa"/>
            <w:tcBorders>
              <w:top w:val="single" w:color="auto" w:sz="4" w:space="0"/>
              <w:left w:val="nil"/>
              <w:bottom w:val="single" w:color="auto" w:sz="4" w:space="0"/>
              <w:right w:val="single" w:color="auto" w:sz="4" w:space="0"/>
            </w:tcBorders>
            <w:noWrap w:val="0"/>
            <w:vAlign w:val="center"/>
          </w:tcPr>
          <w:p w14:paraId="30B95556">
            <w:pPr>
              <w:pStyle w:val="619"/>
              <w:rPr>
                <w:rFonts w:hint="eastAsia" w:ascii="仿宋" w:hAnsi="仿宋" w:eastAsia="仿宋" w:cs="仿宋"/>
                <w:color w:val="auto"/>
                <w:highlight w:val="none"/>
              </w:rPr>
            </w:pPr>
            <w:r>
              <w:rPr>
                <w:rFonts w:hint="eastAsia" w:ascii="仿宋" w:hAnsi="仿宋" w:eastAsia="仿宋" w:cs="仿宋"/>
                <w:color w:val="auto"/>
                <w:highlight w:val="none"/>
              </w:rPr>
              <w:t>隧道长度（米）</w:t>
            </w:r>
          </w:p>
        </w:tc>
        <w:tc>
          <w:tcPr>
            <w:tcW w:w="1385" w:type="dxa"/>
            <w:tcBorders>
              <w:top w:val="single" w:color="auto" w:sz="4" w:space="0"/>
              <w:left w:val="nil"/>
              <w:bottom w:val="single" w:color="auto" w:sz="4" w:space="0"/>
              <w:right w:val="single" w:color="auto" w:sz="4" w:space="0"/>
            </w:tcBorders>
            <w:noWrap w:val="0"/>
            <w:vAlign w:val="center"/>
          </w:tcPr>
          <w:p w14:paraId="4257F349">
            <w:pPr>
              <w:pStyle w:val="619"/>
              <w:rPr>
                <w:rFonts w:hint="eastAsia" w:ascii="仿宋" w:hAnsi="仿宋" w:eastAsia="仿宋" w:cs="仿宋"/>
                <w:color w:val="auto"/>
                <w:highlight w:val="none"/>
              </w:rPr>
            </w:pPr>
            <w:r>
              <w:rPr>
                <w:rFonts w:hint="eastAsia" w:ascii="仿宋" w:hAnsi="仿宋" w:eastAsia="仿宋" w:cs="仿宋"/>
                <w:color w:val="auto"/>
                <w:highlight w:val="none"/>
              </w:rPr>
              <w:t>距隧道中心线一侧</w:t>
            </w:r>
          </w:p>
        </w:tc>
        <w:tc>
          <w:tcPr>
            <w:tcW w:w="1132" w:type="dxa"/>
            <w:tcBorders>
              <w:top w:val="single" w:color="auto" w:sz="4" w:space="0"/>
              <w:left w:val="nil"/>
              <w:bottom w:val="single" w:color="auto" w:sz="4" w:space="0"/>
              <w:right w:val="single" w:color="auto" w:sz="4" w:space="0"/>
            </w:tcBorders>
            <w:noWrap w:val="0"/>
            <w:vAlign w:val="center"/>
          </w:tcPr>
          <w:p w14:paraId="2B3392C7">
            <w:pPr>
              <w:pStyle w:val="619"/>
              <w:rPr>
                <w:rFonts w:hint="eastAsia" w:ascii="仿宋" w:hAnsi="仿宋" w:eastAsia="仿宋" w:cs="仿宋"/>
                <w:color w:val="auto"/>
                <w:highlight w:val="none"/>
              </w:rPr>
            </w:pPr>
            <w:r>
              <w:rPr>
                <w:rFonts w:hint="eastAsia" w:ascii="仿宋" w:hAnsi="仿宋" w:eastAsia="仿宋" w:cs="仿宋"/>
                <w:color w:val="auto"/>
                <w:highlight w:val="none"/>
              </w:rPr>
              <w:t>单线长度（米）</w:t>
            </w:r>
          </w:p>
        </w:tc>
        <w:tc>
          <w:tcPr>
            <w:tcW w:w="1372" w:type="dxa"/>
            <w:tcBorders>
              <w:top w:val="single" w:color="auto" w:sz="4" w:space="0"/>
              <w:left w:val="nil"/>
              <w:bottom w:val="single" w:color="auto" w:sz="4" w:space="0"/>
              <w:right w:val="single" w:color="auto" w:sz="4" w:space="0"/>
            </w:tcBorders>
            <w:noWrap w:val="0"/>
            <w:vAlign w:val="center"/>
          </w:tcPr>
          <w:p w14:paraId="78AC29BB">
            <w:pPr>
              <w:pStyle w:val="619"/>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竣工时间</w:t>
            </w:r>
          </w:p>
        </w:tc>
        <w:tc>
          <w:tcPr>
            <w:tcW w:w="736" w:type="dxa"/>
            <w:tcBorders>
              <w:top w:val="single" w:color="auto" w:sz="4" w:space="0"/>
              <w:left w:val="nil"/>
              <w:bottom w:val="single" w:color="auto" w:sz="4" w:space="0"/>
              <w:right w:val="single" w:color="auto" w:sz="4" w:space="0"/>
            </w:tcBorders>
            <w:noWrap w:val="0"/>
            <w:vAlign w:val="center"/>
          </w:tcPr>
          <w:p w14:paraId="5087BBAF">
            <w:pPr>
              <w:pStyle w:val="619"/>
              <w:rPr>
                <w:rFonts w:hint="eastAsia" w:ascii="仿宋" w:hAnsi="仿宋" w:eastAsia="仿宋" w:cs="仿宋"/>
                <w:color w:val="auto"/>
                <w:highlight w:val="none"/>
              </w:rPr>
            </w:pPr>
            <w:r>
              <w:rPr>
                <w:rFonts w:hint="eastAsia" w:ascii="仿宋" w:hAnsi="仿宋" w:eastAsia="仿宋" w:cs="仿宋"/>
                <w:color w:val="auto"/>
                <w:highlight w:val="none"/>
              </w:rPr>
              <w:t>备注</w:t>
            </w:r>
          </w:p>
        </w:tc>
      </w:tr>
      <w:tr w14:paraId="0FB94F59">
        <w:tblPrEx>
          <w:tblCellMar>
            <w:top w:w="0" w:type="dxa"/>
            <w:left w:w="108" w:type="dxa"/>
            <w:bottom w:w="0" w:type="dxa"/>
            <w:right w:w="108" w:type="dxa"/>
          </w:tblCellMar>
        </w:tblPrEx>
        <w:trPr>
          <w:trHeight w:val="329" w:hRule="atLeast"/>
        </w:trPr>
        <w:tc>
          <w:tcPr>
            <w:tcW w:w="666" w:type="dxa"/>
            <w:vMerge w:val="restart"/>
            <w:tcBorders>
              <w:top w:val="nil"/>
              <w:left w:val="single" w:color="auto" w:sz="4" w:space="0"/>
              <w:bottom w:val="single" w:color="000000" w:sz="4" w:space="0"/>
              <w:right w:val="single" w:color="auto" w:sz="4" w:space="0"/>
            </w:tcBorders>
            <w:noWrap w:val="0"/>
            <w:vAlign w:val="center"/>
          </w:tcPr>
          <w:p w14:paraId="17414BC2">
            <w:pPr>
              <w:pStyle w:val="619"/>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1760" w:type="dxa"/>
            <w:vMerge w:val="restart"/>
            <w:tcBorders>
              <w:top w:val="nil"/>
              <w:left w:val="single" w:color="auto" w:sz="4" w:space="0"/>
              <w:bottom w:val="single" w:color="000000" w:sz="4" w:space="0"/>
              <w:right w:val="single" w:color="auto" w:sz="4" w:space="0"/>
            </w:tcBorders>
            <w:noWrap w:val="0"/>
            <w:vAlign w:val="center"/>
          </w:tcPr>
          <w:p w14:paraId="5F41E509">
            <w:pPr>
              <w:pStyle w:val="619"/>
              <w:rPr>
                <w:rFonts w:hint="eastAsia" w:ascii="仿宋" w:hAnsi="仿宋" w:eastAsia="仿宋" w:cs="仿宋"/>
                <w:color w:val="auto"/>
                <w:highlight w:val="none"/>
              </w:rPr>
            </w:pPr>
            <w:r>
              <w:rPr>
                <w:rFonts w:hint="eastAsia" w:ascii="仿宋" w:hAnsi="仿宋" w:eastAsia="仿宋" w:cs="仿宋"/>
                <w:color w:val="auto"/>
                <w:highlight w:val="none"/>
              </w:rPr>
              <w:t>荷一路过江隧道</w:t>
            </w:r>
          </w:p>
        </w:tc>
        <w:tc>
          <w:tcPr>
            <w:tcW w:w="1133" w:type="dxa"/>
            <w:vMerge w:val="restart"/>
            <w:tcBorders>
              <w:top w:val="nil"/>
              <w:left w:val="single" w:color="auto" w:sz="4" w:space="0"/>
              <w:bottom w:val="single" w:color="000000" w:sz="4" w:space="0"/>
              <w:right w:val="single" w:color="auto" w:sz="4" w:space="0"/>
            </w:tcBorders>
            <w:noWrap w:val="0"/>
            <w:vAlign w:val="center"/>
          </w:tcPr>
          <w:p w14:paraId="508AE25B">
            <w:pPr>
              <w:pStyle w:val="619"/>
              <w:rPr>
                <w:rFonts w:hint="eastAsia" w:ascii="仿宋" w:hAnsi="仿宋" w:eastAsia="仿宋" w:cs="仿宋"/>
                <w:color w:val="auto"/>
                <w:highlight w:val="none"/>
              </w:rPr>
            </w:pPr>
            <w:r>
              <w:rPr>
                <w:rFonts w:hint="eastAsia" w:ascii="仿宋" w:hAnsi="仿宋" w:eastAsia="仿宋" w:cs="仿宋"/>
                <w:color w:val="auto"/>
                <w:highlight w:val="none"/>
              </w:rPr>
              <w:t>智慧新城</w:t>
            </w:r>
          </w:p>
        </w:tc>
        <w:tc>
          <w:tcPr>
            <w:tcW w:w="1132" w:type="dxa"/>
            <w:vMerge w:val="restart"/>
            <w:tcBorders>
              <w:top w:val="nil"/>
              <w:left w:val="single" w:color="auto" w:sz="4" w:space="0"/>
              <w:bottom w:val="single" w:color="000000" w:sz="4" w:space="0"/>
              <w:right w:val="single" w:color="auto" w:sz="4" w:space="0"/>
            </w:tcBorders>
            <w:noWrap w:val="0"/>
            <w:vAlign w:val="center"/>
          </w:tcPr>
          <w:p w14:paraId="2F1A99B8">
            <w:pPr>
              <w:pStyle w:val="619"/>
              <w:rPr>
                <w:rFonts w:hint="eastAsia" w:ascii="仿宋" w:hAnsi="仿宋" w:eastAsia="仿宋" w:cs="仿宋"/>
                <w:color w:val="auto"/>
                <w:highlight w:val="none"/>
              </w:rPr>
            </w:pPr>
            <w:r>
              <w:rPr>
                <w:rFonts w:hint="eastAsia" w:ascii="仿宋" w:hAnsi="仿宋" w:eastAsia="仿宋" w:cs="仿宋"/>
                <w:color w:val="auto"/>
                <w:highlight w:val="none"/>
              </w:rPr>
              <w:t>1878</w:t>
            </w:r>
          </w:p>
        </w:tc>
        <w:tc>
          <w:tcPr>
            <w:tcW w:w="1385" w:type="dxa"/>
            <w:tcBorders>
              <w:top w:val="nil"/>
              <w:left w:val="nil"/>
              <w:bottom w:val="single" w:color="auto" w:sz="4" w:space="0"/>
              <w:right w:val="single" w:color="auto" w:sz="4" w:space="0"/>
            </w:tcBorders>
            <w:noWrap w:val="0"/>
            <w:vAlign w:val="center"/>
          </w:tcPr>
          <w:p w14:paraId="2C70E124">
            <w:pPr>
              <w:pStyle w:val="619"/>
              <w:rPr>
                <w:rFonts w:hint="eastAsia" w:ascii="仿宋" w:hAnsi="仿宋" w:eastAsia="仿宋" w:cs="仿宋"/>
                <w:color w:val="auto"/>
                <w:highlight w:val="none"/>
              </w:rPr>
            </w:pPr>
            <w:r>
              <w:rPr>
                <w:rFonts w:hint="eastAsia" w:ascii="仿宋" w:hAnsi="仿宋" w:eastAsia="仿宋" w:cs="仿宋"/>
                <w:color w:val="auto"/>
                <w:highlight w:val="none"/>
              </w:rPr>
              <w:t>N线</w:t>
            </w:r>
          </w:p>
        </w:tc>
        <w:tc>
          <w:tcPr>
            <w:tcW w:w="1132" w:type="dxa"/>
            <w:tcBorders>
              <w:top w:val="nil"/>
              <w:left w:val="nil"/>
              <w:bottom w:val="single" w:color="auto" w:sz="4" w:space="0"/>
              <w:right w:val="single" w:color="auto" w:sz="4" w:space="0"/>
            </w:tcBorders>
            <w:noWrap/>
            <w:vAlign w:val="center"/>
          </w:tcPr>
          <w:p w14:paraId="5FF22D18">
            <w:pPr>
              <w:pStyle w:val="619"/>
              <w:rPr>
                <w:rFonts w:hint="eastAsia" w:ascii="仿宋" w:hAnsi="仿宋" w:eastAsia="仿宋" w:cs="仿宋"/>
                <w:color w:val="auto"/>
                <w:highlight w:val="none"/>
              </w:rPr>
            </w:pPr>
            <w:r>
              <w:rPr>
                <w:rFonts w:hint="eastAsia" w:ascii="仿宋" w:hAnsi="仿宋" w:eastAsia="仿宋" w:cs="仿宋"/>
                <w:color w:val="auto"/>
                <w:highlight w:val="none"/>
              </w:rPr>
              <w:t>1860</w:t>
            </w:r>
          </w:p>
        </w:tc>
        <w:tc>
          <w:tcPr>
            <w:tcW w:w="1372" w:type="dxa"/>
            <w:vMerge w:val="restart"/>
            <w:tcBorders>
              <w:top w:val="nil"/>
              <w:left w:val="nil"/>
              <w:right w:val="single" w:color="auto" w:sz="4" w:space="0"/>
            </w:tcBorders>
            <w:noWrap w:val="0"/>
            <w:vAlign w:val="center"/>
          </w:tcPr>
          <w:p w14:paraId="5D04DD80">
            <w:pPr>
              <w:pStyle w:val="619"/>
              <w:rPr>
                <w:rFonts w:hint="eastAsia" w:ascii="仿宋" w:hAnsi="仿宋" w:eastAsia="仿宋" w:cs="仿宋"/>
                <w:color w:val="auto"/>
                <w:highlight w:val="none"/>
                <w:lang w:eastAsia="zh-CN"/>
              </w:rPr>
            </w:pPr>
            <w:r>
              <w:rPr>
                <w:rFonts w:hint="eastAsia" w:ascii="仿宋" w:hAnsi="仿宋" w:eastAsia="仿宋" w:cs="仿宋"/>
                <w:color w:val="auto"/>
                <w:highlight w:val="none"/>
              </w:rPr>
              <w:t>2022</w:t>
            </w:r>
            <w:r>
              <w:rPr>
                <w:rFonts w:hint="eastAsia" w:ascii="仿宋" w:hAnsi="仿宋" w:eastAsia="仿宋" w:cs="仿宋"/>
                <w:color w:val="auto"/>
                <w:highlight w:val="none"/>
                <w:lang w:val="en-US" w:eastAsia="zh-CN"/>
              </w:rPr>
              <w:t>年</w:t>
            </w:r>
            <w:r>
              <w:rPr>
                <w:rFonts w:hint="eastAsia" w:ascii="仿宋" w:hAnsi="仿宋" w:eastAsia="仿宋" w:cs="仿宋"/>
                <w:color w:val="auto"/>
                <w:highlight w:val="none"/>
              </w:rPr>
              <w:t>4</w:t>
            </w:r>
            <w:r>
              <w:rPr>
                <w:rFonts w:hint="eastAsia" w:ascii="仿宋" w:hAnsi="仿宋" w:eastAsia="仿宋" w:cs="仿宋"/>
                <w:color w:val="auto"/>
                <w:highlight w:val="none"/>
                <w:lang w:val="en-US" w:eastAsia="zh-CN"/>
              </w:rPr>
              <w:t>月</w:t>
            </w:r>
          </w:p>
        </w:tc>
        <w:tc>
          <w:tcPr>
            <w:tcW w:w="736" w:type="dxa"/>
            <w:tcBorders>
              <w:top w:val="nil"/>
              <w:left w:val="nil"/>
              <w:bottom w:val="single" w:color="auto" w:sz="4" w:space="0"/>
              <w:right w:val="single" w:color="auto" w:sz="4" w:space="0"/>
            </w:tcBorders>
            <w:noWrap w:val="0"/>
            <w:vAlign w:val="center"/>
          </w:tcPr>
          <w:p w14:paraId="37D2818F">
            <w:pPr>
              <w:pStyle w:val="619"/>
              <w:rPr>
                <w:rFonts w:hint="eastAsia" w:ascii="仿宋" w:hAnsi="仿宋" w:eastAsia="仿宋" w:cs="仿宋"/>
                <w:color w:val="auto"/>
                <w:highlight w:val="none"/>
              </w:rPr>
            </w:pPr>
          </w:p>
        </w:tc>
      </w:tr>
      <w:tr w14:paraId="7D7BD87C">
        <w:tblPrEx>
          <w:tblCellMar>
            <w:top w:w="0" w:type="dxa"/>
            <w:left w:w="108" w:type="dxa"/>
            <w:bottom w:w="0" w:type="dxa"/>
            <w:right w:w="108" w:type="dxa"/>
          </w:tblCellMar>
        </w:tblPrEx>
        <w:trPr>
          <w:trHeight w:val="329" w:hRule="atLeast"/>
        </w:trPr>
        <w:tc>
          <w:tcPr>
            <w:tcW w:w="666" w:type="dxa"/>
            <w:vMerge w:val="continue"/>
            <w:tcBorders>
              <w:top w:val="nil"/>
              <w:left w:val="single" w:color="auto" w:sz="4" w:space="0"/>
              <w:bottom w:val="single" w:color="000000" w:sz="4" w:space="0"/>
              <w:right w:val="single" w:color="auto" w:sz="4" w:space="0"/>
            </w:tcBorders>
            <w:noWrap w:val="0"/>
            <w:vAlign w:val="center"/>
          </w:tcPr>
          <w:p w14:paraId="6186BB5E">
            <w:pPr>
              <w:pStyle w:val="619"/>
              <w:rPr>
                <w:rFonts w:hint="eastAsia" w:ascii="仿宋" w:hAnsi="仿宋" w:eastAsia="仿宋" w:cs="仿宋"/>
                <w:color w:val="auto"/>
                <w:highlight w:val="none"/>
              </w:rPr>
            </w:pPr>
          </w:p>
        </w:tc>
        <w:tc>
          <w:tcPr>
            <w:tcW w:w="1760" w:type="dxa"/>
            <w:vMerge w:val="continue"/>
            <w:tcBorders>
              <w:top w:val="nil"/>
              <w:left w:val="single" w:color="auto" w:sz="4" w:space="0"/>
              <w:bottom w:val="single" w:color="000000" w:sz="4" w:space="0"/>
              <w:right w:val="single" w:color="auto" w:sz="4" w:space="0"/>
            </w:tcBorders>
            <w:noWrap w:val="0"/>
            <w:vAlign w:val="center"/>
          </w:tcPr>
          <w:p w14:paraId="061B745E">
            <w:pPr>
              <w:pStyle w:val="619"/>
              <w:rPr>
                <w:rFonts w:hint="eastAsia" w:ascii="仿宋" w:hAnsi="仿宋" w:eastAsia="仿宋" w:cs="仿宋"/>
                <w:color w:val="auto"/>
                <w:highlight w:val="none"/>
              </w:rPr>
            </w:pPr>
          </w:p>
        </w:tc>
        <w:tc>
          <w:tcPr>
            <w:tcW w:w="1133" w:type="dxa"/>
            <w:vMerge w:val="continue"/>
            <w:tcBorders>
              <w:top w:val="nil"/>
              <w:left w:val="single" w:color="auto" w:sz="4" w:space="0"/>
              <w:bottom w:val="single" w:color="000000" w:sz="4" w:space="0"/>
              <w:right w:val="single" w:color="auto" w:sz="4" w:space="0"/>
            </w:tcBorders>
            <w:noWrap w:val="0"/>
            <w:vAlign w:val="center"/>
          </w:tcPr>
          <w:p w14:paraId="64ACFE5E">
            <w:pPr>
              <w:pStyle w:val="619"/>
              <w:rPr>
                <w:rFonts w:hint="eastAsia" w:ascii="仿宋" w:hAnsi="仿宋" w:eastAsia="仿宋" w:cs="仿宋"/>
                <w:color w:val="auto"/>
                <w:highlight w:val="none"/>
              </w:rPr>
            </w:pPr>
          </w:p>
        </w:tc>
        <w:tc>
          <w:tcPr>
            <w:tcW w:w="1132" w:type="dxa"/>
            <w:vMerge w:val="continue"/>
            <w:tcBorders>
              <w:top w:val="nil"/>
              <w:left w:val="single" w:color="auto" w:sz="4" w:space="0"/>
              <w:bottom w:val="single" w:color="000000" w:sz="4" w:space="0"/>
              <w:right w:val="single" w:color="auto" w:sz="4" w:space="0"/>
            </w:tcBorders>
            <w:noWrap w:val="0"/>
            <w:vAlign w:val="center"/>
          </w:tcPr>
          <w:p w14:paraId="5CC18447">
            <w:pPr>
              <w:pStyle w:val="619"/>
              <w:rPr>
                <w:rFonts w:hint="eastAsia" w:ascii="仿宋" w:hAnsi="仿宋" w:eastAsia="仿宋" w:cs="仿宋"/>
                <w:color w:val="auto"/>
                <w:highlight w:val="none"/>
              </w:rPr>
            </w:pPr>
          </w:p>
        </w:tc>
        <w:tc>
          <w:tcPr>
            <w:tcW w:w="1385" w:type="dxa"/>
            <w:tcBorders>
              <w:top w:val="nil"/>
              <w:left w:val="nil"/>
              <w:bottom w:val="single" w:color="auto" w:sz="4" w:space="0"/>
              <w:right w:val="single" w:color="auto" w:sz="4" w:space="0"/>
            </w:tcBorders>
            <w:noWrap w:val="0"/>
            <w:vAlign w:val="center"/>
          </w:tcPr>
          <w:p w14:paraId="5AC4F526">
            <w:pPr>
              <w:pStyle w:val="619"/>
              <w:rPr>
                <w:rFonts w:hint="eastAsia" w:ascii="仿宋" w:hAnsi="仿宋" w:eastAsia="仿宋" w:cs="仿宋"/>
                <w:color w:val="auto"/>
                <w:highlight w:val="none"/>
              </w:rPr>
            </w:pPr>
            <w:r>
              <w:rPr>
                <w:rFonts w:hint="eastAsia" w:ascii="仿宋" w:hAnsi="仿宋" w:eastAsia="仿宋" w:cs="仿宋"/>
                <w:color w:val="auto"/>
                <w:highlight w:val="none"/>
              </w:rPr>
              <w:t>S线</w:t>
            </w:r>
          </w:p>
        </w:tc>
        <w:tc>
          <w:tcPr>
            <w:tcW w:w="1132" w:type="dxa"/>
            <w:tcBorders>
              <w:top w:val="nil"/>
              <w:left w:val="nil"/>
              <w:bottom w:val="single" w:color="auto" w:sz="4" w:space="0"/>
              <w:right w:val="single" w:color="auto" w:sz="4" w:space="0"/>
            </w:tcBorders>
            <w:noWrap/>
            <w:vAlign w:val="center"/>
          </w:tcPr>
          <w:p w14:paraId="6BE8FBD5">
            <w:pPr>
              <w:pStyle w:val="619"/>
              <w:rPr>
                <w:rFonts w:hint="eastAsia" w:ascii="仿宋" w:hAnsi="仿宋" w:eastAsia="仿宋" w:cs="仿宋"/>
                <w:color w:val="auto"/>
                <w:highlight w:val="none"/>
              </w:rPr>
            </w:pPr>
            <w:r>
              <w:rPr>
                <w:rFonts w:hint="eastAsia" w:ascii="仿宋" w:hAnsi="仿宋" w:eastAsia="仿宋" w:cs="仿宋"/>
                <w:color w:val="auto"/>
                <w:highlight w:val="none"/>
              </w:rPr>
              <w:t>1878</w:t>
            </w:r>
          </w:p>
        </w:tc>
        <w:tc>
          <w:tcPr>
            <w:tcW w:w="1372" w:type="dxa"/>
            <w:vMerge w:val="continue"/>
            <w:tcBorders>
              <w:left w:val="nil"/>
              <w:bottom w:val="single" w:color="auto" w:sz="4" w:space="0"/>
              <w:right w:val="single" w:color="auto" w:sz="4" w:space="0"/>
            </w:tcBorders>
            <w:noWrap w:val="0"/>
            <w:vAlign w:val="center"/>
          </w:tcPr>
          <w:p w14:paraId="2437F27E">
            <w:pPr>
              <w:pStyle w:val="619"/>
              <w:rPr>
                <w:rFonts w:hint="eastAsia" w:ascii="仿宋" w:hAnsi="仿宋" w:eastAsia="仿宋" w:cs="仿宋"/>
                <w:color w:val="auto"/>
                <w:highlight w:val="none"/>
              </w:rPr>
            </w:pPr>
          </w:p>
        </w:tc>
        <w:tc>
          <w:tcPr>
            <w:tcW w:w="736" w:type="dxa"/>
            <w:tcBorders>
              <w:top w:val="nil"/>
              <w:left w:val="nil"/>
              <w:bottom w:val="single" w:color="auto" w:sz="4" w:space="0"/>
              <w:right w:val="single" w:color="auto" w:sz="4" w:space="0"/>
            </w:tcBorders>
            <w:noWrap w:val="0"/>
            <w:vAlign w:val="center"/>
          </w:tcPr>
          <w:p w14:paraId="18371A4D">
            <w:pPr>
              <w:pStyle w:val="619"/>
              <w:rPr>
                <w:rFonts w:hint="eastAsia" w:ascii="仿宋" w:hAnsi="仿宋" w:eastAsia="仿宋" w:cs="仿宋"/>
                <w:color w:val="auto"/>
                <w:highlight w:val="none"/>
              </w:rPr>
            </w:pPr>
          </w:p>
        </w:tc>
      </w:tr>
      <w:tr w14:paraId="1B1E2C66">
        <w:tblPrEx>
          <w:tblCellMar>
            <w:top w:w="0" w:type="dxa"/>
            <w:left w:w="108" w:type="dxa"/>
            <w:bottom w:w="0" w:type="dxa"/>
            <w:right w:w="108" w:type="dxa"/>
          </w:tblCellMar>
        </w:tblPrEx>
        <w:trPr>
          <w:trHeight w:val="329" w:hRule="atLeast"/>
        </w:trPr>
        <w:tc>
          <w:tcPr>
            <w:tcW w:w="666" w:type="dxa"/>
            <w:vMerge w:val="restart"/>
            <w:tcBorders>
              <w:top w:val="nil"/>
              <w:left w:val="single" w:color="auto" w:sz="4" w:space="0"/>
              <w:bottom w:val="single" w:color="000000" w:sz="4" w:space="0"/>
              <w:right w:val="single" w:color="auto" w:sz="4" w:space="0"/>
            </w:tcBorders>
            <w:noWrap w:val="0"/>
            <w:vAlign w:val="center"/>
          </w:tcPr>
          <w:p w14:paraId="3C5409DE">
            <w:pPr>
              <w:pStyle w:val="619"/>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1760" w:type="dxa"/>
            <w:vMerge w:val="restart"/>
            <w:tcBorders>
              <w:top w:val="nil"/>
              <w:left w:val="single" w:color="auto" w:sz="4" w:space="0"/>
              <w:bottom w:val="single" w:color="000000" w:sz="4" w:space="0"/>
              <w:right w:val="single" w:color="auto" w:sz="4" w:space="0"/>
            </w:tcBorders>
            <w:noWrap w:val="0"/>
            <w:vAlign w:val="center"/>
          </w:tcPr>
          <w:p w14:paraId="0F1E2093">
            <w:pPr>
              <w:pStyle w:val="619"/>
              <w:rPr>
                <w:rFonts w:hint="eastAsia" w:ascii="仿宋" w:hAnsi="仿宋" w:eastAsia="仿宋" w:cs="仿宋"/>
                <w:color w:val="auto"/>
                <w:highlight w:val="none"/>
              </w:rPr>
            </w:pPr>
            <w:r>
              <w:rPr>
                <w:rFonts w:hint="eastAsia" w:ascii="仿宋" w:hAnsi="仿宋" w:eastAsia="仿宋" w:cs="仿宋"/>
                <w:color w:val="auto"/>
                <w:highlight w:val="none"/>
              </w:rPr>
              <w:t>三江隧道</w:t>
            </w:r>
          </w:p>
        </w:tc>
        <w:tc>
          <w:tcPr>
            <w:tcW w:w="1133" w:type="dxa"/>
            <w:vMerge w:val="restart"/>
            <w:tcBorders>
              <w:top w:val="nil"/>
              <w:left w:val="single" w:color="auto" w:sz="4" w:space="0"/>
              <w:bottom w:val="single" w:color="000000" w:sz="4" w:space="0"/>
              <w:right w:val="single" w:color="auto" w:sz="4" w:space="0"/>
            </w:tcBorders>
            <w:noWrap w:val="0"/>
            <w:vAlign w:val="center"/>
          </w:tcPr>
          <w:p w14:paraId="7E0C2EFD">
            <w:pPr>
              <w:pStyle w:val="619"/>
              <w:rPr>
                <w:rFonts w:hint="eastAsia" w:ascii="仿宋" w:hAnsi="仿宋" w:eastAsia="仿宋" w:cs="仿宋"/>
                <w:color w:val="auto"/>
                <w:highlight w:val="none"/>
              </w:rPr>
            </w:pPr>
            <w:r>
              <w:rPr>
                <w:rFonts w:hint="eastAsia" w:ascii="仿宋" w:hAnsi="仿宋" w:eastAsia="仿宋" w:cs="仿宋"/>
                <w:color w:val="auto"/>
                <w:highlight w:val="none"/>
              </w:rPr>
              <w:t>智慧新城</w:t>
            </w:r>
          </w:p>
        </w:tc>
        <w:tc>
          <w:tcPr>
            <w:tcW w:w="1132" w:type="dxa"/>
            <w:vMerge w:val="restart"/>
            <w:tcBorders>
              <w:top w:val="nil"/>
              <w:left w:val="single" w:color="auto" w:sz="4" w:space="0"/>
              <w:bottom w:val="single" w:color="000000" w:sz="4" w:space="0"/>
              <w:right w:val="single" w:color="auto" w:sz="4" w:space="0"/>
            </w:tcBorders>
            <w:noWrap w:val="0"/>
            <w:vAlign w:val="center"/>
          </w:tcPr>
          <w:p w14:paraId="72F8EA40">
            <w:pPr>
              <w:pStyle w:val="619"/>
              <w:rPr>
                <w:rFonts w:hint="eastAsia" w:ascii="仿宋" w:hAnsi="仿宋" w:eastAsia="仿宋" w:cs="仿宋"/>
                <w:color w:val="auto"/>
                <w:highlight w:val="none"/>
              </w:rPr>
            </w:pPr>
            <w:r>
              <w:rPr>
                <w:rFonts w:hint="eastAsia" w:ascii="仿宋" w:hAnsi="仿宋" w:eastAsia="仿宋" w:cs="仿宋"/>
                <w:color w:val="auto"/>
                <w:highlight w:val="none"/>
              </w:rPr>
              <w:t>704</w:t>
            </w:r>
          </w:p>
        </w:tc>
        <w:tc>
          <w:tcPr>
            <w:tcW w:w="1385" w:type="dxa"/>
            <w:tcBorders>
              <w:top w:val="nil"/>
              <w:left w:val="nil"/>
              <w:bottom w:val="single" w:color="auto" w:sz="4" w:space="0"/>
              <w:right w:val="single" w:color="auto" w:sz="4" w:space="0"/>
            </w:tcBorders>
            <w:noWrap w:val="0"/>
            <w:vAlign w:val="center"/>
          </w:tcPr>
          <w:p w14:paraId="220D85A8">
            <w:pPr>
              <w:pStyle w:val="619"/>
              <w:rPr>
                <w:rFonts w:hint="eastAsia" w:ascii="仿宋" w:hAnsi="仿宋" w:eastAsia="仿宋" w:cs="仿宋"/>
                <w:color w:val="auto"/>
                <w:highlight w:val="none"/>
              </w:rPr>
            </w:pPr>
            <w:r>
              <w:rPr>
                <w:rFonts w:hint="eastAsia" w:ascii="仿宋" w:hAnsi="仿宋" w:eastAsia="仿宋" w:cs="仿宋"/>
                <w:color w:val="auto"/>
                <w:highlight w:val="none"/>
              </w:rPr>
              <w:t>左线</w:t>
            </w:r>
          </w:p>
        </w:tc>
        <w:tc>
          <w:tcPr>
            <w:tcW w:w="1132" w:type="dxa"/>
            <w:tcBorders>
              <w:top w:val="nil"/>
              <w:left w:val="nil"/>
              <w:bottom w:val="single" w:color="auto" w:sz="4" w:space="0"/>
              <w:right w:val="single" w:color="auto" w:sz="4" w:space="0"/>
            </w:tcBorders>
            <w:noWrap/>
            <w:vAlign w:val="center"/>
          </w:tcPr>
          <w:p w14:paraId="148DC712">
            <w:pPr>
              <w:pStyle w:val="619"/>
              <w:rPr>
                <w:rFonts w:hint="eastAsia" w:ascii="仿宋" w:hAnsi="仿宋" w:eastAsia="仿宋" w:cs="仿宋"/>
                <w:color w:val="auto"/>
                <w:highlight w:val="none"/>
              </w:rPr>
            </w:pPr>
            <w:r>
              <w:rPr>
                <w:rFonts w:hint="eastAsia" w:ascii="仿宋" w:hAnsi="仿宋" w:eastAsia="仿宋" w:cs="仿宋"/>
                <w:color w:val="auto"/>
                <w:highlight w:val="none"/>
              </w:rPr>
              <w:t>704</w:t>
            </w:r>
          </w:p>
        </w:tc>
        <w:tc>
          <w:tcPr>
            <w:tcW w:w="1372" w:type="dxa"/>
            <w:vMerge w:val="restart"/>
            <w:tcBorders>
              <w:top w:val="nil"/>
              <w:left w:val="nil"/>
              <w:right w:val="single" w:color="auto" w:sz="4" w:space="0"/>
            </w:tcBorders>
            <w:noWrap w:val="0"/>
            <w:vAlign w:val="center"/>
          </w:tcPr>
          <w:p w14:paraId="333456AD">
            <w:pPr>
              <w:pStyle w:val="619"/>
              <w:rPr>
                <w:rFonts w:hint="eastAsia" w:ascii="仿宋" w:hAnsi="仿宋" w:eastAsia="仿宋" w:cs="仿宋"/>
                <w:color w:val="auto"/>
                <w:highlight w:val="none"/>
              </w:rPr>
            </w:pPr>
            <w:r>
              <w:rPr>
                <w:rFonts w:hint="eastAsia" w:ascii="仿宋" w:hAnsi="仿宋" w:eastAsia="仿宋" w:cs="仿宋"/>
                <w:color w:val="auto"/>
                <w:highlight w:val="none"/>
              </w:rPr>
              <w:t>2022</w:t>
            </w:r>
            <w:r>
              <w:rPr>
                <w:rFonts w:hint="eastAsia" w:ascii="仿宋" w:hAnsi="仿宋" w:eastAsia="仿宋" w:cs="仿宋"/>
                <w:color w:val="auto"/>
                <w:highlight w:val="none"/>
                <w:lang w:val="en-US" w:eastAsia="zh-CN"/>
              </w:rPr>
              <w:t>年</w:t>
            </w:r>
            <w:r>
              <w:rPr>
                <w:rFonts w:hint="eastAsia" w:ascii="仿宋" w:hAnsi="仿宋" w:eastAsia="仿宋" w:cs="仿宋"/>
                <w:color w:val="auto"/>
                <w:highlight w:val="none"/>
              </w:rPr>
              <w:t>6</w:t>
            </w:r>
            <w:r>
              <w:rPr>
                <w:rFonts w:hint="eastAsia" w:ascii="仿宋" w:hAnsi="仿宋" w:eastAsia="仿宋" w:cs="仿宋"/>
                <w:color w:val="auto"/>
                <w:highlight w:val="none"/>
                <w:lang w:val="en-US" w:eastAsia="zh-CN"/>
              </w:rPr>
              <w:t>月</w:t>
            </w:r>
          </w:p>
        </w:tc>
        <w:tc>
          <w:tcPr>
            <w:tcW w:w="736" w:type="dxa"/>
            <w:tcBorders>
              <w:top w:val="nil"/>
              <w:left w:val="nil"/>
              <w:bottom w:val="single" w:color="auto" w:sz="4" w:space="0"/>
              <w:right w:val="single" w:color="auto" w:sz="4" w:space="0"/>
            </w:tcBorders>
            <w:noWrap w:val="0"/>
            <w:vAlign w:val="center"/>
          </w:tcPr>
          <w:p w14:paraId="18761AC9">
            <w:pPr>
              <w:pStyle w:val="619"/>
              <w:rPr>
                <w:rFonts w:hint="eastAsia" w:ascii="仿宋" w:hAnsi="仿宋" w:eastAsia="仿宋" w:cs="仿宋"/>
                <w:color w:val="auto"/>
                <w:highlight w:val="none"/>
              </w:rPr>
            </w:pPr>
          </w:p>
        </w:tc>
      </w:tr>
      <w:tr w14:paraId="55B666E3">
        <w:tblPrEx>
          <w:tblCellMar>
            <w:top w:w="0" w:type="dxa"/>
            <w:left w:w="108" w:type="dxa"/>
            <w:bottom w:w="0" w:type="dxa"/>
            <w:right w:w="108" w:type="dxa"/>
          </w:tblCellMar>
        </w:tblPrEx>
        <w:trPr>
          <w:trHeight w:val="329" w:hRule="atLeast"/>
        </w:trPr>
        <w:tc>
          <w:tcPr>
            <w:tcW w:w="666" w:type="dxa"/>
            <w:vMerge w:val="continue"/>
            <w:tcBorders>
              <w:top w:val="nil"/>
              <w:left w:val="single" w:color="auto" w:sz="4" w:space="0"/>
              <w:bottom w:val="single" w:color="000000" w:sz="4" w:space="0"/>
              <w:right w:val="single" w:color="auto" w:sz="4" w:space="0"/>
            </w:tcBorders>
            <w:noWrap w:val="0"/>
            <w:vAlign w:val="center"/>
          </w:tcPr>
          <w:p w14:paraId="0DD61E73">
            <w:pPr>
              <w:pStyle w:val="619"/>
              <w:rPr>
                <w:rFonts w:hint="eastAsia" w:ascii="仿宋" w:hAnsi="仿宋" w:eastAsia="仿宋" w:cs="仿宋"/>
                <w:color w:val="auto"/>
                <w:highlight w:val="none"/>
              </w:rPr>
            </w:pPr>
          </w:p>
        </w:tc>
        <w:tc>
          <w:tcPr>
            <w:tcW w:w="1760" w:type="dxa"/>
            <w:vMerge w:val="continue"/>
            <w:tcBorders>
              <w:top w:val="nil"/>
              <w:left w:val="single" w:color="auto" w:sz="4" w:space="0"/>
              <w:bottom w:val="single" w:color="000000" w:sz="4" w:space="0"/>
              <w:right w:val="single" w:color="auto" w:sz="4" w:space="0"/>
            </w:tcBorders>
            <w:noWrap w:val="0"/>
            <w:vAlign w:val="center"/>
          </w:tcPr>
          <w:p w14:paraId="093FBF89">
            <w:pPr>
              <w:pStyle w:val="619"/>
              <w:rPr>
                <w:rFonts w:hint="eastAsia" w:ascii="仿宋" w:hAnsi="仿宋" w:eastAsia="仿宋" w:cs="仿宋"/>
                <w:color w:val="auto"/>
                <w:highlight w:val="none"/>
              </w:rPr>
            </w:pPr>
          </w:p>
        </w:tc>
        <w:tc>
          <w:tcPr>
            <w:tcW w:w="1133" w:type="dxa"/>
            <w:vMerge w:val="continue"/>
            <w:tcBorders>
              <w:top w:val="nil"/>
              <w:left w:val="single" w:color="auto" w:sz="4" w:space="0"/>
              <w:bottom w:val="single" w:color="000000" w:sz="4" w:space="0"/>
              <w:right w:val="single" w:color="auto" w:sz="4" w:space="0"/>
            </w:tcBorders>
            <w:noWrap w:val="0"/>
            <w:vAlign w:val="center"/>
          </w:tcPr>
          <w:p w14:paraId="7395DAD2">
            <w:pPr>
              <w:pStyle w:val="619"/>
              <w:rPr>
                <w:rFonts w:hint="eastAsia" w:ascii="仿宋" w:hAnsi="仿宋" w:eastAsia="仿宋" w:cs="仿宋"/>
                <w:color w:val="auto"/>
                <w:highlight w:val="none"/>
              </w:rPr>
            </w:pPr>
          </w:p>
        </w:tc>
        <w:tc>
          <w:tcPr>
            <w:tcW w:w="1132" w:type="dxa"/>
            <w:vMerge w:val="continue"/>
            <w:tcBorders>
              <w:top w:val="nil"/>
              <w:left w:val="single" w:color="auto" w:sz="4" w:space="0"/>
              <w:bottom w:val="single" w:color="000000" w:sz="4" w:space="0"/>
              <w:right w:val="single" w:color="auto" w:sz="4" w:space="0"/>
            </w:tcBorders>
            <w:noWrap w:val="0"/>
            <w:vAlign w:val="center"/>
          </w:tcPr>
          <w:p w14:paraId="23EB829B">
            <w:pPr>
              <w:pStyle w:val="619"/>
              <w:rPr>
                <w:rFonts w:hint="eastAsia" w:ascii="仿宋" w:hAnsi="仿宋" w:eastAsia="仿宋" w:cs="仿宋"/>
                <w:color w:val="auto"/>
                <w:highlight w:val="none"/>
              </w:rPr>
            </w:pPr>
          </w:p>
        </w:tc>
        <w:tc>
          <w:tcPr>
            <w:tcW w:w="1385" w:type="dxa"/>
            <w:tcBorders>
              <w:top w:val="nil"/>
              <w:left w:val="nil"/>
              <w:bottom w:val="single" w:color="auto" w:sz="4" w:space="0"/>
              <w:right w:val="single" w:color="auto" w:sz="4" w:space="0"/>
            </w:tcBorders>
            <w:noWrap w:val="0"/>
            <w:vAlign w:val="center"/>
          </w:tcPr>
          <w:p w14:paraId="7E770184">
            <w:pPr>
              <w:pStyle w:val="619"/>
              <w:rPr>
                <w:rFonts w:hint="eastAsia" w:ascii="仿宋" w:hAnsi="仿宋" w:eastAsia="仿宋" w:cs="仿宋"/>
                <w:color w:val="auto"/>
                <w:highlight w:val="none"/>
              </w:rPr>
            </w:pPr>
            <w:r>
              <w:rPr>
                <w:rFonts w:hint="eastAsia" w:ascii="仿宋" w:hAnsi="仿宋" w:eastAsia="仿宋" w:cs="仿宋"/>
                <w:color w:val="auto"/>
                <w:highlight w:val="none"/>
              </w:rPr>
              <w:t>右线</w:t>
            </w:r>
          </w:p>
        </w:tc>
        <w:tc>
          <w:tcPr>
            <w:tcW w:w="1132" w:type="dxa"/>
            <w:tcBorders>
              <w:top w:val="nil"/>
              <w:left w:val="nil"/>
              <w:bottom w:val="single" w:color="auto" w:sz="4" w:space="0"/>
              <w:right w:val="single" w:color="auto" w:sz="4" w:space="0"/>
            </w:tcBorders>
            <w:noWrap/>
            <w:vAlign w:val="center"/>
          </w:tcPr>
          <w:p w14:paraId="2EB39164">
            <w:pPr>
              <w:pStyle w:val="619"/>
              <w:rPr>
                <w:rFonts w:hint="eastAsia" w:ascii="仿宋" w:hAnsi="仿宋" w:eastAsia="仿宋" w:cs="仿宋"/>
                <w:color w:val="auto"/>
                <w:highlight w:val="none"/>
              </w:rPr>
            </w:pPr>
            <w:r>
              <w:rPr>
                <w:rFonts w:hint="eastAsia" w:ascii="仿宋" w:hAnsi="仿宋" w:eastAsia="仿宋" w:cs="仿宋"/>
                <w:color w:val="auto"/>
                <w:highlight w:val="none"/>
              </w:rPr>
              <w:t>704</w:t>
            </w:r>
          </w:p>
        </w:tc>
        <w:tc>
          <w:tcPr>
            <w:tcW w:w="1372" w:type="dxa"/>
            <w:vMerge w:val="continue"/>
            <w:tcBorders>
              <w:left w:val="nil"/>
              <w:bottom w:val="single" w:color="auto" w:sz="4" w:space="0"/>
              <w:right w:val="single" w:color="auto" w:sz="4" w:space="0"/>
            </w:tcBorders>
            <w:noWrap w:val="0"/>
            <w:vAlign w:val="center"/>
          </w:tcPr>
          <w:p w14:paraId="5FE87CBA">
            <w:pPr>
              <w:pStyle w:val="619"/>
              <w:rPr>
                <w:rFonts w:hint="eastAsia" w:ascii="仿宋" w:hAnsi="仿宋" w:eastAsia="仿宋" w:cs="仿宋"/>
                <w:color w:val="auto"/>
                <w:highlight w:val="none"/>
              </w:rPr>
            </w:pPr>
          </w:p>
        </w:tc>
        <w:tc>
          <w:tcPr>
            <w:tcW w:w="736" w:type="dxa"/>
            <w:tcBorders>
              <w:top w:val="nil"/>
              <w:left w:val="nil"/>
              <w:bottom w:val="single" w:color="auto" w:sz="4" w:space="0"/>
              <w:right w:val="single" w:color="auto" w:sz="4" w:space="0"/>
            </w:tcBorders>
            <w:noWrap w:val="0"/>
            <w:vAlign w:val="center"/>
          </w:tcPr>
          <w:p w14:paraId="0A2F2E4B">
            <w:pPr>
              <w:pStyle w:val="619"/>
              <w:rPr>
                <w:rFonts w:hint="eastAsia" w:ascii="仿宋" w:hAnsi="仿宋" w:eastAsia="仿宋" w:cs="仿宋"/>
                <w:color w:val="auto"/>
                <w:highlight w:val="none"/>
              </w:rPr>
            </w:pPr>
          </w:p>
        </w:tc>
      </w:tr>
      <w:tr w14:paraId="0476161D">
        <w:tblPrEx>
          <w:tblCellMar>
            <w:top w:w="0" w:type="dxa"/>
            <w:left w:w="108" w:type="dxa"/>
            <w:bottom w:w="0" w:type="dxa"/>
            <w:right w:w="108" w:type="dxa"/>
          </w:tblCellMar>
        </w:tblPrEx>
        <w:trPr>
          <w:trHeight w:val="329" w:hRule="atLeast"/>
        </w:trPr>
        <w:tc>
          <w:tcPr>
            <w:tcW w:w="666" w:type="dxa"/>
            <w:vMerge w:val="restart"/>
            <w:tcBorders>
              <w:top w:val="nil"/>
              <w:left w:val="single" w:color="auto" w:sz="4" w:space="0"/>
              <w:bottom w:val="single" w:color="000000" w:sz="4" w:space="0"/>
              <w:right w:val="single" w:color="auto" w:sz="4" w:space="0"/>
            </w:tcBorders>
            <w:noWrap w:val="0"/>
            <w:vAlign w:val="center"/>
          </w:tcPr>
          <w:p w14:paraId="7D6E2A90">
            <w:pPr>
              <w:pStyle w:val="619"/>
              <w:rPr>
                <w:rFonts w:hint="eastAsia" w:ascii="仿宋" w:hAnsi="仿宋" w:eastAsia="仿宋" w:cs="仿宋"/>
                <w:color w:val="auto"/>
                <w:highlight w:val="none"/>
              </w:rPr>
            </w:pPr>
            <w:r>
              <w:rPr>
                <w:rFonts w:hint="eastAsia" w:ascii="仿宋" w:hAnsi="仿宋" w:eastAsia="仿宋" w:cs="仿宋"/>
                <w:color w:val="auto"/>
                <w:highlight w:val="none"/>
              </w:rPr>
              <w:t>3</w:t>
            </w:r>
          </w:p>
        </w:tc>
        <w:tc>
          <w:tcPr>
            <w:tcW w:w="1760" w:type="dxa"/>
            <w:vMerge w:val="restart"/>
            <w:tcBorders>
              <w:top w:val="nil"/>
              <w:left w:val="single" w:color="auto" w:sz="4" w:space="0"/>
              <w:bottom w:val="single" w:color="000000" w:sz="4" w:space="0"/>
              <w:right w:val="single" w:color="auto" w:sz="4" w:space="0"/>
            </w:tcBorders>
            <w:noWrap w:val="0"/>
            <w:vAlign w:val="center"/>
          </w:tcPr>
          <w:p w14:paraId="520AAFFF">
            <w:pPr>
              <w:pStyle w:val="619"/>
              <w:rPr>
                <w:rFonts w:hint="eastAsia" w:ascii="仿宋" w:hAnsi="仿宋" w:eastAsia="仿宋" w:cs="仿宋"/>
                <w:color w:val="auto"/>
                <w:highlight w:val="none"/>
              </w:rPr>
            </w:pPr>
            <w:r>
              <w:rPr>
                <w:rFonts w:hint="eastAsia" w:ascii="仿宋" w:hAnsi="仿宋" w:eastAsia="仿宋" w:cs="仿宋"/>
                <w:color w:val="auto"/>
                <w:highlight w:val="none"/>
              </w:rPr>
              <w:t>九华大道隧道</w:t>
            </w:r>
          </w:p>
        </w:tc>
        <w:tc>
          <w:tcPr>
            <w:tcW w:w="1133" w:type="dxa"/>
            <w:vMerge w:val="restart"/>
            <w:tcBorders>
              <w:top w:val="nil"/>
              <w:left w:val="single" w:color="auto" w:sz="4" w:space="0"/>
              <w:bottom w:val="single" w:color="000000" w:sz="4" w:space="0"/>
              <w:right w:val="single" w:color="auto" w:sz="4" w:space="0"/>
            </w:tcBorders>
            <w:noWrap w:val="0"/>
            <w:vAlign w:val="center"/>
          </w:tcPr>
          <w:p w14:paraId="79170D93">
            <w:pPr>
              <w:pStyle w:val="619"/>
              <w:rPr>
                <w:rFonts w:hint="eastAsia" w:ascii="仿宋" w:hAnsi="仿宋" w:eastAsia="仿宋" w:cs="仿宋"/>
                <w:color w:val="auto"/>
                <w:highlight w:val="none"/>
              </w:rPr>
            </w:pPr>
            <w:r>
              <w:rPr>
                <w:rFonts w:hint="eastAsia" w:ascii="仿宋" w:hAnsi="仿宋" w:eastAsia="仿宋" w:cs="仿宋"/>
                <w:color w:val="auto"/>
                <w:highlight w:val="none"/>
              </w:rPr>
              <w:t>智慧新城</w:t>
            </w:r>
          </w:p>
        </w:tc>
        <w:tc>
          <w:tcPr>
            <w:tcW w:w="1132" w:type="dxa"/>
            <w:vMerge w:val="restart"/>
            <w:tcBorders>
              <w:top w:val="nil"/>
              <w:left w:val="single" w:color="auto" w:sz="4" w:space="0"/>
              <w:bottom w:val="single" w:color="000000" w:sz="4" w:space="0"/>
              <w:right w:val="single" w:color="auto" w:sz="4" w:space="0"/>
            </w:tcBorders>
            <w:noWrap w:val="0"/>
            <w:vAlign w:val="center"/>
          </w:tcPr>
          <w:p w14:paraId="49D97203">
            <w:pPr>
              <w:pStyle w:val="619"/>
              <w:rPr>
                <w:rFonts w:hint="eastAsia" w:ascii="仿宋" w:hAnsi="仿宋" w:eastAsia="仿宋" w:cs="仿宋"/>
                <w:color w:val="auto"/>
                <w:highlight w:val="none"/>
              </w:rPr>
            </w:pPr>
            <w:r>
              <w:rPr>
                <w:rFonts w:hint="eastAsia" w:ascii="仿宋" w:hAnsi="仿宋" w:eastAsia="仿宋" w:cs="仿宋"/>
                <w:color w:val="auto"/>
                <w:highlight w:val="none"/>
              </w:rPr>
              <w:t>2160</w:t>
            </w:r>
          </w:p>
        </w:tc>
        <w:tc>
          <w:tcPr>
            <w:tcW w:w="1385" w:type="dxa"/>
            <w:tcBorders>
              <w:top w:val="nil"/>
              <w:left w:val="nil"/>
              <w:bottom w:val="single" w:color="auto" w:sz="4" w:space="0"/>
              <w:right w:val="single" w:color="auto" w:sz="4" w:space="0"/>
            </w:tcBorders>
            <w:noWrap w:val="0"/>
            <w:vAlign w:val="center"/>
          </w:tcPr>
          <w:p w14:paraId="1973BCB4">
            <w:pPr>
              <w:pStyle w:val="619"/>
              <w:rPr>
                <w:rFonts w:hint="eastAsia" w:ascii="仿宋" w:hAnsi="仿宋" w:eastAsia="仿宋" w:cs="仿宋"/>
                <w:color w:val="auto"/>
                <w:highlight w:val="none"/>
              </w:rPr>
            </w:pPr>
            <w:r>
              <w:rPr>
                <w:rFonts w:hint="eastAsia" w:ascii="仿宋" w:hAnsi="仿宋" w:eastAsia="仿宋" w:cs="仿宋"/>
                <w:color w:val="auto"/>
                <w:highlight w:val="none"/>
              </w:rPr>
              <w:t>左线</w:t>
            </w:r>
          </w:p>
        </w:tc>
        <w:tc>
          <w:tcPr>
            <w:tcW w:w="1132" w:type="dxa"/>
            <w:tcBorders>
              <w:top w:val="nil"/>
              <w:left w:val="nil"/>
              <w:bottom w:val="single" w:color="auto" w:sz="4" w:space="0"/>
              <w:right w:val="single" w:color="auto" w:sz="4" w:space="0"/>
            </w:tcBorders>
            <w:noWrap/>
            <w:vAlign w:val="center"/>
          </w:tcPr>
          <w:p w14:paraId="3BEDFB61">
            <w:pPr>
              <w:pStyle w:val="619"/>
              <w:rPr>
                <w:rFonts w:hint="eastAsia" w:ascii="仿宋" w:hAnsi="仿宋" w:eastAsia="仿宋" w:cs="仿宋"/>
                <w:color w:val="auto"/>
                <w:highlight w:val="none"/>
              </w:rPr>
            </w:pPr>
            <w:r>
              <w:rPr>
                <w:rFonts w:hint="eastAsia" w:ascii="仿宋" w:hAnsi="仿宋" w:eastAsia="仿宋" w:cs="仿宋"/>
                <w:color w:val="auto"/>
                <w:highlight w:val="none"/>
              </w:rPr>
              <w:t>2160</w:t>
            </w:r>
          </w:p>
        </w:tc>
        <w:tc>
          <w:tcPr>
            <w:tcW w:w="1372" w:type="dxa"/>
            <w:vMerge w:val="restart"/>
            <w:tcBorders>
              <w:top w:val="nil"/>
              <w:left w:val="nil"/>
              <w:right w:val="single" w:color="auto" w:sz="4" w:space="0"/>
            </w:tcBorders>
            <w:noWrap w:val="0"/>
            <w:vAlign w:val="center"/>
          </w:tcPr>
          <w:p w14:paraId="62C09C58">
            <w:pPr>
              <w:pStyle w:val="619"/>
              <w:rPr>
                <w:rFonts w:hint="eastAsia" w:ascii="仿宋" w:hAnsi="仿宋" w:eastAsia="仿宋" w:cs="仿宋"/>
                <w:color w:val="auto"/>
                <w:highlight w:val="none"/>
              </w:rPr>
            </w:pPr>
            <w:r>
              <w:rPr>
                <w:rFonts w:hint="eastAsia" w:ascii="仿宋" w:hAnsi="仿宋" w:eastAsia="仿宋" w:cs="仿宋"/>
                <w:color w:val="auto"/>
                <w:highlight w:val="none"/>
              </w:rPr>
              <w:t>2023</w:t>
            </w:r>
            <w:r>
              <w:rPr>
                <w:rFonts w:hint="eastAsia" w:ascii="仿宋" w:hAnsi="仿宋" w:eastAsia="仿宋" w:cs="仿宋"/>
                <w:color w:val="auto"/>
                <w:highlight w:val="none"/>
                <w:lang w:val="en-US" w:eastAsia="zh-CN"/>
              </w:rPr>
              <w:t>年</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月</w:t>
            </w:r>
          </w:p>
        </w:tc>
        <w:tc>
          <w:tcPr>
            <w:tcW w:w="736" w:type="dxa"/>
            <w:tcBorders>
              <w:top w:val="nil"/>
              <w:left w:val="nil"/>
              <w:bottom w:val="single" w:color="auto" w:sz="4" w:space="0"/>
              <w:right w:val="single" w:color="auto" w:sz="4" w:space="0"/>
            </w:tcBorders>
            <w:noWrap w:val="0"/>
            <w:vAlign w:val="center"/>
          </w:tcPr>
          <w:p w14:paraId="39BE7DE3">
            <w:pPr>
              <w:pStyle w:val="619"/>
              <w:rPr>
                <w:rFonts w:hint="eastAsia" w:ascii="仿宋" w:hAnsi="仿宋" w:eastAsia="仿宋" w:cs="仿宋"/>
                <w:color w:val="auto"/>
                <w:highlight w:val="none"/>
              </w:rPr>
            </w:pPr>
          </w:p>
        </w:tc>
      </w:tr>
      <w:tr w14:paraId="3C424537">
        <w:tblPrEx>
          <w:tblCellMar>
            <w:top w:w="0" w:type="dxa"/>
            <w:left w:w="108" w:type="dxa"/>
            <w:bottom w:w="0" w:type="dxa"/>
            <w:right w:w="108" w:type="dxa"/>
          </w:tblCellMar>
        </w:tblPrEx>
        <w:trPr>
          <w:trHeight w:val="329" w:hRule="atLeast"/>
        </w:trPr>
        <w:tc>
          <w:tcPr>
            <w:tcW w:w="666" w:type="dxa"/>
            <w:vMerge w:val="continue"/>
            <w:tcBorders>
              <w:top w:val="nil"/>
              <w:left w:val="single" w:color="auto" w:sz="4" w:space="0"/>
              <w:bottom w:val="single" w:color="000000" w:sz="4" w:space="0"/>
              <w:right w:val="single" w:color="auto" w:sz="4" w:space="0"/>
            </w:tcBorders>
            <w:noWrap w:val="0"/>
            <w:vAlign w:val="center"/>
          </w:tcPr>
          <w:p w14:paraId="1FE7431F">
            <w:pPr>
              <w:pStyle w:val="619"/>
              <w:rPr>
                <w:rFonts w:hint="eastAsia" w:ascii="仿宋" w:hAnsi="仿宋" w:eastAsia="仿宋" w:cs="仿宋"/>
                <w:color w:val="auto"/>
                <w:highlight w:val="none"/>
              </w:rPr>
            </w:pPr>
          </w:p>
        </w:tc>
        <w:tc>
          <w:tcPr>
            <w:tcW w:w="1760" w:type="dxa"/>
            <w:vMerge w:val="continue"/>
            <w:tcBorders>
              <w:top w:val="nil"/>
              <w:left w:val="single" w:color="auto" w:sz="4" w:space="0"/>
              <w:bottom w:val="single" w:color="000000" w:sz="4" w:space="0"/>
              <w:right w:val="single" w:color="auto" w:sz="4" w:space="0"/>
            </w:tcBorders>
            <w:noWrap w:val="0"/>
            <w:vAlign w:val="center"/>
          </w:tcPr>
          <w:p w14:paraId="2472CB87">
            <w:pPr>
              <w:pStyle w:val="619"/>
              <w:rPr>
                <w:rFonts w:hint="eastAsia" w:ascii="仿宋" w:hAnsi="仿宋" w:eastAsia="仿宋" w:cs="仿宋"/>
                <w:color w:val="auto"/>
                <w:highlight w:val="none"/>
              </w:rPr>
            </w:pPr>
          </w:p>
        </w:tc>
        <w:tc>
          <w:tcPr>
            <w:tcW w:w="1133" w:type="dxa"/>
            <w:vMerge w:val="continue"/>
            <w:tcBorders>
              <w:top w:val="nil"/>
              <w:left w:val="single" w:color="auto" w:sz="4" w:space="0"/>
              <w:bottom w:val="single" w:color="000000" w:sz="4" w:space="0"/>
              <w:right w:val="single" w:color="auto" w:sz="4" w:space="0"/>
            </w:tcBorders>
            <w:noWrap w:val="0"/>
            <w:vAlign w:val="center"/>
          </w:tcPr>
          <w:p w14:paraId="687D8F4A">
            <w:pPr>
              <w:pStyle w:val="619"/>
              <w:rPr>
                <w:rFonts w:hint="eastAsia" w:ascii="仿宋" w:hAnsi="仿宋" w:eastAsia="仿宋" w:cs="仿宋"/>
                <w:color w:val="auto"/>
                <w:highlight w:val="none"/>
              </w:rPr>
            </w:pPr>
          </w:p>
        </w:tc>
        <w:tc>
          <w:tcPr>
            <w:tcW w:w="1132" w:type="dxa"/>
            <w:vMerge w:val="continue"/>
            <w:tcBorders>
              <w:top w:val="nil"/>
              <w:left w:val="single" w:color="auto" w:sz="4" w:space="0"/>
              <w:bottom w:val="single" w:color="000000" w:sz="4" w:space="0"/>
              <w:right w:val="single" w:color="auto" w:sz="4" w:space="0"/>
            </w:tcBorders>
            <w:noWrap w:val="0"/>
            <w:vAlign w:val="center"/>
          </w:tcPr>
          <w:p w14:paraId="32C3C522">
            <w:pPr>
              <w:pStyle w:val="619"/>
              <w:rPr>
                <w:rFonts w:hint="eastAsia" w:ascii="仿宋" w:hAnsi="仿宋" w:eastAsia="仿宋" w:cs="仿宋"/>
                <w:color w:val="auto"/>
                <w:highlight w:val="none"/>
              </w:rPr>
            </w:pPr>
          </w:p>
        </w:tc>
        <w:tc>
          <w:tcPr>
            <w:tcW w:w="1385" w:type="dxa"/>
            <w:tcBorders>
              <w:top w:val="nil"/>
              <w:left w:val="nil"/>
              <w:bottom w:val="single" w:color="auto" w:sz="4" w:space="0"/>
              <w:right w:val="single" w:color="auto" w:sz="4" w:space="0"/>
            </w:tcBorders>
            <w:noWrap w:val="0"/>
            <w:vAlign w:val="center"/>
          </w:tcPr>
          <w:p w14:paraId="307A306F">
            <w:pPr>
              <w:pStyle w:val="619"/>
              <w:rPr>
                <w:rFonts w:hint="eastAsia" w:ascii="仿宋" w:hAnsi="仿宋" w:eastAsia="仿宋" w:cs="仿宋"/>
                <w:color w:val="auto"/>
                <w:highlight w:val="none"/>
              </w:rPr>
            </w:pPr>
            <w:r>
              <w:rPr>
                <w:rFonts w:hint="eastAsia" w:ascii="仿宋" w:hAnsi="仿宋" w:eastAsia="仿宋" w:cs="仿宋"/>
                <w:color w:val="auto"/>
                <w:highlight w:val="none"/>
              </w:rPr>
              <w:t>右线</w:t>
            </w:r>
          </w:p>
        </w:tc>
        <w:tc>
          <w:tcPr>
            <w:tcW w:w="1132" w:type="dxa"/>
            <w:tcBorders>
              <w:top w:val="nil"/>
              <w:left w:val="nil"/>
              <w:bottom w:val="single" w:color="auto" w:sz="4" w:space="0"/>
              <w:right w:val="single" w:color="auto" w:sz="4" w:space="0"/>
            </w:tcBorders>
            <w:noWrap/>
            <w:vAlign w:val="center"/>
          </w:tcPr>
          <w:p w14:paraId="5C5C1E66">
            <w:pPr>
              <w:pStyle w:val="619"/>
              <w:rPr>
                <w:rFonts w:hint="eastAsia" w:ascii="仿宋" w:hAnsi="仿宋" w:eastAsia="仿宋" w:cs="仿宋"/>
                <w:color w:val="auto"/>
                <w:highlight w:val="none"/>
              </w:rPr>
            </w:pPr>
            <w:r>
              <w:rPr>
                <w:rFonts w:hint="eastAsia" w:ascii="仿宋" w:hAnsi="仿宋" w:eastAsia="仿宋" w:cs="仿宋"/>
                <w:color w:val="auto"/>
                <w:highlight w:val="none"/>
              </w:rPr>
              <w:t>2160</w:t>
            </w:r>
          </w:p>
        </w:tc>
        <w:tc>
          <w:tcPr>
            <w:tcW w:w="1372" w:type="dxa"/>
            <w:vMerge w:val="continue"/>
            <w:tcBorders>
              <w:left w:val="nil"/>
              <w:bottom w:val="single" w:color="auto" w:sz="4" w:space="0"/>
              <w:right w:val="single" w:color="auto" w:sz="4" w:space="0"/>
            </w:tcBorders>
            <w:noWrap w:val="0"/>
            <w:vAlign w:val="center"/>
          </w:tcPr>
          <w:p w14:paraId="1AE3D7AE">
            <w:pPr>
              <w:pStyle w:val="619"/>
              <w:rPr>
                <w:rFonts w:hint="eastAsia" w:ascii="仿宋" w:hAnsi="仿宋" w:eastAsia="仿宋" w:cs="仿宋"/>
                <w:color w:val="auto"/>
                <w:highlight w:val="none"/>
              </w:rPr>
            </w:pPr>
          </w:p>
        </w:tc>
        <w:tc>
          <w:tcPr>
            <w:tcW w:w="736" w:type="dxa"/>
            <w:tcBorders>
              <w:top w:val="nil"/>
              <w:left w:val="nil"/>
              <w:bottom w:val="single" w:color="auto" w:sz="4" w:space="0"/>
              <w:right w:val="single" w:color="auto" w:sz="4" w:space="0"/>
            </w:tcBorders>
            <w:noWrap w:val="0"/>
            <w:vAlign w:val="center"/>
          </w:tcPr>
          <w:p w14:paraId="58ED222E">
            <w:pPr>
              <w:pStyle w:val="619"/>
              <w:rPr>
                <w:rFonts w:hint="eastAsia" w:ascii="仿宋" w:hAnsi="仿宋" w:eastAsia="仿宋" w:cs="仿宋"/>
                <w:color w:val="auto"/>
                <w:highlight w:val="none"/>
              </w:rPr>
            </w:pPr>
          </w:p>
        </w:tc>
      </w:tr>
      <w:tr w14:paraId="52B06915">
        <w:tblPrEx>
          <w:tblCellMar>
            <w:top w:w="0" w:type="dxa"/>
            <w:left w:w="108" w:type="dxa"/>
            <w:bottom w:w="0" w:type="dxa"/>
            <w:right w:w="108" w:type="dxa"/>
          </w:tblCellMar>
        </w:tblPrEx>
        <w:trPr>
          <w:trHeight w:val="329" w:hRule="atLeast"/>
        </w:trPr>
        <w:tc>
          <w:tcPr>
            <w:tcW w:w="666" w:type="dxa"/>
            <w:vMerge w:val="restart"/>
            <w:tcBorders>
              <w:top w:val="nil"/>
              <w:left w:val="single" w:color="auto" w:sz="4" w:space="0"/>
              <w:bottom w:val="single" w:color="000000" w:sz="4" w:space="0"/>
              <w:right w:val="single" w:color="auto" w:sz="4" w:space="0"/>
            </w:tcBorders>
            <w:noWrap w:val="0"/>
            <w:vAlign w:val="center"/>
          </w:tcPr>
          <w:p w14:paraId="63DCB2D9">
            <w:pPr>
              <w:pStyle w:val="619"/>
              <w:rPr>
                <w:rFonts w:hint="eastAsia" w:ascii="仿宋" w:hAnsi="仿宋" w:eastAsia="仿宋" w:cs="仿宋"/>
                <w:color w:val="auto"/>
                <w:highlight w:val="none"/>
              </w:rPr>
            </w:pPr>
            <w:r>
              <w:rPr>
                <w:rFonts w:hint="eastAsia" w:ascii="仿宋" w:hAnsi="仿宋" w:eastAsia="仿宋" w:cs="仿宋"/>
                <w:color w:val="auto"/>
                <w:highlight w:val="none"/>
              </w:rPr>
              <w:t>4</w:t>
            </w:r>
          </w:p>
        </w:tc>
        <w:tc>
          <w:tcPr>
            <w:tcW w:w="1760" w:type="dxa"/>
            <w:vMerge w:val="restart"/>
            <w:tcBorders>
              <w:top w:val="nil"/>
              <w:left w:val="single" w:color="auto" w:sz="4" w:space="0"/>
              <w:bottom w:val="single" w:color="000000" w:sz="4" w:space="0"/>
              <w:right w:val="single" w:color="auto" w:sz="4" w:space="0"/>
            </w:tcBorders>
            <w:noWrap w:val="0"/>
            <w:vAlign w:val="center"/>
          </w:tcPr>
          <w:p w14:paraId="6AB6C798">
            <w:pPr>
              <w:pStyle w:val="619"/>
              <w:rPr>
                <w:rFonts w:hint="eastAsia" w:ascii="仿宋" w:hAnsi="仿宋" w:eastAsia="仿宋" w:cs="仿宋"/>
                <w:color w:val="auto"/>
                <w:highlight w:val="none"/>
              </w:rPr>
            </w:pPr>
            <w:r>
              <w:rPr>
                <w:rFonts w:hint="eastAsia" w:ascii="仿宋" w:hAnsi="仿宋" w:eastAsia="仿宋" w:cs="仿宋"/>
                <w:color w:val="auto"/>
                <w:highlight w:val="none"/>
              </w:rPr>
              <w:t>紫薇隧道</w:t>
            </w:r>
          </w:p>
        </w:tc>
        <w:tc>
          <w:tcPr>
            <w:tcW w:w="1133" w:type="dxa"/>
            <w:vMerge w:val="restart"/>
            <w:tcBorders>
              <w:top w:val="nil"/>
              <w:left w:val="single" w:color="auto" w:sz="4" w:space="0"/>
              <w:bottom w:val="single" w:color="000000" w:sz="4" w:space="0"/>
              <w:right w:val="single" w:color="auto" w:sz="4" w:space="0"/>
            </w:tcBorders>
            <w:noWrap w:val="0"/>
            <w:vAlign w:val="center"/>
          </w:tcPr>
          <w:p w14:paraId="7DE69AF5">
            <w:pPr>
              <w:pStyle w:val="619"/>
              <w:rPr>
                <w:rFonts w:hint="eastAsia" w:ascii="仿宋" w:hAnsi="仿宋" w:eastAsia="仿宋" w:cs="仿宋"/>
                <w:color w:val="auto"/>
                <w:highlight w:val="none"/>
              </w:rPr>
            </w:pPr>
            <w:r>
              <w:rPr>
                <w:rFonts w:hint="eastAsia" w:ascii="仿宋" w:hAnsi="仿宋" w:eastAsia="仿宋" w:cs="仿宋"/>
                <w:color w:val="auto"/>
                <w:highlight w:val="none"/>
              </w:rPr>
              <w:t>智慧新城</w:t>
            </w:r>
          </w:p>
        </w:tc>
        <w:tc>
          <w:tcPr>
            <w:tcW w:w="1132" w:type="dxa"/>
            <w:vMerge w:val="restart"/>
            <w:tcBorders>
              <w:top w:val="nil"/>
              <w:left w:val="single" w:color="auto" w:sz="4" w:space="0"/>
              <w:bottom w:val="single" w:color="000000" w:sz="4" w:space="0"/>
              <w:right w:val="single" w:color="auto" w:sz="4" w:space="0"/>
            </w:tcBorders>
            <w:noWrap w:val="0"/>
            <w:vAlign w:val="center"/>
          </w:tcPr>
          <w:p w14:paraId="418432F8">
            <w:pPr>
              <w:pStyle w:val="619"/>
              <w:rPr>
                <w:rFonts w:hint="eastAsia" w:ascii="仿宋" w:hAnsi="仿宋" w:eastAsia="仿宋" w:cs="仿宋"/>
                <w:color w:val="auto"/>
                <w:highlight w:val="none"/>
              </w:rPr>
            </w:pPr>
            <w:r>
              <w:rPr>
                <w:rFonts w:hint="eastAsia" w:ascii="仿宋" w:hAnsi="仿宋" w:eastAsia="仿宋" w:cs="仿宋"/>
                <w:color w:val="auto"/>
                <w:highlight w:val="none"/>
              </w:rPr>
              <w:t>1040</w:t>
            </w:r>
          </w:p>
        </w:tc>
        <w:tc>
          <w:tcPr>
            <w:tcW w:w="1385" w:type="dxa"/>
            <w:tcBorders>
              <w:top w:val="nil"/>
              <w:left w:val="nil"/>
              <w:bottom w:val="single" w:color="auto" w:sz="4" w:space="0"/>
              <w:right w:val="single" w:color="auto" w:sz="4" w:space="0"/>
            </w:tcBorders>
            <w:noWrap w:val="0"/>
            <w:vAlign w:val="center"/>
          </w:tcPr>
          <w:p w14:paraId="536405F0">
            <w:pPr>
              <w:pStyle w:val="619"/>
              <w:rPr>
                <w:rFonts w:hint="eastAsia" w:ascii="仿宋" w:hAnsi="仿宋" w:eastAsia="仿宋" w:cs="仿宋"/>
                <w:color w:val="auto"/>
                <w:highlight w:val="none"/>
              </w:rPr>
            </w:pPr>
            <w:r>
              <w:rPr>
                <w:rFonts w:hint="eastAsia" w:ascii="仿宋" w:hAnsi="仿宋" w:eastAsia="仿宋" w:cs="仿宋"/>
                <w:color w:val="auto"/>
                <w:highlight w:val="none"/>
              </w:rPr>
              <w:t>左线</w:t>
            </w:r>
          </w:p>
        </w:tc>
        <w:tc>
          <w:tcPr>
            <w:tcW w:w="1132" w:type="dxa"/>
            <w:tcBorders>
              <w:top w:val="nil"/>
              <w:left w:val="nil"/>
              <w:bottom w:val="single" w:color="auto" w:sz="4" w:space="0"/>
              <w:right w:val="single" w:color="auto" w:sz="4" w:space="0"/>
            </w:tcBorders>
            <w:noWrap/>
            <w:vAlign w:val="center"/>
          </w:tcPr>
          <w:p w14:paraId="17A42F90">
            <w:pPr>
              <w:pStyle w:val="619"/>
              <w:rPr>
                <w:rFonts w:hint="eastAsia" w:ascii="仿宋" w:hAnsi="仿宋" w:eastAsia="仿宋" w:cs="仿宋"/>
                <w:color w:val="auto"/>
                <w:highlight w:val="none"/>
              </w:rPr>
            </w:pPr>
            <w:r>
              <w:rPr>
                <w:rFonts w:hint="eastAsia" w:ascii="仿宋" w:hAnsi="仿宋" w:eastAsia="仿宋" w:cs="仿宋"/>
                <w:color w:val="auto"/>
                <w:highlight w:val="none"/>
              </w:rPr>
              <w:t>1040</w:t>
            </w:r>
          </w:p>
        </w:tc>
        <w:tc>
          <w:tcPr>
            <w:tcW w:w="1372" w:type="dxa"/>
            <w:vMerge w:val="restart"/>
            <w:tcBorders>
              <w:top w:val="nil"/>
              <w:left w:val="nil"/>
              <w:right w:val="single" w:color="auto" w:sz="4" w:space="0"/>
            </w:tcBorders>
            <w:noWrap w:val="0"/>
            <w:vAlign w:val="center"/>
          </w:tcPr>
          <w:p w14:paraId="42E8BD50">
            <w:pPr>
              <w:pStyle w:val="619"/>
              <w:rPr>
                <w:rFonts w:hint="eastAsia" w:ascii="仿宋" w:hAnsi="仿宋" w:eastAsia="仿宋" w:cs="仿宋"/>
                <w:color w:val="auto"/>
                <w:highlight w:val="none"/>
              </w:rPr>
            </w:pPr>
            <w:r>
              <w:rPr>
                <w:rFonts w:hint="eastAsia" w:ascii="仿宋" w:hAnsi="仿宋" w:eastAsia="仿宋" w:cs="仿宋"/>
                <w:color w:val="auto"/>
                <w:highlight w:val="none"/>
              </w:rPr>
              <w:t>2023</w:t>
            </w:r>
            <w:r>
              <w:rPr>
                <w:rFonts w:hint="eastAsia" w:ascii="仿宋" w:hAnsi="仿宋" w:eastAsia="仿宋" w:cs="仿宋"/>
                <w:color w:val="auto"/>
                <w:highlight w:val="none"/>
                <w:lang w:val="en-US" w:eastAsia="zh-CN"/>
              </w:rPr>
              <w:t>年</w:t>
            </w:r>
            <w:r>
              <w:rPr>
                <w:rFonts w:hint="eastAsia" w:ascii="仿宋" w:hAnsi="仿宋" w:eastAsia="仿宋" w:cs="仿宋"/>
                <w:color w:val="auto"/>
                <w:highlight w:val="none"/>
              </w:rPr>
              <w:t>2</w:t>
            </w:r>
            <w:r>
              <w:rPr>
                <w:rFonts w:hint="eastAsia" w:ascii="仿宋" w:hAnsi="仿宋" w:eastAsia="仿宋" w:cs="仿宋"/>
                <w:color w:val="auto"/>
                <w:highlight w:val="none"/>
                <w:lang w:val="en-US" w:eastAsia="zh-CN"/>
              </w:rPr>
              <w:t>月</w:t>
            </w:r>
          </w:p>
        </w:tc>
        <w:tc>
          <w:tcPr>
            <w:tcW w:w="736" w:type="dxa"/>
            <w:tcBorders>
              <w:top w:val="nil"/>
              <w:left w:val="nil"/>
              <w:bottom w:val="single" w:color="auto" w:sz="4" w:space="0"/>
              <w:right w:val="single" w:color="auto" w:sz="4" w:space="0"/>
            </w:tcBorders>
            <w:noWrap w:val="0"/>
            <w:vAlign w:val="center"/>
          </w:tcPr>
          <w:p w14:paraId="66BF5DB4">
            <w:pPr>
              <w:pStyle w:val="619"/>
              <w:rPr>
                <w:rFonts w:hint="eastAsia" w:ascii="仿宋" w:hAnsi="仿宋" w:eastAsia="仿宋" w:cs="仿宋"/>
                <w:color w:val="auto"/>
                <w:highlight w:val="none"/>
              </w:rPr>
            </w:pPr>
          </w:p>
        </w:tc>
      </w:tr>
      <w:tr w14:paraId="41FC5CB7">
        <w:tblPrEx>
          <w:tblCellMar>
            <w:top w:w="0" w:type="dxa"/>
            <w:left w:w="108" w:type="dxa"/>
            <w:bottom w:w="0" w:type="dxa"/>
            <w:right w:w="108" w:type="dxa"/>
          </w:tblCellMar>
        </w:tblPrEx>
        <w:trPr>
          <w:trHeight w:val="329" w:hRule="atLeast"/>
        </w:trPr>
        <w:tc>
          <w:tcPr>
            <w:tcW w:w="666" w:type="dxa"/>
            <w:vMerge w:val="continue"/>
            <w:tcBorders>
              <w:top w:val="nil"/>
              <w:left w:val="single" w:color="auto" w:sz="4" w:space="0"/>
              <w:bottom w:val="single" w:color="000000" w:sz="4" w:space="0"/>
              <w:right w:val="single" w:color="auto" w:sz="4" w:space="0"/>
            </w:tcBorders>
            <w:noWrap w:val="0"/>
            <w:vAlign w:val="center"/>
          </w:tcPr>
          <w:p w14:paraId="4FDC7D69">
            <w:pPr>
              <w:pStyle w:val="619"/>
              <w:rPr>
                <w:rFonts w:hint="eastAsia" w:ascii="仿宋" w:hAnsi="仿宋" w:eastAsia="仿宋" w:cs="仿宋"/>
                <w:color w:val="auto"/>
                <w:highlight w:val="none"/>
              </w:rPr>
            </w:pPr>
          </w:p>
        </w:tc>
        <w:tc>
          <w:tcPr>
            <w:tcW w:w="1760" w:type="dxa"/>
            <w:vMerge w:val="continue"/>
            <w:tcBorders>
              <w:top w:val="nil"/>
              <w:left w:val="single" w:color="auto" w:sz="4" w:space="0"/>
              <w:bottom w:val="single" w:color="000000" w:sz="4" w:space="0"/>
              <w:right w:val="single" w:color="auto" w:sz="4" w:space="0"/>
            </w:tcBorders>
            <w:noWrap w:val="0"/>
            <w:vAlign w:val="center"/>
          </w:tcPr>
          <w:p w14:paraId="0B070615">
            <w:pPr>
              <w:pStyle w:val="619"/>
              <w:rPr>
                <w:rFonts w:hint="eastAsia" w:ascii="仿宋" w:hAnsi="仿宋" w:eastAsia="仿宋" w:cs="仿宋"/>
                <w:color w:val="auto"/>
                <w:highlight w:val="none"/>
              </w:rPr>
            </w:pPr>
          </w:p>
        </w:tc>
        <w:tc>
          <w:tcPr>
            <w:tcW w:w="1133" w:type="dxa"/>
            <w:vMerge w:val="continue"/>
            <w:tcBorders>
              <w:top w:val="nil"/>
              <w:left w:val="single" w:color="auto" w:sz="4" w:space="0"/>
              <w:bottom w:val="single" w:color="000000" w:sz="4" w:space="0"/>
              <w:right w:val="single" w:color="auto" w:sz="4" w:space="0"/>
            </w:tcBorders>
            <w:noWrap w:val="0"/>
            <w:vAlign w:val="center"/>
          </w:tcPr>
          <w:p w14:paraId="59358355">
            <w:pPr>
              <w:pStyle w:val="619"/>
              <w:rPr>
                <w:rFonts w:hint="eastAsia" w:ascii="仿宋" w:hAnsi="仿宋" w:eastAsia="仿宋" w:cs="仿宋"/>
                <w:color w:val="auto"/>
                <w:highlight w:val="none"/>
              </w:rPr>
            </w:pPr>
          </w:p>
        </w:tc>
        <w:tc>
          <w:tcPr>
            <w:tcW w:w="1132" w:type="dxa"/>
            <w:vMerge w:val="continue"/>
            <w:tcBorders>
              <w:top w:val="nil"/>
              <w:left w:val="single" w:color="auto" w:sz="4" w:space="0"/>
              <w:bottom w:val="single" w:color="000000" w:sz="4" w:space="0"/>
              <w:right w:val="single" w:color="auto" w:sz="4" w:space="0"/>
            </w:tcBorders>
            <w:noWrap w:val="0"/>
            <w:vAlign w:val="center"/>
          </w:tcPr>
          <w:p w14:paraId="0907B71D">
            <w:pPr>
              <w:pStyle w:val="619"/>
              <w:rPr>
                <w:rFonts w:hint="eastAsia" w:ascii="仿宋" w:hAnsi="仿宋" w:eastAsia="仿宋" w:cs="仿宋"/>
                <w:color w:val="auto"/>
                <w:highlight w:val="none"/>
              </w:rPr>
            </w:pPr>
          </w:p>
        </w:tc>
        <w:tc>
          <w:tcPr>
            <w:tcW w:w="1385" w:type="dxa"/>
            <w:tcBorders>
              <w:top w:val="nil"/>
              <w:left w:val="nil"/>
              <w:bottom w:val="single" w:color="auto" w:sz="4" w:space="0"/>
              <w:right w:val="single" w:color="auto" w:sz="4" w:space="0"/>
            </w:tcBorders>
            <w:noWrap w:val="0"/>
            <w:vAlign w:val="center"/>
          </w:tcPr>
          <w:p w14:paraId="79599DF6">
            <w:pPr>
              <w:pStyle w:val="619"/>
              <w:rPr>
                <w:rFonts w:hint="eastAsia" w:ascii="仿宋" w:hAnsi="仿宋" w:eastAsia="仿宋" w:cs="仿宋"/>
                <w:color w:val="auto"/>
                <w:highlight w:val="none"/>
              </w:rPr>
            </w:pPr>
            <w:r>
              <w:rPr>
                <w:rFonts w:hint="eastAsia" w:ascii="仿宋" w:hAnsi="仿宋" w:eastAsia="仿宋" w:cs="仿宋"/>
                <w:color w:val="auto"/>
                <w:highlight w:val="none"/>
              </w:rPr>
              <w:t>右线</w:t>
            </w:r>
          </w:p>
        </w:tc>
        <w:tc>
          <w:tcPr>
            <w:tcW w:w="1132" w:type="dxa"/>
            <w:tcBorders>
              <w:top w:val="nil"/>
              <w:left w:val="nil"/>
              <w:bottom w:val="single" w:color="auto" w:sz="4" w:space="0"/>
              <w:right w:val="single" w:color="auto" w:sz="4" w:space="0"/>
            </w:tcBorders>
            <w:noWrap w:val="0"/>
            <w:vAlign w:val="center"/>
          </w:tcPr>
          <w:p w14:paraId="5902259F">
            <w:pPr>
              <w:pStyle w:val="619"/>
              <w:rPr>
                <w:rFonts w:hint="eastAsia" w:ascii="仿宋" w:hAnsi="仿宋" w:eastAsia="仿宋" w:cs="仿宋"/>
                <w:color w:val="auto"/>
                <w:highlight w:val="none"/>
              </w:rPr>
            </w:pPr>
            <w:r>
              <w:rPr>
                <w:rFonts w:hint="eastAsia" w:ascii="仿宋" w:hAnsi="仿宋" w:eastAsia="仿宋" w:cs="仿宋"/>
                <w:color w:val="auto"/>
                <w:highlight w:val="none"/>
              </w:rPr>
              <w:t>1040</w:t>
            </w:r>
          </w:p>
        </w:tc>
        <w:tc>
          <w:tcPr>
            <w:tcW w:w="1372" w:type="dxa"/>
            <w:vMerge w:val="continue"/>
            <w:tcBorders>
              <w:left w:val="nil"/>
              <w:bottom w:val="single" w:color="auto" w:sz="4" w:space="0"/>
              <w:right w:val="single" w:color="auto" w:sz="4" w:space="0"/>
            </w:tcBorders>
            <w:noWrap w:val="0"/>
            <w:vAlign w:val="center"/>
          </w:tcPr>
          <w:p w14:paraId="09FF961D">
            <w:pPr>
              <w:pStyle w:val="619"/>
              <w:rPr>
                <w:rFonts w:hint="eastAsia" w:ascii="仿宋" w:hAnsi="仿宋" w:eastAsia="仿宋" w:cs="仿宋"/>
                <w:color w:val="auto"/>
                <w:highlight w:val="none"/>
              </w:rPr>
            </w:pPr>
          </w:p>
        </w:tc>
        <w:tc>
          <w:tcPr>
            <w:tcW w:w="736" w:type="dxa"/>
            <w:tcBorders>
              <w:top w:val="nil"/>
              <w:left w:val="nil"/>
              <w:bottom w:val="single" w:color="auto" w:sz="4" w:space="0"/>
              <w:right w:val="single" w:color="auto" w:sz="4" w:space="0"/>
            </w:tcBorders>
            <w:noWrap w:val="0"/>
            <w:vAlign w:val="center"/>
          </w:tcPr>
          <w:p w14:paraId="1BC7305F">
            <w:pPr>
              <w:pStyle w:val="619"/>
              <w:rPr>
                <w:rFonts w:hint="eastAsia" w:ascii="仿宋" w:hAnsi="仿宋" w:eastAsia="仿宋" w:cs="仿宋"/>
                <w:color w:val="auto"/>
                <w:highlight w:val="none"/>
              </w:rPr>
            </w:pPr>
          </w:p>
        </w:tc>
      </w:tr>
      <w:tr w14:paraId="3B74F0B2">
        <w:tblPrEx>
          <w:tblCellMar>
            <w:top w:w="0" w:type="dxa"/>
            <w:left w:w="108" w:type="dxa"/>
            <w:bottom w:w="0" w:type="dxa"/>
            <w:right w:w="108" w:type="dxa"/>
          </w:tblCellMar>
        </w:tblPrEx>
        <w:trPr>
          <w:trHeight w:val="396" w:hRule="atLeast"/>
        </w:trPr>
        <w:tc>
          <w:tcPr>
            <w:tcW w:w="3559" w:type="dxa"/>
            <w:gridSpan w:val="3"/>
            <w:tcBorders>
              <w:top w:val="single" w:color="auto" w:sz="4" w:space="0"/>
              <w:left w:val="single" w:color="auto" w:sz="4" w:space="0"/>
              <w:bottom w:val="single" w:color="auto" w:sz="4" w:space="0"/>
              <w:right w:val="single" w:color="000000" w:sz="4" w:space="0"/>
            </w:tcBorders>
            <w:noWrap/>
            <w:vAlign w:val="center"/>
          </w:tcPr>
          <w:p w14:paraId="7D69F474">
            <w:pPr>
              <w:pStyle w:val="619"/>
              <w:rPr>
                <w:rFonts w:hint="eastAsia" w:ascii="仿宋" w:hAnsi="仿宋" w:eastAsia="仿宋" w:cs="仿宋"/>
                <w:color w:val="auto"/>
                <w:highlight w:val="none"/>
              </w:rPr>
            </w:pPr>
            <w:r>
              <w:rPr>
                <w:rFonts w:hint="eastAsia" w:ascii="仿宋" w:hAnsi="仿宋" w:eastAsia="仿宋" w:cs="仿宋"/>
                <w:color w:val="auto"/>
                <w:highlight w:val="none"/>
              </w:rPr>
              <w:t>合计</w:t>
            </w:r>
          </w:p>
        </w:tc>
        <w:tc>
          <w:tcPr>
            <w:tcW w:w="1132" w:type="dxa"/>
            <w:tcBorders>
              <w:top w:val="nil"/>
              <w:left w:val="nil"/>
              <w:bottom w:val="single" w:color="auto" w:sz="4" w:space="0"/>
              <w:right w:val="single" w:color="auto" w:sz="4" w:space="0"/>
            </w:tcBorders>
            <w:noWrap/>
            <w:vAlign w:val="center"/>
          </w:tcPr>
          <w:p w14:paraId="1CDFB02A">
            <w:pPr>
              <w:pStyle w:val="619"/>
              <w:rPr>
                <w:rFonts w:hint="eastAsia" w:ascii="仿宋" w:hAnsi="仿宋" w:eastAsia="仿宋" w:cs="仿宋"/>
                <w:color w:val="auto"/>
                <w:highlight w:val="none"/>
              </w:rPr>
            </w:pPr>
            <w:r>
              <w:rPr>
                <w:rFonts w:hint="eastAsia" w:ascii="仿宋" w:hAnsi="仿宋" w:eastAsia="仿宋" w:cs="仿宋"/>
                <w:color w:val="auto"/>
                <w:highlight w:val="none"/>
              </w:rPr>
              <w:t xml:space="preserve">5782 </w:t>
            </w:r>
          </w:p>
        </w:tc>
        <w:tc>
          <w:tcPr>
            <w:tcW w:w="1385" w:type="dxa"/>
            <w:tcBorders>
              <w:top w:val="nil"/>
              <w:left w:val="nil"/>
              <w:bottom w:val="single" w:color="auto" w:sz="4" w:space="0"/>
              <w:right w:val="single" w:color="auto" w:sz="4" w:space="0"/>
            </w:tcBorders>
            <w:noWrap/>
            <w:vAlign w:val="center"/>
          </w:tcPr>
          <w:p w14:paraId="7E83A07F">
            <w:pPr>
              <w:pStyle w:val="619"/>
              <w:rPr>
                <w:rFonts w:hint="eastAsia" w:ascii="仿宋" w:hAnsi="仿宋" w:eastAsia="仿宋" w:cs="仿宋"/>
                <w:color w:val="auto"/>
                <w:highlight w:val="none"/>
              </w:rPr>
            </w:pPr>
            <w:r>
              <w:rPr>
                <w:rFonts w:hint="eastAsia" w:ascii="仿宋" w:hAnsi="仿宋" w:eastAsia="仿宋" w:cs="仿宋"/>
                <w:color w:val="auto"/>
                <w:highlight w:val="none"/>
              </w:rPr>
              <w:t>　</w:t>
            </w:r>
          </w:p>
        </w:tc>
        <w:tc>
          <w:tcPr>
            <w:tcW w:w="1132" w:type="dxa"/>
            <w:tcBorders>
              <w:top w:val="nil"/>
              <w:left w:val="nil"/>
              <w:bottom w:val="single" w:color="auto" w:sz="4" w:space="0"/>
              <w:right w:val="single" w:color="auto" w:sz="4" w:space="0"/>
            </w:tcBorders>
            <w:noWrap/>
            <w:vAlign w:val="center"/>
          </w:tcPr>
          <w:p w14:paraId="0F8A3F2C">
            <w:pPr>
              <w:pStyle w:val="619"/>
              <w:rPr>
                <w:rFonts w:hint="eastAsia" w:ascii="仿宋" w:hAnsi="仿宋" w:eastAsia="仿宋" w:cs="仿宋"/>
                <w:color w:val="auto"/>
                <w:highlight w:val="none"/>
              </w:rPr>
            </w:pPr>
            <w:r>
              <w:rPr>
                <w:rFonts w:hint="eastAsia" w:ascii="仿宋" w:hAnsi="仿宋" w:eastAsia="仿宋" w:cs="仿宋"/>
                <w:color w:val="auto"/>
                <w:highlight w:val="none"/>
              </w:rPr>
              <w:t>11546</w:t>
            </w:r>
          </w:p>
        </w:tc>
        <w:tc>
          <w:tcPr>
            <w:tcW w:w="1372" w:type="dxa"/>
            <w:tcBorders>
              <w:top w:val="nil"/>
              <w:left w:val="nil"/>
              <w:bottom w:val="single" w:color="auto" w:sz="4" w:space="0"/>
              <w:right w:val="single" w:color="auto" w:sz="4" w:space="0"/>
            </w:tcBorders>
            <w:noWrap/>
            <w:vAlign w:val="center"/>
          </w:tcPr>
          <w:p w14:paraId="4CF1EE09">
            <w:pPr>
              <w:pStyle w:val="619"/>
              <w:rPr>
                <w:rFonts w:hint="eastAsia" w:ascii="仿宋" w:hAnsi="仿宋" w:eastAsia="仿宋" w:cs="仿宋"/>
                <w:color w:val="auto"/>
                <w:highlight w:val="none"/>
              </w:rPr>
            </w:pPr>
            <w:r>
              <w:rPr>
                <w:rFonts w:hint="eastAsia" w:ascii="仿宋" w:hAnsi="仿宋" w:eastAsia="仿宋" w:cs="仿宋"/>
                <w:color w:val="auto"/>
                <w:highlight w:val="none"/>
              </w:rPr>
              <w:t>　</w:t>
            </w:r>
          </w:p>
        </w:tc>
        <w:tc>
          <w:tcPr>
            <w:tcW w:w="736" w:type="dxa"/>
            <w:tcBorders>
              <w:top w:val="nil"/>
              <w:left w:val="nil"/>
              <w:bottom w:val="single" w:color="auto" w:sz="4" w:space="0"/>
              <w:right w:val="single" w:color="auto" w:sz="4" w:space="0"/>
            </w:tcBorders>
            <w:noWrap/>
            <w:vAlign w:val="center"/>
          </w:tcPr>
          <w:p w14:paraId="2658E95B">
            <w:pPr>
              <w:pStyle w:val="619"/>
              <w:rPr>
                <w:rFonts w:hint="eastAsia" w:ascii="仿宋" w:hAnsi="仿宋" w:eastAsia="仿宋" w:cs="仿宋"/>
                <w:color w:val="auto"/>
                <w:highlight w:val="none"/>
              </w:rPr>
            </w:pPr>
          </w:p>
        </w:tc>
      </w:tr>
    </w:tbl>
    <w:p w14:paraId="2896F94C">
      <w:pPr>
        <w:outlineLvl w:val="9"/>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w:t>
      </w:r>
    </w:p>
    <w:p w14:paraId="67417D0A">
      <w:pPr>
        <w:keepNext w:val="0"/>
        <w:keepLines w:val="0"/>
        <w:pageBreakBefore w:val="0"/>
        <w:kinsoku/>
        <w:wordWrap/>
        <w:overflowPunct/>
        <w:topLinePunct w:val="0"/>
        <w:bidi w:val="0"/>
        <w:adjustRightInd/>
        <w:snapToGrid/>
        <w:spacing w:beforeLines="0" w:line="360" w:lineRule="auto"/>
        <w:ind w:firstLine="501" w:firstLineChars="209"/>
        <w:textAlignment w:val="auto"/>
        <w:outlineLvl w:val="9"/>
        <w:rPr>
          <w:rFonts w:hint="eastAsia" w:ascii="仿宋" w:hAnsi="仿宋" w:eastAsia="仿宋" w:cs="仿宋"/>
          <w:color w:val="auto"/>
          <w:kern w:val="0"/>
          <w:sz w:val="24"/>
          <w:szCs w:val="24"/>
          <w:highlight w:val="none"/>
          <w:lang w:val="en-US" w:eastAsia="zh-CN"/>
        </w:rPr>
      </w:pPr>
      <w:bookmarkStart w:id="58" w:name="OLE_LINK9"/>
      <w:r>
        <w:rPr>
          <w:rFonts w:hint="eastAsia" w:ascii="仿宋" w:hAnsi="仿宋" w:eastAsia="仿宋" w:cs="仿宋"/>
          <w:color w:val="auto"/>
          <w:kern w:val="0"/>
          <w:sz w:val="24"/>
          <w:szCs w:val="24"/>
          <w:highlight w:val="none"/>
          <w:lang w:val="en-US" w:eastAsia="zh-CN"/>
        </w:rPr>
        <w:t>2.运行服务期限如下：一年（365天），具体以合同约定履约期限为准。</w:t>
      </w:r>
    </w:p>
    <w:bookmarkEnd w:id="58"/>
    <w:p w14:paraId="09F0438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（二）主要服务范围：详见附件图纸。</w:t>
      </w:r>
    </w:p>
    <w:p w14:paraId="36CA1E79">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二</w:t>
      </w:r>
      <w:r>
        <w:rPr>
          <w:rFonts w:hint="eastAsia" w:ascii="仿宋" w:hAnsi="仿宋" w:eastAsia="仿宋" w:cs="仿宋"/>
          <w:b/>
          <w:color w:val="auto"/>
          <w:sz w:val="24"/>
          <w:szCs w:val="24"/>
          <w:highlight w:val="none"/>
        </w:rPr>
        <w:t>、项目要求</w:t>
      </w:r>
    </w:p>
    <w:p w14:paraId="402B986A">
      <w:pPr>
        <w:spacing w:line="360" w:lineRule="auto"/>
        <w:ind w:firstLine="470" w:firstLineChars="196"/>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运维服务</w:t>
      </w:r>
      <w:r>
        <w:rPr>
          <w:rFonts w:hint="eastAsia" w:ascii="仿宋" w:hAnsi="仿宋" w:eastAsia="仿宋" w:cs="仿宋"/>
          <w:color w:val="auto"/>
          <w:kern w:val="0"/>
          <w:sz w:val="24"/>
          <w:szCs w:val="24"/>
          <w:highlight w:val="none"/>
        </w:rPr>
        <w:t>范围及内容：</w:t>
      </w:r>
      <w:r>
        <w:rPr>
          <w:rFonts w:hint="eastAsia" w:ascii="仿宋" w:hAnsi="仿宋" w:eastAsia="仿宋" w:cs="仿宋"/>
          <w:i w:val="0"/>
          <w:iCs w:val="0"/>
          <w:caps w:val="0"/>
          <w:color w:val="auto"/>
          <w:spacing w:val="7"/>
          <w:kern w:val="0"/>
          <w:sz w:val="24"/>
          <w:szCs w:val="24"/>
          <w:highlight w:val="none"/>
          <w:shd w:val="clear" w:color="auto" w:fill="auto"/>
        </w:rPr>
        <w:t>包含结构、排水、消防、通风、供配电、照明、通信、标识、监控、控制中心等配套附属设施日常运行管理、交通管理、设施保洁养护及维修管理、消防检测与维护、结构定期评定、自然灾害及突发事件等应急联动处置等工作。</w:t>
      </w:r>
    </w:p>
    <w:p w14:paraId="2FC98304">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三</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运维服务</w:t>
      </w:r>
      <w:r>
        <w:rPr>
          <w:rFonts w:hint="eastAsia" w:ascii="仿宋" w:hAnsi="仿宋" w:eastAsia="仿宋" w:cs="仿宋"/>
          <w:b/>
          <w:color w:val="auto"/>
          <w:sz w:val="24"/>
          <w:szCs w:val="24"/>
          <w:highlight w:val="none"/>
          <w:lang w:val="en-US" w:eastAsia="zh-CN"/>
        </w:rPr>
        <w:t>内容</w:t>
      </w:r>
      <w:r>
        <w:rPr>
          <w:rFonts w:hint="eastAsia" w:ascii="仿宋" w:hAnsi="仿宋" w:eastAsia="仿宋" w:cs="仿宋"/>
          <w:b/>
          <w:color w:val="auto"/>
          <w:sz w:val="24"/>
          <w:szCs w:val="24"/>
          <w:highlight w:val="none"/>
        </w:rPr>
        <w:t>：</w:t>
      </w:r>
    </w:p>
    <w:p w14:paraId="4075B620">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bookmarkStart w:id="59" w:name="_Toc113269385"/>
      <w:bookmarkStart w:id="60" w:name="_Toc113269438"/>
      <w:bookmarkStart w:id="61" w:name="_Toc120939369"/>
      <w:r>
        <w:rPr>
          <w:rFonts w:hint="eastAsia" w:ascii="仿宋" w:hAnsi="仿宋" w:eastAsia="仿宋" w:cs="仿宋"/>
          <w:color w:val="auto"/>
          <w:sz w:val="24"/>
          <w:szCs w:val="24"/>
          <w:highlight w:val="none"/>
        </w:rPr>
        <w:t>1.土建设施</w:t>
      </w:r>
    </w:p>
    <w:p w14:paraId="39149960">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隧道的各类土木建筑工程结构设施，如洞门、洞身、路面、防</w:t>
      </w:r>
      <w:r>
        <w:rPr>
          <w:rFonts w:hint="eastAsia" w:ascii="仿宋" w:hAnsi="仿宋" w:eastAsia="仿宋" w:cs="仿宋"/>
          <w:color w:val="auto"/>
          <w:sz w:val="24"/>
          <w:szCs w:val="24"/>
          <w:highlight w:val="none"/>
          <w:lang w:eastAsia="zh-CN"/>
        </w:rPr>
        <w:t>水设施、</w:t>
      </w:r>
      <w:r>
        <w:rPr>
          <w:rFonts w:hint="eastAsia" w:ascii="仿宋" w:hAnsi="仿宋" w:eastAsia="仿宋" w:cs="仿宋"/>
          <w:color w:val="auto"/>
          <w:sz w:val="24"/>
          <w:szCs w:val="24"/>
          <w:highlight w:val="none"/>
        </w:rPr>
        <w:t>排水设施、斜（竖）井、检修道、风道等结构设施。</w:t>
      </w:r>
      <w:bookmarkEnd w:id="59"/>
      <w:bookmarkEnd w:id="60"/>
      <w:bookmarkEnd w:id="61"/>
    </w:p>
    <w:p w14:paraId="105AB47A">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bookmarkStart w:id="62" w:name="_Toc120939370"/>
      <w:bookmarkStart w:id="63" w:name="_Toc113269386"/>
      <w:bookmarkStart w:id="64" w:name="_Toc113269439"/>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隧道</w:t>
      </w:r>
      <w:r>
        <w:rPr>
          <w:rFonts w:hint="eastAsia" w:ascii="仿宋" w:hAnsi="仿宋" w:eastAsia="仿宋" w:cs="仿宋"/>
          <w:color w:val="auto"/>
          <w:sz w:val="24"/>
          <w:szCs w:val="24"/>
          <w:highlight w:val="none"/>
        </w:rPr>
        <w:t>保洁</w:t>
      </w:r>
    </w:p>
    <w:p w14:paraId="3FCA6259">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在每周隧道封闭养护期间开展深度保洁，含地面清扫、冲洗，隧道内垃圾清理，隧道巡视、定期评定（1次/年），清扫隧道</w:t>
      </w:r>
      <w:r>
        <w:rPr>
          <w:rFonts w:hint="eastAsia" w:ascii="仿宋" w:hAnsi="仿宋" w:eastAsia="仿宋" w:cs="仿宋"/>
          <w:color w:val="auto"/>
          <w:sz w:val="24"/>
          <w:szCs w:val="24"/>
          <w:highlight w:val="none"/>
        </w:rPr>
        <w:t>结构物脏污、清理（疏通）排水设施，保持隧道</w:t>
      </w:r>
      <w:r>
        <w:rPr>
          <w:rFonts w:hint="eastAsia" w:ascii="仿宋" w:hAnsi="仿宋" w:eastAsia="仿宋" w:cs="仿宋"/>
          <w:color w:val="auto"/>
          <w:sz w:val="24"/>
          <w:szCs w:val="24"/>
          <w:highlight w:val="none"/>
          <w:lang w:val="en-US" w:eastAsia="zh-CN"/>
        </w:rPr>
        <w:t>侧壁</w:t>
      </w:r>
      <w:r>
        <w:rPr>
          <w:rFonts w:hint="eastAsia" w:ascii="仿宋" w:hAnsi="仿宋" w:eastAsia="仿宋" w:cs="仿宋"/>
          <w:color w:val="auto"/>
          <w:sz w:val="24"/>
          <w:szCs w:val="24"/>
          <w:highlight w:val="none"/>
        </w:rPr>
        <w:t>外观的干净整洁。</w:t>
      </w:r>
      <w:bookmarkEnd w:id="62"/>
      <w:bookmarkEnd w:id="63"/>
      <w:bookmarkEnd w:id="64"/>
    </w:p>
    <w:p w14:paraId="7A86437F">
      <w:pPr>
        <w:pStyle w:val="620"/>
        <w:keepNext w:val="0"/>
        <w:keepLines w:val="0"/>
        <w:pageBreakBefore w:val="0"/>
        <w:kinsoku/>
        <w:wordWrap/>
        <w:overflowPunct/>
        <w:topLinePunct w:val="0"/>
        <w:bidi w:val="0"/>
        <w:adjustRightInd/>
        <w:snapToGrid/>
        <w:spacing w:line="360" w:lineRule="auto"/>
        <w:ind w:left="476" w:leftChars="17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3.保养维修</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预防性地对结构物进行维护，修复结构物轻微破损，保持结构物完好状态。</w:t>
      </w:r>
    </w:p>
    <w:p w14:paraId="140524F7">
      <w:pPr>
        <w:pStyle w:val="620"/>
        <w:keepNext w:val="0"/>
        <w:keepLines w:val="0"/>
        <w:pageBreakBefore w:val="0"/>
        <w:kinsoku/>
        <w:wordWrap/>
        <w:overflowPunct/>
        <w:topLinePunct w:val="0"/>
        <w:bidi w:val="0"/>
        <w:adjustRightInd/>
        <w:snapToGrid/>
        <w:spacing w:line="360" w:lineRule="auto"/>
        <w:ind w:left="476" w:leftChars="17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4.经常性检查</w:t>
      </w:r>
    </w:p>
    <w:p w14:paraId="5AFBD95F">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对土建结构的外观状况进行的日常巡视检查，及时发现早期破损、显著病害或其他异常情况，进行小修保养。</w:t>
      </w:r>
    </w:p>
    <w:p w14:paraId="216F72D0">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定期检查</w:t>
      </w:r>
    </w:p>
    <w:p w14:paraId="3591C08F">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按规定周期对土建结构的基本技术状况进行全面检查，系统掌握结构基本技术状况，评定结构物功能状态，为制定隧道年度</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工作计划提供依据。</w:t>
      </w:r>
    </w:p>
    <w:p w14:paraId="4A18129D">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6.特别检查</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在隧道遭遇自然灾害、发生交通事故等使隧道结构受损后，对遭受影响的结构立即进行的详细检查，通过特别检查，应及时掌握结构受损情况，为采取对策措施提供依据。</w:t>
      </w:r>
    </w:p>
    <w:p w14:paraId="7102EB34">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专项检测</w:t>
      </w:r>
    </w:p>
    <w:p w14:paraId="29AAD540">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含隧道隧道沉降监测及位移监测、渗水量检测、渗漏点检测、混凝土碳化检测等内容，</w:t>
      </w:r>
      <w:r>
        <w:rPr>
          <w:rFonts w:hint="eastAsia" w:ascii="仿宋" w:hAnsi="仿宋" w:eastAsia="仿宋" w:cs="仿宋"/>
          <w:color w:val="auto"/>
          <w:sz w:val="24"/>
          <w:szCs w:val="24"/>
          <w:highlight w:val="none"/>
        </w:rPr>
        <w:t>根据定期检查和特别检查的结果，或者通过其他途径，判断需要进一步查明某些破损或病害的详细情况而进行的更深入的专门检测，完整掌握破损或病害的详细资料，为其是否实施处治以及采取何种处置措施等提供技术依据。</w:t>
      </w:r>
    </w:p>
    <w:p w14:paraId="330A0B6A">
      <w:pPr>
        <w:pStyle w:val="620"/>
        <w:keepNext w:val="0"/>
        <w:keepLines w:val="0"/>
        <w:pageBreakBefore w:val="0"/>
        <w:numPr>
          <w:ilvl w:val="0"/>
          <w:numId w:val="0"/>
        </w:numPr>
        <w:kinsoku/>
        <w:wordWrap/>
        <w:overflowPunct/>
        <w:topLinePunct w:val="0"/>
        <w:bidi w:val="0"/>
        <w:adjustRightInd/>
        <w:snapToGrid/>
        <w:spacing w:line="360" w:lineRule="auto"/>
        <w:ind w:left="319" w:leftChars="11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8.</w:t>
      </w:r>
      <w:r>
        <w:rPr>
          <w:rFonts w:hint="eastAsia" w:ascii="仿宋" w:hAnsi="仿宋" w:eastAsia="仿宋" w:cs="仿宋"/>
          <w:color w:val="auto"/>
          <w:sz w:val="24"/>
          <w:szCs w:val="24"/>
          <w:highlight w:val="none"/>
        </w:rPr>
        <w:t>机电设施</w:t>
      </w:r>
    </w:p>
    <w:p w14:paraId="58C73715">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隧道运行服务的相关机电设施，包括供配电系统、照明系统、通风系统、给排水消防救援系统、监控系统等。 </w:t>
      </w:r>
    </w:p>
    <w:p w14:paraId="0E178F8F">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9.</w:t>
      </w:r>
      <w:r>
        <w:rPr>
          <w:rFonts w:hint="eastAsia" w:ascii="仿宋" w:hAnsi="仿宋" w:eastAsia="仿宋" w:cs="仿宋"/>
          <w:color w:val="auto"/>
          <w:sz w:val="24"/>
          <w:szCs w:val="24"/>
          <w:highlight w:val="none"/>
        </w:rPr>
        <w:t>机电设施日常检查维护</w:t>
      </w:r>
    </w:p>
    <w:p w14:paraId="103D910E">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通过目测对机电设施外观和运行状态进行的一般巡视检查，同时进行保洁，以及简易零部件的更换工作。</w:t>
      </w:r>
    </w:p>
    <w:p w14:paraId="641398AD">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10.</w:t>
      </w:r>
      <w:r>
        <w:rPr>
          <w:rFonts w:hint="eastAsia" w:ascii="仿宋" w:hAnsi="仿宋" w:eastAsia="仿宋" w:cs="仿宋"/>
          <w:color w:val="auto"/>
          <w:sz w:val="24"/>
          <w:szCs w:val="24"/>
          <w:highlight w:val="none"/>
        </w:rPr>
        <w:t>机电设施经常性检修</w:t>
      </w:r>
    </w:p>
    <w:p w14:paraId="50AAD952">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通过目测或仪器，对设施仪表读数、运行状态或损伤情况进行的检查，对破损零部件应及时进行维修。 </w:t>
      </w:r>
    </w:p>
    <w:p w14:paraId="5EBCCDBD">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11.</w:t>
      </w:r>
      <w:r>
        <w:rPr>
          <w:rFonts w:hint="eastAsia" w:ascii="仿宋" w:hAnsi="仿宋" w:eastAsia="仿宋" w:cs="仿宋"/>
          <w:color w:val="auto"/>
          <w:sz w:val="24"/>
          <w:szCs w:val="24"/>
          <w:highlight w:val="none"/>
        </w:rPr>
        <w:t>机电设施定期检修</w:t>
      </w:r>
    </w:p>
    <w:p w14:paraId="47AEA1AF">
      <w:pPr>
        <w:pStyle w:val="620"/>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通过检测仪器对仪表进行标定，和对连接及装配状态等机电设施运行情况和功能进行的比较全面检查和维修。 </w:t>
      </w:r>
    </w:p>
    <w:p w14:paraId="26025A7C">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.供电系统</w:t>
      </w:r>
    </w:p>
    <w:p w14:paraId="1FDBD971">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主要包括电力变压器、低压开关柜、低压母线、电力电缆、控制电缆等为隧道用电设施服务的供配电及辅助设施。</w:t>
      </w:r>
    </w:p>
    <w:p w14:paraId="51533D25">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.照明系统</w:t>
      </w:r>
    </w:p>
    <w:p w14:paraId="45968AD4">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主要包括隧道内以及管理房灯具、托架、标志及信号灯照明线路等为隧道运行提供照明服务设施。</w:t>
      </w:r>
    </w:p>
    <w:p w14:paraId="6A42C52E">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.通风系统</w:t>
      </w:r>
    </w:p>
    <w:p w14:paraId="5CEE476F">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主要包括轴流风机、离心风机、射流风机及消音设备等其配套设施等。</w:t>
      </w:r>
    </w:p>
    <w:p w14:paraId="0EBC93CB">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.给排水、消防救援系统</w:t>
      </w:r>
    </w:p>
    <w:p w14:paraId="38163608">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主要包括给水水泵、雨水水泵、污水水泵、消防水泵以及管道附属设施、火灾报警装置、紧急电话、消防设施、逃生通道、横通道设施等用于隧道给水、雨污排水设施和消防救援设施。</w:t>
      </w:r>
    </w:p>
    <w:p w14:paraId="74B2BA45">
      <w:pPr>
        <w:pStyle w:val="620"/>
        <w:keepNext w:val="0"/>
        <w:keepLines w:val="0"/>
        <w:pageBreakBefore w:val="0"/>
        <w:kinsoku/>
        <w:wordWrap/>
        <w:overflowPunct/>
        <w:topLinePunct w:val="0"/>
        <w:bidi w:val="0"/>
        <w:adjustRightInd/>
        <w:snapToGrid/>
        <w:spacing w:line="360" w:lineRule="auto"/>
        <w:ind w:left="476" w:leftChars="17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.其他设施</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包括环保设施、房屋设施</w:t>
      </w:r>
      <w:r>
        <w:rPr>
          <w:rFonts w:hint="eastAsia" w:ascii="仿宋" w:hAnsi="仿宋" w:eastAsia="仿宋" w:cs="仿宋"/>
          <w:color w:val="auto"/>
          <w:sz w:val="24"/>
          <w:szCs w:val="24"/>
          <w:highlight w:val="none"/>
          <w:lang w:eastAsia="zh-CN"/>
        </w:rPr>
        <w:t>、监控设施</w:t>
      </w:r>
      <w:r>
        <w:rPr>
          <w:rFonts w:hint="eastAsia" w:ascii="仿宋" w:hAnsi="仿宋" w:eastAsia="仿宋" w:cs="仿宋"/>
          <w:color w:val="auto"/>
          <w:sz w:val="24"/>
          <w:szCs w:val="24"/>
          <w:highlight w:val="none"/>
        </w:rPr>
        <w:t>等。</w:t>
      </w:r>
    </w:p>
    <w:p w14:paraId="3190805E">
      <w:pPr>
        <w:pStyle w:val="620"/>
        <w:keepNext w:val="0"/>
        <w:keepLines w:val="0"/>
        <w:pageBreakBefore w:val="0"/>
        <w:kinsoku/>
        <w:wordWrap/>
        <w:overflowPunct/>
        <w:topLinePunct w:val="0"/>
        <w:bidi w:val="0"/>
        <w:adjustRightInd/>
        <w:snapToGrid/>
        <w:spacing w:line="360" w:lineRule="auto"/>
        <w:ind w:left="476" w:leftChars="17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17</w:t>
      </w:r>
      <w:r>
        <w:rPr>
          <w:rFonts w:hint="eastAsia" w:ascii="仿宋" w:hAnsi="仿宋" w:eastAsia="仿宋" w:cs="仿宋"/>
          <w:color w:val="auto"/>
          <w:sz w:val="24"/>
          <w:szCs w:val="24"/>
          <w:highlight w:val="none"/>
        </w:rPr>
        <w:t>.房屋设施</w:t>
      </w:r>
      <w:r>
        <w:rPr>
          <w:rFonts w:hint="eastAsia" w:ascii="仿宋" w:hAnsi="仿宋" w:eastAsia="仿宋" w:cs="仿宋"/>
          <w:color w:val="auto"/>
          <w:sz w:val="24"/>
          <w:szCs w:val="24"/>
          <w:highlight w:val="none"/>
        </w:rPr>
        <w:br w:type="textWrapping"/>
      </w:r>
      <w:r>
        <w:rPr>
          <w:rFonts w:hint="eastAsia" w:ascii="仿宋" w:hAnsi="仿宋" w:eastAsia="仿宋" w:cs="仿宋"/>
          <w:color w:val="auto"/>
          <w:sz w:val="24"/>
          <w:szCs w:val="24"/>
          <w:highlight w:val="none"/>
        </w:rPr>
        <w:t>隧道运行服务的生产、生活等用房。</w:t>
      </w:r>
    </w:p>
    <w:p w14:paraId="378474EC">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18.标志标牌设施</w:t>
      </w:r>
    </w:p>
    <w:p w14:paraId="3AEE935B">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包含隧道内各种交通标志标牌等设施。</w:t>
      </w:r>
    </w:p>
    <w:p w14:paraId="6B297C8F">
      <w:pPr>
        <w:pStyle w:val="535"/>
        <w:keepNext w:val="0"/>
        <w:keepLines w:val="0"/>
        <w:pageBreakBefore w:val="0"/>
        <w:numPr>
          <w:ilvl w:val="0"/>
          <w:numId w:val="0"/>
        </w:numPr>
        <w:kinsoku/>
        <w:wordWrap/>
        <w:overflowPunct/>
        <w:topLinePunct w:val="0"/>
        <w:bidi w:val="0"/>
        <w:adjustRightInd/>
        <w:snapToGrid/>
        <w:spacing w:before="0" w:beforeLines="0" w:after="0" w:afterLines="0" w:line="360" w:lineRule="auto"/>
        <w:textAlignment w:val="auto"/>
        <w:outlineLvl w:val="9"/>
        <w:rPr>
          <w:rFonts w:hint="eastAsia" w:ascii="仿宋" w:hAnsi="仿宋" w:eastAsia="仿宋" w:cs="仿宋"/>
          <w:b/>
          <w:color w:val="auto"/>
          <w:sz w:val="24"/>
          <w:szCs w:val="24"/>
          <w:highlight w:val="none"/>
        </w:rPr>
      </w:pPr>
      <w:bookmarkStart w:id="65" w:name="_Toc125552505"/>
      <w:bookmarkStart w:id="66" w:name="_Toc125343808"/>
      <w:bookmarkStart w:id="67" w:name="_Toc132648438"/>
      <w:bookmarkStart w:id="68" w:name="_Toc132615120"/>
      <w:bookmarkStart w:id="69" w:name="_Toc132648333"/>
      <w:bookmarkStart w:id="70" w:name="_Toc130030065"/>
      <w:bookmarkStart w:id="71" w:name="_Toc125552654"/>
      <w:bookmarkStart w:id="72" w:name="_Toc132677244"/>
      <w:bookmarkStart w:id="73" w:name="_Toc132614013"/>
      <w:bookmarkStart w:id="74" w:name="_Toc132648399"/>
      <w:r>
        <w:rPr>
          <w:rFonts w:hint="eastAsia" w:ascii="仿宋" w:hAnsi="仿宋" w:eastAsia="仿宋" w:cs="仿宋"/>
          <w:b/>
          <w:color w:val="auto"/>
          <w:sz w:val="24"/>
          <w:szCs w:val="24"/>
          <w:highlight w:val="none"/>
          <w:lang w:eastAsia="zh-CN"/>
        </w:rPr>
        <w:t>四</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运维服务</w:t>
      </w:r>
      <w:r>
        <w:rPr>
          <w:rFonts w:hint="eastAsia" w:ascii="仿宋" w:hAnsi="仿宋" w:eastAsia="仿宋" w:cs="仿宋"/>
          <w:b/>
          <w:color w:val="auto"/>
          <w:sz w:val="24"/>
          <w:szCs w:val="24"/>
          <w:highlight w:val="none"/>
        </w:rPr>
        <w:t>基本要求</w:t>
      </w:r>
      <w:bookmarkEnd w:id="65"/>
      <w:bookmarkEnd w:id="66"/>
      <w:bookmarkEnd w:id="67"/>
      <w:bookmarkEnd w:id="68"/>
      <w:bookmarkEnd w:id="69"/>
      <w:bookmarkEnd w:id="70"/>
      <w:bookmarkEnd w:id="71"/>
      <w:bookmarkEnd w:id="72"/>
      <w:bookmarkEnd w:id="73"/>
      <w:bookmarkEnd w:id="74"/>
    </w:p>
    <w:p w14:paraId="67E6981F">
      <w:pPr>
        <w:pStyle w:val="620"/>
        <w:keepNext w:val="0"/>
        <w:keepLines w:val="0"/>
        <w:pageBreakBefore w:val="0"/>
        <w:kinsoku/>
        <w:wordWrap/>
        <w:overflowPunct/>
        <w:topLinePunct w:val="0"/>
        <w:bidi w:val="0"/>
        <w:adjustRightInd/>
        <w:snapToGrid/>
        <w:spacing w:line="360" w:lineRule="auto"/>
        <w:ind w:firstLine="482" w:firstLineChars="200"/>
        <w:textAlignment w:val="auto"/>
        <w:outlineLvl w:val="9"/>
        <w:rPr>
          <w:rFonts w:hint="eastAsia" w:ascii="仿宋" w:hAnsi="仿宋" w:eastAsia="仿宋" w:cs="仿宋"/>
          <w:b/>
          <w:bCs/>
          <w:color w:val="auto"/>
          <w:sz w:val="24"/>
          <w:szCs w:val="24"/>
          <w:highlight w:val="none"/>
          <w:u w:val="none"/>
        </w:rPr>
      </w:pPr>
      <w:bookmarkStart w:id="75" w:name="_Toc120939375"/>
      <w:bookmarkStart w:id="76" w:name="_Toc113269444"/>
      <w:bookmarkStart w:id="77" w:name="_Toc113269391"/>
      <w:r>
        <w:rPr>
          <w:rFonts w:hint="eastAsia" w:ascii="仿宋" w:hAnsi="仿宋" w:eastAsia="仿宋" w:cs="仿宋"/>
          <w:b/>
          <w:bCs/>
          <w:color w:val="auto"/>
          <w:sz w:val="24"/>
          <w:szCs w:val="24"/>
          <w:highlight w:val="none"/>
          <w:u w:val="none"/>
        </w:rPr>
        <w:t>1</w:t>
      </w:r>
      <w:r>
        <w:rPr>
          <w:rFonts w:hint="eastAsia" w:ascii="仿宋" w:hAnsi="仿宋" w:eastAsia="仿宋" w:cs="仿宋"/>
          <w:b/>
          <w:bCs/>
          <w:color w:val="auto"/>
          <w:sz w:val="24"/>
          <w:szCs w:val="24"/>
          <w:highlight w:val="none"/>
          <w:u w:val="none"/>
          <w:lang w:val="en-US" w:eastAsia="zh-CN"/>
        </w:rPr>
        <w:t>.</w:t>
      </w:r>
      <w:r>
        <w:rPr>
          <w:rFonts w:hint="eastAsia" w:ascii="仿宋" w:hAnsi="仿宋" w:eastAsia="仿宋" w:cs="仿宋"/>
          <w:b/>
          <w:bCs/>
          <w:color w:val="auto"/>
          <w:sz w:val="24"/>
          <w:szCs w:val="24"/>
          <w:highlight w:val="none"/>
          <w:u w:val="none"/>
          <w:lang w:eastAsia="zh-CN"/>
        </w:rPr>
        <w:t>运维服务</w:t>
      </w:r>
      <w:r>
        <w:rPr>
          <w:rFonts w:hint="eastAsia" w:ascii="仿宋" w:hAnsi="仿宋" w:eastAsia="仿宋" w:cs="仿宋"/>
          <w:b/>
          <w:bCs/>
          <w:color w:val="auto"/>
          <w:sz w:val="24"/>
          <w:szCs w:val="24"/>
          <w:highlight w:val="none"/>
          <w:u w:val="none"/>
        </w:rPr>
        <w:t>方案</w:t>
      </w:r>
    </w:p>
    <w:p w14:paraId="2DE680F0">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r>
        <w:rPr>
          <w:rFonts w:hint="eastAsia" w:ascii="仿宋" w:hAnsi="仿宋" w:eastAsia="仿宋" w:cs="仿宋"/>
          <w:color w:val="auto"/>
          <w:sz w:val="24"/>
          <w:szCs w:val="24"/>
          <w:highlight w:val="none"/>
          <w:lang w:eastAsia="zh-CN"/>
        </w:rPr>
        <w:t>中标人</w:t>
      </w:r>
      <w:r>
        <w:rPr>
          <w:rFonts w:hint="eastAsia" w:ascii="仿宋" w:hAnsi="仿宋" w:eastAsia="仿宋" w:cs="仿宋"/>
          <w:color w:val="auto"/>
          <w:sz w:val="24"/>
          <w:szCs w:val="24"/>
          <w:highlight w:val="none"/>
        </w:rPr>
        <w:t>应根据隧道实际的围岩地质条件、结构和设施状况、交通运行条件、病害程度及隧道类别等制定针对性的详尽科学的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方案。</w:t>
      </w:r>
      <w:bookmarkStart w:id="78" w:name="_Toc115592221"/>
      <w:bookmarkStart w:id="79" w:name="_Toc113241590"/>
      <w:bookmarkStart w:id="80" w:name="_Toc113251207"/>
    </w:p>
    <w:p w14:paraId="6FE08910">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内容</w:t>
      </w:r>
    </w:p>
    <w:p w14:paraId="7AE8CFD6">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包括隧道的土建设施、机电设施、其他设施</w:t>
      </w:r>
      <w:bookmarkEnd w:id="78"/>
      <w:bookmarkEnd w:id="79"/>
      <w:bookmarkEnd w:id="80"/>
      <w:r>
        <w:rPr>
          <w:rFonts w:hint="eastAsia" w:ascii="仿宋" w:hAnsi="仿宋" w:eastAsia="仿宋" w:cs="仿宋"/>
          <w:color w:val="auto"/>
          <w:sz w:val="24"/>
          <w:szCs w:val="24"/>
          <w:highlight w:val="none"/>
        </w:rPr>
        <w:t>、档案资料、安全管理等。</w:t>
      </w:r>
    </w:p>
    <w:bookmarkEnd w:id="75"/>
    <w:bookmarkEnd w:id="76"/>
    <w:bookmarkEnd w:id="77"/>
    <w:p w14:paraId="3F211224">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分类</w:t>
      </w:r>
    </w:p>
    <w:p w14:paraId="442835ED">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为城市主干道；要求按一等</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的城市隧道进行重点</w:t>
      </w:r>
      <w:r>
        <w:rPr>
          <w:rFonts w:hint="eastAsia" w:ascii="仿宋" w:hAnsi="仿宋" w:eastAsia="仿宋" w:cs="仿宋"/>
          <w:color w:val="auto"/>
          <w:sz w:val="24"/>
          <w:szCs w:val="24"/>
          <w:highlight w:val="none"/>
          <w:lang w:val="en-US" w:eastAsia="zh-CN"/>
        </w:rPr>
        <w:t>维护</w:t>
      </w:r>
      <w:r>
        <w:rPr>
          <w:rFonts w:hint="eastAsia" w:ascii="仿宋" w:hAnsi="仿宋" w:eastAsia="仿宋" w:cs="仿宋"/>
          <w:color w:val="auto"/>
          <w:sz w:val="24"/>
          <w:szCs w:val="24"/>
          <w:highlight w:val="none"/>
        </w:rPr>
        <w:t>。</w:t>
      </w:r>
    </w:p>
    <w:p w14:paraId="02397F03">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安全要求</w:t>
      </w:r>
    </w:p>
    <w:p w14:paraId="0C6E30A4">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 隧道应安全、完好、整洁，隧道进口必须设置限速的交通标志，有限高要求的隧道应设置限高标志，如在</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合同期内出现安全事故由</w:t>
      </w:r>
      <w:r>
        <w:rPr>
          <w:rFonts w:hint="eastAsia" w:ascii="仿宋" w:hAnsi="仿宋" w:eastAsia="仿宋" w:cs="仿宋"/>
          <w:color w:val="auto"/>
          <w:sz w:val="24"/>
          <w:szCs w:val="24"/>
          <w:highlight w:val="none"/>
          <w:lang w:eastAsia="zh-CN"/>
        </w:rPr>
        <w:t>中标人</w:t>
      </w:r>
      <w:r>
        <w:rPr>
          <w:rFonts w:hint="eastAsia" w:ascii="仿宋" w:hAnsi="仿宋" w:eastAsia="仿宋" w:cs="仿宋"/>
          <w:color w:val="auto"/>
          <w:sz w:val="24"/>
          <w:szCs w:val="24"/>
          <w:highlight w:val="none"/>
        </w:rPr>
        <w:t>承包全部责任。</w:t>
      </w:r>
    </w:p>
    <w:p w14:paraId="45A04AF9">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城市隧道的防水、排水、通风、照明、消防和防汛等设施，必须齐全有效。在城市隧道范围内增加静荷载（构筑物、风雨棚、广告牌、管线等）必须满足隧道安全技术要求。</w:t>
      </w:r>
    </w:p>
    <w:p w14:paraId="23548459">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.3 隧道内禁止布设易燃、易爆等危险管线。</w:t>
      </w:r>
    </w:p>
    <w:p w14:paraId="02C6CDAB">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.4 隧道内</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作业不中断交通时，作业区间必须设置明显的安全标志，警示灯等，采取措施、保证安全并减少对交通的干扰。</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作业必须文明</w:t>
      </w:r>
      <w:r>
        <w:rPr>
          <w:rFonts w:hint="eastAsia" w:ascii="仿宋" w:hAnsi="仿宋" w:eastAsia="仿宋" w:cs="仿宋"/>
          <w:color w:val="auto"/>
          <w:sz w:val="24"/>
          <w:szCs w:val="24"/>
          <w:highlight w:val="none"/>
          <w:lang w:val="en-US" w:eastAsia="zh-CN"/>
        </w:rPr>
        <w:t>管理</w:t>
      </w:r>
      <w:r>
        <w:rPr>
          <w:rFonts w:hint="eastAsia" w:ascii="仿宋" w:hAnsi="仿宋" w:eastAsia="仿宋" w:cs="仿宋"/>
          <w:color w:val="auto"/>
          <w:sz w:val="24"/>
          <w:szCs w:val="24"/>
          <w:highlight w:val="none"/>
        </w:rPr>
        <w:t>，做到工完、料清、场净。</w:t>
      </w:r>
    </w:p>
    <w:p w14:paraId="3D115D07">
      <w:pPr>
        <w:pStyle w:val="359"/>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1.4.5 在运维服务合同期内范围内发生安全事故由运维服务中标人承担全部责任。</w:t>
      </w:r>
    </w:p>
    <w:p w14:paraId="1D0398C6">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维修要求</w:t>
      </w:r>
    </w:p>
    <w:p w14:paraId="09CE585B">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 所使用的原材料、成品、半成品等必须合格。</w:t>
      </w:r>
    </w:p>
    <w:p w14:paraId="20323ABA">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 隧道</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作业应不断提高技术装备率和动力装备率，城市隧道</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维修应贯彻国家技术经济政策，积极而谨慎地采用新技术、新材料、新设备、新工艺，使</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维修达到安全实用，质量可靠、经济合理，技术先进的要求。</w:t>
      </w:r>
    </w:p>
    <w:p w14:paraId="7F7D5448">
      <w:pPr>
        <w:pStyle w:val="620"/>
        <w:keepNext w:val="0"/>
        <w:keepLines w:val="0"/>
        <w:pageBreakBefore w:val="0"/>
        <w:kinsoku/>
        <w:wordWrap/>
        <w:overflowPunct/>
        <w:topLinePunct w:val="0"/>
        <w:bidi w:val="0"/>
        <w:adjustRightInd/>
        <w:snapToGrid/>
        <w:spacing w:line="360" w:lineRule="auto"/>
        <w:ind w:firstLine="470" w:firstLineChars="196"/>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.3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维修完成后，应进行跟踪观察和监测，了解处置效果。</w:t>
      </w:r>
    </w:p>
    <w:p w14:paraId="12A2C324">
      <w:pPr>
        <w:pStyle w:val="535"/>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2" w:firstLineChars="200"/>
        <w:textAlignment w:val="auto"/>
        <w:outlineLvl w:val="9"/>
        <w:rPr>
          <w:rFonts w:hint="eastAsia" w:ascii="仿宋" w:hAnsi="仿宋" w:eastAsia="仿宋" w:cs="仿宋"/>
          <w:b/>
          <w:color w:val="auto"/>
          <w:sz w:val="24"/>
          <w:szCs w:val="24"/>
          <w:highlight w:val="none"/>
        </w:rPr>
      </w:pPr>
      <w:bookmarkStart w:id="81" w:name="_Toc113251279"/>
      <w:bookmarkStart w:id="82" w:name="_Toc115592299"/>
      <w:bookmarkStart w:id="83" w:name="_Toc115592609"/>
      <w:bookmarkStart w:id="84" w:name="_Toc125552655"/>
      <w:bookmarkStart w:id="85" w:name="_Toc115594225"/>
      <w:bookmarkStart w:id="86" w:name="_Toc125552506"/>
      <w:bookmarkStart w:id="87" w:name="_Toc113332540"/>
      <w:bookmarkStart w:id="88" w:name="_Toc115594665"/>
      <w:bookmarkStart w:id="89" w:name="_Toc115593648"/>
      <w:bookmarkStart w:id="90" w:name="_Toc125343809"/>
      <w:bookmarkStart w:id="91" w:name="_Toc115592650"/>
      <w:bookmarkStart w:id="92" w:name="_Toc113330713"/>
      <w:bookmarkStart w:id="93" w:name="_Toc113251368"/>
      <w:bookmarkStart w:id="94" w:name="_Toc115594168"/>
      <w:bookmarkStart w:id="95" w:name="_Toc113251219"/>
      <w:bookmarkStart w:id="96" w:name="_Toc115592236"/>
      <w:bookmarkStart w:id="97" w:name="_Toc113241609"/>
      <w:bookmarkStart w:id="98" w:name="_Toc130030066"/>
      <w:bookmarkStart w:id="99" w:name="_Toc132615121"/>
      <w:bookmarkStart w:id="100" w:name="_Toc115592091"/>
      <w:bookmarkStart w:id="101" w:name="_Toc132614014"/>
      <w:bookmarkStart w:id="102" w:name="_Toc115594044"/>
      <w:bookmarkStart w:id="103" w:name="_Toc113273287"/>
      <w:bookmarkStart w:id="104" w:name="_Toc115592267"/>
      <w:bookmarkStart w:id="105" w:name="_Toc132677245"/>
      <w:bookmarkStart w:id="106" w:name="_Toc132648334"/>
      <w:bookmarkStart w:id="107" w:name="_Toc132648439"/>
      <w:bookmarkStart w:id="108" w:name="_Toc132648400"/>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土建</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r>
        <w:rPr>
          <w:rFonts w:hint="eastAsia" w:ascii="仿宋" w:hAnsi="仿宋" w:eastAsia="仿宋" w:cs="仿宋"/>
          <w:b/>
          <w:color w:val="auto"/>
          <w:sz w:val="24"/>
          <w:szCs w:val="24"/>
          <w:highlight w:val="none"/>
        </w:rPr>
        <w:t>设施</w:t>
      </w:r>
      <w:bookmarkEnd w:id="105"/>
      <w:bookmarkEnd w:id="106"/>
      <w:bookmarkEnd w:id="107"/>
      <w:bookmarkEnd w:id="108"/>
    </w:p>
    <w:p w14:paraId="0135B7F8">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bookmarkStart w:id="109" w:name="_Toc113241612"/>
      <w:r>
        <w:rPr>
          <w:rFonts w:hint="eastAsia" w:ascii="仿宋" w:hAnsi="仿宋" w:eastAsia="仿宋" w:cs="仿宋"/>
          <w:color w:val="auto"/>
          <w:sz w:val="24"/>
          <w:szCs w:val="24"/>
          <w:highlight w:val="none"/>
        </w:rPr>
        <w:t xml:space="preserve">2.1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内容</w:t>
      </w:r>
    </w:p>
    <w:p w14:paraId="27623678">
      <w:pPr>
        <w:pStyle w:val="620"/>
        <w:keepNext w:val="0"/>
        <w:keepLines w:val="0"/>
        <w:pageBreakBefore w:val="0"/>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分为清扫保洁、保养维修、经常性检查、定期检查、特别检查和专项检测六个部分</w:t>
      </w:r>
      <w:bookmarkEnd w:id="109"/>
      <w:r>
        <w:rPr>
          <w:rFonts w:hint="eastAsia" w:ascii="仿宋" w:hAnsi="仿宋" w:eastAsia="仿宋" w:cs="仿宋"/>
          <w:color w:val="auto"/>
          <w:sz w:val="24"/>
          <w:szCs w:val="24"/>
          <w:highlight w:val="none"/>
        </w:rPr>
        <w:t>。</w:t>
      </w:r>
      <w:bookmarkStart w:id="110" w:name="_Toc113241613"/>
    </w:p>
    <w:p w14:paraId="37F6A762">
      <w:pPr>
        <w:keepNext w:val="0"/>
        <w:keepLines w:val="0"/>
        <w:pageBreakBefore w:val="0"/>
        <w:widowControl/>
        <w:kinsoku/>
        <w:wordWrap/>
        <w:overflowPunct/>
        <w:topLinePunct w:val="0"/>
        <w:bidi w:val="0"/>
        <w:adjustRightInd/>
        <w:snapToGrid/>
        <w:spacing w:beforeLines="0" w:line="360" w:lineRule="auto"/>
        <w:ind w:firstLine="480" w:firstLineChars="20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 定期检查和特别检查的结果，按规定分为三类判定；专项检测的结果，按规定分为四类判定。</w:t>
      </w:r>
    </w:p>
    <w:bookmarkEnd w:id="110"/>
    <w:p w14:paraId="09BDA945">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11" w:name="_Toc113251221"/>
      <w:bookmarkStart w:id="112" w:name="_Toc115592238"/>
      <w:bookmarkStart w:id="113" w:name="_Toc113241615"/>
      <w:r>
        <w:rPr>
          <w:rFonts w:hint="eastAsia" w:ascii="仿宋" w:hAnsi="仿宋" w:eastAsia="仿宋" w:cs="仿宋"/>
          <w:color w:val="auto"/>
          <w:sz w:val="24"/>
          <w:szCs w:val="24"/>
          <w:highlight w:val="none"/>
        </w:rPr>
        <w:t xml:space="preserve">2.3 </w:t>
      </w:r>
      <w:bookmarkEnd w:id="111"/>
      <w:bookmarkEnd w:id="112"/>
      <w:bookmarkEnd w:id="113"/>
      <w:bookmarkStart w:id="114" w:name="_Toc113241616"/>
      <w:r>
        <w:rPr>
          <w:rFonts w:hint="eastAsia" w:ascii="仿宋" w:hAnsi="仿宋" w:eastAsia="仿宋" w:cs="仿宋"/>
          <w:color w:val="auto"/>
          <w:sz w:val="24"/>
          <w:szCs w:val="24"/>
          <w:highlight w:val="none"/>
          <w:lang w:val="en-US" w:eastAsia="zh-CN"/>
        </w:rPr>
        <w:t>清扫</w:t>
      </w:r>
      <w:r>
        <w:rPr>
          <w:rFonts w:hint="eastAsia" w:ascii="仿宋" w:hAnsi="仿宋" w:eastAsia="仿宋" w:cs="仿宋"/>
          <w:color w:val="auto"/>
          <w:sz w:val="24"/>
          <w:szCs w:val="24"/>
          <w:highlight w:val="none"/>
        </w:rPr>
        <w:t>保洁</w:t>
      </w:r>
    </w:p>
    <w:p w14:paraId="42ADF2E1">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w:t>
      </w:r>
      <w:bookmarkEnd w:id="114"/>
      <w:bookmarkStart w:id="115" w:name="_Toc113241617"/>
      <w:r>
        <w:rPr>
          <w:rFonts w:hint="eastAsia" w:ascii="仿宋" w:hAnsi="仿宋" w:eastAsia="仿宋" w:cs="仿宋"/>
          <w:color w:val="auto"/>
          <w:sz w:val="24"/>
          <w:szCs w:val="24"/>
          <w:highlight w:val="none"/>
        </w:rPr>
        <w:t xml:space="preserve"> 一般规定</w:t>
      </w:r>
    </w:p>
    <w:p w14:paraId="1DA1D81D">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隧道</w:t>
      </w:r>
      <w:r>
        <w:rPr>
          <w:rFonts w:hint="eastAsia" w:ascii="仿宋" w:hAnsi="仿宋" w:eastAsia="仿宋" w:cs="仿宋"/>
          <w:color w:val="auto"/>
          <w:sz w:val="24"/>
          <w:szCs w:val="24"/>
          <w:highlight w:val="none"/>
          <w:lang w:val="en-US" w:eastAsia="zh-CN"/>
        </w:rPr>
        <w:t>清扫</w:t>
      </w:r>
      <w:r>
        <w:rPr>
          <w:rFonts w:hint="eastAsia" w:ascii="仿宋" w:hAnsi="仿宋" w:eastAsia="仿宋" w:cs="仿宋"/>
          <w:color w:val="auto"/>
          <w:sz w:val="24"/>
          <w:szCs w:val="24"/>
          <w:highlight w:val="none"/>
        </w:rPr>
        <w:t>保洁应制定相应的保洁计划、保洁周期和保洁办法；</w:t>
      </w:r>
    </w:p>
    <w:p w14:paraId="2C143F9B">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b)隧道</w:t>
      </w:r>
      <w:r>
        <w:rPr>
          <w:rFonts w:hint="eastAsia" w:ascii="仿宋" w:hAnsi="仿宋" w:eastAsia="仿宋" w:cs="仿宋"/>
          <w:color w:val="auto"/>
          <w:sz w:val="24"/>
          <w:szCs w:val="24"/>
          <w:highlight w:val="none"/>
          <w:lang w:val="en-US" w:eastAsia="zh-CN"/>
        </w:rPr>
        <w:t>清扫</w:t>
      </w:r>
      <w:r>
        <w:rPr>
          <w:rFonts w:hint="eastAsia" w:ascii="仿宋" w:hAnsi="仿宋" w:eastAsia="仿宋" w:cs="仿宋"/>
          <w:color w:val="auto"/>
          <w:sz w:val="24"/>
          <w:szCs w:val="24"/>
          <w:highlight w:val="none"/>
        </w:rPr>
        <w:t>保洁原则上应以机械保洁为主。机械保洁应根据隧道的特点和所处的地理位置，制定机械清扫路线；</w:t>
      </w:r>
    </w:p>
    <w:p w14:paraId="7DFFDB85">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c)保洁作业时，应选择在交通量较小的时段进行，不得在同一隧道内的两侧同时进行清扫保洁；</w:t>
      </w:r>
    </w:p>
    <w:p w14:paraId="5C4ACBE4">
      <w:pPr>
        <w:pStyle w:val="575"/>
        <w:keepNext w:val="0"/>
        <w:keepLines w:val="0"/>
        <w:pageBreakBefore w:val="0"/>
        <w:numPr>
          <w:ilvl w:val="0"/>
          <w:numId w:val="0"/>
        </w:numPr>
        <w:tabs>
          <w:tab w:val="clear" w:pos="720"/>
          <w:tab w:val="clear" w:pos="854"/>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保洁开始前，保洁作业人员应向隧道监控中心报告，隧道监控中心应对隧道保洁全程监控，有情报板的应显示相应的提示内容，有广播系统的应开启广播。保洁结束后，保洁作业人员应向隧道监控中心报告作业完毕。</w:t>
      </w:r>
    </w:p>
    <w:bookmarkEnd w:id="115"/>
    <w:p w14:paraId="265F8D77">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16" w:name="_Toc113241618"/>
      <w:r>
        <w:rPr>
          <w:rFonts w:hint="eastAsia" w:ascii="仿宋" w:hAnsi="仿宋" w:eastAsia="仿宋" w:cs="仿宋"/>
          <w:color w:val="auto"/>
          <w:sz w:val="24"/>
          <w:szCs w:val="24"/>
          <w:highlight w:val="none"/>
        </w:rPr>
        <w:t>2.3.2 墙体、装饰层基本要求</w:t>
      </w:r>
    </w:p>
    <w:p w14:paraId="3332A93F">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a)墙体、装饰层应保持干净、整洁</w:t>
      </w:r>
      <w:bookmarkEnd w:id="116"/>
      <w:bookmarkStart w:id="117" w:name="_Toc113241619"/>
      <w:r>
        <w:rPr>
          <w:rFonts w:hint="eastAsia" w:ascii="仿宋" w:hAnsi="仿宋" w:eastAsia="仿宋" w:cs="仿宋"/>
          <w:color w:val="auto"/>
          <w:sz w:val="24"/>
          <w:szCs w:val="24"/>
          <w:highlight w:val="none"/>
        </w:rPr>
        <w:t>；</w:t>
      </w:r>
    </w:p>
    <w:p w14:paraId="27B922C2">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b)墙体、装饰层的清洁宜以机械作业为主。</w:t>
      </w:r>
    </w:p>
    <w:p w14:paraId="4C645C30">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横截沟、排水沟基本要求</w:t>
      </w:r>
      <w:bookmarkEnd w:id="117"/>
    </w:p>
    <w:p w14:paraId="093C4C42">
      <w:pPr>
        <w:pStyle w:val="575"/>
        <w:keepNext w:val="0"/>
        <w:keepLines w:val="0"/>
        <w:pageBreakBefore w:val="0"/>
        <w:numPr>
          <w:ilvl w:val="0"/>
          <w:numId w:val="0"/>
        </w:numPr>
        <w:tabs>
          <w:tab w:val="clear" w:pos="720"/>
          <w:tab w:val="clear" w:pos="854"/>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横截沟、排水沟内不应留有大块硬物、塑料制品；加强对横截沟、排水沟的清理疏通工作</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雨季时应加大清理疏通次数。</w:t>
      </w:r>
    </w:p>
    <w:p w14:paraId="119E4340">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18" w:name="_Toc113241620"/>
      <w:r>
        <w:rPr>
          <w:rFonts w:hint="eastAsia" w:ascii="仿宋" w:hAnsi="仿宋" w:eastAsia="仿宋" w:cs="仿宋"/>
          <w:color w:val="auto"/>
          <w:sz w:val="24"/>
          <w:szCs w:val="24"/>
          <w:highlight w:val="none"/>
        </w:rPr>
        <w:t>2.3.4 隧道内车道的标志灯、交通标志牌、应急指示灯、交通安全标志基本要求</w:t>
      </w:r>
    </w:p>
    <w:p w14:paraId="38A1005F">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a)应保持其清晰、醒目；</w:t>
      </w:r>
    </w:p>
    <w:p w14:paraId="1E4B1EA5">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b)当标志牌有污秽，影响其辨认性能，应及时进行清洗，清洗时，应避免损伤其表面覆膜或涂层。</w:t>
      </w:r>
      <w:bookmarkEnd w:id="118"/>
    </w:p>
    <w:p w14:paraId="1C6D5526">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2.3.5 道路路面基本要求</w:t>
      </w:r>
    </w:p>
    <w:p w14:paraId="75EA7932">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w:t>
      </w:r>
      <w:r>
        <w:rPr>
          <w:rFonts w:hint="eastAsia" w:ascii="仿宋" w:hAnsi="仿宋" w:eastAsia="仿宋" w:cs="仿宋"/>
          <w:color w:val="auto"/>
          <w:sz w:val="24"/>
          <w:szCs w:val="24"/>
          <w:highlight w:val="none"/>
          <w:lang w:val="en-US" w:eastAsia="zh-CN"/>
        </w:rPr>
        <w:t>隧道道路路面</w:t>
      </w:r>
      <w:r>
        <w:rPr>
          <w:rFonts w:hint="eastAsia" w:ascii="仿宋" w:hAnsi="仿宋" w:eastAsia="仿宋" w:cs="仿宋"/>
          <w:color w:val="auto"/>
          <w:sz w:val="24"/>
          <w:szCs w:val="24"/>
          <w:highlight w:val="none"/>
        </w:rPr>
        <w:t>应保持干净、整洁；</w:t>
      </w:r>
    </w:p>
    <w:p w14:paraId="00B69D7E">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b)</w:t>
      </w:r>
      <w:r>
        <w:rPr>
          <w:rFonts w:hint="eastAsia" w:ascii="仿宋" w:hAnsi="仿宋" w:eastAsia="仿宋" w:cs="仿宋"/>
          <w:color w:val="auto"/>
          <w:sz w:val="24"/>
          <w:szCs w:val="24"/>
          <w:highlight w:val="none"/>
          <w:lang w:val="en-US" w:eastAsia="zh-CN"/>
        </w:rPr>
        <w:t>隧道道路路面</w:t>
      </w:r>
      <w:r>
        <w:rPr>
          <w:rFonts w:hint="eastAsia" w:ascii="仿宋" w:hAnsi="仿宋" w:eastAsia="仿宋" w:cs="仿宋"/>
          <w:color w:val="auto"/>
          <w:sz w:val="24"/>
          <w:szCs w:val="24"/>
          <w:highlight w:val="none"/>
        </w:rPr>
        <w:t>的清洁宜以机械作业为主。</w:t>
      </w:r>
    </w:p>
    <w:p w14:paraId="6E801456">
      <w:pPr>
        <w:keepNext w:val="0"/>
        <w:keepLines w:val="0"/>
        <w:pageBreakBefore w:val="0"/>
        <w:widowControl/>
        <w:kinsoku/>
        <w:wordWrap/>
        <w:overflowPunct/>
        <w:topLinePunct w:val="0"/>
        <w:bidi w:val="0"/>
        <w:adjustRightInd/>
        <w:snapToGrid/>
        <w:spacing w:beforeLines="0" w:line="360" w:lineRule="auto"/>
        <w:ind w:left="480"/>
        <w:jc w:val="left"/>
        <w:textAlignment w:val="auto"/>
        <w:outlineLvl w:val="9"/>
        <w:rPr>
          <w:rFonts w:hint="eastAsia" w:ascii="仿宋" w:hAnsi="仿宋" w:eastAsia="仿宋" w:cs="仿宋"/>
          <w:color w:val="auto"/>
          <w:kern w:val="0"/>
          <w:sz w:val="24"/>
          <w:szCs w:val="24"/>
          <w:highlight w:val="none"/>
        </w:rPr>
      </w:pPr>
      <w:bookmarkStart w:id="119" w:name="_Toc113251222"/>
      <w:bookmarkStart w:id="120" w:name="_Toc113241621"/>
      <w:r>
        <w:rPr>
          <w:rFonts w:hint="eastAsia" w:ascii="仿宋" w:hAnsi="仿宋" w:eastAsia="仿宋" w:cs="仿宋"/>
          <w:color w:val="auto"/>
          <w:sz w:val="24"/>
          <w:szCs w:val="24"/>
          <w:highlight w:val="none"/>
        </w:rPr>
        <w:t xml:space="preserve">2.4 </w:t>
      </w:r>
      <w:r>
        <w:rPr>
          <w:rFonts w:hint="eastAsia" w:ascii="仿宋" w:hAnsi="仿宋" w:eastAsia="仿宋" w:cs="仿宋"/>
          <w:color w:val="auto"/>
          <w:kern w:val="0"/>
          <w:sz w:val="24"/>
          <w:szCs w:val="24"/>
          <w:highlight w:val="none"/>
        </w:rPr>
        <w:t>保养维修</w:t>
      </w:r>
      <w:bookmarkEnd w:id="119"/>
      <w:bookmarkEnd w:id="120"/>
    </w:p>
    <w:p w14:paraId="4A371415">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1" w:name="_Toc113241623"/>
      <w:r>
        <w:rPr>
          <w:rFonts w:hint="eastAsia" w:ascii="仿宋" w:hAnsi="仿宋" w:eastAsia="仿宋" w:cs="仿宋"/>
          <w:color w:val="auto"/>
          <w:sz w:val="24"/>
          <w:szCs w:val="24"/>
          <w:highlight w:val="none"/>
        </w:rPr>
        <w:t>2.4.1 洞口的保养维修</w:t>
      </w:r>
      <w:bookmarkEnd w:id="121"/>
    </w:p>
    <w:p w14:paraId="11C30054">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要求洞口边仰坡上的无危石、浮土；</w:t>
      </w:r>
    </w:p>
    <w:p w14:paraId="6D51E680">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冬季时应清除积雪和挂冰，保持洞口边沟和仰坡上截（排）水沟的完好、通畅；</w:t>
      </w:r>
    </w:p>
    <w:p w14:paraId="415D2CA1">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要求洞口挡土墙、护坡、排水设施和减光设施等结构物的完好；</w:t>
      </w:r>
    </w:p>
    <w:p w14:paraId="0BDB2F9B">
      <w:pPr>
        <w:pStyle w:val="397"/>
        <w:keepNext w:val="0"/>
        <w:keepLines w:val="0"/>
        <w:pageBreakBefore w:val="0"/>
        <w:numPr>
          <w:ilvl w:val="0"/>
          <w:numId w:val="0"/>
        </w:numPr>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挡墙应保持坚固、耐用、完好。中雨以上降雨时应巡检，挡墙倾斜超过20㎜或鼓胀、移位、下沉20㎜时，应进行维修加固。挡墙折断应及时加固，开裂超过10㎜，应进行局部封闭。</w:t>
      </w:r>
    </w:p>
    <w:p w14:paraId="68087E6D">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2" w:name="_Toc113241624"/>
      <w:r>
        <w:rPr>
          <w:rFonts w:hint="eastAsia" w:ascii="仿宋" w:hAnsi="仿宋" w:eastAsia="仿宋" w:cs="仿宋"/>
          <w:color w:val="auto"/>
          <w:sz w:val="24"/>
          <w:szCs w:val="24"/>
          <w:highlight w:val="none"/>
        </w:rPr>
        <w:t>2.4.2 洞身的保养维修</w:t>
      </w:r>
      <w:bookmarkEnd w:id="122"/>
    </w:p>
    <w:p w14:paraId="47B9B328">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a)隧道洞身的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，要求衬砌起层或剥落破损率小于1‰；</w:t>
      </w:r>
    </w:p>
    <w:p w14:paraId="0003CCB9">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b)对衬砌及洞顶的渗漏水要求，渗漏水量不得大于设计规定，及时将水流引入边沟排出。一级防水等级的隧道不允许渗水，围护结构无湿渍。二级防水等级的隧道不允许漏水，围护结构有少量、偶见的湿渍。</w:t>
      </w:r>
    </w:p>
    <w:p w14:paraId="4D6398A7">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3" w:name="_Toc113241625"/>
      <w:r>
        <w:rPr>
          <w:rFonts w:hint="eastAsia" w:ascii="仿宋" w:hAnsi="仿宋" w:eastAsia="仿宋" w:cs="仿宋"/>
          <w:color w:val="auto"/>
          <w:sz w:val="24"/>
          <w:szCs w:val="24"/>
          <w:highlight w:val="none"/>
        </w:rPr>
        <w:t>2.4.3 路面的保养维修</w:t>
      </w:r>
      <w:bookmarkEnd w:id="123"/>
    </w:p>
    <w:p w14:paraId="489F56BF">
      <w:pPr>
        <w:pStyle w:val="397"/>
        <w:keepNext w:val="0"/>
        <w:keepLines w:val="0"/>
        <w:pageBreakBefore w:val="0"/>
        <w:kinsoku/>
        <w:wordWrap/>
        <w:overflowPunct/>
        <w:topLinePunct w:val="0"/>
        <w:bidi w:val="0"/>
        <w:adjustRightInd/>
        <w:snapToGrid/>
        <w:spacing w:line="360"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a)路面</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，要求无坑洞、无拥包、无开裂等病害，破损率小于1‰；</w:t>
      </w:r>
    </w:p>
    <w:p w14:paraId="6903D222">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b)不得随意增加静荷载。老化的沥青混凝土路面，应进行铣刨更新处理，严禁随意加沥青混凝土结构进行补强；</w:t>
      </w:r>
    </w:p>
    <w:p w14:paraId="7F1B312A">
      <w:pPr>
        <w:pStyle w:val="397"/>
        <w:keepNext w:val="0"/>
        <w:keepLines w:val="0"/>
        <w:pageBreakBefore w:val="0"/>
        <w:kinsoku/>
        <w:wordWrap/>
        <w:overflowPunct/>
        <w:topLinePunct w:val="0"/>
        <w:bidi w:val="0"/>
        <w:adjustRightInd/>
        <w:snapToGrid/>
        <w:spacing w:line="360" w:lineRule="auto"/>
        <w:ind w:left="420" w:leftChars="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c)路面更新后的横坡和纵坡，应满足排水要求；</w:t>
      </w:r>
    </w:p>
    <w:p w14:paraId="7F66DC43">
      <w:pPr>
        <w:pStyle w:val="397"/>
        <w:keepNext w:val="0"/>
        <w:keepLines w:val="0"/>
        <w:pageBreakBefore w:val="0"/>
        <w:kinsoku/>
        <w:wordWrap/>
        <w:overflowPunct/>
        <w:topLinePunct w:val="0"/>
        <w:bidi w:val="0"/>
        <w:adjustRightInd/>
        <w:snapToGrid/>
        <w:spacing w:line="360" w:lineRule="auto"/>
        <w:ind w:left="420" w:leftChars="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d)为了保持路面的抗滑能力，对已磨光的砼路面，用机械刻槽方法，恢复抗滑能力；</w:t>
      </w:r>
    </w:p>
    <w:p w14:paraId="21BA742F">
      <w:pPr>
        <w:pStyle w:val="397"/>
        <w:keepNext w:val="0"/>
        <w:keepLines w:val="0"/>
        <w:pageBreakBefore w:val="0"/>
        <w:kinsoku/>
        <w:wordWrap/>
        <w:overflowPunct/>
        <w:topLinePunct w:val="0"/>
        <w:bidi w:val="0"/>
        <w:adjustRightInd/>
        <w:snapToGrid/>
        <w:spacing w:line="360" w:lineRule="auto"/>
        <w:ind w:left="420" w:leftChars="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e)路面出现渗漏水时，应及时处理，将水引入边沟排出，防止路面积水或结冰；</w:t>
      </w:r>
    </w:p>
    <w:p w14:paraId="08DFB41F">
      <w:pPr>
        <w:pStyle w:val="397"/>
        <w:keepNext w:val="0"/>
        <w:keepLines w:val="0"/>
        <w:pageBreakBefore w:val="0"/>
        <w:kinsoku/>
        <w:wordWrap/>
        <w:overflowPunct/>
        <w:topLinePunct w:val="0"/>
        <w:bidi w:val="0"/>
        <w:adjustRightInd/>
        <w:snapToGrid/>
        <w:spacing w:line="360" w:lineRule="auto"/>
        <w:ind w:left="420" w:leftChars="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f)冬季应及时处理洞口处路面积雪；</w:t>
      </w:r>
    </w:p>
    <w:p w14:paraId="3BA8EA7D">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g)砼路面和沥青砼路面的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维修，应参照《城镇道路</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技术规范》(CJJ36-20</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6)的主干道路部分执行。</w:t>
      </w:r>
    </w:p>
    <w:p w14:paraId="5E425476">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4" w:name="_Toc113241626"/>
      <w:r>
        <w:rPr>
          <w:rFonts w:hint="eastAsia" w:ascii="仿宋" w:hAnsi="仿宋" w:eastAsia="仿宋" w:cs="仿宋"/>
          <w:color w:val="auto"/>
          <w:sz w:val="24"/>
          <w:szCs w:val="24"/>
          <w:highlight w:val="none"/>
        </w:rPr>
        <w:t>2.4.4 斜（竖）井的保养维</w:t>
      </w:r>
      <w:bookmarkEnd w:id="124"/>
      <w:r>
        <w:rPr>
          <w:rFonts w:hint="eastAsia" w:ascii="仿宋" w:hAnsi="仿宋" w:eastAsia="仿宋" w:cs="仿宋"/>
          <w:color w:val="auto"/>
          <w:sz w:val="24"/>
          <w:szCs w:val="24"/>
          <w:highlight w:val="none"/>
        </w:rPr>
        <w:t>修</w:t>
      </w:r>
    </w:p>
    <w:p w14:paraId="4EEE2748">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)及时清除井内可能损伤通风设施或影响通风效果的异物；</w:t>
      </w:r>
    </w:p>
    <w:p w14:paraId="2B06D62F">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)维护井内排水设施的完好，保持水沟（管）的畅通；</w:t>
      </w:r>
    </w:p>
    <w:p w14:paraId="3F8B85AC">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)对井内的检查通道或设施进行保养，防止其锈蚀或损坏。</w:t>
      </w:r>
    </w:p>
    <w:p w14:paraId="344AEA8C">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5" w:name="_Toc113241627"/>
      <w:r>
        <w:rPr>
          <w:rFonts w:hint="eastAsia" w:ascii="仿宋" w:hAnsi="仿宋" w:eastAsia="仿宋" w:cs="仿宋"/>
          <w:color w:val="auto"/>
          <w:sz w:val="24"/>
          <w:szCs w:val="24"/>
          <w:highlight w:val="none"/>
        </w:rPr>
        <w:t>2.4.5 风道的保养</w:t>
      </w:r>
      <w:bookmarkEnd w:id="125"/>
      <w:r>
        <w:rPr>
          <w:rFonts w:hint="eastAsia" w:ascii="仿宋" w:hAnsi="仿宋" w:eastAsia="仿宋" w:cs="仿宋"/>
          <w:color w:val="auto"/>
          <w:sz w:val="24"/>
          <w:szCs w:val="24"/>
          <w:highlight w:val="none"/>
        </w:rPr>
        <w:t>维修</w:t>
      </w:r>
    </w:p>
    <w:p w14:paraId="57B265F9">
      <w:pPr>
        <w:pStyle w:val="397"/>
        <w:keepNext w:val="0"/>
        <w:keepLines w:val="0"/>
        <w:pageBreakBefore w:val="0"/>
        <w:numPr>
          <w:ilvl w:val="1"/>
          <w:numId w:val="0"/>
        </w:numPr>
        <w:tabs>
          <w:tab w:val="left" w:pos="1260"/>
        </w:tabs>
        <w:kinsoku/>
        <w:wordWrap/>
        <w:overflowPunct/>
        <w:topLinePunct w:val="0"/>
        <w:bidi w:val="0"/>
        <w:adjustRightInd/>
        <w:snapToGrid/>
        <w:spacing w:line="360" w:lineRule="auto"/>
        <w:ind w:left="840" w:hanging="42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a)清理送（排）风口的网罩，清除堵塞网眼的杂物；</w:t>
      </w:r>
    </w:p>
    <w:p w14:paraId="24C22630">
      <w:pPr>
        <w:pStyle w:val="397"/>
        <w:keepNext w:val="0"/>
        <w:keepLines w:val="0"/>
        <w:pageBreakBefore w:val="0"/>
        <w:numPr>
          <w:ilvl w:val="1"/>
          <w:numId w:val="0"/>
        </w:numPr>
        <w:tabs>
          <w:tab w:val="left" w:pos="1260"/>
        </w:tabs>
        <w:kinsoku/>
        <w:wordWrap/>
        <w:overflowPunct/>
        <w:topLinePunct w:val="0"/>
        <w:bidi w:val="0"/>
        <w:adjustRightInd/>
        <w:snapToGrid/>
        <w:spacing w:line="360" w:lineRule="auto"/>
        <w:ind w:left="840" w:hanging="42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b</w:t>
      </w:r>
      <w:r>
        <w:rPr>
          <w:rFonts w:hint="eastAsia" w:ascii="仿宋" w:hAnsi="仿宋" w:eastAsia="仿宋" w:cs="仿宋"/>
          <w:color w:val="auto"/>
          <w:sz w:val="24"/>
          <w:szCs w:val="24"/>
          <w:highlight w:val="none"/>
        </w:rPr>
        <w:t>)定期保养风道板吊杆，防止其锈蚀或损坏；</w:t>
      </w:r>
    </w:p>
    <w:p w14:paraId="67A80763">
      <w:pPr>
        <w:pStyle w:val="397"/>
        <w:keepNext w:val="0"/>
        <w:keepLines w:val="0"/>
        <w:pageBreakBefore w:val="0"/>
        <w:numPr>
          <w:ilvl w:val="1"/>
          <w:numId w:val="0"/>
        </w:numPr>
        <w:tabs>
          <w:tab w:val="left" w:pos="1260"/>
        </w:tabs>
        <w:kinsoku/>
        <w:wordWrap/>
        <w:overflowPunct/>
        <w:topLinePunct w:val="0"/>
        <w:bidi w:val="0"/>
        <w:adjustRightInd/>
        <w:snapToGrid/>
        <w:spacing w:line="360" w:lineRule="auto"/>
        <w:ind w:left="840" w:hanging="42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c</w:t>
      </w:r>
      <w:r>
        <w:rPr>
          <w:rFonts w:hint="eastAsia" w:ascii="仿宋" w:hAnsi="仿宋" w:eastAsia="仿宋" w:cs="仿宋"/>
          <w:color w:val="auto"/>
          <w:sz w:val="24"/>
          <w:szCs w:val="24"/>
          <w:highlight w:val="none"/>
        </w:rPr>
        <w:t>)及时修复风口或风道的破坏，更换损坏的风道板。</w:t>
      </w:r>
    </w:p>
    <w:p w14:paraId="597250FB">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bookmarkStart w:id="126" w:name="_Toc113241628"/>
      <w:r>
        <w:rPr>
          <w:rFonts w:hint="eastAsia" w:ascii="仿宋" w:hAnsi="仿宋" w:eastAsia="仿宋" w:cs="仿宋"/>
          <w:color w:val="auto"/>
          <w:sz w:val="24"/>
          <w:szCs w:val="24"/>
          <w:highlight w:val="none"/>
        </w:rPr>
        <w:t>2.4.6 排水设施的保养</w:t>
      </w:r>
      <w:bookmarkEnd w:id="126"/>
      <w:r>
        <w:rPr>
          <w:rFonts w:hint="eastAsia" w:ascii="仿宋" w:hAnsi="仿宋" w:eastAsia="仿宋" w:cs="仿宋"/>
          <w:color w:val="auto"/>
          <w:sz w:val="24"/>
          <w:szCs w:val="24"/>
          <w:highlight w:val="none"/>
        </w:rPr>
        <w:t>维修</w:t>
      </w:r>
    </w:p>
    <w:p w14:paraId="53D73F2C">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维护隧道内外排水设施的完好，发现损坏及时修复；</w:t>
      </w:r>
    </w:p>
    <w:p w14:paraId="0DBD890E">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排水管堵塞时，可用高压或压缩空气疏通；</w:t>
      </w:r>
    </w:p>
    <w:p w14:paraId="5ABA887B">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横截沟盖板不应有翘起、碎裂、响声，如有上述情况应及时修复；</w:t>
      </w:r>
    </w:p>
    <w:p w14:paraId="174C9812">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排水设施应保证畅通；</w:t>
      </w:r>
    </w:p>
    <w:p w14:paraId="71243A69">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e)</w:t>
      </w:r>
      <w:r>
        <w:rPr>
          <w:rFonts w:hint="eastAsia" w:ascii="仿宋" w:hAnsi="仿宋" w:eastAsia="仿宋" w:cs="仿宋"/>
          <w:color w:val="auto"/>
          <w:sz w:val="24"/>
          <w:szCs w:val="24"/>
          <w:highlight w:val="none"/>
        </w:rPr>
        <w:t>排水的金属管道应定期作好防腐处理工作。</w:t>
      </w:r>
    </w:p>
    <w:p w14:paraId="1C6E7C8D">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2.4.7 墙体、装饰层的保养维修</w:t>
      </w:r>
    </w:p>
    <w:p w14:paraId="51521963">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墙体、装饰层</w:t>
      </w:r>
      <w:r>
        <w:rPr>
          <w:rFonts w:hint="eastAsia" w:ascii="仿宋" w:hAnsi="仿宋" w:eastAsia="仿宋" w:cs="仿宋"/>
          <w:color w:val="auto"/>
          <w:sz w:val="24"/>
          <w:szCs w:val="24"/>
          <w:highlight w:val="none"/>
          <w:lang w:val="en-US" w:eastAsia="zh-CN"/>
        </w:rPr>
        <w:t>应保持完好和整洁美观，如有破损、缺失应及时修补恢复，不能修复的应及时更新。</w:t>
      </w:r>
    </w:p>
    <w:p w14:paraId="63BF64F3">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2.4.8 人行道或检修道的保养维修</w:t>
      </w:r>
    </w:p>
    <w:p w14:paraId="458458AD">
      <w:pPr>
        <w:pStyle w:val="397"/>
        <w:keepNext w:val="0"/>
        <w:keepLines w:val="0"/>
        <w:pageBreakBefore w:val="0"/>
        <w:kinsoku/>
        <w:wordWrap/>
        <w:overflowPunct/>
        <w:topLinePunct w:val="0"/>
        <w:bidi w:val="0"/>
        <w:adjustRightInd/>
        <w:snapToGrid/>
        <w:spacing w:line="360"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a)人行道或检修道的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要求：破损小于1‰，每处不大于0.5㎡，人行道或检修道不得积水；</w:t>
      </w:r>
    </w:p>
    <w:p w14:paraId="4807E8FA">
      <w:pPr>
        <w:pStyle w:val="397"/>
        <w:keepNext w:val="0"/>
        <w:keepLines w:val="0"/>
        <w:pageBreakBefore w:val="0"/>
        <w:kinsoku/>
        <w:wordWrap/>
        <w:overflowPunct/>
        <w:topLinePunct w:val="0"/>
        <w:bidi w:val="0"/>
        <w:adjustRightInd/>
        <w:snapToGrid/>
        <w:spacing w:line="360"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b)人行道和检修道要经常保持平整，发现破碎、翘动、松动等局部缺损，要及时修补。</w:t>
      </w:r>
    </w:p>
    <w:p w14:paraId="2CC4B38C">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2.4.9 栏杆和护栏的保养维修</w:t>
      </w:r>
    </w:p>
    <w:p w14:paraId="76612FDF">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a)栏杆和护栏应保持完好、清洁、坚固，立柱正直无摇动现象，横杆联接牢固，如有缺损，应及时补齐；</w:t>
      </w:r>
    </w:p>
    <w:p w14:paraId="03FC3093">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b)栏杆退色严重或有表皮脱落现象时，应清除并维修。对油漆失效部分进行补漆，油漆必须均匀、光滑，不得漏漆、结块、脱皮、起皱等。涂料性能应符合原设计的要求，表面涂层应均匀，不漏刷、不流淌；</w:t>
      </w:r>
    </w:p>
    <w:p w14:paraId="7FB51283">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c)当栏杆被撞有严重变形、断裂和残损现象时，应及时按照原构造进行恢复，并应安装整齐、牢固。</w:t>
      </w:r>
    </w:p>
    <w:p w14:paraId="474AD09B">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2.4.10 交通标志保养维修</w:t>
      </w:r>
    </w:p>
    <w:p w14:paraId="5C762A23">
      <w:pPr>
        <w:pStyle w:val="397"/>
        <w:keepNext w:val="0"/>
        <w:keepLines w:val="0"/>
        <w:pageBreakBefore w:val="0"/>
        <w:numPr>
          <w:ilvl w:val="0"/>
          <w:numId w:val="0"/>
        </w:numPr>
        <w:kinsoku/>
        <w:wordWrap/>
        <w:overflowPunct/>
        <w:topLinePunct w:val="0"/>
        <w:bidi w:val="0"/>
        <w:adjustRightInd/>
        <w:snapToGrid/>
        <w:spacing w:line="360"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隧道的交通标志应保持外观完整、清晰、醒目，保持位置、高度和角度适当，确保交通信息传递无误；</w:t>
      </w:r>
    </w:p>
    <w:p w14:paraId="45EA7A34">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及时清洗标志牌面的脏污，清除遮挡标志的障碍；</w:t>
      </w:r>
    </w:p>
    <w:p w14:paraId="56640266">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及时修补变形，破损的标牌，修复弯曲、倾斜的支柱，紧固松动的连接构件；</w:t>
      </w:r>
    </w:p>
    <w:p w14:paraId="3BAAD041">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对锈蚀损坏、老化失效的标志，应及时更换，缺失的应及时补充；</w:t>
      </w:r>
    </w:p>
    <w:p w14:paraId="35948D20">
      <w:pPr>
        <w:pStyle w:val="397"/>
        <w:keepNext w:val="0"/>
        <w:keepLines w:val="0"/>
        <w:pageBreakBefore w:val="0"/>
        <w:numPr>
          <w:ilvl w:val="0"/>
          <w:numId w:val="0"/>
        </w:numPr>
        <w:kinsoku/>
        <w:wordWrap/>
        <w:overflowPunct/>
        <w:topLinePunct w:val="0"/>
        <w:bidi w:val="0"/>
        <w:adjustRightInd/>
        <w:snapToGrid/>
        <w:spacing w:line="360"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e)</w:t>
      </w:r>
      <w:r>
        <w:rPr>
          <w:rFonts w:hint="eastAsia" w:ascii="仿宋" w:hAnsi="仿宋" w:eastAsia="仿宋" w:cs="仿宋"/>
          <w:color w:val="auto"/>
          <w:sz w:val="24"/>
          <w:szCs w:val="24"/>
          <w:highlight w:val="none"/>
        </w:rPr>
        <w:t>对损坏限高设施应及时维修。</w:t>
      </w:r>
    </w:p>
    <w:p w14:paraId="6F26E5C4">
      <w:pPr>
        <w:keepNext w:val="0"/>
        <w:keepLines w:val="0"/>
        <w:pageBreakBefore w:val="0"/>
        <w:widowControl/>
        <w:kinsoku/>
        <w:wordWrap/>
        <w:overflowPunct/>
        <w:topLinePunct w:val="0"/>
        <w:bidi w:val="0"/>
        <w:adjustRightInd/>
        <w:snapToGrid/>
        <w:spacing w:beforeLines="0" w:line="360" w:lineRule="auto"/>
        <w:ind w:firstLine="480" w:firstLineChars="20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2.5</w:t>
      </w:r>
      <w:r>
        <w:rPr>
          <w:rFonts w:hint="eastAsia" w:ascii="仿宋" w:hAnsi="仿宋" w:eastAsia="仿宋" w:cs="仿宋"/>
          <w:color w:val="auto"/>
          <w:kern w:val="0"/>
          <w:sz w:val="24"/>
          <w:szCs w:val="24"/>
          <w:highlight w:val="none"/>
        </w:rPr>
        <w:t>经常性检查</w:t>
      </w:r>
    </w:p>
    <w:p w14:paraId="558C9228">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2.5.1 经常性检查应由经过培训的专职隧道管理人员或有一定经验的工程技术人员负责。</w:t>
      </w:r>
    </w:p>
    <w:p w14:paraId="3996935C">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2.5.2 经常性检查宜以目测为主，配合以检查工具进行，发现需要改善的设施缺陷和对通行有影响的设施缺陷应作好检查记录，并及时处置。</w:t>
      </w:r>
    </w:p>
    <w:p w14:paraId="5CF1FF2B">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2.5.3 在遇恶劣天气、汛期、雨季、冰冻、重大活动等特殊情况，应加大检查频率。</w:t>
      </w:r>
    </w:p>
    <w:p w14:paraId="78DFE7A2">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2.5.4 经常性检查记录应每月定期整理归档，并进行分析提出评价意见。</w:t>
      </w:r>
    </w:p>
    <w:p w14:paraId="3ED13B28">
      <w:pPr>
        <w:pStyle w:val="397"/>
        <w:keepNext w:val="0"/>
        <w:keepLines w:val="0"/>
        <w:pageBreakBefore w:val="0"/>
        <w:kinsoku/>
        <w:wordWrap/>
        <w:overflowPunct/>
        <w:topLinePunct w:val="0"/>
        <w:bidi w:val="0"/>
        <w:adjustRightInd/>
        <w:snapToGrid/>
        <w:spacing w:line="360"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2.5.5 经常性检查应包括下列内容：</w:t>
      </w:r>
    </w:p>
    <w:p w14:paraId="31B48723">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a）主要检查各结构部件的功能是否完好、有效，运行是否正常，是否有影响车辆、行人通行等情况：</w:t>
      </w:r>
    </w:p>
    <w:p w14:paraId="596AD21F">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left="140" w:leftChars="50" w:firstLine="360" w:firstLineChars="15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洞口：边（仰）坡有无危石、积水、积雪，洞口有无挂冰，边沟有无积塞，构造物有无开裂、倾斜、沉陷等；</w:t>
      </w:r>
    </w:p>
    <w:p w14:paraId="23E3DCCA">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 洞身：结构有无开裂、倾斜、沉陷、错台、起层、剥落、渗漏水；</w:t>
      </w:r>
    </w:p>
    <w:p w14:paraId="5513C990">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衬砌：结构有无裂缝、错台、起层、剥落、渗漏水；</w:t>
      </w:r>
    </w:p>
    <w:p w14:paraId="41227438">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挡墙和护坡：是否坚固、耐用、完好；</w:t>
      </w:r>
    </w:p>
    <w:p w14:paraId="6B2DA35D">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 路面：有无拱起、坑洞、开裂、错台等；</w:t>
      </w:r>
    </w:p>
    <w:p w14:paraId="26FC60BF">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 人行道或检修道：结构有无撞坏、破损，盖板有无缺损、平整、松动；</w:t>
      </w:r>
    </w:p>
    <w:p w14:paraId="6C7A4A57">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 栏杆或护栏：有无松动、缺损、变形、损坏；</w:t>
      </w:r>
    </w:p>
    <w:p w14:paraId="55549DC8">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 排水设施：有无破损、堵塞、积水、结冰；</w:t>
      </w:r>
    </w:p>
    <w:p w14:paraId="1A21C06C">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 墙体、装饰层：有无变形、破损、漏水、脏污；</w:t>
      </w:r>
    </w:p>
    <w:p w14:paraId="0797B500">
      <w:pPr>
        <w:pStyle w:val="454"/>
        <w:keepNext w:val="0"/>
        <w:keepLines w:val="0"/>
        <w:pageBreakBefore w:val="0"/>
        <w:numPr>
          <w:ilvl w:val="0"/>
          <w:numId w:val="0"/>
        </w:numPr>
        <w:tabs>
          <w:tab w:val="clear" w:pos="720"/>
          <w:tab w:val="clear" w:pos="9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 隧道内设备箱门、通道门、交通信号、交通标志是否完好。</w:t>
      </w:r>
    </w:p>
    <w:p w14:paraId="519CD82A">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b）是否存在城市市政设施管理条例中规定的各类违章现象；</w:t>
      </w:r>
    </w:p>
    <w:p w14:paraId="62AE8C1F">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c）隧道安全保护范围内的施工作业情况。</w:t>
      </w:r>
    </w:p>
    <w:p w14:paraId="0865F186">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 定期检查</w:t>
      </w:r>
    </w:p>
    <w:p w14:paraId="60F13BF4">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2．6.1 定期检查应由专职隧道</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工程技术人员或实践丰富的隧道工程技术人员负责，并对每座隧道指定相应的定期检查计划和实施方案。</w:t>
      </w:r>
    </w:p>
    <w:p w14:paraId="6DA1A4D2">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2.6.2 隧道定期检查频率为1次/年</w:t>
      </w:r>
      <w:r>
        <w:rPr>
          <w:rFonts w:hint="eastAsia" w:ascii="仿宋" w:hAnsi="仿宋" w:eastAsia="仿宋" w:cs="仿宋"/>
          <w:color w:val="auto"/>
          <w:sz w:val="24"/>
          <w:szCs w:val="24"/>
          <w:highlight w:val="none"/>
          <w:lang w:eastAsia="zh-CN"/>
        </w:rPr>
        <w:t>。</w:t>
      </w:r>
    </w:p>
    <w:p w14:paraId="716EC3C0">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定期检查宜采用步行方式，配备必要的检查工具或设备，进行量测检查。检查时，应尽量靠近结构，依次检查各个结构部位。注意发现异常情况和原有异常情况的发展变化。对于有异常情况的结构，应在其适当位置作出标记，检查结果宜尽可能量化。</w:t>
      </w:r>
    </w:p>
    <w:p w14:paraId="11F2B7FA">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定期检查的内容以及判定标准按</w:t>
      </w:r>
      <w:r>
        <w:rPr>
          <w:rFonts w:hint="eastAsia" w:ascii="仿宋" w:hAnsi="仿宋" w:eastAsia="仿宋" w:cs="仿宋"/>
          <w:color w:val="auto"/>
          <w:sz w:val="24"/>
          <w:szCs w:val="24"/>
          <w:highlight w:val="none"/>
          <w:lang w:eastAsia="zh-CN"/>
        </w:rPr>
        <w:t>规范</w:t>
      </w:r>
      <w:r>
        <w:rPr>
          <w:rFonts w:hint="eastAsia" w:ascii="仿宋" w:hAnsi="仿宋" w:eastAsia="仿宋" w:cs="仿宋"/>
          <w:color w:val="auto"/>
          <w:sz w:val="24"/>
          <w:szCs w:val="24"/>
          <w:highlight w:val="none"/>
        </w:rPr>
        <w:t>执行。</w:t>
      </w:r>
    </w:p>
    <w:p w14:paraId="4BC9C584">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2.6.5 定期检查结果应及时记录，应将检查数据及病害应详细、准确地记录，分析病害的成因，给出判定结论。</w:t>
      </w:r>
    </w:p>
    <w:p w14:paraId="2728C0C6">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2.6.6 定期检查的情况记录以及</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 xml:space="preserve">维修管理措施的建议，均应及时整理、归档。 </w:t>
      </w:r>
    </w:p>
    <w:p w14:paraId="31C6EFD1">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2.6.7 定期检查完成后，应提出土建结构定期检查报告，内容包括：</w:t>
      </w:r>
    </w:p>
    <w:p w14:paraId="737A468B">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沉降观测点检测，并进行数据对比；</w:t>
      </w:r>
    </w:p>
    <w:p w14:paraId="03B81494">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实地判断损坏原因，估计维修范围和方案，需要采取处治措施的建议；</w:t>
      </w:r>
    </w:p>
    <w:p w14:paraId="154BF521">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对土建结构的技术状况和功能状态的评价；</w:t>
      </w:r>
    </w:p>
    <w:p w14:paraId="59F987AF">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对土建结构的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维修状况的评价及建议；</w:t>
      </w:r>
    </w:p>
    <w:p w14:paraId="46DF6D42">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e)</w:t>
      </w:r>
      <w:r>
        <w:rPr>
          <w:rFonts w:hint="eastAsia" w:ascii="仿宋" w:hAnsi="仿宋" w:eastAsia="仿宋" w:cs="仿宋"/>
          <w:color w:val="auto"/>
          <w:sz w:val="24"/>
          <w:szCs w:val="24"/>
          <w:highlight w:val="none"/>
        </w:rPr>
        <w:t>对难以判断其损坏程度和原因的构件，需要实施专项检查的建议；</w:t>
      </w:r>
    </w:p>
    <w:p w14:paraId="5F28E8F1">
      <w:pPr>
        <w:pStyle w:val="406"/>
        <w:keepNext w:val="0"/>
        <w:keepLines w:val="0"/>
        <w:pageBreakBefore w:val="0"/>
        <w:numPr>
          <w:ilvl w:val="0"/>
          <w:numId w:val="0"/>
        </w:numPr>
        <w:tabs>
          <w:tab w:val="clear" w:pos="720"/>
          <w:tab w:val="clear" w:pos="760"/>
        </w:tabs>
        <w:kinsoku/>
        <w:wordWrap/>
        <w:overflowPunct/>
        <w:topLinePunct w:val="0"/>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f)</w:t>
      </w:r>
      <w:r>
        <w:rPr>
          <w:rFonts w:hint="eastAsia" w:ascii="仿宋" w:hAnsi="仿宋" w:eastAsia="仿宋" w:cs="仿宋"/>
          <w:color w:val="auto"/>
          <w:sz w:val="24"/>
          <w:szCs w:val="24"/>
          <w:highlight w:val="none"/>
        </w:rPr>
        <w:t>应附上检查记录表以及其他有关检测记录资料。</w:t>
      </w:r>
    </w:p>
    <w:p w14:paraId="248FFD21">
      <w:pPr>
        <w:pStyle w:val="359"/>
        <w:keepNext w:val="0"/>
        <w:keepLines w:val="0"/>
        <w:pageBreakBefore w:val="0"/>
        <w:kinsoku/>
        <w:wordWrap/>
        <w:overflowPunct/>
        <w:topLinePunct w:val="0"/>
        <w:bidi w:val="0"/>
        <w:adjustRightInd/>
        <w:snapToGrid/>
        <w:spacing w:line="360" w:lineRule="auto"/>
        <w:ind w:firstLine="48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2.6.8 定期检查发现重大病害、隐患应立即向主管部门报告，及时处理。</w:t>
      </w:r>
    </w:p>
    <w:p w14:paraId="20F88209">
      <w:pPr>
        <w:pStyle w:val="357"/>
        <w:keepNext w:val="0"/>
        <w:keepLines w:val="0"/>
        <w:pageBreakBefore w:val="0"/>
        <w:numPr>
          <w:ilvl w:val="0"/>
          <w:numId w:val="0"/>
        </w:numPr>
        <w:kinsoku/>
        <w:wordWrap/>
        <w:overflowPunct/>
        <w:topLinePunct w:val="0"/>
        <w:bidi w:val="0"/>
        <w:adjustRightInd/>
        <w:snapToGrid/>
        <w:spacing w:before="0" w:beforeLines="0" w:after="0" w:afterLines="0"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 特别检查</w:t>
      </w:r>
    </w:p>
    <w:p w14:paraId="10FC3334">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特别检查应由专业人员根据受异常事件影响的结构，决定采取的专门技术办法、工具和设备，并辅以现场和实验室测试等特殊手段进行详细检测和综合分析，检测结果应提交书面报告。</w:t>
      </w:r>
    </w:p>
    <w:p w14:paraId="4BBA033C">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2.7.2 特别检查的内容应针对受异常事件影响的结构或结构部位作重点检查，掌握其受损的情况。</w:t>
      </w:r>
    </w:p>
    <w:p w14:paraId="4BE84305">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2.7.3 特别检查应按定期检查的标准判定，当难以判明破损的原因，程度等情况时，应作专项检测。</w:t>
      </w:r>
    </w:p>
    <w:p w14:paraId="52E29E8E">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2.7.4 检查结果的记录，与定期检查相同，检查完成后，应提交特别检查报告，包括检查记录，评估异常事件的影响，给出判定结论，确定合理的对策措施。</w:t>
      </w:r>
    </w:p>
    <w:p w14:paraId="63340E35">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 专项检测</w:t>
      </w:r>
    </w:p>
    <w:p w14:paraId="1D3AE86B">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2.8.1 专项检测由</w:t>
      </w:r>
      <w:r>
        <w:rPr>
          <w:rFonts w:hint="eastAsia" w:ascii="仿宋" w:hAnsi="仿宋" w:eastAsia="仿宋" w:cs="仿宋"/>
          <w:color w:val="auto"/>
          <w:sz w:val="24"/>
          <w:szCs w:val="24"/>
          <w:highlight w:val="none"/>
          <w:lang w:val="en-US" w:eastAsia="zh-CN"/>
        </w:rPr>
        <w:t>采购人委托</w:t>
      </w:r>
      <w:r>
        <w:rPr>
          <w:rFonts w:hint="eastAsia" w:ascii="仿宋" w:hAnsi="仿宋" w:eastAsia="仿宋" w:cs="仿宋"/>
          <w:color w:val="auto"/>
          <w:sz w:val="24"/>
          <w:szCs w:val="24"/>
          <w:highlight w:val="none"/>
        </w:rPr>
        <w:t>相应资质的专业单位承但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中标人做好配合工作</w:t>
      </w:r>
      <w:r>
        <w:rPr>
          <w:rFonts w:hint="eastAsia" w:ascii="仿宋" w:hAnsi="仿宋" w:eastAsia="仿宋" w:cs="仿宋"/>
          <w:color w:val="auto"/>
          <w:sz w:val="24"/>
          <w:szCs w:val="24"/>
          <w:highlight w:val="none"/>
        </w:rPr>
        <w:t>。</w:t>
      </w:r>
    </w:p>
    <w:p w14:paraId="76BD2F94">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专项检测的项目、内容及其要求，应根据定期或特别检查的结果有针对性地确定。</w:t>
      </w:r>
    </w:p>
    <w:p w14:paraId="2E914EF9">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2.8.3 实施专项检测前，检测单位应对竣工资料、历次隧道定期检查和特别检查报告、历次维修资料等有关的技术资料、档案进行调查，并对隧道周围的地质及地表环境等展开实地调查，以充分掌握相关的技术信息，寻找土建结构发展变化的原因，确保专项检查结果的准确性。</w:t>
      </w:r>
    </w:p>
    <w:p w14:paraId="501CDCD6">
      <w:pPr>
        <w:pStyle w:val="397"/>
        <w:keepNext w:val="0"/>
        <w:keepLines w:val="0"/>
        <w:pageBreakBefore w:val="0"/>
        <w:kinsoku/>
        <w:wordWrap/>
        <w:overflowPunct/>
        <w:topLinePunct w:val="0"/>
        <w:autoSpaceDE/>
        <w:autoSpaceDN/>
        <w:bidi w:val="0"/>
        <w:adjustRightInd/>
        <w:snapToGrid/>
        <w:spacing w:line="351"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2.8.4 检测完成后，作出专项检测报告，对结构整体性能、功能状况作分析鉴定，阐述检查部位的损坏原因及程度，并提出结构部件和总体修理、加固或改善相应的结论。</w:t>
      </w:r>
    </w:p>
    <w:p w14:paraId="309037DA">
      <w:pPr>
        <w:pStyle w:val="535"/>
        <w:keepNext w:val="0"/>
        <w:keepLines w:val="0"/>
        <w:pageBreakBefore w:val="0"/>
        <w:numPr>
          <w:ilvl w:val="0"/>
          <w:numId w:val="0"/>
        </w:numPr>
        <w:tabs>
          <w:tab w:val="left" w:pos="900"/>
          <w:tab w:val="clear" w:pos="420"/>
          <w:tab w:val="clear" w:pos="480"/>
        </w:tabs>
        <w:kinsoku/>
        <w:wordWrap/>
        <w:overflowPunct/>
        <w:topLinePunct w:val="0"/>
        <w:autoSpaceDE/>
        <w:autoSpaceDN/>
        <w:bidi w:val="0"/>
        <w:adjustRightInd/>
        <w:snapToGrid/>
        <w:spacing w:beforeLines="0" w:afterLines="0" w:line="351" w:lineRule="auto"/>
        <w:ind w:left="841" w:leftChars="0" w:hanging="360" w:firstLineChars="0"/>
        <w:textAlignment w:val="auto"/>
        <w:outlineLvl w:val="9"/>
        <w:rPr>
          <w:rFonts w:hint="eastAsia" w:ascii="仿宋" w:hAnsi="仿宋" w:eastAsia="仿宋" w:cs="仿宋"/>
          <w:b/>
          <w:color w:val="auto"/>
          <w:sz w:val="24"/>
          <w:szCs w:val="24"/>
          <w:highlight w:val="none"/>
        </w:rPr>
      </w:pPr>
      <w:bookmarkStart w:id="127" w:name="_Toc132677246"/>
      <w:bookmarkStart w:id="128" w:name="_Toc132648440"/>
      <w:bookmarkStart w:id="129" w:name="_Toc115592651"/>
      <w:bookmarkStart w:id="130" w:name="_Toc125552656"/>
      <w:bookmarkStart w:id="131" w:name="_Toc115594666"/>
      <w:bookmarkStart w:id="132" w:name="_Toc132648335"/>
      <w:bookmarkStart w:id="133" w:name="_Toc113241631"/>
      <w:bookmarkStart w:id="134" w:name="_Toc115594169"/>
      <w:bookmarkStart w:id="135" w:name="_Toc113330714"/>
      <w:bookmarkStart w:id="136" w:name="_Toc115594045"/>
      <w:bookmarkStart w:id="137" w:name="_Toc115592268"/>
      <w:bookmarkStart w:id="138" w:name="_Toc115592610"/>
      <w:bookmarkStart w:id="139" w:name="_Toc115592241"/>
      <w:bookmarkStart w:id="140" w:name="_Toc125552507"/>
      <w:bookmarkStart w:id="141" w:name="_Toc113273288"/>
      <w:bookmarkStart w:id="142" w:name="_Toc130030067"/>
      <w:bookmarkStart w:id="143" w:name="_Toc115592092"/>
      <w:bookmarkStart w:id="144" w:name="_Toc113332541"/>
      <w:bookmarkStart w:id="145" w:name="_Toc132615122"/>
      <w:bookmarkStart w:id="146" w:name="_Toc115592300"/>
      <w:bookmarkStart w:id="147" w:name="_Toc113251280"/>
      <w:bookmarkStart w:id="148" w:name="_Toc113251225"/>
      <w:bookmarkStart w:id="149" w:name="_Toc115594226"/>
      <w:bookmarkStart w:id="150" w:name="_Toc132648401"/>
      <w:bookmarkStart w:id="151" w:name="_Toc115593649"/>
      <w:bookmarkStart w:id="152" w:name="_Toc113251369"/>
      <w:bookmarkStart w:id="153" w:name="_Toc132614015"/>
      <w:r>
        <w:rPr>
          <w:rFonts w:hint="eastAsia" w:ascii="仿宋" w:hAnsi="仿宋" w:eastAsia="仿宋" w:cs="仿宋"/>
          <w:b/>
          <w:color w:val="auto"/>
          <w:sz w:val="24"/>
          <w:szCs w:val="24"/>
          <w:highlight w:val="none"/>
          <w:lang w:val="en-US" w:eastAsia="zh-CN" w:bidi="ar-SA"/>
        </w:rPr>
        <w:t>3.</w:t>
      </w:r>
      <w:r>
        <w:rPr>
          <w:rFonts w:hint="eastAsia" w:ascii="仿宋" w:hAnsi="仿宋" w:eastAsia="仿宋" w:cs="仿宋"/>
          <w:b/>
          <w:color w:val="auto"/>
          <w:sz w:val="24"/>
          <w:szCs w:val="24"/>
          <w:highlight w:val="none"/>
        </w:rPr>
        <w:t>机电设施</w:t>
      </w: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14:paraId="2083A2AB">
      <w:pPr>
        <w:keepNext w:val="0"/>
        <w:keepLines w:val="0"/>
        <w:pageBreakBefore w:val="0"/>
        <w:widowControl/>
        <w:numPr>
          <w:ilvl w:val="2"/>
          <w:numId w:val="0"/>
        </w:numPr>
        <w:tabs>
          <w:tab w:val="left" w:pos="720"/>
          <w:tab w:val="left" w:pos="900"/>
          <w:tab w:val="left" w:pos="1080"/>
        </w:tabs>
        <w:kinsoku/>
        <w:wordWrap/>
        <w:overflowPunct/>
        <w:topLinePunct w:val="0"/>
        <w:autoSpaceDE/>
        <w:autoSpaceDN/>
        <w:bidi w:val="0"/>
        <w:adjustRightInd/>
        <w:snapToGrid/>
        <w:spacing w:line="351" w:lineRule="auto"/>
        <w:ind w:firstLine="475" w:firstLineChars="197"/>
        <w:jc w:val="left"/>
        <w:textAlignment w:val="auto"/>
        <w:outlineLvl w:val="9"/>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3.1一般规定</w:t>
      </w:r>
    </w:p>
    <w:p w14:paraId="1E1E3609">
      <w:pPr>
        <w:pStyle w:val="357"/>
        <w:keepNext w:val="0"/>
        <w:keepLines w:val="0"/>
        <w:pageBreakBefore w:val="0"/>
        <w:numPr>
          <w:ilvl w:val="0"/>
          <w:numId w:val="0"/>
        </w:numPr>
        <w:tabs>
          <w:tab w:val="left" w:pos="900"/>
          <w:tab w:val="left" w:pos="1080"/>
          <w:tab w:val="clear" w:pos="3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维修可分为日常检查维护、经常性检修、定期检修。</w:t>
      </w:r>
    </w:p>
    <w:p w14:paraId="1518C147">
      <w:pPr>
        <w:pStyle w:val="357"/>
        <w:keepNext w:val="0"/>
        <w:keepLines w:val="0"/>
        <w:pageBreakBefore w:val="0"/>
        <w:numPr>
          <w:ilvl w:val="0"/>
          <w:numId w:val="0"/>
        </w:numPr>
        <w:tabs>
          <w:tab w:val="left" w:pos="900"/>
          <w:tab w:val="left" w:pos="1080"/>
          <w:tab w:val="clear" w:pos="3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应充分考虑隧道内运行车辆、</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人员的安全，并按照规定进行。需要中断交通时，应与土建</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作业计划综合考虑。</w:t>
      </w:r>
    </w:p>
    <w:p w14:paraId="0FADD8CE">
      <w:pPr>
        <w:pStyle w:val="357"/>
        <w:keepNext w:val="0"/>
        <w:keepLines w:val="0"/>
        <w:pageBreakBefore w:val="0"/>
        <w:numPr>
          <w:ilvl w:val="0"/>
          <w:numId w:val="0"/>
        </w:numPr>
        <w:tabs>
          <w:tab w:val="left" w:pos="900"/>
          <w:tab w:val="left" w:pos="1080"/>
          <w:tab w:val="clear" w:pos="3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机电设施</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应使设备技术状态达到产品说明书、设计文件或有关规范的要求。</w:t>
      </w:r>
    </w:p>
    <w:p w14:paraId="3943C159">
      <w:pPr>
        <w:pStyle w:val="357"/>
        <w:keepNext w:val="0"/>
        <w:keepLines w:val="0"/>
        <w:pageBreakBefore w:val="0"/>
        <w:numPr>
          <w:ilvl w:val="0"/>
          <w:numId w:val="0"/>
        </w:numPr>
        <w:tabs>
          <w:tab w:val="left" w:pos="900"/>
          <w:tab w:val="left" w:pos="1080"/>
          <w:tab w:val="clear" w:pos="3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机电设施</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应配备专门的电工工具、测试仪器、清洁工具、安全防护设备及高空作业设备。对配备的专用工具应定期检查</w:t>
      </w:r>
      <w:r>
        <w:rPr>
          <w:rFonts w:hint="eastAsia" w:ascii="仿宋" w:hAnsi="仿宋" w:eastAsia="仿宋" w:cs="仿宋"/>
          <w:color w:val="auto"/>
          <w:sz w:val="24"/>
          <w:szCs w:val="24"/>
          <w:highlight w:val="none"/>
          <w:lang w:eastAsia="zh-CN"/>
        </w:rPr>
        <w:t>。</w:t>
      </w:r>
    </w:p>
    <w:p w14:paraId="597ABDF9">
      <w:pPr>
        <w:pStyle w:val="357"/>
        <w:keepNext w:val="0"/>
        <w:keepLines w:val="0"/>
        <w:pageBreakBefore w:val="0"/>
        <w:numPr>
          <w:ilvl w:val="0"/>
          <w:numId w:val="0"/>
        </w:numPr>
        <w:tabs>
          <w:tab w:val="left" w:pos="900"/>
          <w:tab w:val="left" w:pos="1080"/>
          <w:tab w:val="clear" w:pos="3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机电设施</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应真实记录各种设备的检查情况，建立专门的技术档案。</w:t>
      </w:r>
    </w:p>
    <w:p w14:paraId="7E60A65E">
      <w:pPr>
        <w:pStyle w:val="35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隧道每年雷雨季节前应进行防雷检测，应对防雷缺陷进行整改，每次雷雨后应对防雷设施进行检查、检测。</w:t>
      </w:r>
    </w:p>
    <w:p w14:paraId="69BE2B44">
      <w:pPr>
        <w:keepNext w:val="0"/>
        <w:keepLines w:val="0"/>
        <w:pageBreakBefore w:val="0"/>
        <w:widowControl/>
        <w:numPr>
          <w:ilvl w:val="2"/>
          <w:numId w:val="0"/>
        </w:numPr>
        <w:tabs>
          <w:tab w:val="left" w:pos="1950"/>
        </w:tabs>
        <w:kinsoku/>
        <w:wordWrap/>
        <w:overflowPunct/>
        <w:topLinePunct w:val="0"/>
        <w:autoSpaceDE/>
        <w:autoSpaceDN/>
        <w:bidi w:val="0"/>
        <w:adjustRightInd/>
        <w:snapToGrid/>
        <w:spacing w:line="351" w:lineRule="auto"/>
        <w:ind w:firstLine="482" w:firstLineChars="200"/>
        <w:textAlignment w:val="auto"/>
        <w:outlineLvl w:val="9"/>
        <w:rPr>
          <w:rFonts w:hint="eastAsia" w:ascii="仿宋" w:hAnsi="仿宋" w:eastAsia="仿宋" w:cs="仿宋"/>
          <w:b/>
          <w:color w:val="auto"/>
          <w:kern w:val="0"/>
          <w:sz w:val="24"/>
          <w:szCs w:val="24"/>
          <w:highlight w:val="none"/>
        </w:rPr>
      </w:pPr>
      <w:bookmarkStart w:id="154" w:name="_Toc113251227"/>
      <w:bookmarkStart w:id="155" w:name="_Toc115592243"/>
      <w:r>
        <w:rPr>
          <w:rFonts w:hint="eastAsia" w:ascii="仿宋" w:hAnsi="仿宋" w:eastAsia="仿宋" w:cs="仿宋"/>
          <w:b/>
          <w:color w:val="auto"/>
          <w:kern w:val="0"/>
          <w:sz w:val="24"/>
          <w:szCs w:val="24"/>
          <w:highlight w:val="none"/>
        </w:rPr>
        <w:t>3.2供配电系统</w:t>
      </w:r>
      <w:bookmarkEnd w:id="154"/>
      <w:bookmarkEnd w:id="155"/>
      <w:r>
        <w:rPr>
          <w:rFonts w:hint="eastAsia" w:ascii="仿宋" w:hAnsi="仿宋" w:eastAsia="仿宋" w:cs="仿宋"/>
          <w:b/>
          <w:color w:val="auto"/>
          <w:kern w:val="0"/>
          <w:sz w:val="24"/>
          <w:szCs w:val="24"/>
          <w:highlight w:val="none"/>
        </w:rPr>
        <w:t>（高压配电除外）</w:t>
      </w:r>
    </w:p>
    <w:p w14:paraId="6B445A62">
      <w:pPr>
        <w:pStyle w:val="357"/>
        <w:keepNext w:val="0"/>
        <w:keepLines w:val="0"/>
        <w:pageBreakBefore w:val="0"/>
        <w:numPr>
          <w:ilvl w:val="0"/>
          <w:numId w:val="0"/>
        </w:numPr>
        <w:kinsoku/>
        <w:wordWrap/>
        <w:overflowPunct/>
        <w:topLinePunct w:val="0"/>
        <w:autoSpaceDE/>
        <w:autoSpaceDN/>
        <w:bidi w:val="0"/>
        <w:adjustRightInd/>
        <w:snapToGrid/>
        <w:spacing w:line="351" w:lineRule="auto"/>
        <w:ind w:firstLine="482"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3.2.1运行管理</w:t>
      </w:r>
    </w:p>
    <w:p w14:paraId="7BDF4F8C">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供配电系统</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人员应配备专门的电工检修工具；</w:t>
      </w:r>
    </w:p>
    <w:p w14:paraId="732EBB7C">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供配电系统的工作电压、工作负荷和控制温度应在额定值的允许变化范围内运行；</w:t>
      </w:r>
    </w:p>
    <w:p w14:paraId="2E280B98">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供配电系统</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人员应对供配电设施日常检查，在遇恶劣天气、汛期、雨季、重大活动等特殊情况，应加大检查频率。主要针对变压器、低压配电柜以及变配电室内相关设备运行情况，通过观察异常、声响、发热、气味、火花等现象，及时发现设备故障，及时排除，并做好运行记录；</w:t>
      </w:r>
    </w:p>
    <w:p w14:paraId="73B21A5F">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供配电系统在运行中，发现继电保护动作跳闸、电容器的断路器跳闸，在未查明原因前不得重新合闸运行；</w:t>
      </w:r>
    </w:p>
    <w:p w14:paraId="62327B0F">
      <w:pPr>
        <w:pStyle w:val="397"/>
        <w:keepNext w:val="0"/>
        <w:keepLines w:val="0"/>
        <w:pageBreakBefore w:val="0"/>
        <w:numPr>
          <w:ilvl w:val="0"/>
          <w:numId w:val="0"/>
        </w:numPr>
        <w:kinsoku/>
        <w:wordWrap/>
        <w:overflowPunct/>
        <w:topLinePunct w:val="0"/>
        <w:autoSpaceDE/>
        <w:autoSpaceDN/>
        <w:bidi w:val="0"/>
        <w:adjustRightInd/>
        <w:snapToGrid/>
        <w:spacing w:line="351"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e)</w:t>
      </w:r>
      <w:r>
        <w:rPr>
          <w:rFonts w:hint="eastAsia" w:ascii="仿宋" w:hAnsi="仿宋" w:eastAsia="仿宋" w:cs="仿宋"/>
          <w:color w:val="auto"/>
          <w:sz w:val="24"/>
          <w:szCs w:val="24"/>
          <w:highlight w:val="none"/>
        </w:rPr>
        <w:t>供配电设备及周围环境应保持整洁、卫生；</w:t>
      </w:r>
    </w:p>
    <w:p w14:paraId="3C52AC95">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f)</w:t>
      </w:r>
      <w:r>
        <w:rPr>
          <w:rFonts w:hint="eastAsia" w:ascii="仿宋" w:hAnsi="仿宋" w:eastAsia="仿宋" w:cs="仿宋"/>
          <w:color w:val="auto"/>
          <w:sz w:val="24"/>
          <w:szCs w:val="24"/>
          <w:highlight w:val="none"/>
        </w:rPr>
        <w:t>供配电系统</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人员应及时记录供配电设备的运行参数，并记录有关调度安排，严禁漏记、编造和涂改。</w:t>
      </w:r>
    </w:p>
    <w:p w14:paraId="3E2EB778">
      <w:pPr>
        <w:pStyle w:val="357"/>
        <w:keepNext w:val="0"/>
        <w:keepLines w:val="0"/>
        <w:pageBreakBefore w:val="0"/>
        <w:numPr>
          <w:ilvl w:val="0"/>
          <w:numId w:val="0"/>
        </w:numPr>
        <w:kinsoku/>
        <w:wordWrap/>
        <w:overflowPunct/>
        <w:topLinePunct w:val="0"/>
        <w:autoSpaceDE/>
        <w:autoSpaceDN/>
        <w:bidi w:val="0"/>
        <w:adjustRightInd/>
        <w:snapToGrid/>
        <w:spacing w:line="351" w:lineRule="auto"/>
        <w:ind w:left="180" w:firstLine="241" w:firstLineChars="1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3.2.2安全操作</w:t>
      </w:r>
    </w:p>
    <w:p w14:paraId="51199509">
      <w:pPr>
        <w:pStyle w:val="397"/>
        <w:keepNext w:val="0"/>
        <w:keepLines w:val="0"/>
        <w:pageBreakBefore w:val="0"/>
        <w:numPr>
          <w:ilvl w:val="0"/>
          <w:numId w:val="0"/>
        </w:numPr>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在供配电设备上进行倒闸操作时，应遵守电力部门安全工作规程，并应严格按照程序操作；</w:t>
      </w:r>
    </w:p>
    <w:p w14:paraId="4B690B30">
      <w:pPr>
        <w:pStyle w:val="397"/>
        <w:keepNext w:val="0"/>
        <w:keepLines w:val="0"/>
        <w:pageBreakBefore w:val="0"/>
        <w:numPr>
          <w:ilvl w:val="0"/>
          <w:numId w:val="0"/>
        </w:numPr>
        <w:kinsoku/>
        <w:wordWrap/>
        <w:overflowPunct/>
        <w:topLinePunct w:val="0"/>
        <w:autoSpaceDE/>
        <w:autoSpaceDN/>
        <w:bidi w:val="0"/>
        <w:adjustRightInd/>
        <w:snapToGrid/>
        <w:spacing w:line="351"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变压器、电容器等装置在运行中发生异常情况，当不能排除时，应立即停止运行，及时切换，并应立即报告主管部门；</w:t>
      </w:r>
    </w:p>
    <w:p w14:paraId="1DB5790F">
      <w:pPr>
        <w:pStyle w:val="397"/>
        <w:keepNext w:val="0"/>
        <w:keepLines w:val="0"/>
        <w:pageBreakBefore w:val="0"/>
        <w:numPr>
          <w:ilvl w:val="0"/>
          <w:numId w:val="0"/>
        </w:numPr>
        <w:kinsoku/>
        <w:wordWrap/>
        <w:overflowPunct/>
        <w:topLinePunct w:val="0"/>
        <w:autoSpaceDE/>
        <w:autoSpaceDN/>
        <w:bidi w:val="0"/>
        <w:adjustRightInd/>
        <w:snapToGrid/>
        <w:spacing w:line="351"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电容器在重新合闸前，必须使断路器断开，将电容器放电；</w:t>
      </w:r>
    </w:p>
    <w:p w14:paraId="37A999B0">
      <w:pPr>
        <w:pStyle w:val="357"/>
        <w:keepNext w:val="0"/>
        <w:keepLines w:val="0"/>
        <w:pageBreakBefore w:val="0"/>
        <w:numPr>
          <w:ilvl w:val="0"/>
          <w:numId w:val="0"/>
        </w:numPr>
        <w:kinsoku/>
        <w:wordWrap/>
        <w:overflowPunct/>
        <w:topLinePunct w:val="0"/>
        <w:autoSpaceDE/>
        <w:autoSpaceDN/>
        <w:bidi w:val="0"/>
        <w:adjustRightInd/>
        <w:snapToGrid/>
        <w:spacing w:line="351" w:lineRule="auto"/>
        <w:ind w:left="472"/>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3.2.3维护保养</w:t>
      </w:r>
    </w:p>
    <w:p w14:paraId="236CB3F2">
      <w:pPr>
        <w:pStyle w:val="397"/>
        <w:keepNext w:val="0"/>
        <w:keepLines w:val="0"/>
        <w:pageBreakBefore w:val="0"/>
        <w:numPr>
          <w:ilvl w:val="0"/>
          <w:numId w:val="0"/>
        </w:numPr>
        <w:kinsoku/>
        <w:wordWrap/>
        <w:overflowPunct/>
        <w:topLinePunct w:val="0"/>
        <w:autoSpaceDE/>
        <w:autoSpaceDN/>
        <w:bidi w:val="0"/>
        <w:adjustRightInd/>
        <w:snapToGrid/>
        <w:spacing w:line="351"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a)</w:t>
      </w:r>
      <w:r>
        <w:rPr>
          <w:rFonts w:hint="eastAsia" w:ascii="仿宋" w:hAnsi="仿宋" w:eastAsia="仿宋" w:cs="仿宋"/>
          <w:color w:val="auto"/>
          <w:sz w:val="24"/>
          <w:szCs w:val="24"/>
          <w:highlight w:val="none"/>
        </w:rPr>
        <w:t>供配电系统中低压变配电设备应停电、清扫工作；</w:t>
      </w:r>
    </w:p>
    <w:p w14:paraId="4B85F82A">
      <w:pPr>
        <w:pStyle w:val="397"/>
        <w:keepNext w:val="0"/>
        <w:keepLines w:val="0"/>
        <w:pageBreakBefore w:val="0"/>
        <w:numPr>
          <w:ilvl w:val="0"/>
          <w:numId w:val="0"/>
        </w:numPr>
        <w:kinsoku/>
        <w:wordWrap/>
        <w:overflowPunct/>
        <w:topLinePunct w:val="0"/>
        <w:autoSpaceDE/>
        <w:autoSpaceDN/>
        <w:bidi w:val="0"/>
        <w:adjustRightInd/>
        <w:snapToGrid/>
        <w:spacing w:line="351"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b)</w:t>
      </w:r>
      <w:r>
        <w:rPr>
          <w:rFonts w:hint="eastAsia" w:ascii="仿宋" w:hAnsi="仿宋" w:eastAsia="仿宋" w:cs="仿宋"/>
          <w:color w:val="auto"/>
          <w:sz w:val="24"/>
          <w:szCs w:val="24"/>
          <w:highlight w:val="none"/>
        </w:rPr>
        <w:t>按照对电力部门安全工作规程对高压变配电设施进行预防性测试；</w:t>
      </w:r>
    </w:p>
    <w:p w14:paraId="1159B985">
      <w:pPr>
        <w:pStyle w:val="397"/>
        <w:keepNext w:val="0"/>
        <w:keepLines w:val="0"/>
        <w:pageBreakBefore w:val="0"/>
        <w:numPr>
          <w:ilvl w:val="0"/>
          <w:numId w:val="0"/>
        </w:numPr>
        <w:kinsoku/>
        <w:wordWrap/>
        <w:overflowPunct/>
        <w:topLinePunct w:val="0"/>
        <w:autoSpaceDE/>
        <w:autoSpaceDN/>
        <w:bidi w:val="0"/>
        <w:adjustRightInd/>
        <w:snapToGrid/>
        <w:spacing w:line="351"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c)</w:t>
      </w:r>
      <w:r>
        <w:rPr>
          <w:rFonts w:hint="eastAsia" w:ascii="仿宋" w:hAnsi="仿宋" w:eastAsia="仿宋" w:cs="仿宋"/>
          <w:color w:val="auto"/>
          <w:sz w:val="24"/>
          <w:szCs w:val="24"/>
          <w:highlight w:val="none"/>
        </w:rPr>
        <w:t>供电线路的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按照电力部门的有关规定进行。当供电线路存在异常情况时，采取措施并及时通知电力部门及主管部门；</w:t>
      </w:r>
    </w:p>
    <w:p w14:paraId="3603C6AC">
      <w:pPr>
        <w:pStyle w:val="397"/>
        <w:keepNext w:val="0"/>
        <w:keepLines w:val="0"/>
        <w:pageBreakBefore w:val="0"/>
        <w:numPr>
          <w:ilvl w:val="0"/>
          <w:numId w:val="0"/>
        </w:numPr>
        <w:kinsoku/>
        <w:wordWrap/>
        <w:overflowPunct/>
        <w:topLinePunct w:val="0"/>
        <w:autoSpaceDE/>
        <w:autoSpaceDN/>
        <w:bidi w:val="0"/>
        <w:adjustRightInd/>
        <w:snapToGrid/>
        <w:spacing w:line="351" w:lineRule="auto"/>
        <w:ind w:left="0" w:leftChars="0" w:firstLine="42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d)</w:t>
      </w:r>
      <w:r>
        <w:rPr>
          <w:rFonts w:hint="eastAsia" w:ascii="仿宋" w:hAnsi="仿宋" w:eastAsia="仿宋" w:cs="仿宋"/>
          <w:color w:val="auto"/>
          <w:sz w:val="24"/>
          <w:szCs w:val="24"/>
          <w:highlight w:val="none"/>
        </w:rPr>
        <w:t>供配电系统需要进行带电作业的项目，应使隧道内、变配电室、中心控制室相互协调、密切配合，并严格按电气操作规程的有关要求进行；</w:t>
      </w:r>
    </w:p>
    <w:p w14:paraId="522954A4">
      <w:pPr>
        <w:pStyle w:val="397"/>
        <w:keepNext w:val="0"/>
        <w:keepLines w:val="0"/>
        <w:pageBreakBefore w:val="0"/>
        <w:numPr>
          <w:ilvl w:val="0"/>
          <w:numId w:val="0"/>
        </w:numPr>
        <w:kinsoku/>
        <w:wordWrap/>
        <w:overflowPunct/>
        <w:topLinePunct w:val="0"/>
        <w:autoSpaceDE/>
        <w:autoSpaceDN/>
        <w:bidi w:val="0"/>
        <w:adjustRightInd/>
        <w:snapToGrid/>
        <w:spacing w:line="351" w:lineRule="auto"/>
        <w:ind w:left="780" w:leftChars="0" w:hanging="36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bidi="ar-SA"/>
        </w:rPr>
        <w:t>e)</w:t>
      </w:r>
      <w:r>
        <w:rPr>
          <w:rFonts w:hint="eastAsia" w:ascii="仿宋" w:hAnsi="仿宋" w:eastAsia="仿宋" w:cs="仿宋"/>
          <w:color w:val="auto"/>
          <w:sz w:val="24"/>
          <w:szCs w:val="24"/>
          <w:highlight w:val="none"/>
        </w:rPr>
        <w:t>供配电设施应定期检修，检修主要内容有：</w:t>
      </w:r>
    </w:p>
    <w:p w14:paraId="372FE6FE">
      <w:pPr>
        <w:pStyle w:val="406"/>
        <w:keepNext w:val="0"/>
        <w:keepLines w:val="0"/>
        <w:pageBreakBefore w:val="0"/>
        <w:numPr>
          <w:ilvl w:val="0"/>
          <w:numId w:val="0"/>
        </w:numPr>
        <w:tabs>
          <w:tab w:val="clear" w:pos="720"/>
          <w:tab w:val="clear" w:pos="760"/>
        </w:tabs>
        <w:kinsoku/>
        <w:wordWrap/>
        <w:overflowPunct/>
        <w:topLinePunct w:val="0"/>
        <w:autoSpaceDE/>
        <w:autoSpaceDN/>
        <w:bidi w:val="0"/>
        <w:adjustRightInd/>
        <w:snapToGrid/>
        <w:spacing w:line="351"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高压配电房由专业的单位维护，在</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中发现高配房的问题第一时间通知相应的维护单位进行处置。</w:t>
      </w:r>
    </w:p>
    <w:p w14:paraId="061EB90B">
      <w:pPr>
        <w:pStyle w:val="406"/>
        <w:keepNext w:val="0"/>
        <w:keepLines w:val="0"/>
        <w:pageBreakBefore w:val="0"/>
        <w:numPr>
          <w:ilvl w:val="0"/>
          <w:numId w:val="0"/>
        </w:numPr>
        <w:tabs>
          <w:tab w:val="clear" w:pos="720"/>
          <w:tab w:val="clear" w:pos="760"/>
        </w:tabs>
        <w:kinsoku/>
        <w:wordWrap/>
        <w:overflowPunct/>
        <w:topLinePunct w:val="0"/>
        <w:autoSpaceDE/>
        <w:autoSpaceDN/>
        <w:bidi w:val="0"/>
        <w:adjustRightInd/>
        <w:snapToGrid/>
        <w:spacing w:line="351" w:lineRule="auto"/>
        <w:ind w:left="600" w:hanging="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2）低压开关柜</w:t>
      </w:r>
    </w:p>
    <w:p w14:paraId="005D4BA4">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断路器外观有无污染、裂痕；</w:t>
      </w:r>
    </w:p>
    <w:p w14:paraId="2F500200">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断路器触头有无烧伤、接触是否紧密；</w:t>
      </w:r>
    </w:p>
    <w:p w14:paraId="040DC515">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断路器有无明显的噪音；</w:t>
      </w:r>
    </w:p>
    <w:p w14:paraId="3FCEA531">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断路器脱扣器是否正常；</w:t>
      </w:r>
    </w:p>
    <w:p w14:paraId="5AC6C0B7">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断路器绝缘是否良好；</w:t>
      </w:r>
    </w:p>
    <w:p w14:paraId="65C1DF0B">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断路器整定值是否满足系统保护要求;</w:t>
      </w:r>
    </w:p>
    <w:p w14:paraId="7DDF4DD5">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断路器引线接头有无污染、松动；</w:t>
      </w:r>
    </w:p>
    <w:p w14:paraId="6973E68B">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热继电器外部检查外壳是否清洁、完整、嵌接良好；</w:t>
      </w:r>
    </w:p>
    <w:p w14:paraId="5BF496FD">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热继电器外壳与底座接合是否紧密牢固、防尘密封是否良好安装是否端正；</w:t>
      </w:r>
    </w:p>
    <w:p w14:paraId="408BCDAE">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热继电器内部和机械部分检查；</w:t>
      </w:r>
    </w:p>
    <w:p w14:paraId="399EC90B">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转换开关外部检查是否清洁、完整、嵌接良好；</w:t>
      </w:r>
    </w:p>
    <w:p w14:paraId="441F2C69">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转换开关外壳与底座接合是否紧密牢固、防尘密封是否良好安装是否端正；</w:t>
      </w:r>
    </w:p>
    <w:p w14:paraId="0462A075">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转换开关内部和机械部分检查。</w:t>
      </w:r>
    </w:p>
    <w:p w14:paraId="6C132CDE">
      <w:pPr>
        <w:pStyle w:val="406"/>
        <w:keepNext w:val="0"/>
        <w:keepLines w:val="0"/>
        <w:pageBreakBefore w:val="0"/>
        <w:widowControl/>
        <w:numPr>
          <w:ilvl w:val="0"/>
          <w:numId w:val="0"/>
        </w:numPr>
        <w:tabs>
          <w:tab w:val="clear" w:pos="720"/>
          <w:tab w:val="clear" w:pos="7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3）风机启动及控制箱</w:t>
      </w:r>
    </w:p>
    <w:p w14:paraId="759B5B36">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箱体接地是否良好；</w:t>
      </w:r>
    </w:p>
    <w:p w14:paraId="42AA2CA9">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可编控制程序是否正确；</w:t>
      </w:r>
    </w:p>
    <w:p w14:paraId="0530799C">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自动集控手动操作是否正确；</w:t>
      </w:r>
    </w:p>
    <w:p w14:paraId="1C8F3BD9">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有无腐蚀及积水；</w:t>
      </w:r>
    </w:p>
    <w:p w14:paraId="638588F4">
      <w:pPr>
        <w:pStyle w:val="406"/>
        <w:keepNext w:val="0"/>
        <w:keepLines w:val="0"/>
        <w:pageBreakBefore w:val="0"/>
        <w:widowControl/>
        <w:numPr>
          <w:ilvl w:val="0"/>
          <w:numId w:val="0"/>
        </w:numPr>
        <w:tabs>
          <w:tab w:val="clear" w:pos="720"/>
          <w:tab w:val="clear" w:pos="7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4）电力电缆、电缆托架及支架</w:t>
      </w:r>
    </w:p>
    <w:p w14:paraId="3629D641">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外表有无损伤、变形、断开、腐蚀；</w:t>
      </w:r>
    </w:p>
    <w:p w14:paraId="5C842F45">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电缆线间、相间和对地绝缘是否正常；</w:t>
      </w:r>
    </w:p>
    <w:p w14:paraId="4EF97F83">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电缆工作温度是否正常；</w:t>
      </w:r>
    </w:p>
    <w:p w14:paraId="75229DAB">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接头处是否正常，有无烧焦痕迹；</w:t>
      </w:r>
    </w:p>
    <w:p w14:paraId="1B2D25CC">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电缆沟是否干净，有无杂物垃圾，有无积水、积油、盖板是否完整；</w:t>
      </w:r>
    </w:p>
    <w:p w14:paraId="7DFE64B8">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接地是否良好。</w:t>
      </w:r>
    </w:p>
    <w:p w14:paraId="04822784">
      <w:pPr>
        <w:pStyle w:val="406"/>
        <w:keepNext w:val="0"/>
        <w:keepLines w:val="0"/>
        <w:pageBreakBefore w:val="0"/>
        <w:widowControl/>
        <w:numPr>
          <w:ilvl w:val="0"/>
          <w:numId w:val="0"/>
        </w:numPr>
        <w:tabs>
          <w:tab w:val="clear" w:pos="720"/>
          <w:tab w:val="clear" w:pos="760"/>
        </w:tabs>
        <w:kinsoku/>
        <w:wordWrap/>
        <w:overflowPunct/>
        <w:topLinePunct w:val="0"/>
        <w:autoSpaceDE/>
        <w:autoSpaceDN/>
        <w:bidi w:val="0"/>
        <w:adjustRightInd/>
        <w:snapToGrid/>
        <w:spacing w:line="348" w:lineRule="auto"/>
        <w:ind w:left="600" w:hanging="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5）变配电室构件、接地装置无腐蚀，接地电阻正常。</w:t>
      </w:r>
    </w:p>
    <w:p w14:paraId="5E403EDC">
      <w:pPr>
        <w:pStyle w:val="406"/>
        <w:keepNext w:val="0"/>
        <w:keepLines w:val="0"/>
        <w:pageBreakBefore w:val="0"/>
        <w:widowControl/>
        <w:numPr>
          <w:ilvl w:val="0"/>
          <w:numId w:val="0"/>
        </w:numPr>
        <w:tabs>
          <w:tab w:val="clear" w:pos="720"/>
          <w:tab w:val="clear" w:pos="760"/>
        </w:tabs>
        <w:kinsoku/>
        <w:wordWrap/>
        <w:overflowPunct/>
        <w:topLinePunct w:val="0"/>
        <w:autoSpaceDE/>
        <w:autoSpaceDN/>
        <w:bidi w:val="0"/>
        <w:adjustRightInd/>
        <w:snapToGrid/>
        <w:spacing w:line="348" w:lineRule="auto"/>
        <w:ind w:left="600" w:hanging="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6）直流电源、UPS电源</w:t>
      </w:r>
    </w:p>
    <w:p w14:paraId="07BB28BA">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微机继电保护装置新安装的保护装置全部检验；</w:t>
      </w:r>
    </w:p>
    <w:p w14:paraId="5E43BE20">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箱体接地应良好；</w:t>
      </w:r>
    </w:p>
    <w:p w14:paraId="273A91A9">
      <w:pPr>
        <w:pStyle w:val="454"/>
        <w:keepNext w:val="0"/>
        <w:keepLines w:val="0"/>
        <w:pageBreakBefore w:val="0"/>
        <w:widowControl/>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电池组外观有无污染损伤，电池的电解液是否正常；</w:t>
      </w:r>
    </w:p>
    <w:p w14:paraId="1ADD73D0">
      <w:pPr>
        <w:pStyle w:val="454"/>
        <w:keepNext w:val="0"/>
        <w:keepLines w:val="0"/>
        <w:pageBreakBefore w:val="0"/>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电池的电压是否正常；</w:t>
      </w:r>
    </w:p>
    <w:p w14:paraId="65118BF3">
      <w:pPr>
        <w:pStyle w:val="454"/>
        <w:keepNext w:val="0"/>
        <w:keepLines w:val="0"/>
        <w:pageBreakBefore w:val="0"/>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电池的绝缘是否正常；</w:t>
      </w:r>
    </w:p>
    <w:p w14:paraId="2C70B8FE">
      <w:pPr>
        <w:pStyle w:val="454"/>
        <w:keepNext w:val="0"/>
        <w:keepLines w:val="0"/>
        <w:pageBreakBefore w:val="0"/>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电池每年进行容量恢复试验；</w:t>
      </w:r>
    </w:p>
    <w:p w14:paraId="1D7913DB">
      <w:pPr>
        <w:pStyle w:val="454"/>
        <w:keepNext w:val="0"/>
        <w:keepLines w:val="0"/>
        <w:pageBreakBefore w:val="0"/>
        <w:numPr>
          <w:ilvl w:val="0"/>
          <w:numId w:val="0"/>
        </w:numPr>
        <w:tabs>
          <w:tab w:val="clear" w:pos="720"/>
          <w:tab w:val="clear" w:pos="9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充电机及浮充电机输出直流电压、电流应正常，整流装置应正常。</w:t>
      </w:r>
    </w:p>
    <w:p w14:paraId="051C3B08">
      <w:pPr>
        <w:pStyle w:val="535"/>
        <w:keepNext w:val="0"/>
        <w:keepLines w:val="0"/>
        <w:pageBreakBefore w:val="0"/>
        <w:numPr>
          <w:ilvl w:val="0"/>
          <w:numId w:val="0"/>
        </w:numPr>
        <w:kinsoku/>
        <w:wordWrap/>
        <w:overflowPunct/>
        <w:topLinePunct w:val="0"/>
        <w:autoSpaceDE/>
        <w:autoSpaceDN/>
        <w:bidi w:val="0"/>
        <w:adjustRightInd/>
        <w:snapToGrid/>
        <w:spacing w:beforeLines="0" w:afterLines="0" w:line="348" w:lineRule="auto"/>
        <w:ind w:firstLine="482"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其它设施</w:t>
      </w:r>
    </w:p>
    <w:p w14:paraId="28E13F74">
      <w:pPr>
        <w:pStyle w:val="621"/>
        <w:keepNext w:val="0"/>
        <w:keepLines w:val="0"/>
        <w:pageBreakBefore w:val="0"/>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bookmarkStart w:id="156" w:name="_Toc113251233"/>
      <w:bookmarkStart w:id="157" w:name="_Toc115592248"/>
      <w:r>
        <w:rPr>
          <w:rFonts w:hint="eastAsia" w:ascii="仿宋" w:hAnsi="仿宋" w:eastAsia="仿宋" w:cs="仿宋"/>
          <w:color w:val="auto"/>
          <w:sz w:val="24"/>
          <w:szCs w:val="24"/>
          <w:highlight w:val="none"/>
        </w:rPr>
        <w:t>4.1 一般规定</w:t>
      </w:r>
      <w:bookmarkEnd w:id="156"/>
      <w:bookmarkEnd w:id="157"/>
    </w:p>
    <w:p w14:paraId="5602B499">
      <w:pPr>
        <w:pStyle w:val="357"/>
        <w:keepNext w:val="0"/>
        <w:keepLines w:val="0"/>
        <w:pageBreakBefore w:val="0"/>
        <w:numPr>
          <w:ilvl w:val="0"/>
          <w:numId w:val="0"/>
        </w:numPr>
        <w:kinsoku/>
        <w:wordWrap/>
        <w:overflowPunct/>
        <w:topLinePunct w:val="0"/>
        <w:autoSpaceDE/>
        <w:autoSpaceDN/>
        <w:bidi w:val="0"/>
        <w:adjustRightInd/>
        <w:snapToGrid/>
        <w:spacing w:line="348"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应经常保持完好、齐全。</w:t>
      </w:r>
    </w:p>
    <w:p w14:paraId="262F4932">
      <w:pPr>
        <w:pStyle w:val="357"/>
        <w:keepNext w:val="0"/>
        <w:keepLines w:val="0"/>
        <w:pageBreakBefore w:val="0"/>
        <w:numPr>
          <w:ilvl w:val="0"/>
          <w:numId w:val="0"/>
        </w:numPr>
        <w:kinsoku/>
        <w:wordWrap/>
        <w:overflowPunct/>
        <w:topLinePunct w:val="0"/>
        <w:autoSpaceDE/>
        <w:autoSpaceDN/>
        <w:bidi w:val="0"/>
        <w:adjustRightInd/>
        <w:snapToGrid/>
        <w:spacing w:line="348"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有特殊要求的其他设施应按相关规定进行</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w:t>
      </w:r>
    </w:p>
    <w:p w14:paraId="63D87B75">
      <w:pPr>
        <w:keepNext w:val="0"/>
        <w:keepLines w:val="0"/>
        <w:pageBreakBefore w:val="0"/>
        <w:widowControl/>
        <w:kinsoku/>
        <w:wordWrap/>
        <w:overflowPunct/>
        <w:topLinePunct w:val="0"/>
        <w:autoSpaceDE/>
        <w:autoSpaceDN/>
        <w:bidi w:val="0"/>
        <w:adjustRightInd/>
        <w:snapToGrid/>
        <w:spacing w:line="348" w:lineRule="auto"/>
        <w:ind w:firstLine="480" w:firstLineChars="200"/>
        <w:jc w:val="left"/>
        <w:textAlignment w:val="auto"/>
        <w:outlineLvl w:val="9"/>
        <w:rPr>
          <w:rFonts w:hint="eastAsia" w:ascii="仿宋" w:hAnsi="仿宋" w:eastAsia="仿宋" w:cs="仿宋"/>
          <w:color w:val="auto"/>
          <w:kern w:val="0"/>
          <w:sz w:val="24"/>
          <w:szCs w:val="24"/>
          <w:highlight w:val="none"/>
        </w:rPr>
      </w:pPr>
      <w:bookmarkStart w:id="158" w:name="_Toc113251234"/>
      <w:bookmarkStart w:id="159" w:name="_Toc115592249"/>
      <w:r>
        <w:rPr>
          <w:rFonts w:hint="eastAsia" w:ascii="仿宋" w:hAnsi="仿宋" w:eastAsia="仿宋" w:cs="仿宋"/>
          <w:color w:val="auto"/>
          <w:kern w:val="0"/>
          <w:sz w:val="24"/>
          <w:szCs w:val="24"/>
          <w:highlight w:val="none"/>
        </w:rPr>
        <w:t>4.2 环保设施</w:t>
      </w:r>
      <w:bookmarkEnd w:id="158"/>
      <w:bookmarkEnd w:id="159"/>
    </w:p>
    <w:p w14:paraId="3639D689">
      <w:pPr>
        <w:pStyle w:val="397"/>
        <w:keepNext w:val="0"/>
        <w:keepLines w:val="0"/>
        <w:pageBreakBefore w:val="0"/>
        <w:kinsoku/>
        <w:wordWrap/>
        <w:overflowPunct/>
        <w:topLinePunct w:val="0"/>
        <w:autoSpaceDE/>
        <w:autoSpaceDN/>
        <w:bidi w:val="0"/>
        <w:adjustRightInd/>
        <w:snapToGrid/>
        <w:spacing w:line="348"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4.2.1 隧道洞口绿化与植被应与周围环境协调。 </w:t>
      </w:r>
    </w:p>
    <w:p w14:paraId="02AF0F3D">
      <w:pPr>
        <w:pStyle w:val="397"/>
        <w:keepNext w:val="0"/>
        <w:keepLines w:val="0"/>
        <w:pageBreakBefore w:val="0"/>
        <w:kinsoku/>
        <w:wordWrap/>
        <w:overflowPunct/>
        <w:topLinePunct w:val="0"/>
        <w:autoSpaceDE/>
        <w:autoSpaceDN/>
        <w:bidi w:val="0"/>
        <w:adjustRightInd/>
        <w:snapToGrid/>
        <w:spacing w:line="348"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隧道污水处理设施的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应符合以下要求：</w:t>
      </w:r>
    </w:p>
    <w:p w14:paraId="0565A79E">
      <w:pPr>
        <w:pStyle w:val="406"/>
        <w:keepNext w:val="0"/>
        <w:keepLines w:val="0"/>
        <w:pageBreakBefore w:val="0"/>
        <w:numPr>
          <w:ilvl w:val="0"/>
          <w:numId w:val="0"/>
        </w:numPr>
        <w:tabs>
          <w:tab w:val="clear" w:pos="720"/>
          <w:tab w:val="clear" w:pos="7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a）污水处理池和净化池不应渗漏，发现渗漏应查明原因及时处治；</w:t>
      </w:r>
    </w:p>
    <w:p w14:paraId="663B9F7D">
      <w:pPr>
        <w:pStyle w:val="406"/>
        <w:keepNext w:val="0"/>
        <w:keepLines w:val="0"/>
        <w:pageBreakBefore w:val="0"/>
        <w:numPr>
          <w:ilvl w:val="0"/>
          <w:numId w:val="0"/>
        </w:numPr>
        <w:tabs>
          <w:tab w:val="clear" w:pos="720"/>
          <w:tab w:val="clear" w:pos="7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b）污水处理池和净化池沉积的泥沙、杂物，应适时清除。</w:t>
      </w:r>
    </w:p>
    <w:p w14:paraId="238F4004">
      <w:pPr>
        <w:keepNext w:val="0"/>
        <w:keepLines w:val="0"/>
        <w:pageBreakBefore w:val="0"/>
        <w:widowControl/>
        <w:numPr>
          <w:ilvl w:val="1"/>
          <w:numId w:val="0"/>
        </w:numPr>
        <w:kinsoku/>
        <w:wordWrap/>
        <w:overflowPunct/>
        <w:topLinePunct w:val="0"/>
        <w:autoSpaceDE/>
        <w:autoSpaceDN/>
        <w:bidi w:val="0"/>
        <w:adjustRightInd/>
        <w:snapToGrid/>
        <w:spacing w:line="348" w:lineRule="auto"/>
        <w:ind w:left="840" w:leftChars="0" w:hanging="360" w:firstLineChars="0"/>
        <w:jc w:val="left"/>
        <w:textAlignment w:val="auto"/>
        <w:outlineLvl w:val="9"/>
        <w:rPr>
          <w:rFonts w:hint="eastAsia" w:ascii="仿宋" w:hAnsi="仿宋" w:eastAsia="仿宋" w:cs="仿宋"/>
          <w:color w:val="auto"/>
          <w:kern w:val="0"/>
          <w:sz w:val="24"/>
          <w:szCs w:val="24"/>
          <w:highlight w:val="none"/>
        </w:rPr>
      </w:pPr>
      <w:bookmarkStart w:id="160" w:name="_Toc113251235"/>
      <w:bookmarkStart w:id="161" w:name="_Toc115592250"/>
      <w:r>
        <w:rPr>
          <w:rFonts w:hint="eastAsia" w:ascii="仿宋" w:hAnsi="仿宋" w:eastAsia="仿宋" w:cs="仿宋"/>
          <w:color w:val="auto"/>
          <w:kern w:val="0"/>
          <w:sz w:val="24"/>
          <w:szCs w:val="24"/>
          <w:highlight w:val="none"/>
          <w:lang w:val="en-US" w:eastAsia="zh-CN" w:bidi="ar-SA"/>
        </w:rPr>
        <w:t xml:space="preserve">4.3 </w:t>
      </w:r>
      <w:r>
        <w:rPr>
          <w:rFonts w:hint="eastAsia" w:ascii="仿宋" w:hAnsi="仿宋" w:eastAsia="仿宋" w:cs="仿宋"/>
          <w:color w:val="auto"/>
          <w:kern w:val="0"/>
          <w:sz w:val="24"/>
          <w:szCs w:val="24"/>
          <w:highlight w:val="none"/>
        </w:rPr>
        <w:t>房屋设施</w:t>
      </w:r>
      <w:bookmarkEnd w:id="160"/>
      <w:bookmarkEnd w:id="161"/>
      <w:r>
        <w:rPr>
          <w:rFonts w:hint="eastAsia" w:ascii="仿宋" w:hAnsi="仿宋" w:eastAsia="仿宋" w:cs="仿宋"/>
          <w:color w:val="auto"/>
          <w:kern w:val="0"/>
          <w:sz w:val="24"/>
          <w:szCs w:val="24"/>
          <w:highlight w:val="none"/>
          <w:lang w:eastAsia="zh-CN"/>
        </w:rPr>
        <w:t>运维服务</w:t>
      </w:r>
    </w:p>
    <w:p w14:paraId="11DEAEBA">
      <w:pPr>
        <w:keepNext w:val="0"/>
        <w:keepLines w:val="0"/>
        <w:pageBreakBefore w:val="0"/>
        <w:widowControl/>
        <w:kinsoku/>
        <w:wordWrap/>
        <w:overflowPunct/>
        <w:topLinePunct w:val="0"/>
        <w:autoSpaceDE/>
        <w:autoSpaceDN/>
        <w:bidi w:val="0"/>
        <w:adjustRightInd/>
        <w:snapToGrid/>
        <w:spacing w:line="348" w:lineRule="auto"/>
        <w:ind w:left="480"/>
        <w:jc w:val="left"/>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4.3.1 房屋屋面及墙体如发生渗漏应及时维修。</w:t>
      </w:r>
    </w:p>
    <w:p w14:paraId="1F7DF164">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4.3.2 屋面墙体粉刷后，起壳、剥落、疏松等损坏部分应凿除并清理干净后重新粉刷。</w:t>
      </w:r>
    </w:p>
    <w:p w14:paraId="59E9A94F">
      <w:pPr>
        <w:pStyle w:val="357"/>
        <w:keepNext w:val="0"/>
        <w:keepLines w:val="0"/>
        <w:pageBreakBefore w:val="0"/>
        <w:numPr>
          <w:ilvl w:val="0"/>
          <w:numId w:val="0"/>
        </w:numPr>
        <w:kinsoku/>
        <w:wordWrap/>
        <w:overflowPunct/>
        <w:topLinePunct w:val="0"/>
        <w:autoSpaceDE/>
        <w:autoSpaceDN/>
        <w:bidi w:val="0"/>
        <w:adjustRightInd/>
        <w:snapToGrid/>
        <w:spacing w:line="348"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4.3.3 变电所、监控中心等主要生产房屋应做到地面无积尘和油污。</w:t>
      </w:r>
    </w:p>
    <w:p w14:paraId="156A0B42">
      <w:pPr>
        <w:pStyle w:val="357"/>
        <w:keepNext w:val="0"/>
        <w:keepLines w:val="0"/>
        <w:pageBreakBefore w:val="0"/>
        <w:numPr>
          <w:ilvl w:val="0"/>
          <w:numId w:val="0"/>
        </w:numPr>
        <w:kinsoku/>
        <w:wordWrap/>
        <w:overflowPunct/>
        <w:topLinePunct w:val="0"/>
        <w:autoSpaceDE/>
        <w:autoSpaceDN/>
        <w:bidi w:val="0"/>
        <w:adjustRightInd/>
        <w:snapToGrid/>
        <w:spacing w:line="348"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4.3.4 房屋及其周围环境应保持整洁、美观，周围场地应排水通畅。</w:t>
      </w:r>
    </w:p>
    <w:p w14:paraId="1CC0BDE1">
      <w:pPr>
        <w:pStyle w:val="357"/>
        <w:keepNext w:val="0"/>
        <w:keepLines w:val="0"/>
        <w:pageBreakBefore w:val="0"/>
        <w:numPr>
          <w:ilvl w:val="0"/>
          <w:numId w:val="0"/>
        </w:numPr>
        <w:kinsoku/>
        <w:wordWrap/>
        <w:overflowPunct/>
        <w:topLinePunct w:val="0"/>
        <w:autoSpaceDE/>
        <w:autoSpaceDN/>
        <w:bidi w:val="0"/>
        <w:adjustRightInd/>
        <w:snapToGrid/>
        <w:spacing w:line="348" w:lineRule="auto"/>
        <w:ind w:left="284"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4.3.5 房屋防雷接地装置如有损坏、锈蚀应及时</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维修。</w:t>
      </w:r>
    </w:p>
    <w:p w14:paraId="3B59B996">
      <w:pPr>
        <w:pStyle w:val="535"/>
        <w:keepNext w:val="0"/>
        <w:keepLines w:val="0"/>
        <w:pageBreakBefore w:val="0"/>
        <w:numPr>
          <w:ilvl w:val="0"/>
          <w:numId w:val="0"/>
        </w:numPr>
        <w:kinsoku/>
        <w:wordWrap/>
        <w:overflowPunct/>
        <w:topLinePunct w:val="0"/>
        <w:autoSpaceDE/>
        <w:autoSpaceDN/>
        <w:bidi w:val="0"/>
        <w:adjustRightInd/>
        <w:snapToGrid/>
        <w:spacing w:beforeLines="0" w:afterLines="0" w:line="348" w:lineRule="auto"/>
        <w:ind w:firstLine="482" w:firstLineChars="200"/>
        <w:textAlignment w:val="auto"/>
        <w:outlineLvl w:val="9"/>
        <w:rPr>
          <w:rFonts w:hint="eastAsia" w:ascii="仿宋" w:hAnsi="仿宋" w:eastAsia="仿宋" w:cs="仿宋"/>
          <w:b/>
          <w:color w:val="auto"/>
          <w:sz w:val="24"/>
          <w:szCs w:val="24"/>
          <w:highlight w:val="none"/>
        </w:rPr>
      </w:pPr>
      <w:bookmarkStart w:id="162" w:name="_Toc130030069"/>
      <w:bookmarkStart w:id="163" w:name="_Toc132648403"/>
      <w:bookmarkStart w:id="164" w:name="_Toc115592302"/>
      <w:bookmarkStart w:id="165" w:name="_Toc115594228"/>
      <w:bookmarkStart w:id="166" w:name="_Toc115594668"/>
      <w:bookmarkStart w:id="167" w:name="_Toc115593651"/>
      <w:bookmarkStart w:id="168" w:name="_Toc132648337"/>
      <w:bookmarkStart w:id="169" w:name="_Toc115592612"/>
      <w:bookmarkStart w:id="170" w:name="_Toc125552658"/>
      <w:bookmarkStart w:id="171" w:name="_Toc115594047"/>
      <w:bookmarkStart w:id="172" w:name="_Toc132648442"/>
      <w:bookmarkStart w:id="173" w:name="_Toc132614017"/>
      <w:bookmarkStart w:id="174" w:name="_Toc115592653"/>
      <w:bookmarkStart w:id="175" w:name="_Toc132615124"/>
      <w:bookmarkStart w:id="176" w:name="_Toc132677248"/>
      <w:bookmarkStart w:id="177" w:name="_Toc115594171"/>
      <w:r>
        <w:rPr>
          <w:rFonts w:hint="eastAsia" w:ascii="仿宋" w:hAnsi="仿宋" w:eastAsia="仿宋" w:cs="仿宋"/>
          <w:b/>
          <w:color w:val="auto"/>
          <w:sz w:val="24"/>
          <w:szCs w:val="24"/>
          <w:highlight w:val="none"/>
        </w:rPr>
        <w:t>5</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档案资料</w:t>
      </w:r>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14:paraId="19E1E081">
      <w:pPr>
        <w:pStyle w:val="357"/>
        <w:keepNext w:val="0"/>
        <w:keepLines w:val="0"/>
        <w:pageBreakBefore w:val="0"/>
        <w:numPr>
          <w:ilvl w:val="0"/>
          <w:numId w:val="0"/>
        </w:numPr>
        <w:tabs>
          <w:tab w:val="left" w:pos="0"/>
          <w:tab w:val="clear" w:pos="360"/>
        </w:tabs>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城市隧道</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部门应建立</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档案资料，档案资料应全面、正确、及时、清晰</w:t>
      </w:r>
      <w:bookmarkStart w:id="178" w:name="_Toc115592252"/>
      <w:bookmarkStart w:id="179" w:name="_Toc113241601"/>
      <w:r>
        <w:rPr>
          <w:rFonts w:hint="eastAsia" w:ascii="仿宋" w:hAnsi="仿宋" w:eastAsia="仿宋" w:cs="仿宋"/>
          <w:color w:val="auto"/>
          <w:sz w:val="24"/>
          <w:szCs w:val="24"/>
          <w:highlight w:val="none"/>
        </w:rPr>
        <w:t>。</w:t>
      </w:r>
    </w:p>
    <w:p w14:paraId="64CC3415">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5.2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档案应包括下列内容：隧道主要技术资料，新建、改造、大修竣工资料、</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运行资料、</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技术文件、检查资料、检测资料、测试资料、隧道内敷设管线等</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技术文件及相关资料。</w:t>
      </w:r>
      <w:bookmarkEnd w:id="178"/>
      <w:bookmarkEnd w:id="179"/>
    </w:p>
    <w:p w14:paraId="794A2CDF">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 在各类突发事故或设施损坏严重的处理过程中，必须及时做好记录，要有相片或录像，并应连同分析、处理资料一起归档保存。</w:t>
      </w:r>
      <w:bookmarkStart w:id="180" w:name="_Toc113241602"/>
    </w:p>
    <w:p w14:paraId="437E3805">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5.4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档案管理工作宜逐步实行电子化、数据化、利用多媒体技术，建立信息管理系统、数据库。</w:t>
      </w:r>
      <w:bookmarkEnd w:id="180"/>
    </w:p>
    <w:p w14:paraId="56F22526">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5.5 各类</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档案应永久保存。</w:t>
      </w:r>
    </w:p>
    <w:p w14:paraId="77F88F60">
      <w:pPr>
        <w:pStyle w:val="535"/>
        <w:keepNext w:val="0"/>
        <w:keepLines w:val="0"/>
        <w:pageBreakBefore w:val="0"/>
        <w:numPr>
          <w:ilvl w:val="0"/>
          <w:numId w:val="0"/>
        </w:numPr>
        <w:kinsoku/>
        <w:wordWrap/>
        <w:overflowPunct/>
        <w:topLinePunct w:val="0"/>
        <w:autoSpaceDE/>
        <w:autoSpaceDN/>
        <w:bidi w:val="0"/>
        <w:adjustRightInd/>
        <w:snapToGrid/>
        <w:spacing w:beforeLines="0" w:afterLines="0" w:line="348" w:lineRule="auto"/>
        <w:ind w:firstLine="482" w:firstLineChars="200"/>
        <w:textAlignment w:val="auto"/>
        <w:outlineLvl w:val="9"/>
        <w:rPr>
          <w:rFonts w:hint="eastAsia" w:ascii="仿宋" w:hAnsi="仿宋" w:eastAsia="仿宋" w:cs="仿宋"/>
          <w:b/>
          <w:color w:val="auto"/>
          <w:sz w:val="24"/>
          <w:szCs w:val="24"/>
          <w:highlight w:val="none"/>
        </w:rPr>
      </w:pPr>
      <w:bookmarkStart w:id="181" w:name="_Toc132615125"/>
      <w:bookmarkStart w:id="182" w:name="_Toc113251282"/>
      <w:bookmarkStart w:id="183" w:name="_Toc115594172"/>
      <w:bookmarkStart w:id="184" w:name="_Toc115594048"/>
      <w:bookmarkStart w:id="185" w:name="_Toc115594669"/>
      <w:bookmarkStart w:id="186" w:name="_Toc130030070"/>
      <w:bookmarkStart w:id="187" w:name="_Toc115592270"/>
      <w:bookmarkStart w:id="188" w:name="_Toc113330716"/>
      <w:bookmarkStart w:id="189" w:name="_Toc115592654"/>
      <w:bookmarkStart w:id="190" w:name="_Toc113332543"/>
      <w:bookmarkStart w:id="191" w:name="_Toc113251371"/>
      <w:bookmarkStart w:id="192" w:name="_Toc132614018"/>
      <w:bookmarkStart w:id="193" w:name="_Toc115592253"/>
      <w:bookmarkStart w:id="194" w:name="_Toc125552659"/>
      <w:bookmarkStart w:id="195" w:name="_Toc132648443"/>
      <w:bookmarkStart w:id="196" w:name="_Toc113251236"/>
      <w:bookmarkStart w:id="197" w:name="_Toc115592613"/>
      <w:bookmarkStart w:id="198" w:name="_Toc132677249"/>
      <w:bookmarkStart w:id="199" w:name="_Toc115592303"/>
      <w:bookmarkStart w:id="200" w:name="_Toc113273290"/>
      <w:bookmarkStart w:id="201" w:name="_Toc113241633"/>
      <w:bookmarkStart w:id="202" w:name="_Toc115592094"/>
      <w:bookmarkStart w:id="203" w:name="_Toc132648404"/>
      <w:bookmarkStart w:id="204" w:name="_Toc132648338"/>
      <w:bookmarkStart w:id="205" w:name="_Toc115593652"/>
      <w:bookmarkStart w:id="206" w:name="_Toc115594229"/>
      <w:r>
        <w:rPr>
          <w:rFonts w:hint="eastAsia" w:ascii="仿宋" w:hAnsi="仿宋" w:eastAsia="仿宋" w:cs="仿宋"/>
          <w:b/>
          <w:color w:val="auto"/>
          <w:sz w:val="24"/>
          <w:szCs w:val="24"/>
          <w:highlight w:val="none"/>
        </w:rPr>
        <w:t>6</w:t>
      </w:r>
      <w:r>
        <w:rPr>
          <w:rFonts w:hint="eastAsia" w:ascii="仿宋" w:hAnsi="仿宋" w:eastAsia="仿宋" w:cs="仿宋"/>
          <w:b/>
          <w:color w:val="auto"/>
          <w:sz w:val="24"/>
          <w:szCs w:val="24"/>
          <w:highlight w:val="none"/>
          <w:lang w:val="en-US" w:eastAsia="zh-CN"/>
        </w:rPr>
        <w:t>.</w:t>
      </w:r>
      <w:r>
        <w:rPr>
          <w:rFonts w:hint="eastAsia" w:ascii="仿宋" w:hAnsi="仿宋" w:eastAsia="仿宋" w:cs="仿宋"/>
          <w:b/>
          <w:color w:val="auto"/>
          <w:sz w:val="24"/>
          <w:szCs w:val="24"/>
          <w:highlight w:val="none"/>
        </w:rPr>
        <w:t>安全管理</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56793FBD">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bookmarkStart w:id="207" w:name="_Toc115592255"/>
      <w:bookmarkStart w:id="208" w:name="_Toc113251238"/>
      <w:r>
        <w:rPr>
          <w:rFonts w:hint="eastAsia" w:ascii="仿宋" w:hAnsi="仿宋" w:eastAsia="仿宋" w:cs="仿宋"/>
          <w:color w:val="auto"/>
          <w:sz w:val="24"/>
          <w:szCs w:val="24"/>
          <w:highlight w:val="none"/>
        </w:rPr>
        <w:t>6.1 隧道</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单位应及时掌握城市隧道的信息，做出预测，采用必要的预防性安全措施。</w:t>
      </w:r>
      <w:bookmarkEnd w:id="207"/>
      <w:bookmarkEnd w:id="208"/>
    </w:p>
    <w:p w14:paraId="19E8442F">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bookmarkStart w:id="209" w:name="_Toc115592257"/>
      <w:bookmarkStart w:id="210" w:name="_Toc113251240"/>
      <w:r>
        <w:rPr>
          <w:rFonts w:hint="eastAsia" w:ascii="仿宋" w:hAnsi="仿宋" w:eastAsia="仿宋" w:cs="仿宋"/>
          <w:color w:val="auto"/>
          <w:sz w:val="24"/>
          <w:szCs w:val="24"/>
          <w:highlight w:val="none"/>
        </w:rPr>
        <w:t>6.2 超限运输和运送危险品的车辆应报经有关部门批准方可通过。</w:t>
      </w:r>
      <w:bookmarkEnd w:id="209"/>
      <w:bookmarkEnd w:id="210"/>
      <w:bookmarkStart w:id="211" w:name="_Toc113251242"/>
      <w:bookmarkStart w:id="212" w:name="_Toc115592259"/>
    </w:p>
    <w:p w14:paraId="55EE7CBF">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6.3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作业的安全防护应包括</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作业机械、人员的安全防护。</w:t>
      </w:r>
      <w:bookmarkEnd w:id="211"/>
      <w:bookmarkEnd w:id="212"/>
    </w:p>
    <w:p w14:paraId="6F2FC92A">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bookmarkStart w:id="213" w:name="_Toc115592260"/>
      <w:bookmarkStart w:id="214" w:name="_Toc113251243"/>
      <w:r>
        <w:rPr>
          <w:rFonts w:hint="eastAsia" w:ascii="仿宋" w:hAnsi="仿宋" w:eastAsia="仿宋" w:cs="仿宋"/>
          <w:color w:val="auto"/>
          <w:sz w:val="24"/>
          <w:szCs w:val="24"/>
          <w:highlight w:val="none"/>
        </w:rPr>
        <w:t xml:space="preserve">6.4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作业宜选择在交通量较小时段进行。作业现场应设置明显交通标志，并采取有效安全措施，确保隧道的行车安全和作业人员的生命安全。</w:t>
      </w:r>
    </w:p>
    <w:p w14:paraId="4935CA2A">
      <w:pPr>
        <w:pStyle w:val="357"/>
        <w:keepNext w:val="0"/>
        <w:keepLines w:val="0"/>
        <w:pageBreakBefore w:val="0"/>
        <w:numPr>
          <w:ilvl w:val="0"/>
          <w:numId w:val="0"/>
        </w:numPr>
        <w:kinsoku/>
        <w:wordWrap/>
        <w:overflowPunct/>
        <w:topLinePunct w:val="0"/>
        <w:autoSpaceDE/>
        <w:autoSpaceDN/>
        <w:bidi w:val="0"/>
        <w:adjustRightInd/>
        <w:snapToGrid/>
        <w:spacing w:line="34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6.5 在进行</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作业前，应做好以下工作</w:t>
      </w:r>
      <w:bookmarkEnd w:id="213"/>
      <w:bookmarkEnd w:id="214"/>
      <w:r>
        <w:rPr>
          <w:rFonts w:hint="eastAsia" w:ascii="仿宋" w:hAnsi="仿宋" w:eastAsia="仿宋" w:cs="仿宋"/>
          <w:color w:val="auto"/>
          <w:sz w:val="24"/>
          <w:szCs w:val="24"/>
          <w:highlight w:val="none"/>
        </w:rPr>
        <w:t>。</w:t>
      </w:r>
    </w:p>
    <w:p w14:paraId="45B13BE0">
      <w:pPr>
        <w:pStyle w:val="397"/>
        <w:keepNext w:val="0"/>
        <w:keepLines w:val="0"/>
        <w:pageBreakBefore w:val="0"/>
        <w:kinsoku/>
        <w:wordWrap/>
        <w:overflowPunct/>
        <w:topLinePunct w:val="0"/>
        <w:autoSpaceDE/>
        <w:autoSpaceDN/>
        <w:bidi w:val="0"/>
        <w:adjustRightInd/>
        <w:snapToGrid/>
        <w:spacing w:line="348"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6.5.1 制定安全组织计划，确定合理的工作区。</w:t>
      </w:r>
    </w:p>
    <w:p w14:paraId="49678258">
      <w:pPr>
        <w:pStyle w:val="397"/>
        <w:keepNext w:val="0"/>
        <w:keepLines w:val="0"/>
        <w:pageBreakBefore w:val="0"/>
        <w:kinsoku/>
        <w:wordWrap/>
        <w:overflowPunct/>
        <w:topLinePunct w:val="0"/>
        <w:autoSpaceDE/>
        <w:autoSpaceDN/>
        <w:bidi w:val="0"/>
        <w:adjustRightInd/>
        <w:snapToGrid/>
        <w:spacing w:line="348"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6.5.2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作业人员必须接受专门的安全教育和作业规程训练。</w:t>
      </w:r>
    </w:p>
    <w:p w14:paraId="44D315B6">
      <w:pPr>
        <w:pStyle w:val="397"/>
        <w:keepNext w:val="0"/>
        <w:keepLines w:val="0"/>
        <w:pageBreakBefore w:val="0"/>
        <w:kinsoku/>
        <w:wordWrap/>
        <w:overflowPunct/>
        <w:topLinePunct w:val="0"/>
        <w:autoSpaceDE/>
        <w:autoSpaceDN/>
        <w:bidi w:val="0"/>
        <w:adjustRightInd/>
        <w:snapToGrid/>
        <w:spacing w:line="348" w:lineRule="auto"/>
        <w:ind w:left="0" w:leftChars="0"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6.5.3 </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作业人员，进入隧道应身穿反光安全标志服。</w:t>
      </w:r>
    </w:p>
    <w:p w14:paraId="337D6A35">
      <w:pPr>
        <w:keepNext w:val="0"/>
        <w:keepLines w:val="0"/>
        <w:pageBreakBefore w:val="0"/>
        <w:widowControl w:val="0"/>
        <w:kinsoku/>
        <w:wordWrap/>
        <w:overflowPunct/>
        <w:topLinePunct w:val="0"/>
        <w:autoSpaceDE/>
        <w:autoSpaceDN/>
        <w:bidi w:val="0"/>
        <w:adjustRightInd/>
        <w:snapToGrid/>
        <w:spacing w:line="348" w:lineRule="auto"/>
        <w:ind w:firstLine="480" w:firstLineChars="200"/>
        <w:jc w:val="left"/>
        <w:textAlignment w:val="auto"/>
        <w:outlineLvl w:val="9"/>
        <w:rPr>
          <w:rFonts w:hint="eastAsia" w:ascii="仿宋" w:hAnsi="仿宋" w:eastAsia="仿宋" w:cs="仿宋"/>
          <w:b/>
          <w:bCs w:val="0"/>
          <w:color w:val="auto"/>
          <w:sz w:val="24"/>
          <w:szCs w:val="24"/>
          <w:highlight w:val="none"/>
          <w:lang w:val="en-US" w:eastAsia="zh-CN"/>
        </w:rPr>
      </w:pPr>
      <w:r>
        <w:rPr>
          <w:rFonts w:hint="eastAsia" w:ascii="仿宋" w:hAnsi="仿宋" w:eastAsia="仿宋" w:cs="仿宋"/>
          <w:color w:val="auto"/>
          <w:sz w:val="24"/>
          <w:highlight w:val="none"/>
        </w:rPr>
        <w:t>▲</w:t>
      </w:r>
      <w:r>
        <w:rPr>
          <w:rFonts w:hint="eastAsia" w:ascii="仿宋" w:hAnsi="仿宋" w:eastAsia="仿宋" w:cs="仿宋"/>
          <w:b/>
          <w:bCs w:val="0"/>
          <w:color w:val="auto"/>
          <w:sz w:val="24"/>
          <w:szCs w:val="24"/>
          <w:highlight w:val="none"/>
          <w:lang w:val="en-US" w:eastAsia="zh-CN"/>
        </w:rPr>
        <w:t>五、隧道运维服务车辆设备基本配备要求</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2"/>
        <w:gridCol w:w="6257"/>
        <w:gridCol w:w="2243"/>
      </w:tblGrid>
      <w:tr w14:paraId="1069E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42" w:type="dxa"/>
            <w:vAlign w:val="center"/>
          </w:tcPr>
          <w:p w14:paraId="14892677">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b/>
                <w:color w:val="auto"/>
                <w:sz w:val="24"/>
                <w:szCs w:val="24"/>
                <w:highlight w:val="none"/>
              </w:rPr>
              <w:t>序号</w:t>
            </w:r>
          </w:p>
        </w:tc>
        <w:tc>
          <w:tcPr>
            <w:tcW w:w="6257" w:type="dxa"/>
            <w:vAlign w:val="center"/>
          </w:tcPr>
          <w:p w14:paraId="3CE447C6">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default" w:ascii="仿宋" w:hAnsi="仿宋" w:eastAsia="仿宋" w:cs="仿宋"/>
                <w:color w:val="auto"/>
                <w:highlight w:val="none"/>
                <w:vertAlign w:val="baseline"/>
                <w:lang w:val="en-US" w:eastAsia="zh-CN"/>
              </w:rPr>
            </w:pPr>
            <w:r>
              <w:rPr>
                <w:rFonts w:hint="eastAsia" w:ascii="仿宋" w:hAnsi="仿宋" w:eastAsia="仿宋" w:cs="仿宋"/>
                <w:b/>
                <w:color w:val="auto"/>
                <w:sz w:val="24"/>
                <w:szCs w:val="24"/>
                <w:highlight w:val="none"/>
              </w:rPr>
              <w:t>设备名称</w:t>
            </w:r>
            <w:r>
              <w:rPr>
                <w:rFonts w:hint="eastAsia" w:ascii="仿宋" w:hAnsi="仿宋" w:eastAsia="仿宋" w:cs="仿宋"/>
                <w:b/>
                <w:color w:val="auto"/>
                <w:sz w:val="24"/>
                <w:szCs w:val="24"/>
                <w:highlight w:val="none"/>
                <w:lang w:val="en-US" w:eastAsia="zh-CN"/>
              </w:rPr>
              <w:t>及要求</w:t>
            </w:r>
          </w:p>
        </w:tc>
        <w:tc>
          <w:tcPr>
            <w:tcW w:w="2243" w:type="dxa"/>
            <w:vAlign w:val="center"/>
          </w:tcPr>
          <w:p w14:paraId="51544159">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b/>
                <w:color w:val="auto"/>
                <w:sz w:val="24"/>
                <w:szCs w:val="24"/>
                <w:highlight w:val="none"/>
              </w:rPr>
              <w:t>数量</w:t>
            </w:r>
          </w:p>
        </w:tc>
      </w:tr>
      <w:tr w14:paraId="0039A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42" w:type="dxa"/>
            <w:vAlign w:val="center"/>
          </w:tcPr>
          <w:p w14:paraId="77155284">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rPr>
              <w:t>1</w:t>
            </w:r>
          </w:p>
        </w:tc>
        <w:tc>
          <w:tcPr>
            <w:tcW w:w="6257" w:type="dxa"/>
            <w:vAlign w:val="center"/>
          </w:tcPr>
          <w:p w14:paraId="54709DC5">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高空作业车</w:t>
            </w:r>
          </w:p>
        </w:tc>
        <w:tc>
          <w:tcPr>
            <w:tcW w:w="2243" w:type="dxa"/>
            <w:vAlign w:val="center"/>
          </w:tcPr>
          <w:p w14:paraId="17FE1B6B">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24567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42" w:type="dxa"/>
            <w:vAlign w:val="center"/>
          </w:tcPr>
          <w:p w14:paraId="6B48BF5C">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lang w:val="en-US" w:eastAsia="zh-CN"/>
              </w:rPr>
              <w:t>2</w:t>
            </w:r>
          </w:p>
        </w:tc>
        <w:tc>
          <w:tcPr>
            <w:tcW w:w="6257" w:type="dxa"/>
            <w:vAlign w:val="center"/>
          </w:tcPr>
          <w:p w14:paraId="6FA18262">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洗扫</w:t>
            </w:r>
            <w:r>
              <w:rPr>
                <w:rFonts w:hint="eastAsia" w:ascii="仿宋" w:hAnsi="仿宋" w:eastAsia="仿宋" w:cs="仿宋"/>
                <w:color w:val="auto"/>
                <w:sz w:val="24"/>
                <w:szCs w:val="24"/>
                <w:highlight w:val="none"/>
              </w:rPr>
              <w:t>车</w:t>
            </w:r>
          </w:p>
        </w:tc>
        <w:tc>
          <w:tcPr>
            <w:tcW w:w="2243" w:type="dxa"/>
            <w:vAlign w:val="center"/>
          </w:tcPr>
          <w:p w14:paraId="29CC0004">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r>
      <w:tr w14:paraId="6FB55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42" w:type="dxa"/>
            <w:vAlign w:val="center"/>
          </w:tcPr>
          <w:p w14:paraId="4F26243E">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lang w:val="en-US" w:eastAsia="zh-CN"/>
              </w:rPr>
              <w:t>3</w:t>
            </w:r>
          </w:p>
        </w:tc>
        <w:tc>
          <w:tcPr>
            <w:tcW w:w="6257" w:type="dxa"/>
            <w:vAlign w:val="center"/>
          </w:tcPr>
          <w:p w14:paraId="04B5392F">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rPr>
              <w:t>皮卡</w:t>
            </w:r>
          </w:p>
        </w:tc>
        <w:tc>
          <w:tcPr>
            <w:tcW w:w="2243" w:type="dxa"/>
            <w:vAlign w:val="center"/>
          </w:tcPr>
          <w:p w14:paraId="2D79208E">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highlight w:val="none"/>
                <w:vertAlign w:val="baseli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辆</w:t>
            </w:r>
          </w:p>
        </w:tc>
      </w:tr>
      <w:tr w14:paraId="6C0EB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42" w:type="dxa"/>
            <w:shd w:val="clear" w:color="auto" w:fill="auto"/>
            <w:vAlign w:val="center"/>
          </w:tcPr>
          <w:p w14:paraId="4CB242D0">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w:t>
            </w:r>
          </w:p>
        </w:tc>
        <w:tc>
          <w:tcPr>
            <w:tcW w:w="6257" w:type="dxa"/>
            <w:shd w:val="clear" w:color="auto" w:fill="auto"/>
            <w:vAlign w:val="center"/>
          </w:tcPr>
          <w:p w14:paraId="3B8029C3">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洒水车</w:t>
            </w:r>
          </w:p>
        </w:tc>
        <w:tc>
          <w:tcPr>
            <w:tcW w:w="2243" w:type="dxa"/>
            <w:shd w:val="clear" w:color="auto" w:fill="auto"/>
            <w:vAlign w:val="center"/>
          </w:tcPr>
          <w:p w14:paraId="37CE361B">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1辆</w:t>
            </w:r>
          </w:p>
        </w:tc>
      </w:tr>
    </w:tbl>
    <w:p w14:paraId="5BE6BF3B">
      <w:pPr>
        <w:rPr>
          <w:rFonts w:hint="eastAsia"/>
          <w:color w:val="auto"/>
          <w:highlight w:val="none"/>
          <w:lang w:val="en-US" w:eastAsia="zh-CN"/>
        </w:rPr>
      </w:pPr>
      <w:r>
        <w:rPr>
          <w:rFonts w:hint="eastAsia" w:ascii="仿宋" w:hAnsi="仿宋" w:eastAsia="仿宋" w:cs="仿宋"/>
          <w:b/>
          <w:bCs/>
          <w:color w:val="auto"/>
          <w:sz w:val="24"/>
          <w:szCs w:val="24"/>
          <w:highlight w:val="none"/>
          <w:lang w:val="en-US" w:eastAsia="zh-CN"/>
        </w:rPr>
        <w:t>注：以上车辆</w:t>
      </w:r>
      <w:r>
        <w:rPr>
          <w:rFonts w:hint="eastAsia" w:ascii="仿宋" w:hAnsi="仿宋" w:eastAsia="仿宋" w:cs="仿宋"/>
          <w:b/>
          <w:bCs/>
          <w:color w:val="auto"/>
          <w:sz w:val="24"/>
          <w:szCs w:val="24"/>
          <w:highlight w:val="none"/>
          <w:lang w:val="en-GB" w:eastAsia="zh-CN"/>
        </w:rPr>
        <w:t>如投标人自有的须提供</w:t>
      </w:r>
      <w:r>
        <w:rPr>
          <w:rFonts w:hint="eastAsia" w:ascii="仿宋" w:hAnsi="仿宋" w:eastAsia="仿宋" w:cs="仿宋"/>
          <w:b/>
          <w:bCs/>
          <w:color w:val="auto"/>
          <w:sz w:val="24"/>
          <w:szCs w:val="24"/>
          <w:highlight w:val="none"/>
          <w:lang w:val="en-US" w:eastAsia="zh-CN"/>
        </w:rPr>
        <w:t>车辆行驶证扫描件</w:t>
      </w:r>
      <w:r>
        <w:rPr>
          <w:rFonts w:hint="eastAsia" w:ascii="仿宋" w:hAnsi="仿宋" w:eastAsia="仿宋" w:cs="仿宋"/>
          <w:b/>
          <w:bCs/>
          <w:color w:val="auto"/>
          <w:sz w:val="24"/>
          <w:szCs w:val="24"/>
          <w:highlight w:val="none"/>
          <w:lang w:val="en-GB" w:eastAsia="zh-CN"/>
        </w:rPr>
        <w:t>、</w:t>
      </w:r>
      <w:r>
        <w:rPr>
          <w:rFonts w:hint="eastAsia" w:ascii="仿宋" w:hAnsi="仿宋" w:eastAsia="仿宋" w:cs="仿宋"/>
          <w:b/>
          <w:bCs/>
          <w:color w:val="auto"/>
          <w:sz w:val="24"/>
          <w:szCs w:val="24"/>
          <w:highlight w:val="none"/>
          <w:lang w:val="en-US" w:eastAsia="zh-CN"/>
        </w:rPr>
        <w:t>车辆照片；车辆</w:t>
      </w:r>
      <w:r>
        <w:rPr>
          <w:rFonts w:hint="eastAsia" w:ascii="仿宋" w:hAnsi="仿宋" w:eastAsia="仿宋" w:cs="仿宋"/>
          <w:b/>
          <w:bCs/>
          <w:color w:val="auto"/>
          <w:sz w:val="24"/>
          <w:szCs w:val="24"/>
          <w:highlight w:val="none"/>
          <w:lang w:val="en-GB" w:eastAsia="zh-CN"/>
        </w:rPr>
        <w:t>如为投标人租赁的须提供</w:t>
      </w:r>
      <w:r>
        <w:rPr>
          <w:rFonts w:hint="eastAsia" w:ascii="仿宋" w:hAnsi="仿宋" w:eastAsia="仿宋" w:cs="仿宋"/>
          <w:b/>
          <w:bCs/>
          <w:color w:val="auto"/>
          <w:sz w:val="24"/>
          <w:szCs w:val="24"/>
          <w:highlight w:val="none"/>
          <w:lang w:val="en-US" w:eastAsia="zh-CN"/>
        </w:rPr>
        <w:t>租赁合同扫描</w:t>
      </w:r>
      <w:r>
        <w:rPr>
          <w:rFonts w:hint="eastAsia" w:ascii="仿宋" w:hAnsi="仿宋" w:eastAsia="仿宋" w:cs="仿宋"/>
          <w:b/>
          <w:bCs/>
          <w:color w:val="auto"/>
          <w:sz w:val="24"/>
          <w:szCs w:val="24"/>
          <w:highlight w:val="none"/>
          <w:lang w:val="en-GB" w:eastAsia="zh-CN"/>
        </w:rPr>
        <w:t>件</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lang w:val="en-GB" w:eastAsia="zh-CN"/>
        </w:rPr>
        <w:t>车辆行驶证</w:t>
      </w:r>
      <w:r>
        <w:rPr>
          <w:rFonts w:hint="eastAsia" w:ascii="仿宋" w:hAnsi="仿宋" w:eastAsia="仿宋" w:cs="仿宋"/>
          <w:b/>
          <w:bCs/>
          <w:color w:val="auto"/>
          <w:sz w:val="24"/>
          <w:szCs w:val="24"/>
          <w:highlight w:val="none"/>
          <w:lang w:val="en-US" w:eastAsia="zh-CN"/>
        </w:rPr>
        <w:t>扫描</w:t>
      </w:r>
      <w:r>
        <w:rPr>
          <w:rFonts w:hint="eastAsia" w:ascii="仿宋" w:hAnsi="仿宋" w:eastAsia="仿宋" w:cs="仿宋"/>
          <w:b/>
          <w:bCs/>
          <w:color w:val="auto"/>
          <w:sz w:val="24"/>
          <w:szCs w:val="24"/>
          <w:highlight w:val="none"/>
          <w:lang w:val="en-GB" w:eastAsia="zh-CN"/>
        </w:rPr>
        <w:t>件、</w:t>
      </w:r>
      <w:r>
        <w:rPr>
          <w:rFonts w:hint="eastAsia" w:ascii="仿宋" w:hAnsi="仿宋" w:eastAsia="仿宋" w:cs="仿宋"/>
          <w:b/>
          <w:bCs/>
          <w:color w:val="auto"/>
          <w:sz w:val="24"/>
          <w:szCs w:val="24"/>
          <w:highlight w:val="none"/>
          <w:lang w:val="en-US" w:eastAsia="zh-CN"/>
        </w:rPr>
        <w:t>车辆照片</w:t>
      </w:r>
      <w:r>
        <w:rPr>
          <w:rFonts w:hint="eastAsia" w:ascii="仿宋" w:hAnsi="仿宋" w:eastAsia="仿宋" w:cs="仿宋"/>
          <w:b/>
          <w:bCs/>
          <w:color w:val="auto"/>
          <w:sz w:val="24"/>
          <w:szCs w:val="24"/>
          <w:highlight w:val="none"/>
          <w:lang w:val="en-GB" w:eastAsia="zh-CN"/>
        </w:rPr>
        <w:t>。</w:t>
      </w:r>
      <w:r>
        <w:rPr>
          <w:rFonts w:hint="eastAsia" w:ascii="仿宋" w:hAnsi="仿宋" w:eastAsia="仿宋" w:cs="仿宋"/>
          <w:b/>
          <w:bCs/>
          <w:color w:val="auto"/>
          <w:sz w:val="24"/>
          <w:szCs w:val="24"/>
          <w:highlight w:val="none"/>
          <w:lang w:val="en-US" w:eastAsia="zh-CN"/>
        </w:rPr>
        <w:t>上述</w:t>
      </w:r>
      <w:r>
        <w:rPr>
          <w:rFonts w:hint="eastAsia" w:ascii="仿宋" w:hAnsi="仿宋" w:eastAsia="仿宋" w:cs="仿宋"/>
          <w:b/>
          <w:bCs/>
          <w:color w:val="auto"/>
          <w:sz w:val="24"/>
          <w:szCs w:val="24"/>
          <w:highlight w:val="none"/>
          <w:lang w:val="en-GB" w:eastAsia="zh-CN"/>
        </w:rPr>
        <w:t>材料扫描件加盖投标人公章（或电子章）编入商务技术文件，</w:t>
      </w:r>
      <w:r>
        <w:rPr>
          <w:rFonts w:hint="eastAsia" w:ascii="仿宋" w:hAnsi="仿宋" w:eastAsia="仿宋" w:cs="仿宋"/>
          <w:b/>
          <w:bCs/>
          <w:color w:val="auto"/>
          <w:sz w:val="24"/>
          <w:szCs w:val="24"/>
          <w:highlight w:val="none"/>
          <w:lang w:val="en-US" w:eastAsia="zh-CN"/>
        </w:rPr>
        <w:t>否则作无效标处理</w:t>
      </w:r>
      <w:r>
        <w:rPr>
          <w:rFonts w:hint="eastAsia" w:ascii="仿宋" w:hAnsi="仿宋" w:eastAsia="仿宋" w:cs="仿宋"/>
          <w:b/>
          <w:bCs/>
          <w:color w:val="auto"/>
          <w:sz w:val="24"/>
          <w:szCs w:val="24"/>
          <w:highlight w:val="none"/>
        </w:rPr>
        <w:t>。</w:t>
      </w:r>
    </w:p>
    <w:p w14:paraId="69AA231F">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bCs/>
          <w:color w:val="auto"/>
          <w:sz w:val="28"/>
          <w:szCs w:val="28"/>
          <w:highlight w:val="none"/>
          <w:lang w:val="en-US" w:eastAsia="zh-CN"/>
        </w:rPr>
      </w:pPr>
    </w:p>
    <w:p w14:paraId="26157B6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8"/>
          <w:szCs w:val="28"/>
          <w:highlight w:val="none"/>
          <w:lang w:val="en-US" w:eastAsia="zh-CN"/>
        </w:rPr>
        <w:t>第二部分、管廊部分</w:t>
      </w:r>
    </w:p>
    <w:p w14:paraId="3E145FC6">
      <w:pPr>
        <w:keepNext w:val="0"/>
        <w:keepLines w:val="0"/>
        <w:pageBreakBefore w:val="0"/>
        <w:widowControl w:val="0"/>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一、工程概述</w:t>
      </w:r>
    </w:p>
    <w:p w14:paraId="1E5A3B9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（一）工程概况</w:t>
      </w:r>
    </w:p>
    <w:p w14:paraId="2947FC5C">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1.衢州智慧新城地下综合管廊工程位于衢州市智慧新城，其范围包括：东至</w:t>
      </w:r>
      <w:bookmarkStart w:id="215" w:name="_Hlk72509295"/>
      <w:r>
        <w:rPr>
          <w:rFonts w:hint="eastAsia" w:ascii="仿宋" w:hAnsi="仿宋" w:eastAsia="仿宋" w:cs="仿宋"/>
          <w:b w:val="0"/>
          <w:bCs w:val="0"/>
          <w:color w:val="auto"/>
          <w:sz w:val="24"/>
          <w:szCs w:val="24"/>
          <w:highlight w:val="none"/>
          <w:lang w:val="en-US" w:eastAsia="zh-CN"/>
        </w:rPr>
        <w:t>智慧大道</w:t>
      </w:r>
      <w:bookmarkEnd w:id="215"/>
      <w:r>
        <w:rPr>
          <w:rFonts w:hint="eastAsia" w:ascii="仿宋" w:hAnsi="仿宋" w:eastAsia="仿宋" w:cs="仿宋"/>
          <w:b w:val="0"/>
          <w:bCs w:val="0"/>
          <w:color w:val="auto"/>
          <w:sz w:val="24"/>
          <w:szCs w:val="24"/>
          <w:highlight w:val="none"/>
          <w:lang w:val="en-US" w:eastAsia="zh-CN"/>
        </w:rPr>
        <w:t>、西至石华线、北至柯安三路、南至常山江及320国道。</w:t>
      </w:r>
    </w:p>
    <w:p w14:paraId="390AFD9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要内容包括：闽江大道（九华西大道）、钱江大道（三江西路）、衢县路（芹江西路）芹江大道、三清山大道（橘林大道）、常山路（创智路）、武夷山大道六条道路的地下综合管廊工程及其配套附属设施，管廊全长16.809km；其中：闽江大道综合管廊全长3173m，两舱管廊(7.3*3.3)：83m，三舱管廊(9.35*3.3)：3090.4m；钱江大道综合管廊全长3625m，三舱管廊(7.0*3.0)：1115m；三舱管廊(7.7*3.0)：1860m：两舱管廊(7.7*3.0)：650m；创智路综合管廊全长1601m：两舱管廊(5.05*3.0)：芹江西路综合管廊全长约3434.561m,两舱（3.0m×3.0m+1.8m×3.3m）。三清山大道综合管廊全长2375m，两舱管廊(5.05*3.0)：1586m；三舱管廊(7.0*3.0)：789m。闽江大道：1100m：三舱：（1.8*3.3）,（1.7*3.3）,（5.3*3.3）。武夷山大道：1500m 二舱：（1.8*2.2）,（2.85*2.2）。综合管廊监控中心1座，设在芹江西路与锦西大道交叉口西北角。管廊为二舱、三舱截面，将容纳给水、污水、燃气、电力、通信等管线。</w:t>
      </w:r>
    </w:p>
    <w:p w14:paraId="4B0AEBC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综合管廊还配备必要配套设备，主要有排水、照明、通风、电气监控、通讯、火灾自动报警系统及灭火系统等系统。</w:t>
      </w:r>
    </w:p>
    <w:p w14:paraId="5F849BEE">
      <w:pPr>
        <w:keepNext w:val="0"/>
        <w:keepLines w:val="0"/>
        <w:pageBreakBefore w:val="0"/>
        <w:widowControl w:val="0"/>
        <w:kinsoku/>
        <w:wordWrap/>
        <w:overflowPunct/>
        <w:topLinePunct w:val="0"/>
        <w:autoSpaceDE/>
        <w:autoSpaceDN/>
        <w:bidi w:val="0"/>
        <w:adjustRightInd/>
        <w:snapToGrid/>
        <w:spacing w:beforeLines="0" w:line="24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drawing>
          <wp:inline distT="0" distB="0" distL="114300" distR="114300">
            <wp:extent cx="4656455" cy="2694305"/>
            <wp:effectExtent l="0" t="0" r="10795" b="10795"/>
            <wp:docPr id="2" name="图片 1" descr="16268317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626831719(1)"/>
                    <pic:cNvPicPr>
                      <a:picLocks noChangeAspect="1"/>
                    </pic:cNvPicPr>
                  </pic:nvPicPr>
                  <pic:blipFill>
                    <a:blip r:embed="rId12"/>
                    <a:stretch>
                      <a:fillRect/>
                    </a:stretch>
                  </pic:blipFill>
                  <pic:spPr>
                    <a:xfrm>
                      <a:off x="0" y="0"/>
                      <a:ext cx="4656455" cy="2694305"/>
                    </a:xfrm>
                    <a:prstGeom prst="rect">
                      <a:avLst/>
                    </a:prstGeom>
                    <a:noFill/>
                    <a:ln>
                      <a:noFill/>
                    </a:ln>
                  </pic:spPr>
                </pic:pic>
              </a:graphicData>
            </a:graphic>
          </wp:inline>
        </w:drawing>
      </w:r>
    </w:p>
    <w:p w14:paraId="01EFBFC9">
      <w:pPr>
        <w:keepNext w:val="0"/>
        <w:keepLines w:val="0"/>
        <w:pageBreakBefore w:val="0"/>
        <w:widowControl w:val="0"/>
        <w:kinsoku/>
        <w:wordWrap/>
        <w:overflowPunct/>
        <w:topLinePunct w:val="0"/>
        <w:autoSpaceDE/>
        <w:autoSpaceDN/>
        <w:bidi w:val="0"/>
        <w:adjustRightInd/>
        <w:snapToGrid/>
        <w:spacing w:beforeLines="0" w:line="24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drawing>
          <wp:inline distT="0" distB="0" distL="114300" distR="114300">
            <wp:extent cx="4696460" cy="2628900"/>
            <wp:effectExtent l="0" t="0" r="8890" b="0"/>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3"/>
                    <a:stretch>
                      <a:fillRect/>
                    </a:stretch>
                  </pic:blipFill>
                  <pic:spPr>
                    <a:xfrm>
                      <a:off x="0" y="0"/>
                      <a:ext cx="4696460" cy="2628900"/>
                    </a:xfrm>
                    <a:prstGeom prst="rect">
                      <a:avLst/>
                    </a:prstGeom>
                    <a:noFill/>
                    <a:ln>
                      <a:noFill/>
                    </a:ln>
                  </pic:spPr>
                </pic:pic>
              </a:graphicData>
            </a:graphic>
          </wp:inline>
        </w:drawing>
      </w:r>
    </w:p>
    <w:p w14:paraId="475A7869">
      <w:pPr>
        <w:keepNext w:val="0"/>
        <w:keepLines w:val="0"/>
        <w:pageBreakBefore w:val="0"/>
        <w:kinsoku/>
        <w:wordWrap/>
        <w:overflowPunct/>
        <w:topLinePunct w:val="0"/>
        <w:bidi w:val="0"/>
        <w:adjustRightInd/>
        <w:snapToGrid/>
        <w:spacing w:beforeLines="0" w:line="360" w:lineRule="auto"/>
        <w:ind w:firstLine="501" w:firstLineChars="209"/>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2.运行服务期限如下：</w:t>
      </w:r>
      <w:r>
        <w:rPr>
          <w:rFonts w:hint="eastAsia" w:ascii="仿宋" w:hAnsi="仿宋" w:eastAsia="仿宋" w:cs="仿宋"/>
          <w:b w:val="0"/>
          <w:bCs/>
          <w:color w:val="auto"/>
          <w:sz w:val="24"/>
          <w:szCs w:val="24"/>
          <w:highlight w:val="none"/>
          <w:lang w:val="en-US" w:eastAsia="zh-CN"/>
        </w:rPr>
        <w:t>一年（365天）</w:t>
      </w:r>
      <w:r>
        <w:rPr>
          <w:rFonts w:hint="eastAsia" w:ascii="仿宋" w:hAnsi="仿宋" w:eastAsia="仿宋" w:cs="仿宋"/>
          <w:color w:val="auto"/>
          <w:kern w:val="0"/>
          <w:sz w:val="24"/>
          <w:szCs w:val="24"/>
          <w:highlight w:val="none"/>
          <w:lang w:val="en-US" w:eastAsia="zh-CN"/>
        </w:rPr>
        <w:t>，具体以合同约定履约期限为准。</w:t>
      </w:r>
    </w:p>
    <w:p w14:paraId="6B618CB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（二）主要服务范围：详见附件图纸。</w:t>
      </w:r>
    </w:p>
    <w:p w14:paraId="1BA05AC4">
      <w:pPr>
        <w:keepNext w:val="0"/>
        <w:keepLines w:val="0"/>
        <w:pageBreakBefore w:val="0"/>
        <w:widowControl w:val="0"/>
        <w:numPr>
          <w:ilvl w:val="0"/>
          <w:numId w:val="4"/>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项目要求 </w:t>
      </w:r>
    </w:p>
    <w:p w14:paraId="4105CEB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运维服务项目范围及内容：</w:t>
      </w:r>
      <w:r>
        <w:rPr>
          <w:rFonts w:hint="eastAsia" w:ascii="仿宋" w:hAnsi="仿宋" w:eastAsia="仿宋" w:cs="仿宋"/>
          <w:i w:val="0"/>
          <w:iCs w:val="0"/>
          <w:caps w:val="0"/>
          <w:color w:val="auto"/>
          <w:spacing w:val="7"/>
          <w:kern w:val="0"/>
          <w:sz w:val="24"/>
          <w:szCs w:val="24"/>
          <w:highlight w:val="none"/>
          <w:shd w:val="clear" w:color="auto" w:fill="auto"/>
        </w:rPr>
        <w:t>包含结构、排水、消防、通风、供配电、照明、通信、综合监控、控制中心等配套附属设施日常运行管理、安全生产管理、作业管理与服务、应急联动处置、设施维修、入廊管线管理、消防检测与维护、结构定期评定、设施设备保洁等工作。</w:t>
      </w:r>
    </w:p>
    <w:p w14:paraId="3E557246">
      <w:pPr>
        <w:keepNext w:val="0"/>
        <w:keepLines w:val="0"/>
        <w:pageBreakBefore w:val="0"/>
        <w:widowControl w:val="0"/>
        <w:numPr>
          <w:ilvl w:val="0"/>
          <w:numId w:val="4"/>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养护运维服务内容</w:t>
      </w:r>
    </w:p>
    <w:p w14:paraId="7314778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1.土建设施</w:t>
      </w:r>
    </w:p>
    <w:p w14:paraId="1A3655B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综合管廊的各类土木建筑工程结构设施，如办公室、管廊主体结构、出入口、预留口、各类吊装、逃生口、风井通风口、管线引入与管廊地面等结构设施。</w:t>
      </w:r>
    </w:p>
    <w:p w14:paraId="1DA78C3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2.入廊管线管理</w:t>
      </w:r>
    </w:p>
    <w:p w14:paraId="1F24684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包括业务受理、空间分配、签订入廊协议、管线运维配合、管线档案整理等工作。</w:t>
      </w:r>
    </w:p>
    <w:p w14:paraId="1B4BE5E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3.现场施工作业管理与服务</w:t>
      </w:r>
    </w:p>
    <w:p w14:paraId="22239BF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包括管线作业施工、出入管理、管廊参观等廊内作业的管理与服务。出入管理包括对出入管廊的人员、设备、工具、材料及携带物品进行管控和登记；</w:t>
      </w:r>
    </w:p>
    <w:p w14:paraId="4BB61B6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作业管理包含对巡检、检测、维护、施工及管线入廊作业等作业行为进行管理。</w:t>
      </w:r>
    </w:p>
    <w:p w14:paraId="70349ED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4.运行管理</w:t>
      </w:r>
    </w:p>
    <w:p w14:paraId="5012FCE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实行24小时不间断运行管理，包括消防值班与检查、监控值班、供电值班与检查以及每日不少于1次的管廊外部安全巡查，台风、梅雨季、周边环境复杂、灾害预警等特殊情况下，每日不少于2次的管廊巡检。</w:t>
      </w:r>
    </w:p>
    <w:p w14:paraId="008125C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运行管理包括值班、巡检、日常监测、出入管理、作业管理等。其中值班包括监视、控制、调度和联络等；巡检包括管廊本体、附属设施、入廊管线及管廊内外环境等；日常监测包括管廊本体、附属设施、廊内环境及入廊管线。</w:t>
      </w:r>
    </w:p>
    <w:p w14:paraId="346EFB7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5.清扫保洁</w:t>
      </w:r>
    </w:p>
    <w:p w14:paraId="05E6141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清扫管廊内及墙壁结构物脏污、清理（疏通）排水设施，保持管廊内部外观的干净整洁。</w:t>
      </w:r>
    </w:p>
    <w:p w14:paraId="288C43DC">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6.经常性检查</w:t>
      </w:r>
    </w:p>
    <w:p w14:paraId="02A1463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对土建结构结构的外观状况进行的日常巡视检查，及时发现早期破损、显著病害或其他异常情况，进行小修保养。</w:t>
      </w:r>
    </w:p>
    <w:p w14:paraId="2FAE091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7.机电设施</w:t>
      </w:r>
    </w:p>
    <w:p w14:paraId="28B5E36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机电设施运行维护及安全管理对象包括供电、照明、消防、通风、监控与报警、给排水及标识等系统。</w:t>
      </w:r>
    </w:p>
    <w:p w14:paraId="60E2CED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8.机电设施日常检查维护</w:t>
      </w:r>
    </w:p>
    <w:p w14:paraId="610D08E5">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通过巡检目测对机电设施外观和运行状态进行的一般巡视检查，同时进行保洁，以及简易零部件的更换工作。</w:t>
      </w:r>
    </w:p>
    <w:p w14:paraId="69B9B76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9.机电设施日常检查维护</w:t>
      </w:r>
    </w:p>
    <w:p w14:paraId="3F659F5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通过目测对机电设施外观和运行状态进行的一般巡视检查，同时进行保洁，以及简易零部件的更换工作。</w:t>
      </w:r>
    </w:p>
    <w:p w14:paraId="7749C5C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10.机电设施经常性检修</w:t>
      </w:r>
    </w:p>
    <w:p w14:paraId="75451CB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通过目测或仪器，对设施仪表读数、运行状态或损伤情况进行的检查，对破损零部件应及时进行维修。</w:t>
      </w:r>
    </w:p>
    <w:p w14:paraId="2989E0A1">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11.机电设施定期检修</w:t>
      </w:r>
    </w:p>
    <w:p w14:paraId="1B633D8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通过检测仪器对仪表进行标定，和对连接及装配状态等机电设施运行情况和功能进行的比较全面检查和维修。</w:t>
      </w:r>
    </w:p>
    <w:p w14:paraId="5985E69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12.供电系统</w:t>
      </w:r>
    </w:p>
    <w:p w14:paraId="373A754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主要包括电力变压器、低压开关柜、低压母线、电力电缆、控制电缆等为管廊自用用电设施服务的供配电及辅助设施。</w:t>
      </w:r>
    </w:p>
    <w:p w14:paraId="6BB7DACC">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13.照明系统</w:t>
      </w:r>
    </w:p>
    <w:p w14:paraId="631AF1B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主要包括管廊内日常照明、应急照明、监控中心照明、标准标牌灯为管廊服务运行的提供照明、安全保障的服务设施。</w:t>
      </w:r>
    </w:p>
    <w:p w14:paraId="5FBED5F1">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14.通风、给排水、消防、传感系统</w:t>
      </w:r>
    </w:p>
    <w:p w14:paraId="105251A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4"/>
          <w:szCs w:val="24"/>
          <w:highlight w:val="none"/>
          <w:lang w:val="en-US" w:eastAsia="zh-CN"/>
        </w:rPr>
        <w:t>主要包括管廊通风的各类风机、水泵、消防设施、各传感设备及其配套设施等。</w:t>
      </w:r>
    </w:p>
    <w:p w14:paraId="4D8C96B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15.规章制度体系建立</w:t>
      </w:r>
    </w:p>
    <w:p w14:paraId="645631E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建立入廊流程标准化制度体系（入廊申请及执行流程、施工作业标准、入廊服务手册）、管廊运维管理制度、安全管理制度、应急（演练）处置制度。</w:t>
      </w:r>
    </w:p>
    <w:p w14:paraId="560210A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16.安全生产</w:t>
      </w:r>
    </w:p>
    <w:p w14:paraId="454A2F4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应建立健全安全管理工作机制，严格落实人员安全防护、消防管理、用电管理等作业安全管理制度，认真做好安全教育、安全检查等日常管理工作，严查隐患、杜绝事故。</w:t>
      </w:r>
    </w:p>
    <w:p w14:paraId="28797DD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对于其他入廊作业单位，运行养护运维服务单位须与其签订安全协议，明确安全责任和监管措施。</w:t>
      </w:r>
    </w:p>
    <w:p w14:paraId="4CF19DE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17.突发事件的应急措施预案</w:t>
      </w:r>
    </w:p>
    <w:p w14:paraId="5AB45DD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17.1建立应急处置体系，对地下综合管廊的日常安全管理及突发公共事件的应急事件处理工作实行统一领导、统一指挥、统一协调。与各政府职能部门、采购单位、管线单位等项目单位建立长效的应急联动机制。</w:t>
      </w:r>
    </w:p>
    <w:p w14:paraId="2C267CA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17.2根据国家的法律法规及制度规范，编制应急救援预案，专项应急预案及现场处置方案。</w:t>
      </w:r>
    </w:p>
    <w:p w14:paraId="416A1C8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17.3做好应急保障措施，配备满足应急抢险要求的应急物资及机械。</w:t>
      </w:r>
    </w:p>
    <w:p w14:paraId="72499A8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18.档案资料管理</w:t>
      </w:r>
    </w:p>
    <w:p w14:paraId="0F4AC7F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应建立档案资料管理制度，明确档案资料的整理、归档、保管、使用、借阅、等工作流程；编制管线、作业、运行、维护、检测、保护、安全、应急档案资料；定期整理、归档、备份各类档案资料。</w:t>
      </w:r>
    </w:p>
    <w:p w14:paraId="08EA038C">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19.管廊保护</w:t>
      </w:r>
    </w:p>
    <w:p w14:paraId="56F09F7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应做好管廊保护相关工作，包括安全保护区日常巡视、异常情况报告、施工作业影响情况评估等，并做好相关台账记录。</w:t>
      </w:r>
    </w:p>
    <w:p w14:paraId="040885D7">
      <w:pPr>
        <w:keepNext w:val="0"/>
        <w:keepLines w:val="0"/>
        <w:pageBreakBefore w:val="0"/>
        <w:widowControl w:val="0"/>
        <w:numPr>
          <w:ilvl w:val="0"/>
          <w:numId w:val="4"/>
        </w:numPr>
        <w:kinsoku/>
        <w:wordWrap/>
        <w:overflowPunct/>
        <w:topLinePunct w:val="0"/>
        <w:autoSpaceDE/>
        <w:autoSpaceDN/>
        <w:bidi w:val="0"/>
        <w:adjustRightInd/>
        <w:snapToGrid/>
        <w:spacing w:beforeLines="0" w:line="360" w:lineRule="auto"/>
        <w:ind w:left="0" w:leftChars="0"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养护运维服务基本要求</w:t>
      </w:r>
    </w:p>
    <w:p w14:paraId="66FAFCE1">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w:t>
      </w:r>
      <w:r>
        <w:rPr>
          <w:rFonts w:hint="eastAsia" w:ascii="仿宋" w:hAnsi="仿宋" w:eastAsia="仿宋" w:cs="仿宋"/>
          <w:b/>
          <w:bCs/>
          <w:color w:val="auto"/>
          <w:sz w:val="24"/>
          <w:szCs w:val="24"/>
          <w:highlight w:val="none"/>
          <w:lang w:val="en-US" w:eastAsia="zh-CN"/>
        </w:rPr>
        <w:t>养护运维服务方案</w:t>
      </w:r>
    </w:p>
    <w:p w14:paraId="1093D85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1.1中标人应根据综合管廊实际情况、结构和设施状况、运行条件、病害程度及综合管廊类别等制定针对性的详尽科学的运维方案。</w:t>
      </w:r>
    </w:p>
    <w:p w14:paraId="148681B5">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1.2养护运维服务内容</w:t>
      </w:r>
    </w:p>
    <w:p w14:paraId="39ED1E6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包括本项目综合管廊入廊管线管理、作业管理与服务、运行管理、土建和监控中心设施维护、附属设施维护、规章制度体系建立、安全生产、应急处置、档案资料管理、管廊保护、监控中心专项维护、保养及更换等工作。</w:t>
      </w:r>
    </w:p>
    <w:p w14:paraId="343FB22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1.3运营服务分类</w:t>
      </w:r>
    </w:p>
    <w:p w14:paraId="70D0C695">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本综合管廊工程按照《城市综合管廊运营服务规范》（GB/T38550-2020）、《城市地下综合管廊运行维护及安全技术标准》（GB51354-2019）进行重点养护运维服务。</w:t>
      </w:r>
    </w:p>
    <w:p w14:paraId="4E8F3CE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1.4养护运维服务安全要求</w:t>
      </w:r>
    </w:p>
    <w:p w14:paraId="76C4C79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综合管廊应安全、完好、整洁满足相关国家安全生产规范要求。</w:t>
      </w:r>
    </w:p>
    <w:p w14:paraId="5132CECB">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szCs w:val="24"/>
          <w:highlight w:val="none"/>
          <w:lang w:val="en-US" w:eastAsia="zh-CN"/>
        </w:rPr>
        <w:t>土建设施</w:t>
      </w:r>
    </w:p>
    <w:p w14:paraId="3A55C19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2.1 养护运维服务内容</w:t>
      </w:r>
    </w:p>
    <w:p w14:paraId="1A82712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土建结构运维管理包括综合管廊(含供配电室、监控中心)结构及设施，内容分为日常巡检与监测、维修保养、专业检测和中修管理。管廊土建结构管理中的日常巡检与监测、维修保养一般由管廊运维单位负责，涉及主体结构或有强制性规定的专业检测项目，由采购人委托具有相应资质的专业机构进行，管廊土建结构管理应统筹制定管理方案及实施计划，科学合理确定运维管理内容、方法、标准及频次，保障综合管廊安全高效、经济运营。</w:t>
      </w:r>
    </w:p>
    <w:p w14:paraId="7A1E758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bookmarkStart w:id="216" w:name="_Toc20650"/>
      <w:r>
        <w:rPr>
          <w:rFonts w:hint="eastAsia" w:ascii="仿宋" w:hAnsi="仿宋" w:eastAsia="仿宋" w:cs="仿宋"/>
          <w:b w:val="0"/>
          <w:bCs w:val="0"/>
          <w:color w:val="auto"/>
          <w:sz w:val="24"/>
          <w:szCs w:val="24"/>
          <w:highlight w:val="none"/>
          <w:lang w:val="en-US" w:eastAsia="zh-CN"/>
        </w:rPr>
        <w:t>2.2日常巡检与监测</w:t>
      </w:r>
      <w:bookmarkEnd w:id="216"/>
    </w:p>
    <w:p w14:paraId="3C54E91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综合管廊需要定期对管廊土建结构的运行状态进行日常巡检与实时监测，并形成巡检与监测报告，确保管廊土建结构的安全运行。</w:t>
      </w:r>
    </w:p>
    <w:p w14:paraId="22C22D4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bookmarkStart w:id="217" w:name="_Hlk70499870"/>
      <w:r>
        <w:rPr>
          <w:rFonts w:hint="eastAsia" w:ascii="仿宋" w:hAnsi="仿宋" w:eastAsia="仿宋" w:cs="仿宋"/>
          <w:b w:val="0"/>
          <w:bCs w:val="0"/>
          <w:color w:val="auto"/>
          <w:sz w:val="24"/>
          <w:szCs w:val="24"/>
          <w:highlight w:val="none"/>
          <w:lang w:val="en-US" w:eastAsia="zh-CN"/>
        </w:rPr>
        <w:t>2.3土建结构日常巡检对象</w:t>
      </w:r>
    </w:p>
    <w:bookmarkEnd w:id="217"/>
    <w:p w14:paraId="4369562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土建结构日常巡检对象一般包括管廊内部、地面设施、保护区周边环境、监控中心等，检查的内容包括结构裂缝、损伤、变形、渗漏等，通过观察或常规设备检查判识发现土建结构的现状缺陷与潜在安全风险。</w:t>
      </w:r>
    </w:p>
    <w:p w14:paraId="08EF3564">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bookmarkStart w:id="218" w:name="_Toc24610"/>
      <w:r>
        <w:rPr>
          <w:rFonts w:hint="eastAsia" w:ascii="仿宋" w:hAnsi="仿宋" w:eastAsia="仿宋" w:cs="仿宋"/>
          <w:b/>
          <w:bCs/>
          <w:color w:val="auto"/>
          <w:kern w:val="2"/>
          <w:sz w:val="24"/>
          <w:szCs w:val="24"/>
          <w:highlight w:val="none"/>
          <w:lang w:val="en-US" w:eastAsia="zh-CN" w:bidi="ar-SA"/>
        </w:rPr>
        <w:t>3.</w:t>
      </w:r>
      <w:r>
        <w:rPr>
          <w:rFonts w:hint="eastAsia" w:ascii="仿宋" w:hAnsi="仿宋" w:eastAsia="仿宋" w:cs="仿宋"/>
          <w:b/>
          <w:bCs/>
          <w:color w:val="auto"/>
          <w:sz w:val="24"/>
          <w:szCs w:val="24"/>
          <w:highlight w:val="none"/>
          <w:lang w:val="en-US" w:eastAsia="zh-CN"/>
        </w:rPr>
        <w:t>供电系统</w:t>
      </w:r>
      <w:bookmarkEnd w:id="218"/>
    </w:p>
    <w:p w14:paraId="6BE9A3C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综合管廊供配电系统组成由供配电系统内变压器、高压柜、低压（箱）、供电线缆和桥架、接地系统组成。</w:t>
      </w:r>
    </w:p>
    <w:p w14:paraId="4E0E6CE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供电系统运行维护及安全管理应符合现行国家标准《电力安全工作规程电力线路部分》GB26859和《电力安全工作规程发电厂和变电站电气部分》GB26860的有关规定。</w:t>
      </w:r>
    </w:p>
    <w:p w14:paraId="499BD87C">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3.1日常巡检</w:t>
      </w:r>
    </w:p>
    <w:p w14:paraId="256B66F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供配电系统日常巡检与监测主要包括对供配电系统内变压器、高压柜、低压(箱)供电线缆和桥架等进行的日常巡检和对变压器、高压柜等重要设备运行状态的实时监测。</w:t>
      </w:r>
    </w:p>
    <w:p w14:paraId="3BA1A6F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巡检主要用目测方式对管廊内变压器、高压柜、低压柜(箱)、供电线缆和桥架等设施设备外观及运行状态指示等直观属性进行巡视。在巡检中应做好巡检记录，对于巡检中发现的设备故障应及时通知维修人员进行维修。</w:t>
      </w:r>
    </w:p>
    <w:p w14:paraId="385A49FF">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3.2维修保养</w:t>
      </w:r>
    </w:p>
    <w:p w14:paraId="6B85260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通过对供配电设备的缺陷和异常情况监视，及时发现设备运行中出现的缺陷、异常情况和故障，并及时采取相应的措施防止事故的发生和扩大，从而保证管廊供电系统安全可靠的运行。</w:t>
      </w:r>
    </w:p>
    <w:p w14:paraId="4092B7FD">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4.</w:t>
      </w:r>
      <w:r>
        <w:rPr>
          <w:rFonts w:hint="eastAsia" w:ascii="仿宋" w:hAnsi="仿宋" w:eastAsia="仿宋" w:cs="仿宋"/>
          <w:b/>
          <w:bCs/>
          <w:color w:val="auto"/>
          <w:sz w:val="24"/>
          <w:szCs w:val="24"/>
          <w:highlight w:val="none"/>
          <w:lang w:val="en-US" w:eastAsia="zh-CN"/>
        </w:rPr>
        <w:t>照明系统</w:t>
      </w:r>
    </w:p>
    <w:p w14:paraId="2BF49BC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照明系统由日常照明、应急照明和安全疏散照明组成。常用照明由分区照明配电箱供电；应急照明、安全疏散照明由分区动力配电箱供电；安全疏散照明灯内须配置后备电池，后备电池及时更换。</w:t>
      </w:r>
    </w:p>
    <w:p w14:paraId="16CE3695">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4.1日常巡检</w:t>
      </w:r>
    </w:p>
    <w:p w14:paraId="5CB67D43">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照明系统日常巡检与监测的内容包括对照明灯具外观的日常巡检和灯具开关状态的实时监测。</w:t>
      </w:r>
    </w:p>
    <w:p w14:paraId="2ADEC6C5">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日常巡检主要采用目测方式对管廊内照明灯具的开启状态，及外观等直观属性进行巡视。在巡检中应做好巡检记录，对于巡检中发现的灯具故障应及时通知维修人员进行维修。</w:t>
      </w:r>
    </w:p>
    <w:p w14:paraId="24849F3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4.2维修保养</w:t>
      </w:r>
    </w:p>
    <w:p w14:paraId="0BC4BE6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综合管廊内照明系统的维护应注意系统控制功能是否保持完好，各分区手动控制功能有效、可靠。对于管廊内的常用照明灯具应该正常工作，能够满足安全；巡检亮灯率应不小于95％。</w:t>
      </w:r>
    </w:p>
    <w:p w14:paraId="5F66E843">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5.</w:t>
      </w:r>
      <w:r>
        <w:rPr>
          <w:rFonts w:hint="eastAsia" w:ascii="仿宋" w:hAnsi="仿宋" w:eastAsia="仿宋" w:cs="仿宋"/>
          <w:b/>
          <w:bCs/>
          <w:color w:val="auto"/>
          <w:sz w:val="24"/>
          <w:szCs w:val="24"/>
          <w:highlight w:val="none"/>
          <w:lang w:val="en-US" w:eastAsia="zh-CN"/>
        </w:rPr>
        <w:t>消防系统</w:t>
      </w:r>
    </w:p>
    <w:p w14:paraId="262978C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消防系统设施运行维护及安全管理对象包括防火门、火灾自动报警系统、灭火器材、排烟系统、消防指示标志等设施设备。消防系统的巡检、维修等运行维护工作执行现行国家标准《建筑消防设施的维护管理》GB25201的有关规定。</w:t>
      </w:r>
    </w:p>
    <w:p w14:paraId="133AF1C1">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5.1日常巡检</w:t>
      </w:r>
    </w:p>
    <w:p w14:paraId="7B0F1DF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日常巡检主要采用目测方式对管廊内防火门、灭火器材、传感器等设施设备的直观属性进行巡视。在巡检中应做好巡检记录，对于巡检中发现的消防设施设备故障应及时通知维修人员进行维修。</w:t>
      </w:r>
    </w:p>
    <w:p w14:paraId="254564A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5.2消防养护运维服务</w:t>
      </w:r>
    </w:p>
    <w:p w14:paraId="495ACBBF">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消防系统的维护保养主要针对管廊内采用的各类消防设施设备开展养护运维服务。</w:t>
      </w:r>
    </w:p>
    <w:p w14:paraId="681DE5C7">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6.</w:t>
      </w:r>
      <w:r>
        <w:rPr>
          <w:rFonts w:hint="eastAsia" w:ascii="仿宋" w:hAnsi="仿宋" w:eastAsia="仿宋" w:cs="仿宋"/>
          <w:b/>
          <w:bCs/>
          <w:color w:val="auto"/>
          <w:sz w:val="24"/>
          <w:szCs w:val="24"/>
          <w:highlight w:val="none"/>
          <w:lang w:val="en-US" w:eastAsia="zh-CN"/>
        </w:rPr>
        <w:t>通风系统</w:t>
      </w:r>
    </w:p>
    <w:p w14:paraId="0DF709B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管廊通风系统包括综合管廊内的风机、通风口（机电设施）、风管、管理用房、设备用房的空调系统。其主要功能为保持综合管廊内部和管理用房、设备用房的温度、湿度和空气质量满足人员活动及设备运行的安全要求。</w:t>
      </w:r>
    </w:p>
    <w:p w14:paraId="510C145F">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6.1日常巡检</w:t>
      </w:r>
    </w:p>
    <w:p w14:paraId="2182D4D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通风系统日常巡检主要包括对通风系统内风机、风阀以及风管等设备的日常巡检和对风机、风阀运行状态的实时监测。</w:t>
      </w:r>
    </w:p>
    <w:p w14:paraId="6FB93F7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日常巡检主要采用目测方式对风机、凤阀以及风管等通风设施设备的直观属性进行巡视。在日常巡检中应做好巡检记录，对于巡检中发现的设备故障应及时通知维修人员进行维修。</w:t>
      </w:r>
    </w:p>
    <w:p w14:paraId="079ECF4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6.2日常养护运维服务</w:t>
      </w:r>
    </w:p>
    <w:p w14:paraId="1B16E25F">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通风系统应根据存在的问题和故障，进行及时维修: 并依照相关规范和设备的使用要求进行定期的保养。</w:t>
      </w:r>
    </w:p>
    <w:p w14:paraId="089537F6">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7.监控与报警系统</w:t>
      </w:r>
    </w:p>
    <w:p w14:paraId="460A0D2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管廊监控与报警系统组成包括监控中心机房、计算机与网络系统、视频监控系统、现场监控设备、传输线路、通信系统和统一管理平台等内容，其主要功能是管廊内机电设备和内部环境的监控、预警和报警系统。</w:t>
      </w:r>
    </w:p>
    <w:p w14:paraId="4FA5DD7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7.1日常巡检</w:t>
      </w:r>
    </w:p>
    <w:p w14:paraId="318AEC8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监控与报警系统日常巡检与监测主要包括对系统内各子系统设备的日常巡查和设备运行状态的实时监测。</w:t>
      </w:r>
    </w:p>
    <w:p w14:paraId="7DECC3E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7.2日常养护运维服务</w:t>
      </w:r>
    </w:p>
    <w:p w14:paraId="093F62D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监控与报警系统的维护管理包括各子系统内设施设备，如监控中心机房、环境与设备监控设备、安全防范设备、报警与预警设备和通信设备等的维护。</w:t>
      </w:r>
    </w:p>
    <w:p w14:paraId="110159CD">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8.给排水系统</w:t>
      </w:r>
    </w:p>
    <w:p w14:paraId="3828CC3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综合管廊给排水系统包括管道、阀门、水泵、仪表等设备，排水主要功能为清排综合管廊内渗漏水、生产废水和应急抽水，给水主要功能为清洁、冲洗管廊等。</w:t>
      </w:r>
    </w:p>
    <w:p w14:paraId="20CA6949">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8.1日常巡检</w:t>
      </w:r>
    </w:p>
    <w:p w14:paraId="537B6423">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给排水系统日常巡检与监测主要包括对各类的水泵是否正常运转以及输水管线是否漏水、管线的输水及排水管道是否畅通。</w:t>
      </w:r>
    </w:p>
    <w:p w14:paraId="608E35E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排水系统日常巡检与监测主要是对排水系统内水裂、排水管道及阀门等设备开展的日常巡检和对水泵、液位运行状态的实时监测。</w:t>
      </w:r>
    </w:p>
    <w:p w14:paraId="68932CB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日常巡检主要采用目测方式对，排水管道、阀门等设施设备的直观属性进行巡视。在日常巡检中应做好巡检记录，对于巡检中发现的设备故障应及时通知维修人员进行维修。</w:t>
      </w:r>
    </w:p>
    <w:p w14:paraId="28F6F21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8.2维修保养</w:t>
      </w:r>
    </w:p>
    <w:p w14:paraId="52541CD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综合管廊排水系统主要包括的设备有: 排污泵、阀门、管道、水位仪等设备，其主要功能为清除综合管廊内漏水及汛期排涝和应急抽水。</w:t>
      </w:r>
    </w:p>
    <w:p w14:paraId="191C90E4">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9.标识系统</w:t>
      </w:r>
    </w:p>
    <w:p w14:paraId="47AEAB81">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bookmarkStart w:id="219" w:name="_Toc515611622"/>
      <w:r>
        <w:rPr>
          <w:rFonts w:hint="eastAsia" w:ascii="仿宋" w:hAnsi="仿宋" w:eastAsia="仿宋" w:cs="仿宋"/>
          <w:b w:val="0"/>
          <w:bCs w:val="0"/>
          <w:color w:val="auto"/>
          <w:sz w:val="24"/>
          <w:szCs w:val="24"/>
          <w:highlight w:val="none"/>
          <w:lang w:val="en-US" w:eastAsia="zh-CN"/>
        </w:rPr>
        <w:t>标识系统运行维护及安全管理对象中主要包含介绍类标识、导向标识、功能标识、专业管线标识；警示标识包括综合管廊介绍牌、工程质量终身责任永久性标牌、管线标识、设备铭牌、警示警告标识、里程标识、方向标识、节点标识和其他标识。</w:t>
      </w:r>
    </w:p>
    <w:p w14:paraId="5DD40D17">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标识系统需及时保洁、防腐、紧固、调整、更换。保持标识表面清洁、安装牢固、位置端正、内容清晰完整。</w:t>
      </w:r>
    </w:p>
    <w:p w14:paraId="7896F1D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9.1日常巡检</w:t>
      </w:r>
      <w:bookmarkEnd w:id="219"/>
    </w:p>
    <w:p w14:paraId="00EEE8D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识系统的日常巡检每月不少于1次，主要以观察为主，对简介牌、管线标志铭牌、设备铭牌、警告标识、设施标识、里程桩号等表面是否清洁、是否有损坏、安装是否牢固、位置是否端正、运行是否正常等进行查看记录。标识系统应及时保洁、防腐、紧固、调整、更换。保持标识表面清洁、安装牢固、位置端正、内容清晰完整。</w:t>
      </w:r>
    </w:p>
    <w:p w14:paraId="311089A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9.2维修保养</w:t>
      </w:r>
    </w:p>
    <w:p w14:paraId="3FFB1B4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标识系统的维修保养主要通过对有积灰、破损，松动、运行不正常的简介牌、管线标志铭牌、设备牌、警告标示、设施标识、里程桩号等进行清理、维修。标识、标牌更换时应选用安全可靠、无毒、耐火、防潮、防锈材质。</w:t>
      </w:r>
    </w:p>
    <w:p w14:paraId="0F617F0E">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10.入廊管线管理</w:t>
      </w:r>
    </w:p>
    <w:p w14:paraId="2AF65C4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与入廊管线单位签订入廊协议及安全协议明确入廊管线的种类、时间、费用和责权利等内容，确保地下综合管廊正常运行。地下管廊本体及附属设施的维护和日常管理由运维单位负责，入廊管线的设施维护及日常管理由各管线单位负责，运维单位对入廊管线设施巡视过程中发现的问题履行告知义务。</w:t>
      </w:r>
    </w:p>
    <w:p w14:paraId="4606BE28">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11.安全管理</w:t>
      </w:r>
    </w:p>
    <w:p w14:paraId="1047193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11.1坚持“安全第一、预防为主、综合治理”的方针。</w:t>
      </w:r>
    </w:p>
    <w:p w14:paraId="361C87C2">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11.2 遵守国家、地方、行业相关法律法规和技术标准，并接受地方主管部门、城管、应急管理局等地方监管部门监督管理。</w:t>
      </w:r>
    </w:p>
    <w:p w14:paraId="7109BF5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11.3 严格执行安全管理规章制度及操作规程，定期对管廊本体、附属设施、入廊管线进行巡检、维护，及时消除事故隐患，确保其处于安全状态。</w:t>
      </w:r>
    </w:p>
    <w:p w14:paraId="3D03CA1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11.4加强对管廊控制保护区管理，对需要进入控制保护区内施工时，应参与运行安全防护方案的审查论证。</w:t>
      </w:r>
    </w:p>
    <w:p w14:paraId="6958E6E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11.4采购人、运维单位及入廊管线单位应建立应急救援组织，设置专（兼）职人员，针对不同事故类型编制应急预案并定期组织应急演练，参加社会应急联动演练，应急救援人员应定期进行技术更新培训。</w:t>
      </w:r>
    </w:p>
    <w:p w14:paraId="521478EE">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12.</w:t>
      </w:r>
      <w:r>
        <w:rPr>
          <w:rFonts w:hint="eastAsia" w:ascii="仿宋" w:hAnsi="仿宋" w:eastAsia="仿宋" w:cs="仿宋"/>
          <w:b/>
          <w:bCs/>
          <w:color w:val="auto"/>
          <w:sz w:val="24"/>
          <w:szCs w:val="24"/>
          <w:highlight w:val="none"/>
          <w:lang w:val="en-US" w:eastAsia="zh-CN"/>
        </w:rPr>
        <w:t>信息及档案资料管理</w:t>
      </w:r>
    </w:p>
    <w:p w14:paraId="62CB6620">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12.1综合管廊建立电子档案，实施动态管理并接入统一管理平台系统。运营管理单位和入廊管线单位能共享安全运行、应急处置等关键信息。</w:t>
      </w:r>
    </w:p>
    <w:p w14:paraId="776199C3">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12.2综合管廊数据包含管线数据、运行数据和维护数据等信息。</w:t>
      </w:r>
    </w:p>
    <w:p w14:paraId="25FAF9B6">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12.3综合管廊信息管理是对运行维护及安全管理的全过程信息进行采集、整理、统计、分析和应用。</w:t>
      </w:r>
    </w:p>
    <w:p w14:paraId="6AD277CD">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12.4综合管廊技术档案实行信息化、数字化管理。</w:t>
      </w:r>
    </w:p>
    <w:p w14:paraId="5C32B1E8">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12.5综合管廊技术档案管理按现行行业标准《城建档案业务管理规范》CJJ/T158的有关规定执行。</w:t>
      </w:r>
    </w:p>
    <w:p w14:paraId="1777C99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12.6综合管廊技术档案包括下列内容:</w:t>
      </w:r>
    </w:p>
    <w:p w14:paraId="4A71389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（1）管廊本体及附属设施设备台账;</w:t>
      </w:r>
    </w:p>
    <w:p w14:paraId="31630F4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（2）管廊本体、附属设施和入廊管线的竣工资料;</w:t>
      </w:r>
    </w:p>
    <w:p w14:paraId="064D609E">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（3）运行维护及安全管理数据、记录、应急处置及分析报告；</w:t>
      </w:r>
    </w:p>
    <w:p w14:paraId="0B9DEB5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（4）其他有关入廊管线的规划、设计资料。</w:t>
      </w:r>
    </w:p>
    <w:p w14:paraId="6C21BF4A">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4"/>
          <w:szCs w:val="24"/>
          <w:highlight w:val="none"/>
          <w:lang w:val="en-US" w:eastAsia="zh-CN"/>
        </w:rPr>
        <w:t>12.6电子技术档案管理按现行行业标准《建设电子文件与电子档案管理规范》CJ/T117和《建设电子档案元数据准》CJJ/T187的有关规定执行。</w:t>
      </w:r>
    </w:p>
    <w:p w14:paraId="76075B7D">
      <w:pPr>
        <w:keepNext w:val="0"/>
        <w:keepLines w:val="0"/>
        <w:pageBreakBefore w:val="0"/>
        <w:widowControl w:val="0"/>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五、设备配备要求</w:t>
      </w:r>
    </w:p>
    <w:p w14:paraId="1BC563E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1.满足日常运营生产车辆，包括但不限于小型级以上货车、巡检燃油或电动车辆。</w:t>
      </w:r>
    </w:p>
    <w:p w14:paraId="1B0F772B">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2.机具：包括但不限于柴油（或汽油）发电机、潜水排污泵、冲击钻（或电锤）、切割机、电焊机及满足日常巡检、保养、维修等工器具。</w:t>
      </w:r>
      <w:r>
        <w:rPr>
          <w:rFonts w:hint="eastAsia" w:ascii="仿宋" w:hAnsi="仿宋" w:eastAsia="仿宋" w:cs="仿宋"/>
          <w:b/>
          <w:bCs/>
          <w:color w:val="auto"/>
          <w:sz w:val="24"/>
          <w:szCs w:val="24"/>
          <w:highlight w:val="none"/>
          <w:lang w:val="en-US" w:eastAsia="zh-CN"/>
        </w:rPr>
        <w:t>（投标人在投标文件中提供中标后按照计划的运维期配齐以上设备的承诺书（格式见第五章））</w:t>
      </w:r>
    </w:p>
    <w:p w14:paraId="7A61005E">
      <w:pPr>
        <w:keepNext w:val="0"/>
        <w:keepLines w:val="0"/>
        <w:pageBreakBefore w:val="0"/>
        <w:widowControl w:val="0"/>
        <w:kinsoku/>
        <w:wordWrap/>
        <w:overflowPunct/>
        <w:topLinePunct w:val="0"/>
        <w:autoSpaceDE/>
        <w:autoSpaceDN/>
        <w:bidi w:val="0"/>
        <w:adjustRightInd/>
        <w:snapToGrid/>
        <w:spacing w:beforeLines="0" w:line="360" w:lineRule="auto"/>
        <w:ind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六、技术方案要求</w:t>
      </w:r>
    </w:p>
    <w:p w14:paraId="5270EEA4">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应依据本项目服务内容和要求、质量考核办法的要求，制订包含入廊管线管理、作业管理与服务、运行管理、土建设施维护、附属设施维护、规章制度体系建立、安全生产、应急处置、档案资料管理、管廊保护、监控中心系统专项维护等方面内容的运维服务方案。</w:t>
      </w:r>
    </w:p>
    <w:p w14:paraId="2997A698">
      <w:pPr>
        <w:keepNext w:val="0"/>
        <w:keepLines w:val="0"/>
        <w:pageBreakBefore w:val="0"/>
        <w:widowControl w:val="0"/>
        <w:kinsoku/>
        <w:wordWrap/>
        <w:overflowPunct/>
        <w:topLinePunct w:val="0"/>
        <w:autoSpaceDE/>
        <w:autoSpaceDN/>
        <w:bidi w:val="0"/>
        <w:adjustRightInd/>
        <w:snapToGrid/>
        <w:spacing w:beforeLines="0" w:line="360" w:lineRule="auto"/>
        <w:jc w:val="center"/>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8"/>
          <w:szCs w:val="28"/>
          <w:highlight w:val="none"/>
          <w:lang w:val="en-US" w:eastAsia="zh-CN"/>
        </w:rPr>
        <w:t>第三部分、人员配备要求</w:t>
      </w:r>
    </w:p>
    <w:p w14:paraId="00B7AF7F">
      <w:pPr>
        <w:keepNext w:val="0"/>
        <w:keepLines w:val="0"/>
        <w:pageBreakBefore w:val="0"/>
        <w:widowControl w:val="0"/>
        <w:kinsoku/>
        <w:wordWrap/>
        <w:overflowPunct/>
        <w:topLinePunct w:val="0"/>
        <w:autoSpaceDE/>
        <w:autoSpaceDN/>
        <w:bidi w:val="0"/>
        <w:adjustRightInd/>
        <w:snapToGrid/>
        <w:spacing w:beforeLines="0" w:line="360" w:lineRule="auto"/>
        <w:ind w:firstLine="480" w:firstLineChars="200"/>
        <w:jc w:val="left"/>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项目组织和人员配备是项目质量保证的关键性因素，中标人应依据项目特点和管理内容按要求进行配置。项目人员配置分为：项目管理层、隧道运维养护团队及管廊运维养护团队。人员编制为70人，岗位及工作职责要求如下：</w:t>
      </w:r>
    </w:p>
    <w:tbl>
      <w:tblPr>
        <w:tblStyle w:val="88"/>
        <w:tblpPr w:leftFromText="181" w:rightFromText="181" w:bottomFromText="283" w:vertAnchor="text" w:tblpXSpec="center" w:tblpY="199"/>
        <w:tblOverlap w:val="never"/>
        <w:tblW w:w="995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274"/>
        <w:gridCol w:w="2036"/>
        <w:gridCol w:w="241"/>
        <w:gridCol w:w="2176"/>
        <w:gridCol w:w="763"/>
        <w:gridCol w:w="3464"/>
      </w:tblGrid>
      <w:tr w14:paraId="770E19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tcBorders>
              <w:bottom w:val="single" w:color="auto" w:sz="4" w:space="0"/>
              <w:right w:val="single" w:color="auto" w:sz="4" w:space="0"/>
              <w:tl2br w:val="nil"/>
              <w:tr2bl w:val="nil"/>
            </w:tcBorders>
            <w:noWrap w:val="0"/>
            <w:vAlign w:val="center"/>
          </w:tcPr>
          <w:p w14:paraId="507FD41A">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岗位层级</w:t>
            </w:r>
          </w:p>
        </w:tc>
        <w:tc>
          <w:tcPr>
            <w:tcW w:w="2036" w:type="dxa"/>
            <w:tcBorders>
              <w:left w:val="single" w:color="auto" w:sz="4" w:space="0"/>
              <w:bottom w:val="single" w:color="auto" w:sz="4" w:space="0"/>
              <w:right w:val="single" w:color="auto" w:sz="4" w:space="0"/>
              <w:tl2br w:val="nil"/>
              <w:tr2bl w:val="nil"/>
            </w:tcBorders>
            <w:noWrap w:val="0"/>
            <w:vAlign w:val="center"/>
          </w:tcPr>
          <w:p w14:paraId="270A5714">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岗位</w:t>
            </w:r>
          </w:p>
        </w:tc>
        <w:tc>
          <w:tcPr>
            <w:tcW w:w="2417" w:type="dxa"/>
            <w:gridSpan w:val="2"/>
            <w:tcBorders>
              <w:left w:val="single" w:color="auto" w:sz="4" w:space="0"/>
              <w:bottom w:val="single" w:color="auto" w:sz="4" w:space="0"/>
              <w:tl2br w:val="nil"/>
              <w:tr2bl w:val="nil"/>
            </w:tcBorders>
            <w:noWrap w:val="0"/>
            <w:vAlign w:val="center"/>
          </w:tcPr>
          <w:p w14:paraId="7205AACC">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基本要求</w:t>
            </w:r>
          </w:p>
        </w:tc>
        <w:tc>
          <w:tcPr>
            <w:tcW w:w="763" w:type="dxa"/>
            <w:tcBorders>
              <w:bottom w:val="single" w:color="auto" w:sz="4" w:space="0"/>
              <w:tl2br w:val="nil"/>
              <w:tr2bl w:val="nil"/>
            </w:tcBorders>
            <w:noWrap w:val="0"/>
            <w:vAlign w:val="center"/>
          </w:tcPr>
          <w:p w14:paraId="0F5F1E53">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人数</w:t>
            </w:r>
          </w:p>
        </w:tc>
        <w:tc>
          <w:tcPr>
            <w:tcW w:w="3464" w:type="dxa"/>
            <w:tcBorders>
              <w:bottom w:val="single" w:color="auto" w:sz="4" w:space="0"/>
              <w:tl2br w:val="nil"/>
              <w:tr2bl w:val="nil"/>
            </w:tcBorders>
            <w:noWrap w:val="0"/>
            <w:vAlign w:val="center"/>
          </w:tcPr>
          <w:p w14:paraId="3A17E600">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职责</w:t>
            </w:r>
          </w:p>
        </w:tc>
      </w:tr>
      <w:tr w14:paraId="7EF8051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restart"/>
            <w:tcBorders>
              <w:top w:val="single" w:color="auto" w:sz="4" w:space="0"/>
              <w:right w:val="single" w:color="auto" w:sz="4" w:space="0"/>
              <w:tl2br w:val="nil"/>
              <w:tr2bl w:val="nil"/>
            </w:tcBorders>
            <w:noWrap w:val="0"/>
            <w:vAlign w:val="center"/>
          </w:tcPr>
          <w:p w14:paraId="435DF905">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项目管理层</w:t>
            </w:r>
          </w:p>
        </w:tc>
        <w:tc>
          <w:tcPr>
            <w:tcW w:w="2036" w:type="dxa"/>
            <w:tcBorders>
              <w:top w:val="single" w:color="auto" w:sz="4" w:space="0"/>
              <w:left w:val="single" w:color="auto" w:sz="4" w:space="0"/>
              <w:right w:val="single" w:color="auto" w:sz="4" w:space="0"/>
              <w:tl2br w:val="nil"/>
              <w:tr2bl w:val="nil"/>
            </w:tcBorders>
            <w:noWrap w:val="0"/>
            <w:vAlign w:val="center"/>
          </w:tcPr>
          <w:p w14:paraId="2E2C5545">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项目负责人</w:t>
            </w:r>
          </w:p>
        </w:tc>
        <w:tc>
          <w:tcPr>
            <w:tcW w:w="2417" w:type="dxa"/>
            <w:gridSpan w:val="2"/>
            <w:tcBorders>
              <w:top w:val="single" w:color="auto" w:sz="4" w:space="0"/>
              <w:left w:val="single" w:color="auto" w:sz="4" w:space="0"/>
              <w:tl2br w:val="nil"/>
              <w:tr2bl w:val="nil"/>
            </w:tcBorders>
            <w:noWrap w:val="0"/>
            <w:vAlign w:val="center"/>
          </w:tcPr>
          <w:p w14:paraId="6BBC2071">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具有市政公用工程二级及以上注册建造师执业证</w:t>
            </w:r>
          </w:p>
        </w:tc>
        <w:tc>
          <w:tcPr>
            <w:tcW w:w="763" w:type="dxa"/>
            <w:tcBorders>
              <w:top w:val="single" w:color="auto" w:sz="4" w:space="0"/>
              <w:tl2br w:val="nil"/>
              <w:tr2bl w:val="nil"/>
            </w:tcBorders>
            <w:noWrap w:val="0"/>
            <w:vAlign w:val="center"/>
          </w:tcPr>
          <w:p w14:paraId="1DE99212">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1</w:t>
            </w:r>
          </w:p>
        </w:tc>
        <w:tc>
          <w:tcPr>
            <w:tcW w:w="3464" w:type="dxa"/>
            <w:tcBorders>
              <w:top w:val="single" w:color="auto" w:sz="4" w:space="0"/>
              <w:tl2br w:val="nil"/>
              <w:tr2bl w:val="nil"/>
            </w:tcBorders>
            <w:noWrap w:val="0"/>
            <w:vAlign w:val="center"/>
          </w:tcPr>
          <w:p w14:paraId="525F87D0">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主持运维服务项目部全部工作</w:t>
            </w:r>
          </w:p>
        </w:tc>
      </w:tr>
      <w:tr w14:paraId="145A7A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0"/>
            <w:vAlign w:val="center"/>
          </w:tcPr>
          <w:p w14:paraId="2E789C5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p>
        </w:tc>
        <w:tc>
          <w:tcPr>
            <w:tcW w:w="2036" w:type="dxa"/>
            <w:tcBorders>
              <w:left w:val="single" w:color="auto" w:sz="4" w:space="0"/>
              <w:bottom w:val="single" w:color="auto" w:sz="4" w:space="0"/>
              <w:right w:val="single" w:color="auto" w:sz="4" w:space="0"/>
              <w:tl2br w:val="nil"/>
              <w:tr2bl w:val="nil"/>
            </w:tcBorders>
            <w:noWrap w:val="0"/>
            <w:vAlign w:val="center"/>
          </w:tcPr>
          <w:p w14:paraId="50756076">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eastAsia="zh-CN"/>
              </w:rPr>
              <w:t>技术负责人（</w:t>
            </w:r>
            <w:r>
              <w:rPr>
                <w:rFonts w:hint="eastAsia" w:ascii="仿宋" w:hAnsi="仿宋" w:eastAsia="仿宋" w:cs="仿宋"/>
                <w:color w:val="auto"/>
                <w:kern w:val="0"/>
                <w:sz w:val="24"/>
                <w:szCs w:val="24"/>
                <w:highlight w:val="none"/>
                <w:lang w:val="en-US" w:eastAsia="zh-CN"/>
              </w:rPr>
              <w:t>隧道方向</w:t>
            </w:r>
            <w:r>
              <w:rPr>
                <w:rFonts w:hint="eastAsia" w:ascii="仿宋" w:hAnsi="仿宋" w:eastAsia="仿宋" w:cs="仿宋"/>
                <w:color w:val="auto"/>
                <w:kern w:val="0"/>
                <w:sz w:val="24"/>
                <w:szCs w:val="24"/>
                <w:highlight w:val="none"/>
                <w:lang w:eastAsia="zh-CN"/>
              </w:rPr>
              <w:t>）</w:t>
            </w:r>
          </w:p>
        </w:tc>
        <w:tc>
          <w:tcPr>
            <w:tcW w:w="2417" w:type="dxa"/>
            <w:gridSpan w:val="2"/>
            <w:tcBorders>
              <w:left w:val="single" w:color="auto" w:sz="4" w:space="0"/>
              <w:bottom w:val="single" w:color="auto" w:sz="4" w:space="0"/>
              <w:tl2br w:val="nil"/>
              <w:tr2bl w:val="nil"/>
            </w:tcBorders>
            <w:noWrap w:val="0"/>
            <w:vAlign w:val="center"/>
          </w:tcPr>
          <w:p w14:paraId="11B2BB9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具有市政类或机电类专业工程师及以上技术职称</w:t>
            </w:r>
          </w:p>
        </w:tc>
        <w:tc>
          <w:tcPr>
            <w:tcW w:w="763" w:type="dxa"/>
            <w:tcBorders>
              <w:bottom w:val="single" w:color="auto" w:sz="4" w:space="0"/>
              <w:tl2br w:val="nil"/>
              <w:tr2bl w:val="nil"/>
            </w:tcBorders>
            <w:noWrap w:val="0"/>
            <w:vAlign w:val="center"/>
          </w:tcPr>
          <w:p w14:paraId="1DA40C03">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3464" w:type="dxa"/>
            <w:tcBorders>
              <w:bottom w:val="single" w:color="auto" w:sz="4" w:space="0"/>
              <w:tl2br w:val="nil"/>
              <w:tr2bl w:val="nil"/>
            </w:tcBorders>
            <w:noWrap w:val="0"/>
            <w:vAlign w:val="center"/>
          </w:tcPr>
          <w:p w14:paraId="1F721B8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b w:val="0"/>
                <w:bCs w:val="0"/>
                <w:color w:val="auto"/>
                <w:sz w:val="24"/>
                <w:szCs w:val="24"/>
                <w:highlight w:val="none"/>
                <w:lang w:val="en-US" w:eastAsia="zh-CN"/>
              </w:rPr>
              <w:t>负责隧道运维服务工作的组织实施</w:t>
            </w:r>
          </w:p>
        </w:tc>
      </w:tr>
      <w:tr w14:paraId="57F7741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0"/>
            <w:vAlign w:val="center"/>
          </w:tcPr>
          <w:p w14:paraId="6B8F791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p>
        </w:tc>
        <w:tc>
          <w:tcPr>
            <w:tcW w:w="2036" w:type="dxa"/>
            <w:tcBorders>
              <w:top w:val="single" w:color="auto" w:sz="4" w:space="0"/>
              <w:left w:val="single" w:color="auto" w:sz="4" w:space="0"/>
              <w:right w:val="single" w:color="auto" w:sz="4" w:space="0"/>
              <w:tl2br w:val="nil"/>
              <w:tr2bl w:val="nil"/>
            </w:tcBorders>
            <w:noWrap w:val="0"/>
            <w:vAlign w:val="center"/>
          </w:tcPr>
          <w:p w14:paraId="0402615D">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color w:val="auto"/>
                <w:kern w:val="0"/>
                <w:sz w:val="24"/>
                <w:szCs w:val="24"/>
                <w:highlight w:val="none"/>
                <w:lang w:eastAsia="zh-CN"/>
              </w:rPr>
            </w:pPr>
            <w:r>
              <w:rPr>
                <w:rFonts w:hint="eastAsia" w:ascii="仿宋" w:hAnsi="仿宋" w:eastAsia="仿宋" w:cs="仿宋"/>
                <w:b w:val="0"/>
                <w:bCs w:val="0"/>
                <w:color w:val="auto"/>
                <w:sz w:val="24"/>
                <w:szCs w:val="24"/>
                <w:highlight w:val="none"/>
                <w:lang w:val="en-US" w:eastAsia="zh-CN"/>
              </w:rPr>
              <w:t>技术负责人（管廊方向）</w:t>
            </w:r>
          </w:p>
        </w:tc>
        <w:tc>
          <w:tcPr>
            <w:tcW w:w="2417" w:type="dxa"/>
            <w:gridSpan w:val="2"/>
            <w:tcBorders>
              <w:top w:val="single" w:color="auto" w:sz="4" w:space="0"/>
              <w:left w:val="single" w:color="auto" w:sz="4" w:space="0"/>
              <w:tl2br w:val="nil"/>
              <w:tr2bl w:val="nil"/>
            </w:tcBorders>
            <w:noWrap w:val="0"/>
            <w:vAlign w:val="center"/>
          </w:tcPr>
          <w:p w14:paraId="32FD5F7D">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具有市政类或机电类专业工程师及以上技术职称</w:t>
            </w:r>
          </w:p>
        </w:tc>
        <w:tc>
          <w:tcPr>
            <w:tcW w:w="763" w:type="dxa"/>
            <w:tcBorders>
              <w:top w:val="single" w:color="auto" w:sz="4" w:space="0"/>
              <w:tl2br w:val="nil"/>
              <w:tr2bl w:val="nil"/>
            </w:tcBorders>
            <w:noWrap w:val="0"/>
            <w:vAlign w:val="center"/>
          </w:tcPr>
          <w:p w14:paraId="619F1662">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3464" w:type="dxa"/>
            <w:tcBorders>
              <w:top w:val="single" w:color="auto" w:sz="4" w:space="0"/>
              <w:tl2br w:val="nil"/>
              <w:tr2bl w:val="nil"/>
            </w:tcBorders>
            <w:noWrap w:val="0"/>
            <w:vAlign w:val="center"/>
          </w:tcPr>
          <w:p w14:paraId="18EE597A">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负责管廊运维服务工作的组织实施</w:t>
            </w:r>
          </w:p>
        </w:tc>
      </w:tr>
      <w:tr w14:paraId="683264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0"/>
            <w:vAlign w:val="center"/>
          </w:tcPr>
          <w:p w14:paraId="3A9D650D">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p>
        </w:tc>
        <w:tc>
          <w:tcPr>
            <w:tcW w:w="2036" w:type="dxa"/>
            <w:tcBorders>
              <w:left w:val="single" w:color="auto" w:sz="4" w:space="0"/>
              <w:bottom w:val="single" w:color="auto" w:sz="4" w:space="0"/>
              <w:right w:val="single" w:color="auto" w:sz="4" w:space="0"/>
              <w:tl2br w:val="nil"/>
              <w:tr2bl w:val="nil"/>
            </w:tcBorders>
            <w:noWrap w:val="0"/>
            <w:vAlign w:val="center"/>
          </w:tcPr>
          <w:p w14:paraId="7D0ECE9C">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eastAsia="zh-CN"/>
              </w:rPr>
              <w:t>安全负责人</w:t>
            </w:r>
          </w:p>
        </w:tc>
        <w:tc>
          <w:tcPr>
            <w:tcW w:w="2417" w:type="dxa"/>
            <w:gridSpan w:val="2"/>
            <w:tcBorders>
              <w:left w:val="single" w:color="auto" w:sz="4" w:space="0"/>
              <w:bottom w:val="single" w:color="auto" w:sz="4" w:space="0"/>
              <w:tl2br w:val="nil"/>
              <w:tr2bl w:val="nil"/>
            </w:tcBorders>
            <w:noWrap w:val="0"/>
            <w:vAlign w:val="center"/>
          </w:tcPr>
          <w:p w14:paraId="7B16ED3A">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具有注册安全工程师证书或安全生产考核合格证（C证）证书</w:t>
            </w:r>
          </w:p>
        </w:tc>
        <w:tc>
          <w:tcPr>
            <w:tcW w:w="763" w:type="dxa"/>
            <w:tcBorders>
              <w:bottom w:val="single" w:color="auto" w:sz="4" w:space="0"/>
              <w:tl2br w:val="nil"/>
              <w:tr2bl w:val="nil"/>
            </w:tcBorders>
            <w:noWrap w:val="0"/>
            <w:vAlign w:val="center"/>
          </w:tcPr>
          <w:p w14:paraId="4E5C23A5">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3464" w:type="dxa"/>
            <w:tcBorders>
              <w:bottom w:val="single" w:color="auto" w:sz="4" w:space="0"/>
              <w:tl2br w:val="nil"/>
              <w:tr2bl w:val="nil"/>
            </w:tcBorders>
            <w:noWrap w:val="0"/>
            <w:vAlign w:val="center"/>
          </w:tcPr>
          <w:p w14:paraId="32ACD6E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负责项目</w:t>
            </w:r>
            <w:r>
              <w:rPr>
                <w:rFonts w:hint="eastAsia" w:ascii="仿宋" w:hAnsi="仿宋" w:eastAsia="仿宋" w:cs="仿宋"/>
                <w:color w:val="auto"/>
                <w:kern w:val="0"/>
                <w:sz w:val="24"/>
                <w:szCs w:val="24"/>
                <w:highlight w:val="none"/>
                <w:lang w:val="en-US" w:eastAsia="zh-CN"/>
              </w:rPr>
              <w:t>整体</w:t>
            </w:r>
            <w:r>
              <w:rPr>
                <w:rFonts w:hint="eastAsia" w:ascii="仿宋" w:hAnsi="仿宋" w:eastAsia="仿宋" w:cs="仿宋"/>
                <w:color w:val="auto"/>
                <w:kern w:val="0"/>
                <w:sz w:val="24"/>
                <w:szCs w:val="24"/>
                <w:highlight w:val="none"/>
                <w:lang w:eastAsia="zh-CN"/>
              </w:rPr>
              <w:t>安全管理</w:t>
            </w:r>
            <w:r>
              <w:rPr>
                <w:rFonts w:hint="eastAsia" w:ascii="仿宋" w:hAnsi="仿宋" w:eastAsia="仿宋" w:cs="仿宋"/>
                <w:color w:val="auto"/>
                <w:kern w:val="0"/>
                <w:sz w:val="24"/>
                <w:szCs w:val="24"/>
                <w:highlight w:val="none"/>
                <w:lang w:val="en-US" w:eastAsia="zh-CN"/>
              </w:rPr>
              <w:t>工作</w:t>
            </w:r>
          </w:p>
        </w:tc>
      </w:tr>
      <w:tr w14:paraId="345789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0"/>
            <w:vAlign w:val="center"/>
          </w:tcPr>
          <w:p w14:paraId="67CF2E03">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p>
        </w:tc>
        <w:tc>
          <w:tcPr>
            <w:tcW w:w="4453" w:type="dxa"/>
            <w:gridSpan w:val="3"/>
            <w:tcBorders>
              <w:top w:val="single" w:color="auto" w:sz="4" w:space="0"/>
              <w:left w:val="single" w:color="auto" w:sz="4" w:space="0"/>
              <w:tl2br w:val="nil"/>
              <w:tr2bl w:val="nil"/>
            </w:tcBorders>
            <w:noWrap w:val="0"/>
            <w:vAlign w:val="center"/>
          </w:tcPr>
          <w:p w14:paraId="4639F303">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①、小计</w:t>
            </w:r>
          </w:p>
        </w:tc>
        <w:tc>
          <w:tcPr>
            <w:tcW w:w="763" w:type="dxa"/>
            <w:tcBorders>
              <w:top w:val="single" w:color="auto" w:sz="4" w:space="0"/>
              <w:tl2br w:val="nil"/>
              <w:tr2bl w:val="nil"/>
            </w:tcBorders>
            <w:noWrap w:val="0"/>
            <w:vAlign w:val="center"/>
          </w:tcPr>
          <w:p w14:paraId="3AF3E26A">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3464" w:type="dxa"/>
            <w:tcBorders>
              <w:top w:val="single" w:color="auto" w:sz="4" w:space="0"/>
              <w:tl2br w:val="nil"/>
              <w:tr2bl w:val="nil"/>
            </w:tcBorders>
            <w:noWrap w:val="0"/>
            <w:vAlign w:val="center"/>
          </w:tcPr>
          <w:p w14:paraId="1B56E40B">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w:t>
            </w:r>
          </w:p>
        </w:tc>
      </w:tr>
      <w:tr w14:paraId="4460F09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restart"/>
            <w:tcBorders>
              <w:right w:val="single" w:color="auto" w:sz="4" w:space="0"/>
              <w:tl2br w:val="nil"/>
              <w:tr2bl w:val="nil"/>
            </w:tcBorders>
            <w:noWrap w:val="0"/>
            <w:vAlign w:val="center"/>
          </w:tcPr>
          <w:p w14:paraId="1F14739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隧道运维</w:t>
            </w:r>
          </w:p>
          <w:p w14:paraId="48F16BDE">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养护团队</w:t>
            </w:r>
          </w:p>
        </w:tc>
        <w:tc>
          <w:tcPr>
            <w:tcW w:w="2277" w:type="dxa"/>
            <w:gridSpan w:val="2"/>
            <w:tcBorders>
              <w:left w:val="single" w:color="auto" w:sz="4" w:space="0"/>
              <w:tl2br w:val="nil"/>
              <w:tr2bl w:val="nil"/>
            </w:tcBorders>
            <w:noWrap w:val="0"/>
            <w:vAlign w:val="center"/>
          </w:tcPr>
          <w:p w14:paraId="29A9E55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eastAsia="zh-CN"/>
              </w:rPr>
              <w:t>巡检</w:t>
            </w:r>
          </w:p>
        </w:tc>
        <w:tc>
          <w:tcPr>
            <w:tcW w:w="2176" w:type="dxa"/>
            <w:tcBorders>
              <w:tl2br w:val="nil"/>
              <w:tr2bl w:val="nil"/>
            </w:tcBorders>
            <w:noWrap w:val="0"/>
            <w:vAlign w:val="center"/>
          </w:tcPr>
          <w:p w14:paraId="1688CBCE">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巡检维护人员</w:t>
            </w:r>
          </w:p>
        </w:tc>
        <w:tc>
          <w:tcPr>
            <w:tcW w:w="763" w:type="dxa"/>
            <w:tcBorders>
              <w:tl2br w:val="nil"/>
              <w:tr2bl w:val="nil"/>
            </w:tcBorders>
            <w:noWrap w:val="0"/>
            <w:vAlign w:val="center"/>
          </w:tcPr>
          <w:p w14:paraId="439411C2">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3464" w:type="dxa"/>
            <w:tcBorders>
              <w:tl2br w:val="nil"/>
              <w:tr2bl w:val="nil"/>
            </w:tcBorders>
            <w:noWrap w:val="0"/>
            <w:vAlign w:val="center"/>
          </w:tcPr>
          <w:p w14:paraId="32E2D4A5">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隧道巡查维</w:t>
            </w:r>
            <w:r>
              <w:rPr>
                <w:rFonts w:hint="eastAsia" w:ascii="仿宋" w:hAnsi="仿宋" w:eastAsia="仿宋" w:cs="仿宋"/>
                <w:color w:val="auto"/>
                <w:kern w:val="0"/>
                <w:sz w:val="24"/>
                <w:szCs w:val="24"/>
                <w:highlight w:val="none"/>
                <w:lang w:val="en-US" w:eastAsia="zh-CN"/>
              </w:rPr>
              <w:t>管</w:t>
            </w:r>
          </w:p>
        </w:tc>
      </w:tr>
      <w:tr w14:paraId="06B59D9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55812C12">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vMerge w:val="restart"/>
            <w:tcBorders>
              <w:left w:val="single" w:color="auto" w:sz="4" w:space="0"/>
              <w:tl2br w:val="nil"/>
              <w:tr2bl w:val="nil"/>
            </w:tcBorders>
            <w:noWrap/>
            <w:vAlign w:val="center"/>
          </w:tcPr>
          <w:p w14:paraId="3B0150F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保洁</w:t>
            </w:r>
            <w:r>
              <w:rPr>
                <w:rFonts w:hint="eastAsia" w:ascii="仿宋" w:hAnsi="仿宋" w:eastAsia="仿宋" w:cs="仿宋"/>
                <w:color w:val="auto"/>
                <w:kern w:val="0"/>
                <w:sz w:val="24"/>
                <w:szCs w:val="24"/>
                <w:highlight w:val="none"/>
                <w:lang w:val="en-US" w:eastAsia="zh-CN"/>
              </w:rPr>
              <w:t>班组</w:t>
            </w:r>
          </w:p>
        </w:tc>
        <w:tc>
          <w:tcPr>
            <w:tcW w:w="2176" w:type="dxa"/>
            <w:tcBorders>
              <w:tl2br w:val="nil"/>
              <w:tr2bl w:val="nil"/>
            </w:tcBorders>
            <w:noWrap w:val="0"/>
            <w:vAlign w:val="center"/>
          </w:tcPr>
          <w:p w14:paraId="27CD532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保洁员</w:t>
            </w:r>
          </w:p>
        </w:tc>
        <w:tc>
          <w:tcPr>
            <w:tcW w:w="763" w:type="dxa"/>
            <w:tcBorders>
              <w:tl2br w:val="nil"/>
              <w:tr2bl w:val="nil"/>
            </w:tcBorders>
            <w:noWrap w:val="0"/>
            <w:vAlign w:val="center"/>
          </w:tcPr>
          <w:p w14:paraId="6E0BA155">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3464" w:type="dxa"/>
            <w:tcBorders>
              <w:tl2br w:val="nil"/>
              <w:tr2bl w:val="nil"/>
            </w:tcBorders>
            <w:noWrap w:val="0"/>
            <w:vAlign w:val="center"/>
          </w:tcPr>
          <w:p w14:paraId="46E37AC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隧道</w:t>
            </w:r>
            <w:r>
              <w:rPr>
                <w:rFonts w:hint="eastAsia" w:ascii="仿宋" w:hAnsi="仿宋" w:eastAsia="仿宋" w:cs="仿宋"/>
                <w:color w:val="auto"/>
                <w:kern w:val="0"/>
                <w:sz w:val="24"/>
                <w:szCs w:val="24"/>
                <w:highlight w:val="none"/>
                <w:lang w:val="en-US" w:eastAsia="zh-CN"/>
              </w:rPr>
              <w:t>内</w:t>
            </w:r>
            <w:r>
              <w:rPr>
                <w:rFonts w:hint="eastAsia" w:ascii="仿宋" w:hAnsi="仿宋" w:eastAsia="仿宋" w:cs="仿宋"/>
                <w:color w:val="auto"/>
                <w:kern w:val="0"/>
                <w:sz w:val="24"/>
                <w:szCs w:val="24"/>
                <w:highlight w:val="none"/>
                <w:lang w:eastAsia="zh-CN"/>
              </w:rPr>
              <w:t>保洁</w:t>
            </w:r>
          </w:p>
        </w:tc>
      </w:tr>
      <w:tr w14:paraId="66C1A6F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0"/>
            <w:vAlign w:val="center"/>
          </w:tcPr>
          <w:p w14:paraId="1C8271EB">
            <w:pPr>
              <w:keepNext w:val="0"/>
              <w:keepLines w:val="0"/>
              <w:pageBreakBefore w:val="0"/>
              <w:widowControl/>
              <w:kinsoku/>
              <w:wordWrap/>
              <w:overflowPunct/>
              <w:topLinePunct w:val="0"/>
              <w:autoSpaceDE/>
              <w:autoSpaceDN/>
              <w:bidi w:val="0"/>
              <w:adjustRightInd/>
              <w:snapToGrid/>
              <w:spacing w:beforeLines="0" w:line="360" w:lineRule="exact"/>
              <w:jc w:val="left"/>
              <w:textAlignment w:val="auto"/>
              <w:rPr>
                <w:rFonts w:hint="eastAsia" w:ascii="仿宋" w:hAnsi="仿宋" w:eastAsia="仿宋" w:cs="仿宋"/>
                <w:color w:val="auto"/>
                <w:kern w:val="0"/>
                <w:sz w:val="24"/>
                <w:szCs w:val="24"/>
                <w:highlight w:val="none"/>
              </w:rPr>
            </w:pPr>
          </w:p>
        </w:tc>
        <w:tc>
          <w:tcPr>
            <w:tcW w:w="2277" w:type="dxa"/>
            <w:gridSpan w:val="2"/>
            <w:vMerge w:val="continue"/>
            <w:tcBorders>
              <w:left w:val="single" w:color="auto" w:sz="4" w:space="0"/>
              <w:tl2br w:val="nil"/>
              <w:tr2bl w:val="nil"/>
            </w:tcBorders>
            <w:noWrap w:val="0"/>
            <w:vAlign w:val="center"/>
          </w:tcPr>
          <w:p w14:paraId="20F87886">
            <w:pPr>
              <w:keepNext w:val="0"/>
              <w:keepLines w:val="0"/>
              <w:pageBreakBefore w:val="0"/>
              <w:widowControl/>
              <w:kinsoku/>
              <w:wordWrap/>
              <w:overflowPunct/>
              <w:topLinePunct w:val="0"/>
              <w:autoSpaceDE/>
              <w:autoSpaceDN/>
              <w:bidi w:val="0"/>
              <w:adjustRightInd/>
              <w:snapToGrid/>
              <w:spacing w:beforeLines="0" w:line="360" w:lineRule="exact"/>
              <w:jc w:val="left"/>
              <w:textAlignment w:val="auto"/>
              <w:rPr>
                <w:rFonts w:hint="eastAsia" w:ascii="仿宋" w:hAnsi="仿宋" w:eastAsia="仿宋" w:cs="仿宋"/>
                <w:color w:val="auto"/>
                <w:kern w:val="0"/>
                <w:sz w:val="24"/>
                <w:szCs w:val="24"/>
                <w:highlight w:val="none"/>
              </w:rPr>
            </w:pPr>
          </w:p>
        </w:tc>
        <w:tc>
          <w:tcPr>
            <w:tcW w:w="2176" w:type="dxa"/>
            <w:tcBorders>
              <w:tl2br w:val="nil"/>
              <w:tr2bl w:val="nil"/>
            </w:tcBorders>
            <w:noWrap w:val="0"/>
            <w:vAlign w:val="center"/>
          </w:tcPr>
          <w:p w14:paraId="7FF8D15B">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驾驶员</w:t>
            </w:r>
          </w:p>
        </w:tc>
        <w:tc>
          <w:tcPr>
            <w:tcW w:w="763" w:type="dxa"/>
            <w:tcBorders>
              <w:tl2br w:val="nil"/>
              <w:tr2bl w:val="nil"/>
            </w:tcBorders>
            <w:noWrap w:val="0"/>
            <w:vAlign w:val="center"/>
          </w:tcPr>
          <w:p w14:paraId="02CD7DD8">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3464" w:type="dxa"/>
            <w:tcBorders>
              <w:tl2br w:val="nil"/>
              <w:tr2bl w:val="nil"/>
            </w:tcBorders>
            <w:noWrap w:val="0"/>
            <w:vAlign w:val="center"/>
          </w:tcPr>
          <w:p w14:paraId="5288906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车辆驾驶</w:t>
            </w:r>
          </w:p>
        </w:tc>
      </w:tr>
      <w:tr w14:paraId="2667A9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1CF536B6">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left w:val="single" w:color="auto" w:sz="4" w:space="0"/>
              <w:tl2br w:val="nil"/>
              <w:tr2bl w:val="nil"/>
            </w:tcBorders>
            <w:noWrap/>
            <w:vAlign w:val="center"/>
          </w:tcPr>
          <w:p w14:paraId="5FB3070A">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机电</w:t>
            </w:r>
            <w:r>
              <w:rPr>
                <w:rFonts w:hint="eastAsia" w:ascii="仿宋" w:hAnsi="仿宋" w:eastAsia="仿宋" w:cs="仿宋"/>
                <w:color w:val="auto"/>
                <w:kern w:val="0"/>
                <w:sz w:val="24"/>
                <w:szCs w:val="24"/>
                <w:highlight w:val="none"/>
                <w:lang w:val="en-US" w:eastAsia="zh-CN"/>
              </w:rPr>
              <w:t>及弱电</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值班</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班组</w:t>
            </w:r>
          </w:p>
        </w:tc>
        <w:tc>
          <w:tcPr>
            <w:tcW w:w="2176" w:type="dxa"/>
            <w:tcBorders>
              <w:tl2br w:val="nil"/>
              <w:tr2bl w:val="nil"/>
            </w:tcBorders>
            <w:noWrap w:val="0"/>
            <w:vAlign w:val="center"/>
          </w:tcPr>
          <w:p w14:paraId="1F4A15A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设备维护人员</w:t>
            </w:r>
          </w:p>
        </w:tc>
        <w:tc>
          <w:tcPr>
            <w:tcW w:w="763" w:type="dxa"/>
            <w:tcBorders>
              <w:tl2br w:val="nil"/>
              <w:tr2bl w:val="nil"/>
            </w:tcBorders>
            <w:noWrap w:val="0"/>
            <w:vAlign w:val="center"/>
          </w:tcPr>
          <w:p w14:paraId="1FC902DE">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9</w:t>
            </w:r>
          </w:p>
        </w:tc>
        <w:tc>
          <w:tcPr>
            <w:tcW w:w="3464" w:type="dxa"/>
            <w:tcBorders>
              <w:tl2br w:val="nil"/>
              <w:tr2bl w:val="nil"/>
            </w:tcBorders>
            <w:noWrap w:val="0"/>
            <w:vAlign w:val="center"/>
          </w:tcPr>
          <w:p w14:paraId="27F9917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机电设施维护</w:t>
            </w:r>
            <w:r>
              <w:rPr>
                <w:rFonts w:hint="eastAsia" w:ascii="仿宋" w:hAnsi="仿宋" w:eastAsia="仿宋" w:cs="仿宋"/>
                <w:color w:val="auto"/>
                <w:kern w:val="0"/>
                <w:sz w:val="24"/>
                <w:szCs w:val="24"/>
                <w:highlight w:val="none"/>
                <w:lang w:val="en-US" w:eastAsia="zh-CN"/>
              </w:rPr>
              <w:t>及值班</w:t>
            </w:r>
          </w:p>
        </w:tc>
      </w:tr>
      <w:tr w14:paraId="0C834AE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6E99C2A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top w:val="single" w:color="auto" w:sz="4" w:space="0"/>
              <w:left w:val="single" w:color="auto" w:sz="4" w:space="0"/>
              <w:bottom w:val="single" w:color="auto" w:sz="4" w:space="0"/>
              <w:tl2br w:val="nil"/>
              <w:tr2bl w:val="nil"/>
            </w:tcBorders>
            <w:noWrap/>
            <w:vAlign w:val="center"/>
          </w:tcPr>
          <w:p w14:paraId="2E51F38C">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中控（消防）班组</w:t>
            </w:r>
          </w:p>
        </w:tc>
        <w:tc>
          <w:tcPr>
            <w:tcW w:w="2176" w:type="dxa"/>
            <w:tcBorders>
              <w:top w:val="single" w:color="auto" w:sz="4" w:space="0"/>
              <w:bottom w:val="single" w:color="auto" w:sz="4" w:space="0"/>
              <w:tl2br w:val="nil"/>
              <w:tr2bl w:val="nil"/>
            </w:tcBorders>
            <w:noWrap w:val="0"/>
            <w:vAlign w:val="center"/>
          </w:tcPr>
          <w:p w14:paraId="3A266C04">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值班人员</w:t>
            </w:r>
          </w:p>
        </w:tc>
        <w:tc>
          <w:tcPr>
            <w:tcW w:w="763" w:type="dxa"/>
            <w:tcBorders>
              <w:top w:val="single" w:color="auto" w:sz="4" w:space="0"/>
              <w:bottom w:val="single" w:color="auto" w:sz="4" w:space="0"/>
              <w:tl2br w:val="nil"/>
              <w:tr2bl w:val="nil"/>
            </w:tcBorders>
            <w:noWrap w:val="0"/>
            <w:vAlign w:val="center"/>
          </w:tcPr>
          <w:p w14:paraId="2E3D3B0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12</w:t>
            </w:r>
          </w:p>
        </w:tc>
        <w:tc>
          <w:tcPr>
            <w:tcW w:w="3464" w:type="dxa"/>
            <w:tcBorders>
              <w:top w:val="single" w:color="auto" w:sz="4" w:space="0"/>
              <w:bottom w:val="single" w:color="auto" w:sz="4" w:space="0"/>
              <w:tl2br w:val="nil"/>
              <w:tr2bl w:val="nil"/>
            </w:tcBorders>
            <w:noWrap w:val="0"/>
            <w:vAlign w:val="center"/>
          </w:tcPr>
          <w:p w14:paraId="5800D42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中控（消防）管理及值班</w:t>
            </w:r>
          </w:p>
        </w:tc>
      </w:tr>
      <w:tr w14:paraId="4C9FEE9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37F62EF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top w:val="single" w:color="auto" w:sz="4" w:space="0"/>
              <w:left w:val="single" w:color="auto" w:sz="4" w:space="0"/>
              <w:tl2br w:val="nil"/>
              <w:tr2bl w:val="nil"/>
            </w:tcBorders>
            <w:noWrap/>
            <w:vAlign w:val="center"/>
          </w:tcPr>
          <w:p w14:paraId="70086742">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土建（</w:t>
            </w:r>
            <w:r>
              <w:rPr>
                <w:rFonts w:hint="eastAsia" w:ascii="仿宋" w:hAnsi="仿宋" w:eastAsia="仿宋" w:cs="仿宋"/>
                <w:color w:val="auto"/>
                <w:kern w:val="0"/>
                <w:sz w:val="24"/>
                <w:szCs w:val="24"/>
                <w:highlight w:val="none"/>
                <w:lang w:val="en-US" w:eastAsia="zh-CN"/>
              </w:rPr>
              <w:t>市政</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班组</w:t>
            </w:r>
          </w:p>
        </w:tc>
        <w:tc>
          <w:tcPr>
            <w:tcW w:w="2176" w:type="dxa"/>
            <w:tcBorders>
              <w:top w:val="single" w:color="auto" w:sz="4" w:space="0"/>
              <w:tl2br w:val="nil"/>
              <w:tr2bl w:val="nil"/>
            </w:tcBorders>
            <w:noWrap w:val="0"/>
            <w:vAlign w:val="center"/>
          </w:tcPr>
          <w:p w14:paraId="1E7984D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维修人员</w:t>
            </w:r>
          </w:p>
        </w:tc>
        <w:tc>
          <w:tcPr>
            <w:tcW w:w="763" w:type="dxa"/>
            <w:tcBorders>
              <w:top w:val="single" w:color="auto" w:sz="4" w:space="0"/>
              <w:tl2br w:val="nil"/>
              <w:tr2bl w:val="nil"/>
            </w:tcBorders>
            <w:noWrap w:val="0"/>
            <w:vAlign w:val="center"/>
          </w:tcPr>
          <w:p w14:paraId="0AEE1598">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3464" w:type="dxa"/>
            <w:tcBorders>
              <w:top w:val="single" w:color="auto" w:sz="4" w:space="0"/>
              <w:tl2br w:val="nil"/>
              <w:tr2bl w:val="nil"/>
            </w:tcBorders>
            <w:noWrap w:val="0"/>
            <w:vAlign w:val="center"/>
          </w:tcPr>
          <w:p w14:paraId="63C78F4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土建（</w:t>
            </w:r>
            <w:r>
              <w:rPr>
                <w:rFonts w:hint="eastAsia" w:ascii="仿宋" w:hAnsi="仿宋" w:eastAsia="仿宋" w:cs="仿宋"/>
                <w:color w:val="auto"/>
                <w:kern w:val="0"/>
                <w:sz w:val="24"/>
                <w:szCs w:val="24"/>
                <w:highlight w:val="none"/>
                <w:lang w:val="en-US" w:eastAsia="zh-CN"/>
              </w:rPr>
              <w:t>市政</w:t>
            </w:r>
            <w:r>
              <w:rPr>
                <w:rFonts w:hint="eastAsia" w:ascii="仿宋" w:hAnsi="仿宋" w:eastAsia="仿宋" w:cs="仿宋"/>
                <w:color w:val="auto"/>
                <w:kern w:val="0"/>
                <w:sz w:val="24"/>
                <w:szCs w:val="24"/>
                <w:highlight w:val="none"/>
                <w:lang w:eastAsia="zh-CN"/>
              </w:rPr>
              <w:t>）设施运维服务维修</w:t>
            </w:r>
          </w:p>
        </w:tc>
      </w:tr>
      <w:tr w14:paraId="3E067FA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299CC074">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4453" w:type="dxa"/>
            <w:gridSpan w:val="3"/>
            <w:tcBorders>
              <w:top w:val="single" w:color="auto" w:sz="4" w:space="0"/>
              <w:left w:val="single" w:color="auto" w:sz="4" w:space="0"/>
              <w:tl2br w:val="nil"/>
              <w:tr2bl w:val="nil"/>
            </w:tcBorders>
            <w:noWrap/>
            <w:vAlign w:val="center"/>
          </w:tcPr>
          <w:p w14:paraId="41E3159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②、小计</w:t>
            </w:r>
          </w:p>
        </w:tc>
        <w:tc>
          <w:tcPr>
            <w:tcW w:w="763" w:type="dxa"/>
            <w:tcBorders>
              <w:top w:val="single" w:color="auto" w:sz="4" w:space="0"/>
              <w:tl2br w:val="nil"/>
              <w:tr2bl w:val="nil"/>
            </w:tcBorders>
            <w:noWrap w:val="0"/>
            <w:vAlign w:val="center"/>
          </w:tcPr>
          <w:p w14:paraId="3B34602B">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34</w:t>
            </w:r>
          </w:p>
        </w:tc>
        <w:tc>
          <w:tcPr>
            <w:tcW w:w="3464" w:type="dxa"/>
            <w:tcBorders>
              <w:top w:val="single" w:color="auto" w:sz="4" w:space="0"/>
              <w:tl2br w:val="nil"/>
              <w:tr2bl w:val="nil"/>
            </w:tcBorders>
            <w:noWrap w:val="0"/>
            <w:vAlign w:val="center"/>
          </w:tcPr>
          <w:p w14:paraId="3B89D22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w:t>
            </w:r>
          </w:p>
        </w:tc>
      </w:tr>
      <w:tr w14:paraId="31C0FCC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restart"/>
            <w:tcBorders>
              <w:top w:val="single" w:color="auto" w:sz="4" w:space="0"/>
              <w:right w:val="single" w:color="auto" w:sz="4" w:space="0"/>
              <w:tl2br w:val="nil"/>
              <w:tr2bl w:val="nil"/>
            </w:tcBorders>
            <w:noWrap/>
            <w:vAlign w:val="center"/>
          </w:tcPr>
          <w:p w14:paraId="4AD5B7A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b w:val="0"/>
                <w:bCs w:val="0"/>
                <w:color w:val="auto"/>
                <w:sz w:val="24"/>
                <w:szCs w:val="24"/>
                <w:highlight w:val="none"/>
                <w:lang w:val="en-US" w:eastAsia="zh-CN"/>
              </w:rPr>
            </w:pPr>
          </w:p>
          <w:p w14:paraId="4A15E033">
            <w:pPr>
              <w:keepNext w:val="0"/>
              <w:keepLines w:val="0"/>
              <w:pageBreakBefore w:val="0"/>
              <w:kinsoku/>
              <w:wordWrap/>
              <w:overflowPunct/>
              <w:topLinePunct w:val="0"/>
              <w:autoSpaceDE/>
              <w:autoSpaceDN/>
              <w:bidi w:val="0"/>
              <w:adjustRightInd/>
              <w:snapToGrid/>
              <w:spacing w:beforeLines="0" w:line="360" w:lineRule="exact"/>
              <w:jc w:val="both"/>
              <w:textAlignment w:val="auto"/>
              <w:rPr>
                <w:rFonts w:hint="eastAsia" w:ascii="仿宋" w:hAnsi="仿宋" w:eastAsia="仿宋" w:cs="仿宋"/>
                <w:b w:val="0"/>
                <w:bCs w:val="0"/>
                <w:color w:val="auto"/>
                <w:sz w:val="24"/>
                <w:szCs w:val="24"/>
                <w:highlight w:val="none"/>
                <w:lang w:val="en-US" w:eastAsia="zh-CN"/>
              </w:rPr>
            </w:pPr>
          </w:p>
          <w:p w14:paraId="4DD15D7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管廊运维</w:t>
            </w:r>
          </w:p>
          <w:p w14:paraId="1AB4DE6D">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b w:val="0"/>
                <w:bCs w:val="0"/>
                <w:color w:val="auto"/>
                <w:sz w:val="24"/>
                <w:szCs w:val="24"/>
                <w:highlight w:val="none"/>
                <w:lang w:val="en-US" w:eastAsia="zh-CN"/>
              </w:rPr>
              <w:t>养护团队</w:t>
            </w:r>
          </w:p>
        </w:tc>
        <w:tc>
          <w:tcPr>
            <w:tcW w:w="2277" w:type="dxa"/>
            <w:gridSpan w:val="2"/>
            <w:tcBorders>
              <w:top w:val="single" w:color="auto" w:sz="4" w:space="0"/>
              <w:left w:val="single" w:color="auto" w:sz="4" w:space="0"/>
              <w:tl2br w:val="nil"/>
              <w:tr2bl w:val="nil"/>
            </w:tcBorders>
            <w:noWrap/>
            <w:vAlign w:val="center"/>
          </w:tcPr>
          <w:p w14:paraId="52A5A578">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巡检班组</w:t>
            </w:r>
          </w:p>
        </w:tc>
        <w:tc>
          <w:tcPr>
            <w:tcW w:w="2176" w:type="dxa"/>
            <w:tcBorders>
              <w:top w:val="single" w:color="auto" w:sz="4" w:space="0"/>
              <w:tl2br w:val="nil"/>
              <w:tr2bl w:val="nil"/>
            </w:tcBorders>
            <w:noWrap w:val="0"/>
            <w:vAlign w:val="center"/>
          </w:tcPr>
          <w:p w14:paraId="16369A74">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巡检人员</w:t>
            </w:r>
          </w:p>
        </w:tc>
        <w:tc>
          <w:tcPr>
            <w:tcW w:w="763" w:type="dxa"/>
            <w:tcBorders>
              <w:top w:val="single" w:color="auto" w:sz="4" w:space="0"/>
              <w:tl2br w:val="nil"/>
              <w:tr2bl w:val="nil"/>
            </w:tcBorders>
            <w:noWrap w:val="0"/>
            <w:vAlign w:val="center"/>
          </w:tcPr>
          <w:p w14:paraId="77B60A8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3464" w:type="dxa"/>
            <w:tcBorders>
              <w:top w:val="single" w:color="auto" w:sz="4" w:space="0"/>
              <w:tl2br w:val="nil"/>
              <w:tr2bl w:val="nil"/>
            </w:tcBorders>
            <w:noWrap w:val="0"/>
            <w:vAlign w:val="center"/>
          </w:tcPr>
          <w:p w14:paraId="7B0911CB">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管廊日常巡视检查</w:t>
            </w:r>
          </w:p>
        </w:tc>
      </w:tr>
      <w:tr w14:paraId="2D1C959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76BA9647">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top w:val="single" w:color="auto" w:sz="4" w:space="0"/>
              <w:left w:val="single" w:color="auto" w:sz="4" w:space="0"/>
              <w:tl2br w:val="nil"/>
              <w:tr2bl w:val="nil"/>
            </w:tcBorders>
            <w:noWrap/>
            <w:vAlign w:val="center"/>
          </w:tcPr>
          <w:p w14:paraId="0AD2E88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保洁班组</w:t>
            </w:r>
          </w:p>
        </w:tc>
        <w:tc>
          <w:tcPr>
            <w:tcW w:w="2176" w:type="dxa"/>
            <w:tcBorders>
              <w:top w:val="single" w:color="auto" w:sz="4" w:space="0"/>
              <w:tl2br w:val="nil"/>
              <w:tr2bl w:val="nil"/>
            </w:tcBorders>
            <w:noWrap w:val="0"/>
            <w:vAlign w:val="center"/>
          </w:tcPr>
          <w:p w14:paraId="5FFB3A16">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保洁人员</w:t>
            </w:r>
          </w:p>
        </w:tc>
        <w:tc>
          <w:tcPr>
            <w:tcW w:w="763" w:type="dxa"/>
            <w:tcBorders>
              <w:top w:val="single" w:color="auto" w:sz="4" w:space="0"/>
              <w:tl2br w:val="nil"/>
              <w:tr2bl w:val="nil"/>
            </w:tcBorders>
            <w:noWrap w:val="0"/>
            <w:vAlign w:val="center"/>
          </w:tcPr>
          <w:p w14:paraId="2AD2B4E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3464" w:type="dxa"/>
            <w:tcBorders>
              <w:top w:val="single" w:color="auto" w:sz="4" w:space="0"/>
              <w:tl2br w:val="nil"/>
              <w:tr2bl w:val="nil"/>
            </w:tcBorders>
            <w:noWrap w:val="0"/>
            <w:vAlign w:val="center"/>
          </w:tcPr>
          <w:p w14:paraId="6CF8C7F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管廊内外日常保洁</w:t>
            </w:r>
          </w:p>
        </w:tc>
      </w:tr>
      <w:tr w14:paraId="1C8F95E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4FF4A28D">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top w:val="single" w:color="auto" w:sz="4" w:space="0"/>
              <w:left w:val="single" w:color="auto" w:sz="4" w:space="0"/>
              <w:tl2br w:val="nil"/>
              <w:tr2bl w:val="nil"/>
            </w:tcBorders>
            <w:noWrap/>
            <w:vAlign w:val="center"/>
          </w:tcPr>
          <w:p w14:paraId="349B5D9C">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值班中控（消防）班组</w:t>
            </w:r>
          </w:p>
        </w:tc>
        <w:tc>
          <w:tcPr>
            <w:tcW w:w="2176" w:type="dxa"/>
            <w:tcBorders>
              <w:top w:val="single" w:color="auto" w:sz="4" w:space="0"/>
              <w:tl2br w:val="nil"/>
              <w:tr2bl w:val="nil"/>
            </w:tcBorders>
            <w:noWrap w:val="0"/>
            <w:vAlign w:val="center"/>
          </w:tcPr>
          <w:p w14:paraId="7E58202E">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监控值班人员</w:t>
            </w:r>
          </w:p>
        </w:tc>
        <w:tc>
          <w:tcPr>
            <w:tcW w:w="763" w:type="dxa"/>
            <w:tcBorders>
              <w:top w:val="single" w:color="auto" w:sz="4" w:space="0"/>
              <w:tl2br w:val="nil"/>
              <w:tr2bl w:val="nil"/>
            </w:tcBorders>
            <w:noWrap w:val="0"/>
            <w:vAlign w:val="center"/>
          </w:tcPr>
          <w:p w14:paraId="6FA18D25">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3464" w:type="dxa"/>
            <w:tcBorders>
              <w:top w:val="single" w:color="auto" w:sz="4" w:space="0"/>
              <w:tl2br w:val="nil"/>
              <w:tr2bl w:val="nil"/>
            </w:tcBorders>
            <w:noWrap w:val="0"/>
            <w:vAlign w:val="center"/>
          </w:tcPr>
          <w:p w14:paraId="531F902E">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中控（消防）管理及值班</w:t>
            </w:r>
          </w:p>
        </w:tc>
      </w:tr>
      <w:tr w14:paraId="043865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1E10813C">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2277" w:type="dxa"/>
            <w:gridSpan w:val="2"/>
            <w:tcBorders>
              <w:top w:val="single" w:color="auto" w:sz="4" w:space="0"/>
              <w:left w:val="single" w:color="auto" w:sz="4" w:space="0"/>
              <w:tl2br w:val="nil"/>
              <w:tr2bl w:val="nil"/>
            </w:tcBorders>
            <w:noWrap/>
            <w:vAlign w:val="center"/>
          </w:tcPr>
          <w:p w14:paraId="4D277077">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运维服务维修班组</w:t>
            </w:r>
          </w:p>
        </w:tc>
        <w:tc>
          <w:tcPr>
            <w:tcW w:w="2176" w:type="dxa"/>
            <w:tcBorders>
              <w:top w:val="single" w:color="auto" w:sz="4" w:space="0"/>
              <w:tl2br w:val="nil"/>
              <w:tr2bl w:val="nil"/>
            </w:tcBorders>
            <w:noWrap w:val="0"/>
            <w:vAlign w:val="center"/>
          </w:tcPr>
          <w:p w14:paraId="12C96A16">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维修养护人员</w:t>
            </w:r>
          </w:p>
        </w:tc>
        <w:tc>
          <w:tcPr>
            <w:tcW w:w="763" w:type="dxa"/>
            <w:tcBorders>
              <w:top w:val="single" w:color="auto" w:sz="4" w:space="0"/>
              <w:tl2br w:val="nil"/>
              <w:tr2bl w:val="nil"/>
            </w:tcBorders>
            <w:noWrap w:val="0"/>
            <w:vAlign w:val="center"/>
          </w:tcPr>
          <w:p w14:paraId="5211E7F1">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10</w:t>
            </w:r>
          </w:p>
        </w:tc>
        <w:tc>
          <w:tcPr>
            <w:tcW w:w="3464" w:type="dxa"/>
            <w:tcBorders>
              <w:top w:val="single" w:color="auto" w:sz="4" w:space="0"/>
              <w:tl2br w:val="nil"/>
              <w:tr2bl w:val="nil"/>
            </w:tcBorders>
            <w:noWrap w:val="0"/>
            <w:vAlign w:val="center"/>
          </w:tcPr>
          <w:p w14:paraId="44BDB90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管廊本体及附属设施养护及维修</w:t>
            </w:r>
          </w:p>
        </w:tc>
      </w:tr>
      <w:tr w14:paraId="08FCEA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1274" w:type="dxa"/>
            <w:vMerge w:val="continue"/>
            <w:tcBorders>
              <w:right w:val="single" w:color="auto" w:sz="4" w:space="0"/>
              <w:tl2br w:val="nil"/>
              <w:tr2bl w:val="nil"/>
            </w:tcBorders>
            <w:noWrap/>
            <w:vAlign w:val="center"/>
          </w:tcPr>
          <w:p w14:paraId="6ABB8329">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rPr>
            </w:pPr>
          </w:p>
        </w:tc>
        <w:tc>
          <w:tcPr>
            <w:tcW w:w="4453" w:type="dxa"/>
            <w:gridSpan w:val="3"/>
            <w:tcBorders>
              <w:top w:val="single" w:color="auto" w:sz="4" w:space="0"/>
              <w:left w:val="single" w:color="auto" w:sz="4" w:space="0"/>
              <w:tl2br w:val="nil"/>
              <w:tr2bl w:val="nil"/>
            </w:tcBorders>
            <w:noWrap/>
            <w:vAlign w:val="center"/>
          </w:tcPr>
          <w:p w14:paraId="251BDF94">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③、小计</w:t>
            </w:r>
          </w:p>
        </w:tc>
        <w:tc>
          <w:tcPr>
            <w:tcW w:w="763" w:type="dxa"/>
            <w:tcBorders>
              <w:top w:val="single" w:color="auto" w:sz="4" w:space="0"/>
              <w:tl2br w:val="nil"/>
              <w:tr2bl w:val="nil"/>
            </w:tcBorders>
            <w:noWrap w:val="0"/>
            <w:vAlign w:val="center"/>
          </w:tcPr>
          <w:p w14:paraId="69AF0E1A">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32</w:t>
            </w:r>
          </w:p>
        </w:tc>
        <w:tc>
          <w:tcPr>
            <w:tcW w:w="3464" w:type="dxa"/>
            <w:tcBorders>
              <w:top w:val="single" w:color="auto" w:sz="4" w:space="0"/>
              <w:tl2br w:val="nil"/>
              <w:tr2bl w:val="nil"/>
            </w:tcBorders>
            <w:noWrap w:val="0"/>
            <w:vAlign w:val="center"/>
          </w:tcPr>
          <w:p w14:paraId="587C738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w:t>
            </w:r>
          </w:p>
        </w:tc>
      </w:tr>
      <w:tr w14:paraId="65C3EE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17" w:hRule="atLeast"/>
          <w:jc w:val="center"/>
        </w:trPr>
        <w:tc>
          <w:tcPr>
            <w:tcW w:w="5727" w:type="dxa"/>
            <w:gridSpan w:val="4"/>
            <w:tcBorders>
              <w:tl2br w:val="nil"/>
              <w:tr2bl w:val="nil"/>
            </w:tcBorders>
            <w:noWrap w:val="0"/>
            <w:vAlign w:val="center"/>
          </w:tcPr>
          <w:p w14:paraId="10F3185C">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合计（</w:t>
            </w:r>
            <w:r>
              <w:rPr>
                <w:rFonts w:hint="eastAsia" w:ascii="仿宋" w:hAnsi="仿宋" w:eastAsia="仿宋" w:cs="仿宋"/>
                <w:color w:val="auto"/>
                <w:kern w:val="0"/>
                <w:sz w:val="24"/>
                <w:szCs w:val="24"/>
                <w:highlight w:val="none"/>
                <w:lang w:val="en-US" w:eastAsia="zh-CN"/>
              </w:rPr>
              <w:t>①+②+③</w:t>
            </w:r>
            <w:r>
              <w:rPr>
                <w:rFonts w:hint="eastAsia" w:ascii="仿宋" w:hAnsi="仿宋" w:eastAsia="仿宋" w:cs="仿宋"/>
                <w:color w:val="auto"/>
                <w:kern w:val="0"/>
                <w:sz w:val="24"/>
                <w:szCs w:val="24"/>
                <w:highlight w:val="none"/>
                <w:lang w:eastAsia="zh-CN"/>
              </w:rPr>
              <w:t>）</w:t>
            </w:r>
          </w:p>
        </w:tc>
        <w:tc>
          <w:tcPr>
            <w:tcW w:w="763" w:type="dxa"/>
            <w:tcBorders>
              <w:tl2br w:val="nil"/>
              <w:tr2bl w:val="nil"/>
            </w:tcBorders>
            <w:noWrap w:val="0"/>
            <w:vAlign w:val="center"/>
          </w:tcPr>
          <w:p w14:paraId="2570148F">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70</w:t>
            </w:r>
          </w:p>
        </w:tc>
        <w:tc>
          <w:tcPr>
            <w:tcW w:w="3464" w:type="dxa"/>
            <w:tcBorders>
              <w:tl2br w:val="nil"/>
              <w:tr2bl w:val="nil"/>
            </w:tcBorders>
            <w:noWrap w:val="0"/>
            <w:vAlign w:val="top"/>
          </w:tcPr>
          <w:p w14:paraId="1BF84B00">
            <w:pPr>
              <w:keepNext w:val="0"/>
              <w:keepLines w:val="0"/>
              <w:pageBreakBefore w:val="0"/>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w:t>
            </w:r>
          </w:p>
        </w:tc>
      </w:tr>
      <w:bookmarkEnd w:id="53"/>
      <w:bookmarkEnd w:id="54"/>
      <w:bookmarkEnd w:id="55"/>
      <w:bookmarkEnd w:id="56"/>
      <w:bookmarkEnd w:id="57"/>
    </w:tbl>
    <w:p w14:paraId="772A4D9E">
      <w:pP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（1）提供</w:t>
      </w:r>
      <w:r>
        <w:rPr>
          <w:rFonts w:hint="eastAsia" w:ascii="仿宋" w:hAnsi="仿宋" w:eastAsia="仿宋" w:cs="仿宋"/>
          <w:b/>
          <w:bCs/>
          <w:color w:val="auto"/>
          <w:sz w:val="24"/>
          <w:szCs w:val="24"/>
          <w:highlight w:val="none"/>
        </w:rPr>
        <w:t>项目管理层</w:t>
      </w:r>
      <w:r>
        <w:rPr>
          <w:rFonts w:hint="eastAsia" w:ascii="仿宋" w:hAnsi="仿宋" w:eastAsia="仿宋" w:cs="仿宋"/>
          <w:b/>
          <w:bCs/>
          <w:color w:val="auto"/>
          <w:sz w:val="24"/>
          <w:szCs w:val="24"/>
          <w:highlight w:val="none"/>
          <w:lang w:val="en-US" w:eastAsia="zh-CN"/>
        </w:rPr>
        <w:t>人员（项目负责人、</w:t>
      </w:r>
      <w:r>
        <w:rPr>
          <w:rFonts w:hint="eastAsia" w:ascii="仿宋" w:hAnsi="仿宋" w:eastAsia="仿宋" w:cs="仿宋"/>
          <w:b/>
          <w:bCs/>
          <w:color w:val="auto"/>
          <w:kern w:val="0"/>
          <w:sz w:val="24"/>
          <w:szCs w:val="24"/>
          <w:highlight w:val="none"/>
          <w:lang w:eastAsia="zh-CN"/>
        </w:rPr>
        <w:t>技术负责人、安全负责人</w:t>
      </w:r>
      <w:r>
        <w:rPr>
          <w:rFonts w:hint="eastAsia" w:ascii="仿宋" w:hAnsi="仿宋" w:eastAsia="仿宋" w:cs="仿宋"/>
          <w:b/>
          <w:bCs/>
          <w:color w:val="auto"/>
          <w:sz w:val="24"/>
          <w:szCs w:val="24"/>
          <w:highlight w:val="none"/>
          <w:lang w:val="en-US" w:eastAsia="zh-CN"/>
        </w:rPr>
        <w:t>）的</w:t>
      </w:r>
      <w:r>
        <w:rPr>
          <w:rFonts w:hint="eastAsia" w:ascii="仿宋" w:hAnsi="仿宋" w:eastAsia="仿宋" w:cs="仿宋"/>
          <w:b/>
          <w:bCs/>
          <w:color w:val="auto"/>
          <w:sz w:val="24"/>
          <w:szCs w:val="24"/>
          <w:highlight w:val="none"/>
          <w:lang w:val="en-US" w:eastAsia="zh-CN" w:bidi="ar"/>
        </w:rPr>
        <w:t>相关证书以及在该投标单位近六个月（指2024年5月至投标截止时间）</w:t>
      </w:r>
      <w:r>
        <w:rPr>
          <w:rFonts w:hint="eastAsia" w:ascii="仿宋" w:hAnsi="仿宋" w:eastAsia="仿宋" w:cs="仿宋"/>
          <w:b/>
          <w:bCs/>
          <w:color w:val="auto"/>
          <w:sz w:val="24"/>
          <w:szCs w:val="24"/>
          <w:highlight w:val="none"/>
          <w:lang w:eastAsia="zh-CN" w:bidi="ar"/>
        </w:rPr>
        <w:t>中</w:t>
      </w:r>
      <w:r>
        <w:rPr>
          <w:rFonts w:hint="eastAsia" w:ascii="仿宋" w:hAnsi="仿宋" w:eastAsia="仿宋" w:cs="仿宋"/>
          <w:b/>
          <w:bCs/>
          <w:color w:val="auto"/>
          <w:sz w:val="24"/>
          <w:szCs w:val="24"/>
          <w:highlight w:val="none"/>
          <w:lang w:val="en-US" w:eastAsia="zh-CN" w:bidi="ar"/>
        </w:rPr>
        <w:t>任意一月的养老保险缴纳凭证或由社保部门出具的其在该投标单位参保的证明扫材料。上述材料扫描件加盖投标人公章（或电子章）编入商务技术文件</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否则</w:t>
      </w:r>
      <w:r>
        <w:rPr>
          <w:rFonts w:hint="eastAsia" w:ascii="仿宋" w:hAnsi="仿宋" w:eastAsia="仿宋" w:cs="仿宋"/>
          <w:b/>
          <w:bCs/>
          <w:color w:val="auto"/>
          <w:kern w:val="0"/>
          <w:sz w:val="24"/>
          <w:szCs w:val="24"/>
          <w:highlight w:val="none"/>
          <w:lang w:val="en-US" w:eastAsia="zh-CN"/>
        </w:rPr>
        <w:t>作无效标处理</w:t>
      </w:r>
      <w:r>
        <w:rPr>
          <w:rFonts w:hint="eastAsia" w:ascii="仿宋" w:hAnsi="仿宋" w:eastAsia="仿宋" w:cs="仿宋"/>
          <w:b/>
          <w:bCs/>
          <w:color w:val="auto"/>
          <w:kern w:val="0"/>
          <w:sz w:val="24"/>
          <w:szCs w:val="24"/>
          <w:highlight w:val="none"/>
          <w:lang w:eastAsia="zh-CN"/>
        </w:rPr>
        <w:t>。</w:t>
      </w:r>
    </w:p>
    <w:p w14:paraId="00570B84">
      <w:pP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（2）其他人员（隧道运维养护团队、管廊运维养护团队），投标人在投标文件中提供中标后按照项目计划的运维期配齐以上人员的承诺书（格式见 第五章）。</w:t>
      </w:r>
    </w:p>
    <w:p w14:paraId="6CD32E39">
      <w:pPr>
        <w:pStyle w:val="48"/>
        <w:keepNext w:val="0"/>
        <w:keepLines w:val="0"/>
        <w:pageBreakBefore w:val="0"/>
        <w:widowControl w:val="0"/>
        <w:kinsoku/>
        <w:wordWrap/>
        <w:overflowPunct/>
        <w:topLinePunct w:val="0"/>
        <w:autoSpaceDE/>
        <w:autoSpaceDN/>
        <w:bidi w:val="0"/>
        <w:adjustRightInd/>
        <w:snapToGrid w:val="0"/>
        <w:spacing w:before="192" w:beforeLines="50" w:line="380" w:lineRule="exact"/>
        <w:jc w:val="center"/>
        <w:textAlignment w:val="auto"/>
        <w:rPr>
          <w:rFonts w:hint="eastAsia" w:ascii="仿宋" w:hAnsi="仿宋" w:eastAsia="仿宋" w:cs="仿宋"/>
          <w:b/>
          <w:color w:val="auto"/>
          <w:sz w:val="36"/>
          <w:highlight w:val="none"/>
        </w:rPr>
      </w:pPr>
      <w:bookmarkStart w:id="220" w:name="_Toc1203"/>
      <w:bookmarkStart w:id="221" w:name="_Toc492733886"/>
      <w:bookmarkStart w:id="222" w:name="_Toc86217003"/>
      <w:bookmarkStart w:id="223" w:name="_Toc233618986"/>
    </w:p>
    <w:p w14:paraId="05D50156">
      <w:pPr>
        <w:pStyle w:val="48"/>
        <w:keepNext w:val="0"/>
        <w:keepLines w:val="0"/>
        <w:pageBreakBefore w:val="0"/>
        <w:widowControl w:val="0"/>
        <w:kinsoku/>
        <w:wordWrap/>
        <w:overflowPunct/>
        <w:topLinePunct w:val="0"/>
        <w:autoSpaceDE/>
        <w:autoSpaceDN/>
        <w:bidi w:val="0"/>
        <w:adjustRightInd/>
        <w:snapToGrid w:val="0"/>
        <w:spacing w:before="192" w:beforeLines="50" w:line="380" w:lineRule="exact"/>
        <w:jc w:val="center"/>
        <w:textAlignment w:val="auto"/>
        <w:rPr>
          <w:rFonts w:hint="eastAsia" w:ascii="仿宋" w:hAnsi="仿宋" w:eastAsia="仿宋" w:cs="仿宋"/>
          <w:b/>
          <w:color w:val="auto"/>
          <w:sz w:val="36"/>
          <w:highlight w:val="none"/>
        </w:rPr>
      </w:pPr>
    </w:p>
    <w:p w14:paraId="1DD19622">
      <w:pPr>
        <w:pStyle w:val="49"/>
        <w:rPr>
          <w:rFonts w:hint="eastAsia"/>
        </w:rPr>
      </w:pPr>
    </w:p>
    <w:p w14:paraId="55A46112">
      <w:pPr>
        <w:pStyle w:val="49"/>
        <w:rPr>
          <w:rFonts w:hint="eastAsia"/>
          <w:color w:val="auto"/>
          <w:highlight w:val="none"/>
        </w:rPr>
      </w:pPr>
    </w:p>
    <w:p w14:paraId="4908043C">
      <w:pPr>
        <w:pStyle w:val="48"/>
        <w:keepNext w:val="0"/>
        <w:keepLines w:val="0"/>
        <w:pageBreakBefore w:val="0"/>
        <w:widowControl w:val="0"/>
        <w:kinsoku/>
        <w:wordWrap/>
        <w:overflowPunct/>
        <w:topLinePunct w:val="0"/>
        <w:autoSpaceDE/>
        <w:autoSpaceDN/>
        <w:bidi w:val="0"/>
        <w:adjustRightInd/>
        <w:snapToGrid w:val="0"/>
        <w:spacing w:before="192" w:beforeLines="50" w:line="380" w:lineRule="exact"/>
        <w:jc w:val="center"/>
        <w:textAlignment w:val="auto"/>
        <w:rPr>
          <w:rFonts w:hint="eastAsia" w:ascii="仿宋" w:hAnsi="仿宋" w:eastAsia="仿宋" w:cs="仿宋"/>
          <w:b/>
          <w:color w:val="auto"/>
          <w:sz w:val="36"/>
          <w:highlight w:val="none"/>
        </w:rPr>
      </w:pPr>
    </w:p>
    <w:p w14:paraId="1666C715">
      <w:pPr>
        <w:pStyle w:val="48"/>
        <w:keepNext w:val="0"/>
        <w:keepLines w:val="0"/>
        <w:pageBreakBefore w:val="0"/>
        <w:widowControl w:val="0"/>
        <w:kinsoku/>
        <w:wordWrap/>
        <w:overflowPunct/>
        <w:topLinePunct w:val="0"/>
        <w:autoSpaceDE/>
        <w:autoSpaceDN/>
        <w:bidi w:val="0"/>
        <w:adjustRightInd/>
        <w:snapToGrid w:val="0"/>
        <w:spacing w:before="192" w:beforeLines="50" w:line="380" w:lineRule="exact"/>
        <w:jc w:val="center"/>
        <w:textAlignment w:val="auto"/>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36"/>
          <w:highlight w:val="none"/>
        </w:rPr>
        <w:t>第四</w:t>
      </w:r>
      <w:r>
        <w:rPr>
          <w:rFonts w:hint="eastAsia" w:ascii="仿宋" w:hAnsi="仿宋" w:eastAsia="仿宋" w:cs="仿宋"/>
          <w:b/>
          <w:color w:val="auto"/>
          <w:sz w:val="36"/>
          <w:highlight w:val="none"/>
          <w:lang w:eastAsia="zh-CN"/>
        </w:rPr>
        <w:t>章</w:t>
      </w:r>
      <w:r>
        <w:rPr>
          <w:rFonts w:hint="eastAsia" w:ascii="仿宋" w:hAnsi="仿宋" w:eastAsia="仿宋" w:cs="仿宋"/>
          <w:b/>
          <w:color w:val="auto"/>
          <w:sz w:val="36"/>
          <w:highlight w:val="none"/>
        </w:rPr>
        <w:t xml:space="preserve">  </w:t>
      </w:r>
      <w:r>
        <w:rPr>
          <w:rFonts w:hint="eastAsia" w:ascii="仿宋" w:hAnsi="仿宋" w:eastAsia="仿宋" w:cs="仿宋"/>
          <w:b/>
          <w:color w:val="auto"/>
          <w:sz w:val="36"/>
          <w:highlight w:val="none"/>
          <w:lang w:val="en-US" w:eastAsia="zh-CN"/>
        </w:rPr>
        <w:t xml:space="preserve"> </w:t>
      </w:r>
      <w:bookmarkEnd w:id="220"/>
      <w:bookmarkEnd w:id="221"/>
      <w:r>
        <w:rPr>
          <w:rFonts w:hint="eastAsia" w:ascii="仿宋" w:hAnsi="仿宋" w:eastAsia="仿宋" w:cs="仿宋"/>
          <w:b/>
          <w:color w:val="auto"/>
          <w:sz w:val="36"/>
          <w:highlight w:val="none"/>
          <w:lang w:eastAsia="zh-CN"/>
        </w:rPr>
        <w:t>合同主要条款</w:t>
      </w:r>
    </w:p>
    <w:p w14:paraId="186EEBD8">
      <w:pPr>
        <w:pStyle w:val="37"/>
        <w:keepNext w:val="0"/>
        <w:keepLines w:val="0"/>
        <w:pageBreakBefore w:val="0"/>
        <w:widowControl w:val="0"/>
        <w:kinsoku/>
        <w:wordWrap/>
        <w:overflowPunct/>
        <w:topLinePunct w:val="0"/>
        <w:autoSpaceDE/>
        <w:autoSpaceDN/>
        <w:bidi w:val="0"/>
        <w:adjustRightInd/>
        <w:spacing w:before="192" w:beforeLines="50" w:afterLines="50" w:line="460" w:lineRule="exact"/>
        <w:ind w:left="0" w:leftChars="0" w:firstLine="0" w:firstLineChars="0"/>
        <w:jc w:val="center"/>
        <w:textAlignment w:val="auto"/>
        <w:rPr>
          <w:rFonts w:hint="eastAsia" w:ascii="仿宋" w:hAnsi="仿宋" w:eastAsia="仿宋" w:cs="仿宋"/>
          <w:b/>
          <w:color w:val="auto"/>
          <w:sz w:val="28"/>
          <w:szCs w:val="28"/>
          <w:highlight w:val="none"/>
        </w:rPr>
      </w:pPr>
      <w:bookmarkStart w:id="224" w:name="_Toc440380879"/>
      <w:r>
        <w:rPr>
          <w:rFonts w:hint="eastAsia" w:ascii="仿宋" w:hAnsi="仿宋" w:eastAsia="仿宋" w:cs="仿宋"/>
          <w:b/>
          <w:color w:val="auto"/>
          <w:sz w:val="28"/>
          <w:szCs w:val="28"/>
          <w:highlight w:val="none"/>
        </w:rPr>
        <w:t>（具体以双方实际签订的条款为准）</w:t>
      </w:r>
    </w:p>
    <w:bookmarkEnd w:id="224"/>
    <w:p w14:paraId="2EF5CD3B">
      <w:pPr>
        <w:keepNext w:val="0"/>
        <w:keepLines w:val="0"/>
        <w:pageBreakBefore w:val="0"/>
        <w:widowControl w:val="0"/>
        <w:kinsoku/>
        <w:wordWrap/>
        <w:overflowPunct/>
        <w:topLinePunct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甲方：</w:t>
      </w:r>
      <w:r>
        <w:rPr>
          <w:rFonts w:hint="eastAsia" w:ascii="仿宋" w:hAnsi="仿宋" w:eastAsia="仿宋" w:cs="仿宋"/>
          <w:b/>
          <w:bCs/>
          <w:color w:val="auto"/>
          <w:spacing w:val="4"/>
          <w:kern w:val="0"/>
          <w:sz w:val="24"/>
          <w:szCs w:val="24"/>
          <w:highlight w:val="none"/>
          <w:u w:val="single"/>
          <w:lang w:val="en-US" w:eastAsia="zh-CN"/>
        </w:rPr>
        <w:t>衢州智慧新城管理委员会</w:t>
      </w:r>
      <w:r>
        <w:rPr>
          <w:rFonts w:hint="eastAsia" w:ascii="仿宋" w:hAnsi="仿宋" w:eastAsia="仿宋" w:cs="仿宋"/>
          <w:color w:val="auto"/>
          <w:spacing w:val="4"/>
          <w:kern w:val="0"/>
          <w:sz w:val="24"/>
          <w:szCs w:val="24"/>
          <w:highlight w:val="none"/>
        </w:rPr>
        <w:t xml:space="preserve">                        </w:t>
      </w:r>
    </w:p>
    <w:p w14:paraId="0CB77B5A">
      <w:pPr>
        <w:keepNext w:val="0"/>
        <w:keepLines w:val="0"/>
        <w:pageBreakBefore w:val="0"/>
        <w:widowControl w:val="0"/>
        <w:kinsoku/>
        <w:wordWrap/>
        <w:overflowPunct/>
        <w:topLinePunct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乙方：</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rPr>
        <w:t xml:space="preserve">                        </w:t>
      </w:r>
    </w:p>
    <w:p w14:paraId="574355A1">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6" w:firstLineChars="200"/>
        <w:rPr>
          <w:rFonts w:hint="eastAsia" w:ascii="仿宋" w:hAnsi="仿宋" w:eastAsia="仿宋" w:cs="仿宋"/>
          <w:color w:val="auto"/>
          <w:spacing w:val="7"/>
          <w:kern w:val="0"/>
          <w:sz w:val="24"/>
          <w:szCs w:val="24"/>
          <w:highlight w:val="none"/>
        </w:rPr>
      </w:pPr>
      <w:r>
        <w:rPr>
          <w:rFonts w:hint="eastAsia" w:ascii="仿宋" w:hAnsi="仿宋" w:eastAsia="仿宋" w:cs="仿宋"/>
          <w:color w:val="auto"/>
          <w:spacing w:val="4"/>
          <w:kern w:val="0"/>
          <w:sz w:val="24"/>
          <w:szCs w:val="24"/>
          <w:highlight w:val="none"/>
        </w:rPr>
        <w:t>依照《中华人民共和国民法典》《中华人民共和国政府采购法》《政府采购货物和服务招标投标管理办法》及国家的有关法律、行政法规，遵循平等、 自愿、公平和诚实信用的原则，根据</w:t>
      </w:r>
      <w:r>
        <w:rPr>
          <w:rFonts w:hint="eastAsia" w:ascii="仿宋" w:hAnsi="仿宋" w:eastAsia="仿宋" w:cs="仿宋"/>
          <w:color w:val="auto"/>
          <w:spacing w:val="4"/>
          <w:kern w:val="0"/>
          <w:sz w:val="24"/>
          <w:szCs w:val="24"/>
          <w:highlight w:val="none"/>
          <w:u w:val="single"/>
          <w:lang w:eastAsia="zh-CN"/>
        </w:rPr>
        <w:t>2025年度衢州智慧新城地下综合管廊与隧道运维服务项目</w:t>
      </w:r>
      <w:r>
        <w:rPr>
          <w:rFonts w:hint="eastAsia" w:ascii="仿宋" w:hAnsi="仿宋" w:eastAsia="仿宋" w:cs="仿宋"/>
          <w:color w:val="auto"/>
          <w:spacing w:val="4"/>
          <w:kern w:val="0"/>
          <w:sz w:val="24"/>
          <w:szCs w:val="24"/>
          <w:highlight w:val="none"/>
        </w:rPr>
        <w:t>中标结果，双方就本项目所有事项协商一致，订立本合同。</w:t>
      </w:r>
    </w:p>
    <w:p w14:paraId="38BF3210">
      <w:pPr>
        <w:keepNext w:val="0"/>
        <w:keepLines w:val="0"/>
        <w:pageBreakBefore w:val="0"/>
        <w:widowControl w:val="0"/>
        <w:kinsoku/>
        <w:wordWrap/>
        <w:overflowPunct/>
        <w:topLinePunct w:val="0"/>
        <w:bidi w:val="0"/>
        <w:adjustRightInd w:val="0"/>
        <w:snapToGrid w:val="0"/>
        <w:spacing w:line="360" w:lineRule="auto"/>
        <w:ind w:left="0" w:leftChars="0" w:firstLine="498" w:firstLineChars="200"/>
        <w:rPr>
          <w:rFonts w:hint="eastAsia" w:ascii="仿宋" w:hAnsi="仿宋" w:eastAsia="仿宋" w:cs="仿宋"/>
          <w:b w:val="0"/>
          <w:bCs w:val="0"/>
          <w:color w:val="auto"/>
          <w:spacing w:val="7"/>
          <w:kern w:val="0"/>
          <w:sz w:val="24"/>
          <w:szCs w:val="24"/>
          <w:highlight w:val="none"/>
        </w:rPr>
      </w:pPr>
      <w:r>
        <w:rPr>
          <w:rFonts w:hint="eastAsia" w:ascii="仿宋" w:hAnsi="仿宋" w:eastAsia="仿宋" w:cs="仿宋"/>
          <w:b/>
          <w:bCs/>
          <w:color w:val="auto"/>
          <w:spacing w:val="4"/>
          <w:kern w:val="0"/>
          <w:sz w:val="24"/>
          <w:szCs w:val="24"/>
          <w:highlight w:val="none"/>
        </w:rPr>
        <w:t>一、运维范围及内容</w:t>
      </w:r>
    </w:p>
    <w:p w14:paraId="4CA788F2">
      <w:pPr>
        <w:keepNext w:val="0"/>
        <w:keepLines w:val="0"/>
        <w:pageBreakBefore w:val="0"/>
        <w:widowControl w:val="0"/>
        <w:kinsoku/>
        <w:wordWrap/>
        <w:overflowPunct/>
        <w:topLinePunct w:val="0"/>
        <w:bidi w:val="0"/>
        <w:adjustRightInd w:val="0"/>
        <w:snapToGrid w:val="0"/>
        <w:spacing w:line="360" w:lineRule="auto"/>
        <w:ind w:left="0" w:leftChars="0" w:firstLine="508" w:firstLineChars="200"/>
        <w:rPr>
          <w:rFonts w:hint="eastAsia" w:ascii="仿宋" w:hAnsi="仿宋" w:eastAsia="仿宋" w:cs="仿宋"/>
          <w:i w:val="0"/>
          <w:iCs w:val="0"/>
          <w:caps w:val="0"/>
          <w:color w:val="auto"/>
          <w:spacing w:val="7"/>
          <w:kern w:val="0"/>
          <w:sz w:val="24"/>
          <w:szCs w:val="24"/>
          <w:highlight w:val="none"/>
          <w:shd w:val="clear" w:color="auto" w:fill="auto"/>
        </w:rPr>
      </w:pPr>
      <w:r>
        <w:rPr>
          <w:rFonts w:hint="eastAsia" w:ascii="仿宋" w:hAnsi="仿宋" w:eastAsia="仿宋" w:cs="仿宋"/>
          <w:i w:val="0"/>
          <w:iCs w:val="0"/>
          <w:caps w:val="0"/>
          <w:color w:val="auto"/>
          <w:spacing w:val="7"/>
          <w:kern w:val="0"/>
          <w:sz w:val="24"/>
          <w:szCs w:val="24"/>
          <w:highlight w:val="none"/>
          <w:shd w:val="clear" w:color="auto" w:fill="auto"/>
          <w:lang w:val="en-US" w:eastAsia="zh-CN"/>
        </w:rPr>
        <w:t>管廊运维内容：</w:t>
      </w:r>
      <w:r>
        <w:rPr>
          <w:rFonts w:hint="eastAsia" w:ascii="仿宋" w:hAnsi="仿宋" w:eastAsia="仿宋" w:cs="仿宋"/>
          <w:i w:val="0"/>
          <w:iCs w:val="0"/>
          <w:caps w:val="0"/>
          <w:color w:val="auto"/>
          <w:spacing w:val="7"/>
          <w:kern w:val="0"/>
          <w:sz w:val="24"/>
          <w:szCs w:val="24"/>
          <w:highlight w:val="none"/>
          <w:shd w:val="clear" w:color="auto" w:fill="auto"/>
        </w:rPr>
        <w:t>包含结构、排水、消防、通风、供配电、照明、通信、综合监控、控制中心等配套附属设施日常运行管理、安全生产</w:t>
      </w:r>
      <w:r>
        <w:rPr>
          <w:rFonts w:hint="eastAsia" w:ascii="仿宋" w:hAnsi="仿宋" w:eastAsia="仿宋" w:cs="仿宋"/>
          <w:i w:val="0"/>
          <w:iCs w:val="0"/>
          <w:caps w:val="0"/>
          <w:color w:val="auto"/>
          <w:spacing w:val="7"/>
          <w:kern w:val="0"/>
          <w:sz w:val="24"/>
          <w:szCs w:val="24"/>
          <w:highlight w:val="none"/>
          <w:shd w:val="clear" w:color="auto" w:fill="auto"/>
          <w:lang w:eastAsia="zh-CN"/>
        </w:rPr>
        <w:t>监督</w:t>
      </w:r>
      <w:r>
        <w:rPr>
          <w:rFonts w:hint="eastAsia" w:ascii="仿宋" w:hAnsi="仿宋" w:eastAsia="仿宋" w:cs="仿宋"/>
          <w:i w:val="0"/>
          <w:iCs w:val="0"/>
          <w:caps w:val="0"/>
          <w:color w:val="auto"/>
          <w:spacing w:val="7"/>
          <w:kern w:val="0"/>
          <w:sz w:val="24"/>
          <w:szCs w:val="24"/>
          <w:highlight w:val="none"/>
          <w:shd w:val="clear" w:color="auto" w:fill="auto"/>
        </w:rPr>
        <w:t>管理、作业管理与服务、应急联动处置、设施维修、</w:t>
      </w:r>
      <w:r>
        <w:rPr>
          <w:rFonts w:hint="eastAsia" w:ascii="仿宋" w:hAnsi="仿宋" w:eastAsia="仿宋" w:cs="仿宋"/>
          <w:i w:val="0"/>
          <w:iCs w:val="0"/>
          <w:caps w:val="0"/>
          <w:color w:val="auto"/>
          <w:spacing w:val="7"/>
          <w:kern w:val="0"/>
          <w:sz w:val="24"/>
          <w:szCs w:val="24"/>
          <w:highlight w:val="none"/>
          <w:shd w:val="clear" w:color="auto" w:fill="auto"/>
          <w:lang w:val="en-US" w:eastAsia="zh-CN"/>
        </w:rPr>
        <w:t>配合</w:t>
      </w:r>
      <w:r>
        <w:rPr>
          <w:rFonts w:hint="eastAsia" w:ascii="仿宋" w:hAnsi="仿宋" w:eastAsia="仿宋" w:cs="仿宋"/>
          <w:i w:val="0"/>
          <w:iCs w:val="0"/>
          <w:caps w:val="0"/>
          <w:color w:val="auto"/>
          <w:spacing w:val="7"/>
          <w:kern w:val="0"/>
          <w:sz w:val="24"/>
          <w:szCs w:val="24"/>
          <w:highlight w:val="none"/>
          <w:shd w:val="clear" w:color="auto" w:fill="auto"/>
        </w:rPr>
        <w:t>入廊管线管理</w:t>
      </w:r>
      <w:r>
        <w:rPr>
          <w:rFonts w:hint="eastAsia" w:ascii="仿宋" w:hAnsi="仿宋" w:eastAsia="仿宋" w:cs="仿宋"/>
          <w:i w:val="0"/>
          <w:iCs w:val="0"/>
          <w:caps w:val="0"/>
          <w:color w:val="auto"/>
          <w:spacing w:val="7"/>
          <w:kern w:val="0"/>
          <w:sz w:val="24"/>
          <w:szCs w:val="24"/>
          <w:highlight w:val="none"/>
          <w:shd w:val="clear" w:color="auto" w:fill="auto"/>
          <w:lang w:eastAsia="zh-CN"/>
        </w:rPr>
        <w:t>，</w:t>
      </w:r>
      <w:r>
        <w:rPr>
          <w:rFonts w:hint="eastAsia" w:ascii="仿宋" w:hAnsi="仿宋" w:eastAsia="仿宋" w:cs="仿宋"/>
          <w:i w:val="0"/>
          <w:iCs w:val="0"/>
          <w:caps w:val="0"/>
          <w:color w:val="auto"/>
          <w:spacing w:val="7"/>
          <w:kern w:val="0"/>
          <w:sz w:val="24"/>
          <w:szCs w:val="24"/>
          <w:highlight w:val="none"/>
          <w:shd w:val="clear" w:color="auto" w:fill="auto"/>
        </w:rPr>
        <w:t>消防检测与维护、</w:t>
      </w:r>
      <w:r>
        <w:rPr>
          <w:rFonts w:hint="eastAsia" w:ascii="仿宋" w:hAnsi="仿宋" w:eastAsia="仿宋" w:cs="仿宋"/>
          <w:i w:val="0"/>
          <w:iCs w:val="0"/>
          <w:caps w:val="0"/>
          <w:color w:val="auto"/>
          <w:spacing w:val="7"/>
          <w:kern w:val="0"/>
          <w:sz w:val="24"/>
          <w:szCs w:val="24"/>
          <w:highlight w:val="none"/>
          <w:shd w:val="clear" w:color="auto" w:fill="auto"/>
          <w:lang w:val="en-US" w:eastAsia="zh-CN"/>
        </w:rPr>
        <w:t>配合</w:t>
      </w:r>
      <w:r>
        <w:rPr>
          <w:rFonts w:hint="eastAsia" w:ascii="仿宋" w:hAnsi="仿宋" w:eastAsia="仿宋" w:cs="仿宋"/>
          <w:i w:val="0"/>
          <w:iCs w:val="0"/>
          <w:caps w:val="0"/>
          <w:color w:val="auto"/>
          <w:spacing w:val="7"/>
          <w:kern w:val="0"/>
          <w:sz w:val="24"/>
          <w:szCs w:val="24"/>
          <w:highlight w:val="none"/>
          <w:shd w:val="clear" w:color="auto" w:fill="auto"/>
        </w:rPr>
        <w:t>结构定期评定</w:t>
      </w:r>
      <w:r>
        <w:rPr>
          <w:rFonts w:hint="eastAsia" w:ascii="仿宋" w:hAnsi="仿宋" w:eastAsia="仿宋" w:cs="仿宋"/>
          <w:i w:val="0"/>
          <w:iCs w:val="0"/>
          <w:caps w:val="0"/>
          <w:color w:val="auto"/>
          <w:spacing w:val="7"/>
          <w:kern w:val="0"/>
          <w:sz w:val="24"/>
          <w:szCs w:val="24"/>
          <w:highlight w:val="none"/>
          <w:shd w:val="clear" w:color="auto" w:fill="auto"/>
          <w:lang w:eastAsia="zh-CN"/>
        </w:rPr>
        <w:t>，做好</w:t>
      </w:r>
      <w:r>
        <w:rPr>
          <w:rFonts w:hint="eastAsia" w:ascii="仿宋" w:hAnsi="仿宋" w:eastAsia="仿宋" w:cs="仿宋"/>
          <w:i w:val="0"/>
          <w:iCs w:val="0"/>
          <w:caps w:val="0"/>
          <w:color w:val="auto"/>
          <w:spacing w:val="7"/>
          <w:kern w:val="0"/>
          <w:sz w:val="24"/>
          <w:szCs w:val="24"/>
          <w:highlight w:val="none"/>
          <w:shd w:val="clear" w:color="auto" w:fill="auto"/>
        </w:rPr>
        <w:t>设施设备保洁等工作。</w:t>
      </w:r>
    </w:p>
    <w:p w14:paraId="76AAACC9">
      <w:pPr>
        <w:keepNext w:val="0"/>
        <w:keepLines w:val="0"/>
        <w:pageBreakBefore w:val="0"/>
        <w:widowControl w:val="0"/>
        <w:kinsoku/>
        <w:wordWrap/>
        <w:overflowPunct/>
        <w:topLinePunct w:val="0"/>
        <w:bidi w:val="0"/>
        <w:adjustRightInd w:val="0"/>
        <w:snapToGrid w:val="0"/>
        <w:spacing w:line="360" w:lineRule="auto"/>
        <w:ind w:left="0" w:leftChars="0" w:firstLine="508" w:firstLineChars="200"/>
        <w:rPr>
          <w:rFonts w:hint="eastAsia" w:ascii="仿宋" w:hAnsi="仿宋" w:eastAsia="仿宋" w:cs="仿宋"/>
          <w:i w:val="0"/>
          <w:iCs w:val="0"/>
          <w:caps w:val="0"/>
          <w:color w:val="auto"/>
          <w:spacing w:val="7"/>
          <w:kern w:val="0"/>
          <w:sz w:val="24"/>
          <w:szCs w:val="24"/>
          <w:highlight w:val="none"/>
          <w:shd w:val="clear" w:color="auto" w:fill="auto"/>
          <w:lang w:val="en-US" w:eastAsia="zh-CN"/>
        </w:rPr>
      </w:pPr>
      <w:r>
        <w:rPr>
          <w:rFonts w:hint="eastAsia" w:ascii="仿宋" w:hAnsi="仿宋" w:eastAsia="仿宋" w:cs="仿宋"/>
          <w:i w:val="0"/>
          <w:iCs w:val="0"/>
          <w:caps w:val="0"/>
          <w:color w:val="auto"/>
          <w:spacing w:val="7"/>
          <w:kern w:val="0"/>
          <w:sz w:val="24"/>
          <w:szCs w:val="24"/>
          <w:highlight w:val="none"/>
          <w:shd w:val="clear" w:color="auto" w:fill="auto"/>
        </w:rPr>
        <w:t>隧道运维内容</w:t>
      </w:r>
      <w:r>
        <w:rPr>
          <w:rFonts w:hint="eastAsia" w:ascii="仿宋" w:hAnsi="仿宋" w:eastAsia="仿宋" w:cs="仿宋"/>
          <w:i w:val="0"/>
          <w:iCs w:val="0"/>
          <w:caps w:val="0"/>
          <w:color w:val="auto"/>
          <w:spacing w:val="7"/>
          <w:kern w:val="0"/>
          <w:sz w:val="24"/>
          <w:szCs w:val="24"/>
          <w:highlight w:val="none"/>
          <w:shd w:val="clear" w:color="auto" w:fill="auto"/>
          <w:lang w:eastAsia="zh-CN"/>
        </w:rPr>
        <w:t>：</w:t>
      </w:r>
      <w:r>
        <w:rPr>
          <w:rFonts w:hint="eastAsia" w:ascii="仿宋" w:hAnsi="仿宋" w:eastAsia="仿宋" w:cs="仿宋"/>
          <w:i w:val="0"/>
          <w:iCs w:val="0"/>
          <w:caps w:val="0"/>
          <w:color w:val="auto"/>
          <w:spacing w:val="7"/>
          <w:kern w:val="0"/>
          <w:sz w:val="24"/>
          <w:szCs w:val="24"/>
          <w:highlight w:val="none"/>
          <w:shd w:val="clear" w:color="auto" w:fill="auto"/>
        </w:rPr>
        <w:t>包含结构、排水、消防、通风、供配电、照明、通信、标识、监控、控制</w:t>
      </w:r>
      <w:r>
        <w:rPr>
          <w:rFonts w:hint="eastAsia" w:ascii="仿宋" w:hAnsi="仿宋" w:eastAsia="仿宋" w:cs="仿宋"/>
          <w:i w:val="0"/>
          <w:iCs w:val="0"/>
          <w:caps w:val="0"/>
          <w:color w:val="auto"/>
          <w:spacing w:val="7"/>
          <w:kern w:val="0"/>
          <w:sz w:val="24"/>
          <w:szCs w:val="24"/>
          <w:highlight w:val="none"/>
          <w:shd w:val="clear" w:color="auto" w:fill="auto"/>
          <w:lang w:val="en-US" w:eastAsia="zh-CN"/>
        </w:rPr>
        <w:t>中心等配套附属设施日常运行管理、交通管理、隧道保洁、设施养护维修管理、消防检测与维护、配合结构定期评定、自然灾害及突发事件等应急联动处置等工作。</w:t>
      </w:r>
    </w:p>
    <w:p w14:paraId="0F9F28C7">
      <w:pPr>
        <w:keepNext w:val="0"/>
        <w:keepLines w:val="0"/>
        <w:pageBreakBefore w:val="0"/>
        <w:widowControl w:val="0"/>
        <w:kinsoku/>
        <w:wordWrap/>
        <w:overflowPunct/>
        <w:topLinePunct w:val="0"/>
        <w:bidi w:val="0"/>
        <w:adjustRightInd w:val="0"/>
        <w:snapToGrid w:val="0"/>
        <w:spacing w:line="360" w:lineRule="auto"/>
        <w:ind w:left="0" w:leftChars="0" w:firstLine="482" w:firstLineChars="20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二、</w:t>
      </w:r>
      <w:r>
        <w:rPr>
          <w:rFonts w:hint="eastAsia" w:ascii="仿宋" w:hAnsi="仿宋" w:eastAsia="仿宋" w:cs="仿宋"/>
          <w:b/>
          <w:bCs/>
          <w:color w:val="auto"/>
          <w:spacing w:val="4"/>
          <w:kern w:val="0"/>
          <w:sz w:val="24"/>
          <w:szCs w:val="24"/>
          <w:highlight w:val="none"/>
        </w:rPr>
        <w:t>运维</w:t>
      </w:r>
      <w:r>
        <w:rPr>
          <w:rFonts w:hint="eastAsia" w:ascii="仿宋" w:hAnsi="仿宋" w:eastAsia="仿宋" w:cs="仿宋"/>
          <w:b/>
          <w:bCs/>
          <w:color w:val="auto"/>
          <w:spacing w:val="4"/>
          <w:kern w:val="0"/>
          <w:sz w:val="24"/>
          <w:szCs w:val="24"/>
          <w:highlight w:val="none"/>
          <w:lang w:eastAsia="zh-CN"/>
        </w:rPr>
        <w:t>服务</w:t>
      </w:r>
      <w:r>
        <w:rPr>
          <w:rFonts w:hint="eastAsia" w:ascii="仿宋" w:hAnsi="仿宋" w:eastAsia="仿宋" w:cs="仿宋"/>
          <w:b/>
          <w:bCs/>
          <w:color w:val="auto"/>
          <w:spacing w:val="4"/>
          <w:kern w:val="0"/>
          <w:sz w:val="24"/>
          <w:szCs w:val="24"/>
          <w:highlight w:val="none"/>
        </w:rPr>
        <w:t>费用</w:t>
      </w:r>
    </w:p>
    <w:p w14:paraId="4E9234B6">
      <w:pPr>
        <w:keepNext w:val="0"/>
        <w:keepLines w:val="0"/>
        <w:pageBreakBefore w:val="0"/>
        <w:widowControl w:val="0"/>
        <w:kinsoku/>
        <w:wordWrap/>
        <w:overflowPunct/>
        <w:topLinePunct w:val="0"/>
        <w:bidi w:val="0"/>
        <w:adjustRightInd w:val="0"/>
        <w:snapToGrid w:val="0"/>
        <w:spacing w:line="360" w:lineRule="auto"/>
        <w:ind w:left="0" w:leftChars="0" w:firstLine="496" w:firstLineChars="200"/>
        <w:rPr>
          <w:rFonts w:hint="eastAsia" w:ascii="仿宋" w:hAnsi="仿宋" w:eastAsia="仿宋" w:cs="仿宋"/>
          <w:i w:val="0"/>
          <w:iCs w:val="0"/>
          <w:caps w:val="0"/>
          <w:color w:val="auto"/>
          <w:spacing w:val="7"/>
          <w:kern w:val="0"/>
          <w:sz w:val="24"/>
          <w:szCs w:val="24"/>
          <w:highlight w:val="none"/>
          <w:shd w:val="clear" w:color="auto" w:fill="auto"/>
          <w:lang w:val="en-US" w:eastAsia="zh-CN"/>
        </w:rPr>
      </w:pPr>
      <w:r>
        <w:rPr>
          <w:rFonts w:hint="eastAsia" w:ascii="仿宋" w:hAnsi="仿宋" w:eastAsia="仿宋" w:cs="仿宋"/>
          <w:color w:val="auto"/>
          <w:spacing w:val="4"/>
          <w:kern w:val="0"/>
          <w:sz w:val="24"/>
          <w:szCs w:val="24"/>
          <w:highlight w:val="none"/>
        </w:rPr>
        <w:t>根据甲方招标文件及乙方投标书承诺内容，该项目运维期</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b/>
          <w:bCs/>
          <w:color w:val="auto"/>
          <w:spacing w:val="4"/>
          <w:kern w:val="0"/>
          <w:sz w:val="24"/>
          <w:szCs w:val="24"/>
          <w:highlight w:val="none"/>
          <w:u w:val="single"/>
          <w:lang w:val="en-US" w:eastAsia="zh-CN"/>
        </w:rPr>
        <w:t>一</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rPr>
        <w:t>年</w:t>
      </w:r>
      <w:r>
        <w:rPr>
          <w:rFonts w:hint="eastAsia" w:ascii="仿宋" w:hAnsi="仿宋" w:eastAsia="仿宋" w:cs="仿宋"/>
          <w:color w:val="auto"/>
          <w:spacing w:val="4"/>
          <w:kern w:val="0"/>
          <w:sz w:val="24"/>
          <w:szCs w:val="24"/>
          <w:highlight w:val="none"/>
          <w:lang w:val="en-US" w:eastAsia="zh-CN"/>
        </w:rPr>
        <w:t>，</w:t>
      </w:r>
      <w:r>
        <w:rPr>
          <w:rFonts w:hint="eastAsia" w:ascii="仿宋" w:hAnsi="仿宋" w:eastAsia="仿宋" w:cs="仿宋"/>
          <w:color w:val="auto"/>
          <w:spacing w:val="4"/>
          <w:kern w:val="0"/>
          <w:sz w:val="24"/>
          <w:szCs w:val="24"/>
          <w:highlight w:val="none"/>
        </w:rPr>
        <w:t>运维</w:t>
      </w:r>
      <w:r>
        <w:rPr>
          <w:rFonts w:hint="eastAsia" w:ascii="仿宋" w:hAnsi="仿宋" w:eastAsia="仿宋" w:cs="仿宋"/>
          <w:color w:val="auto"/>
          <w:spacing w:val="4"/>
          <w:kern w:val="0"/>
          <w:sz w:val="24"/>
          <w:szCs w:val="24"/>
          <w:highlight w:val="none"/>
          <w:lang w:eastAsia="zh-CN"/>
        </w:rPr>
        <w:t>服务</w:t>
      </w:r>
      <w:r>
        <w:rPr>
          <w:rFonts w:hint="eastAsia" w:ascii="仿宋" w:hAnsi="仿宋" w:eastAsia="仿宋" w:cs="仿宋"/>
          <w:color w:val="auto"/>
          <w:spacing w:val="4"/>
          <w:kern w:val="0"/>
          <w:sz w:val="24"/>
          <w:szCs w:val="24"/>
          <w:highlight w:val="none"/>
        </w:rPr>
        <w:t>费（即中标</w:t>
      </w:r>
      <w:r>
        <w:rPr>
          <w:rFonts w:hint="eastAsia" w:ascii="仿宋" w:hAnsi="仿宋" w:eastAsia="仿宋" w:cs="仿宋"/>
          <w:color w:val="auto"/>
          <w:spacing w:val="4"/>
          <w:kern w:val="0"/>
          <w:sz w:val="24"/>
          <w:szCs w:val="24"/>
          <w:highlight w:val="none"/>
          <w:lang w:val="en-US" w:eastAsia="zh-CN"/>
        </w:rPr>
        <w:t>价格</w:t>
      </w:r>
      <w:r>
        <w:rPr>
          <w:rFonts w:hint="eastAsia" w:ascii="仿宋" w:hAnsi="仿宋" w:eastAsia="仿宋" w:cs="仿宋"/>
          <w:color w:val="auto"/>
          <w:spacing w:val="4"/>
          <w:kern w:val="0"/>
          <w:sz w:val="24"/>
          <w:szCs w:val="24"/>
          <w:highlight w:val="none"/>
        </w:rPr>
        <w:t>）</w:t>
      </w:r>
      <w:r>
        <w:rPr>
          <w:rFonts w:hint="eastAsia" w:ascii="仿宋" w:hAnsi="仿宋" w:eastAsia="仿宋" w:cs="仿宋"/>
          <w:color w:val="auto"/>
          <w:spacing w:val="4"/>
          <w:kern w:val="0"/>
          <w:sz w:val="24"/>
          <w:szCs w:val="24"/>
          <w:highlight w:val="none"/>
          <w:lang w:eastAsia="zh-CN"/>
        </w:rPr>
        <w:t>：</w:t>
      </w:r>
      <w:r>
        <w:rPr>
          <w:rFonts w:hint="eastAsia" w:ascii="仿宋" w:hAnsi="仿宋" w:eastAsia="仿宋" w:cs="仿宋"/>
          <w:b/>
          <w:bCs/>
          <w:color w:val="auto"/>
          <w:spacing w:val="4"/>
          <w:kern w:val="0"/>
          <w:sz w:val="24"/>
          <w:szCs w:val="24"/>
          <w:highlight w:val="none"/>
          <w:u w:val="single"/>
          <w:lang w:val="en-US" w:eastAsia="zh-CN"/>
        </w:rPr>
        <w:t xml:space="preserve">    元,大写：  元整（其中管廊工程运维服务费   元，隧道工程运维服务费   元，保险费用   元，应急响应费（含应急演练费）   元，具体分项价格详见乙方投标报价文件）</w:t>
      </w:r>
      <w:r>
        <w:rPr>
          <w:rFonts w:hint="eastAsia" w:ascii="仿宋" w:hAnsi="仿宋" w:eastAsia="仿宋" w:cs="仿宋"/>
          <w:i w:val="0"/>
          <w:iCs w:val="0"/>
          <w:caps w:val="0"/>
          <w:color w:val="auto"/>
          <w:spacing w:val="7"/>
          <w:kern w:val="0"/>
          <w:sz w:val="24"/>
          <w:szCs w:val="24"/>
          <w:highlight w:val="none"/>
          <w:shd w:val="clear" w:color="auto" w:fill="auto"/>
          <w:lang w:val="en-US" w:eastAsia="zh-CN"/>
        </w:rPr>
        <w:t>，其中保险须包含财产一切险、公众责任险、机器损坏险等。保险费的方案须经甲方审核同意后方可实施，费用按实结算。否则由乙方自行承担全部费用。</w:t>
      </w:r>
    </w:p>
    <w:p w14:paraId="1DAEE627">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u w:val="none"/>
          <w:lang w:bidi="ar"/>
        </w:rPr>
        <w:t>合同金额包括所有运维服务所需的全部人工费、服装及工具配备、</w:t>
      </w:r>
      <w:r>
        <w:rPr>
          <w:rFonts w:hint="eastAsia" w:ascii="仿宋" w:hAnsi="仿宋" w:eastAsia="仿宋" w:cs="仿宋"/>
          <w:color w:val="auto"/>
          <w:spacing w:val="4"/>
          <w:kern w:val="0"/>
          <w:sz w:val="24"/>
          <w:szCs w:val="24"/>
          <w:highlight w:val="none"/>
          <w:u w:val="none"/>
          <w:lang w:eastAsia="zh-CN" w:bidi="ar"/>
        </w:rPr>
        <w:t>材料费、机械设备使用费、常规设备维修费</w:t>
      </w:r>
      <w:r>
        <w:rPr>
          <w:rFonts w:hint="eastAsia" w:ascii="仿宋" w:hAnsi="仿宋" w:eastAsia="仿宋" w:cs="仿宋"/>
          <w:color w:val="auto"/>
          <w:spacing w:val="4"/>
          <w:kern w:val="0"/>
          <w:sz w:val="24"/>
          <w:szCs w:val="24"/>
          <w:highlight w:val="none"/>
          <w:u w:val="none"/>
          <w:lang w:bidi="ar"/>
        </w:rPr>
        <w:t>、检测与监测费、安全生产费用、保险费用、应急响应及演练、管理经费、</w:t>
      </w:r>
      <w:r>
        <w:rPr>
          <w:rFonts w:hint="eastAsia" w:ascii="仿宋" w:hAnsi="仿宋" w:eastAsia="仿宋" w:cs="仿宋"/>
          <w:color w:val="auto"/>
          <w:spacing w:val="4"/>
          <w:kern w:val="0"/>
          <w:sz w:val="24"/>
          <w:szCs w:val="24"/>
          <w:highlight w:val="none"/>
          <w:u w:val="none"/>
          <w:lang w:eastAsia="zh-CN" w:bidi="ar"/>
        </w:rPr>
        <w:t>无线电频率占用费</w:t>
      </w:r>
      <w:r>
        <w:rPr>
          <w:rFonts w:hint="eastAsia" w:ascii="仿宋" w:hAnsi="仿宋" w:eastAsia="仿宋" w:cs="仿宋"/>
          <w:color w:val="auto"/>
          <w:spacing w:val="4"/>
          <w:kern w:val="0"/>
          <w:sz w:val="24"/>
          <w:szCs w:val="24"/>
          <w:highlight w:val="none"/>
          <w:u w:val="none"/>
          <w:lang w:bidi="ar"/>
        </w:rPr>
        <w:t>、税费、规费、利润等完成本项目的所有费用。在合同服务期间内不得违反国家相关政策规定。</w:t>
      </w:r>
    </w:p>
    <w:p w14:paraId="1F54DF92">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8" w:firstLineChars="200"/>
        <w:rPr>
          <w:rFonts w:hint="eastAsia" w:ascii="仿宋" w:hAnsi="仿宋" w:eastAsia="仿宋" w:cs="仿宋"/>
          <w:color w:val="auto"/>
          <w:spacing w:val="4"/>
          <w:kern w:val="0"/>
          <w:sz w:val="24"/>
          <w:szCs w:val="24"/>
          <w:highlight w:val="none"/>
        </w:rPr>
      </w:pPr>
      <w:r>
        <w:rPr>
          <w:rFonts w:hint="eastAsia" w:ascii="仿宋" w:hAnsi="仿宋" w:eastAsia="仿宋" w:cs="仿宋"/>
          <w:b/>
          <w:bCs/>
          <w:color w:val="auto"/>
          <w:spacing w:val="4"/>
          <w:kern w:val="0"/>
          <w:sz w:val="24"/>
          <w:szCs w:val="24"/>
          <w:highlight w:val="none"/>
        </w:rPr>
        <w:t>三、运维</w:t>
      </w:r>
      <w:r>
        <w:rPr>
          <w:rFonts w:hint="eastAsia" w:ascii="仿宋" w:hAnsi="仿宋" w:eastAsia="仿宋" w:cs="仿宋"/>
          <w:b/>
          <w:bCs/>
          <w:color w:val="auto"/>
          <w:spacing w:val="4"/>
          <w:kern w:val="0"/>
          <w:sz w:val="24"/>
          <w:szCs w:val="24"/>
          <w:highlight w:val="none"/>
          <w:lang w:eastAsia="zh-CN"/>
        </w:rPr>
        <w:t>服务</w:t>
      </w:r>
      <w:r>
        <w:rPr>
          <w:rFonts w:hint="eastAsia" w:ascii="仿宋" w:hAnsi="仿宋" w:eastAsia="仿宋" w:cs="仿宋"/>
          <w:b/>
          <w:bCs/>
          <w:color w:val="auto"/>
          <w:spacing w:val="4"/>
          <w:kern w:val="0"/>
          <w:sz w:val="24"/>
          <w:szCs w:val="24"/>
          <w:highlight w:val="none"/>
        </w:rPr>
        <w:t>期限</w:t>
      </w:r>
    </w:p>
    <w:p w14:paraId="3DD8295A">
      <w:pPr>
        <w:keepNext w:val="0"/>
        <w:keepLines w:val="0"/>
        <w:pageBreakBefore w:val="0"/>
        <w:widowControl w:val="0"/>
        <w:kinsoku/>
        <w:wordWrap/>
        <w:overflowPunct/>
        <w:topLinePunct w:val="0"/>
        <w:bidi w:val="0"/>
        <w:adjustRightInd w:val="0"/>
        <w:snapToGrid w:val="0"/>
        <w:spacing w:line="360" w:lineRule="auto"/>
        <w:ind w:left="0" w:leftChars="0" w:firstLine="496" w:firstLineChars="200"/>
        <w:jc w:val="left"/>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合同期为</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u w:val="single"/>
          <w:lang w:val="en-US" w:eastAsia="zh-CN"/>
        </w:rPr>
        <w:t>一</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rPr>
        <w:t>年，自</w:t>
      </w:r>
      <w:r>
        <w:rPr>
          <w:rFonts w:hint="eastAsia" w:ascii="仿宋" w:hAnsi="仿宋" w:eastAsia="仿宋" w:cs="仿宋"/>
          <w:color w:val="auto"/>
          <w:spacing w:val="4"/>
          <w:kern w:val="0"/>
          <w:sz w:val="24"/>
          <w:szCs w:val="24"/>
          <w:highlight w:val="none"/>
          <w:u w:val="single"/>
          <w:lang w:val="en-US" w:eastAsia="zh-CN"/>
        </w:rPr>
        <w:t>20  年   月  日至20  年  月  日</w:t>
      </w:r>
      <w:r>
        <w:rPr>
          <w:rFonts w:hint="eastAsia" w:ascii="仿宋" w:hAnsi="仿宋" w:eastAsia="仿宋" w:cs="仿宋"/>
          <w:color w:val="auto"/>
          <w:spacing w:val="4"/>
          <w:kern w:val="0"/>
          <w:sz w:val="24"/>
          <w:szCs w:val="24"/>
          <w:highlight w:val="none"/>
        </w:rPr>
        <w:t>止。</w:t>
      </w:r>
      <w:r>
        <w:rPr>
          <w:rFonts w:hint="eastAsia" w:ascii="仿宋" w:hAnsi="仿宋" w:eastAsia="仿宋" w:cs="仿宋"/>
          <w:color w:val="auto"/>
          <w:sz w:val="24"/>
          <w:szCs w:val="24"/>
          <w:highlight w:val="none"/>
        </w:rPr>
        <w:t>本项目各个子项</w:t>
      </w:r>
      <w:r>
        <w:rPr>
          <w:rFonts w:hint="eastAsia" w:ascii="仿宋" w:hAnsi="仿宋" w:eastAsia="仿宋" w:cs="仿宋"/>
          <w:color w:val="auto"/>
          <w:sz w:val="24"/>
          <w:szCs w:val="24"/>
          <w:highlight w:val="none"/>
          <w:lang w:eastAsia="zh-CN"/>
        </w:rPr>
        <w:t>的运维服务开始时间以</w:t>
      </w:r>
      <w:r>
        <w:rPr>
          <w:rFonts w:hint="eastAsia" w:ascii="仿宋" w:hAnsi="仿宋" w:eastAsia="仿宋" w:cs="仿宋"/>
          <w:color w:val="auto"/>
          <w:sz w:val="24"/>
          <w:szCs w:val="24"/>
          <w:highlight w:val="none"/>
          <w:lang w:val="en-US" w:eastAsia="zh-CN"/>
        </w:rPr>
        <w:t>实际移交接收时间</w:t>
      </w:r>
      <w:r>
        <w:rPr>
          <w:rFonts w:hint="eastAsia" w:ascii="仿宋" w:hAnsi="仿宋" w:eastAsia="仿宋" w:cs="仿宋"/>
          <w:color w:val="auto"/>
          <w:sz w:val="24"/>
          <w:szCs w:val="24"/>
          <w:highlight w:val="none"/>
          <w:lang w:eastAsia="zh-CN"/>
        </w:rPr>
        <w:t>为准，</w:t>
      </w:r>
      <w:r>
        <w:rPr>
          <w:rFonts w:hint="eastAsia" w:ascii="仿宋" w:hAnsi="仿宋" w:eastAsia="仿宋" w:cs="仿宋"/>
          <w:color w:val="auto"/>
          <w:spacing w:val="4"/>
          <w:kern w:val="0"/>
          <w:sz w:val="24"/>
          <w:szCs w:val="24"/>
          <w:highlight w:val="none"/>
          <w:lang w:eastAsia="zh-CN"/>
        </w:rPr>
        <w:t>服务截止时间为</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rPr>
        <w:t>年</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rPr>
        <w:t>月</w:t>
      </w:r>
      <w:r>
        <w:rPr>
          <w:rFonts w:hint="eastAsia" w:ascii="仿宋" w:hAnsi="仿宋" w:eastAsia="仿宋" w:cs="仿宋"/>
          <w:color w:val="auto"/>
          <w:spacing w:val="4"/>
          <w:kern w:val="0"/>
          <w:sz w:val="24"/>
          <w:szCs w:val="24"/>
          <w:highlight w:val="none"/>
          <w:u w:val="single"/>
        </w:rPr>
        <w:t xml:space="preserve"> </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u w:val="none"/>
          <w:lang w:eastAsia="zh-CN"/>
        </w:rPr>
        <w:t>日</w:t>
      </w:r>
      <w:r>
        <w:rPr>
          <w:rFonts w:hint="eastAsia" w:ascii="仿宋" w:hAnsi="仿宋" w:eastAsia="仿宋" w:cs="仿宋"/>
          <w:color w:val="auto"/>
          <w:spacing w:val="4"/>
          <w:kern w:val="0"/>
          <w:sz w:val="24"/>
          <w:szCs w:val="24"/>
          <w:highlight w:val="none"/>
          <w:lang w:val="en-US" w:eastAsia="zh-CN"/>
        </w:rPr>
        <w:t>。</w:t>
      </w:r>
      <w:r>
        <w:rPr>
          <w:rFonts w:hint="eastAsia" w:ascii="仿宋" w:hAnsi="仿宋" w:eastAsia="仿宋" w:cs="仿宋"/>
          <w:color w:val="auto"/>
          <w:spacing w:val="4"/>
          <w:kern w:val="0"/>
          <w:sz w:val="24"/>
          <w:szCs w:val="24"/>
          <w:highlight w:val="none"/>
        </w:rPr>
        <w:t>发生重大责任事件甲方有权单方面中止合同，运维期内因乙方未按照本合同约定所造成的任何第三方责任事件均由乙方承担全部责任。</w:t>
      </w:r>
    </w:p>
    <w:p w14:paraId="57ECF279">
      <w:pPr>
        <w:keepNext w:val="0"/>
        <w:keepLines w:val="0"/>
        <w:pageBreakBefore w:val="0"/>
        <w:widowControl w:val="0"/>
        <w:kinsoku/>
        <w:wordWrap/>
        <w:overflowPunct/>
        <w:topLinePunct w:val="0"/>
        <w:bidi w:val="0"/>
        <w:adjustRightInd w:val="0"/>
        <w:snapToGrid w:val="0"/>
        <w:spacing w:line="360" w:lineRule="auto"/>
        <w:ind w:left="0" w:leftChars="0" w:firstLine="496"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pacing w:val="4"/>
          <w:kern w:val="0"/>
          <w:sz w:val="24"/>
          <w:szCs w:val="24"/>
          <w:highlight w:val="none"/>
        </w:rPr>
        <w:t>若合同期结束时，下一轮招投标还未完成，</w:t>
      </w:r>
      <w:r>
        <w:rPr>
          <w:rFonts w:hint="eastAsia" w:ascii="仿宋" w:hAnsi="仿宋" w:eastAsia="仿宋" w:cs="仿宋"/>
          <w:color w:val="auto"/>
          <w:sz w:val="24"/>
          <w:szCs w:val="24"/>
          <w:highlight w:val="none"/>
        </w:rPr>
        <w:t>超出合同期部分的运维费按实际天数及考核结果结算。</w:t>
      </w:r>
    </w:p>
    <w:p w14:paraId="13C225DC">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8" w:firstLineChars="200"/>
        <w:rPr>
          <w:rFonts w:hint="eastAsia" w:ascii="仿宋" w:hAnsi="仿宋" w:eastAsia="仿宋" w:cs="仿宋"/>
          <w:b/>
          <w:bCs/>
          <w:color w:val="auto"/>
          <w:spacing w:val="4"/>
          <w:kern w:val="0"/>
          <w:sz w:val="24"/>
          <w:szCs w:val="24"/>
          <w:highlight w:val="none"/>
        </w:rPr>
      </w:pPr>
      <w:r>
        <w:rPr>
          <w:rFonts w:hint="eastAsia" w:ascii="仿宋" w:hAnsi="仿宋" w:eastAsia="仿宋" w:cs="仿宋"/>
          <w:b/>
          <w:bCs/>
          <w:color w:val="auto"/>
          <w:spacing w:val="4"/>
          <w:kern w:val="0"/>
          <w:sz w:val="24"/>
          <w:szCs w:val="24"/>
          <w:highlight w:val="none"/>
        </w:rPr>
        <w:t>四、付款方式</w:t>
      </w:r>
    </w:p>
    <w:p w14:paraId="3B625942">
      <w:pPr>
        <w:keepNext w:val="0"/>
        <w:keepLines w:val="0"/>
        <w:pageBreakBefore w:val="0"/>
        <w:widowControl w:val="0"/>
        <w:kinsoku/>
        <w:wordWrap/>
        <w:overflowPunct/>
        <w:topLinePunct w:val="0"/>
        <w:bidi w:val="0"/>
        <w:adjustRightInd w:val="0"/>
        <w:snapToGrid w:val="0"/>
        <w:spacing w:line="360" w:lineRule="auto"/>
        <w:ind w:left="0" w:leftChars="0" w:firstLine="496" w:firstLineChars="200"/>
        <w:jc w:val="left"/>
        <w:rPr>
          <w:rFonts w:hint="eastAsia" w:ascii="仿宋" w:hAnsi="仿宋" w:eastAsia="仿宋" w:cs="仿宋"/>
          <w:color w:val="auto"/>
          <w:spacing w:val="4"/>
          <w:kern w:val="0"/>
          <w:sz w:val="24"/>
          <w:szCs w:val="24"/>
          <w:highlight w:val="none"/>
          <w:lang w:val="en-US" w:eastAsia="zh-CN"/>
        </w:rPr>
      </w:pPr>
      <w:r>
        <w:rPr>
          <w:rFonts w:hint="eastAsia" w:ascii="仿宋" w:hAnsi="仿宋" w:eastAsia="仿宋" w:cs="仿宋"/>
          <w:color w:val="auto"/>
          <w:spacing w:val="4"/>
          <w:kern w:val="0"/>
          <w:sz w:val="24"/>
          <w:szCs w:val="24"/>
          <w:highlight w:val="none"/>
          <w:lang w:val="en-US" w:eastAsia="zh-CN"/>
        </w:rPr>
        <w:t>1.合同生效后7个工作日内，乙方提供由银行、保险公司等金融机构出具的合同总价的20%的预付款保函，即</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lang w:val="en-US" w:eastAsia="zh-CN"/>
        </w:rPr>
        <w:t>元 (项目履约完成后甲方退回乙方预付款保函），甲方在收到预付款保函</w:t>
      </w:r>
      <w:r>
        <w:rPr>
          <w:rFonts w:hint="eastAsia" w:ascii="仿宋" w:hAnsi="仿宋" w:eastAsia="仿宋" w:cs="仿宋"/>
          <w:color w:val="auto"/>
          <w:sz w:val="24"/>
          <w:szCs w:val="28"/>
          <w:highlight w:val="none"/>
        </w:rPr>
        <w:t>且</w:t>
      </w:r>
      <w:r>
        <w:rPr>
          <w:rFonts w:hint="eastAsia" w:ascii="仿宋" w:hAnsi="仿宋" w:eastAsia="仿宋" w:cs="仿宋"/>
          <w:color w:val="auto"/>
          <w:sz w:val="24"/>
          <w:szCs w:val="28"/>
          <w:highlight w:val="none"/>
          <w:lang w:eastAsia="zh-CN"/>
        </w:rPr>
        <w:t>具备实施条件</w:t>
      </w:r>
      <w:r>
        <w:rPr>
          <w:rFonts w:hint="eastAsia" w:ascii="仿宋" w:hAnsi="仿宋" w:eastAsia="仿宋" w:cs="仿宋"/>
          <w:color w:val="auto"/>
          <w:spacing w:val="4"/>
          <w:kern w:val="0"/>
          <w:sz w:val="24"/>
          <w:szCs w:val="24"/>
          <w:highlight w:val="none"/>
          <w:lang w:val="en-US" w:eastAsia="zh-CN"/>
        </w:rPr>
        <w:t>后7个工作日内启动支付流程，甲方支付乙方合同总价的20%作为预付款，即</w:t>
      </w:r>
      <w:r>
        <w:rPr>
          <w:rFonts w:hint="eastAsia" w:ascii="仿宋" w:hAnsi="仿宋" w:eastAsia="仿宋" w:cs="仿宋"/>
          <w:color w:val="auto"/>
          <w:spacing w:val="4"/>
          <w:kern w:val="0"/>
          <w:sz w:val="24"/>
          <w:szCs w:val="24"/>
          <w:highlight w:val="none"/>
          <w:u w:val="single"/>
          <w:lang w:val="en-US" w:eastAsia="zh-CN"/>
        </w:rPr>
        <w:t xml:space="preserve">     </w:t>
      </w:r>
      <w:r>
        <w:rPr>
          <w:rFonts w:hint="eastAsia" w:ascii="仿宋" w:hAnsi="仿宋" w:eastAsia="仿宋" w:cs="仿宋"/>
          <w:color w:val="auto"/>
          <w:spacing w:val="4"/>
          <w:kern w:val="0"/>
          <w:sz w:val="24"/>
          <w:szCs w:val="24"/>
          <w:highlight w:val="none"/>
          <w:lang w:val="en-US" w:eastAsia="zh-CN"/>
        </w:rPr>
        <w:t>元（在签订合同时，乙方明确表示无需预付款或者主动要求降低预付款比例的，甲方可不支付该预付款）；</w:t>
      </w:r>
    </w:p>
    <w:p w14:paraId="17172F88">
      <w:pPr>
        <w:keepNext w:val="0"/>
        <w:keepLines w:val="0"/>
        <w:pageBreakBefore w:val="0"/>
        <w:widowControl w:val="0"/>
        <w:kinsoku/>
        <w:wordWrap/>
        <w:overflowPunct/>
        <w:topLinePunct w:val="0"/>
        <w:bidi w:val="0"/>
        <w:adjustRightInd w:val="0"/>
        <w:snapToGrid w:val="0"/>
        <w:spacing w:line="360" w:lineRule="auto"/>
        <w:ind w:left="0" w:leftChars="0" w:firstLine="496" w:firstLineChars="200"/>
        <w:jc w:val="left"/>
        <w:rPr>
          <w:rFonts w:hint="eastAsia" w:ascii="仿宋" w:hAnsi="仿宋" w:eastAsia="仿宋" w:cs="仿宋"/>
          <w:color w:val="auto"/>
          <w:spacing w:val="4"/>
          <w:kern w:val="0"/>
          <w:sz w:val="24"/>
          <w:szCs w:val="24"/>
          <w:highlight w:val="none"/>
          <w:lang w:val="en-US" w:eastAsia="zh-CN"/>
        </w:rPr>
      </w:pPr>
      <w:r>
        <w:rPr>
          <w:rFonts w:hint="eastAsia" w:ascii="仿宋" w:hAnsi="仿宋" w:eastAsia="仿宋" w:cs="仿宋"/>
          <w:color w:val="auto"/>
          <w:spacing w:val="4"/>
          <w:kern w:val="0"/>
          <w:sz w:val="24"/>
          <w:szCs w:val="24"/>
          <w:highlight w:val="none"/>
          <w:lang w:val="en-US" w:eastAsia="zh-CN"/>
        </w:rPr>
        <w:t>2.根据相关考核细则，由甲方组织人员每季度对运维情况进行考核，依据考核结果确定每季度的运维费用，</w:t>
      </w:r>
      <w:r>
        <w:rPr>
          <w:rFonts w:hint="eastAsia" w:ascii="仿宋" w:hAnsi="仿宋" w:eastAsia="仿宋" w:cs="仿宋"/>
          <w:color w:val="auto"/>
          <w:spacing w:val="4"/>
          <w:kern w:val="0"/>
          <w:sz w:val="24"/>
          <w:szCs w:val="24"/>
          <w:highlight w:val="none"/>
        </w:rPr>
        <w:t>运维费支付按季度支付,</w:t>
      </w:r>
      <w:r>
        <w:rPr>
          <w:rFonts w:hint="eastAsia" w:ascii="仿宋" w:hAnsi="仿宋" w:eastAsia="仿宋" w:cs="仿宋"/>
          <w:color w:val="auto"/>
          <w:spacing w:val="4"/>
          <w:kern w:val="0"/>
          <w:sz w:val="24"/>
          <w:szCs w:val="24"/>
          <w:highlight w:val="none"/>
          <w:lang w:val="en-US" w:eastAsia="zh-CN"/>
        </w:rPr>
        <w:t>以实际接收时间开始进行运维费计算。支付时均需参考季度考核得分，且根据考核结果扣除相应金额。相关考核细则详见附件一《隧道设施考核办法》、附件二《衢州智慧新城地下综合管廊运营项目绩效考核管理办法》。</w:t>
      </w:r>
    </w:p>
    <w:p w14:paraId="7FA5EC37">
      <w:pPr>
        <w:keepNext w:val="0"/>
        <w:keepLines w:val="0"/>
        <w:pageBreakBefore w:val="0"/>
        <w:widowControl w:val="0"/>
        <w:kinsoku/>
        <w:wordWrap/>
        <w:overflowPunct/>
        <w:topLinePunct w:val="0"/>
        <w:bidi w:val="0"/>
        <w:adjustRightInd w:val="0"/>
        <w:snapToGrid w:val="0"/>
        <w:spacing w:line="360" w:lineRule="auto"/>
        <w:ind w:left="0" w:leftChars="0" w:firstLine="496" w:firstLineChars="200"/>
        <w:jc w:val="left"/>
        <w:rPr>
          <w:rFonts w:hint="eastAsia" w:ascii="仿宋" w:hAnsi="仿宋" w:eastAsia="仿宋" w:cs="仿宋"/>
          <w:color w:val="auto"/>
          <w:spacing w:val="4"/>
          <w:kern w:val="0"/>
          <w:sz w:val="24"/>
          <w:szCs w:val="24"/>
          <w:highlight w:val="none"/>
          <w:lang w:val="en-US" w:eastAsia="zh-CN"/>
        </w:rPr>
      </w:pPr>
      <w:r>
        <w:rPr>
          <w:rFonts w:hint="eastAsia" w:ascii="仿宋" w:hAnsi="仿宋" w:eastAsia="仿宋" w:cs="仿宋"/>
          <w:color w:val="auto"/>
          <w:spacing w:val="4"/>
          <w:kern w:val="0"/>
          <w:sz w:val="24"/>
          <w:szCs w:val="24"/>
          <w:highlight w:val="none"/>
          <w:lang w:val="en-US" w:eastAsia="zh-CN"/>
        </w:rPr>
        <w:t>3.甲方在收到乙方</w:t>
      </w:r>
      <w:r>
        <w:rPr>
          <w:rFonts w:hint="eastAsia" w:ascii="仿宋" w:hAnsi="仿宋" w:eastAsia="仿宋" w:cs="仿宋"/>
          <w:color w:val="auto"/>
          <w:spacing w:val="4"/>
          <w:kern w:val="0"/>
          <w:sz w:val="24"/>
          <w:szCs w:val="24"/>
          <w:highlight w:val="none"/>
        </w:rPr>
        <w:t>提供的相应金额</w:t>
      </w:r>
      <w:r>
        <w:rPr>
          <w:rFonts w:hint="eastAsia" w:ascii="仿宋" w:hAnsi="仿宋" w:eastAsia="仿宋" w:cs="仿宋"/>
          <w:color w:val="auto"/>
          <w:spacing w:val="4"/>
          <w:kern w:val="0"/>
          <w:sz w:val="24"/>
          <w:szCs w:val="24"/>
          <w:highlight w:val="none"/>
          <w:lang w:val="en-US" w:eastAsia="zh-CN"/>
        </w:rPr>
        <w:t>发票后支付经确认后的季度运维费用的100%（含预付款）。</w:t>
      </w:r>
    </w:p>
    <w:p w14:paraId="5B6B3A67">
      <w:pPr>
        <w:keepNext w:val="0"/>
        <w:keepLines w:val="0"/>
        <w:pageBreakBefore w:val="0"/>
        <w:widowControl w:val="0"/>
        <w:kinsoku/>
        <w:wordWrap/>
        <w:overflowPunct/>
        <w:topLinePunct w:val="0"/>
        <w:bidi w:val="0"/>
        <w:adjustRightInd w:val="0"/>
        <w:snapToGrid w:val="0"/>
        <w:spacing w:line="360" w:lineRule="auto"/>
        <w:ind w:left="0" w:leftChars="0"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五、标准</w:t>
      </w:r>
    </w:p>
    <w:p w14:paraId="22083615">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完成全部运维任务，提交符合要求的存档资料后，由甲方组织</w:t>
      </w:r>
      <w:r>
        <w:rPr>
          <w:rFonts w:hint="eastAsia" w:ascii="仿宋" w:hAnsi="仿宋" w:eastAsia="仿宋" w:cs="仿宋"/>
          <w:color w:val="auto"/>
          <w:sz w:val="24"/>
          <w:szCs w:val="24"/>
          <w:highlight w:val="none"/>
          <w:lang w:eastAsia="zh-CN"/>
        </w:rPr>
        <w:t>乙方及有</w:t>
      </w:r>
      <w:r>
        <w:rPr>
          <w:rFonts w:hint="eastAsia" w:ascii="仿宋" w:hAnsi="仿宋" w:eastAsia="仿宋" w:cs="仿宋"/>
          <w:color w:val="auto"/>
          <w:sz w:val="24"/>
          <w:szCs w:val="24"/>
          <w:highlight w:val="none"/>
        </w:rPr>
        <w:t>关部门对项目进行</w:t>
      </w:r>
      <w:r>
        <w:rPr>
          <w:rFonts w:hint="eastAsia" w:ascii="仿宋" w:hAnsi="仿宋" w:eastAsia="仿宋" w:cs="仿宋"/>
          <w:color w:val="auto"/>
          <w:sz w:val="24"/>
          <w:szCs w:val="24"/>
          <w:highlight w:val="none"/>
          <w:lang w:eastAsia="zh-CN"/>
        </w:rPr>
        <w:t>运维服务考核</w:t>
      </w:r>
      <w:r>
        <w:rPr>
          <w:rFonts w:hint="eastAsia" w:ascii="仿宋" w:hAnsi="仿宋" w:eastAsia="仿宋" w:cs="仿宋"/>
          <w:color w:val="auto"/>
          <w:sz w:val="24"/>
          <w:szCs w:val="24"/>
          <w:highlight w:val="none"/>
        </w:rPr>
        <w:t>。</w:t>
      </w:r>
    </w:p>
    <w:p w14:paraId="0B2DCFB7">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运维服务考核</w:t>
      </w:r>
      <w:r>
        <w:rPr>
          <w:rFonts w:hint="eastAsia" w:ascii="仿宋" w:hAnsi="仿宋" w:eastAsia="仿宋" w:cs="仿宋"/>
          <w:color w:val="auto"/>
          <w:sz w:val="24"/>
          <w:szCs w:val="24"/>
          <w:highlight w:val="none"/>
          <w:lang w:val="en-US" w:eastAsia="zh-CN"/>
        </w:rPr>
        <w:t>结果</w:t>
      </w:r>
      <w:r>
        <w:rPr>
          <w:rFonts w:hint="eastAsia" w:ascii="仿宋" w:hAnsi="仿宋" w:eastAsia="仿宋" w:cs="仿宋"/>
          <w:color w:val="auto"/>
          <w:sz w:val="24"/>
          <w:szCs w:val="24"/>
          <w:highlight w:val="none"/>
        </w:rPr>
        <w:t>由甲方于</w:t>
      </w:r>
      <w:r>
        <w:rPr>
          <w:rFonts w:hint="eastAsia" w:ascii="仿宋" w:hAnsi="仿宋" w:eastAsia="仿宋" w:cs="仿宋"/>
          <w:color w:val="auto"/>
          <w:sz w:val="24"/>
          <w:szCs w:val="24"/>
          <w:highlight w:val="none"/>
          <w:lang w:eastAsia="zh-CN"/>
        </w:rPr>
        <w:t>考核</w:t>
      </w:r>
      <w:r>
        <w:rPr>
          <w:rFonts w:hint="eastAsia" w:ascii="仿宋" w:hAnsi="仿宋" w:eastAsia="仿宋" w:cs="仿宋"/>
          <w:color w:val="auto"/>
          <w:sz w:val="24"/>
          <w:szCs w:val="24"/>
          <w:highlight w:val="none"/>
        </w:rPr>
        <w:t>结束后</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个工作日内</w:t>
      </w:r>
      <w:r>
        <w:rPr>
          <w:rFonts w:hint="eastAsia" w:ascii="仿宋" w:hAnsi="仿宋" w:eastAsia="仿宋" w:cs="仿宋"/>
          <w:color w:val="auto"/>
          <w:sz w:val="24"/>
          <w:szCs w:val="24"/>
          <w:highlight w:val="none"/>
          <w:lang w:eastAsia="zh-CN"/>
        </w:rPr>
        <w:t>出具。</w:t>
      </w:r>
    </w:p>
    <w:p w14:paraId="7E74771B">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考核</w:t>
      </w:r>
      <w:r>
        <w:rPr>
          <w:rFonts w:hint="eastAsia" w:ascii="仿宋" w:hAnsi="仿宋" w:eastAsia="仿宋" w:cs="仿宋"/>
          <w:color w:val="auto"/>
          <w:sz w:val="24"/>
          <w:szCs w:val="24"/>
          <w:highlight w:val="none"/>
        </w:rPr>
        <w:t>标准：达到招标文件要求以及新颁布的相关规程、规范和国家、省、市、区有关强制性标准的规定执行，并确保在国家、省、市各类创建检查中不失责任分。</w:t>
      </w:r>
    </w:p>
    <w:p w14:paraId="7DD80499">
      <w:pPr>
        <w:keepNext w:val="0"/>
        <w:keepLines w:val="0"/>
        <w:pageBreakBefore w:val="0"/>
        <w:widowControl w:val="0"/>
        <w:kinsoku/>
        <w:wordWrap/>
        <w:overflowPunct/>
        <w:topLinePunct w:val="0"/>
        <w:bidi w:val="0"/>
        <w:adjustRightInd w:val="0"/>
        <w:snapToGrid w:val="0"/>
        <w:spacing w:line="360" w:lineRule="auto"/>
        <w:ind w:left="0" w:leftChars="0"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六</w:t>
      </w:r>
      <w:r>
        <w:rPr>
          <w:rFonts w:hint="eastAsia" w:ascii="仿宋" w:hAnsi="仿宋" w:eastAsia="仿宋" w:cs="仿宋"/>
          <w:b/>
          <w:bCs/>
          <w:color w:val="auto"/>
          <w:sz w:val="24"/>
          <w:szCs w:val="24"/>
          <w:highlight w:val="none"/>
        </w:rPr>
        <w:t>、处罚标准</w:t>
      </w:r>
    </w:p>
    <w:p w14:paraId="6C95B407">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1</w:t>
      </w:r>
      <w:r>
        <w:rPr>
          <w:rFonts w:hint="eastAsia" w:ascii="仿宋" w:hAnsi="仿宋" w:eastAsia="仿宋" w:cs="仿宋"/>
          <w:color w:val="auto"/>
          <w:spacing w:val="4"/>
          <w:kern w:val="0"/>
          <w:sz w:val="24"/>
          <w:szCs w:val="24"/>
          <w:highlight w:val="none"/>
          <w:lang w:val="en-US" w:eastAsia="zh-CN"/>
        </w:rPr>
        <w:t>.</w:t>
      </w:r>
      <w:r>
        <w:rPr>
          <w:rFonts w:hint="eastAsia" w:ascii="仿宋" w:hAnsi="仿宋" w:eastAsia="仿宋" w:cs="仿宋"/>
          <w:color w:val="auto"/>
          <w:spacing w:val="4"/>
          <w:kern w:val="0"/>
          <w:sz w:val="24"/>
          <w:szCs w:val="24"/>
          <w:highlight w:val="none"/>
        </w:rPr>
        <w:t>对运维检查中发现的问题要在甲方通知要求的期限内整改完毕。逾期不改的，</w:t>
      </w:r>
    </w:p>
    <w:p w14:paraId="7163B9AC">
      <w:pPr>
        <w:keepNext w:val="0"/>
        <w:keepLines w:val="0"/>
        <w:pageBreakBefore w:val="0"/>
        <w:widowControl w:val="0"/>
        <w:kinsoku/>
        <w:wordWrap/>
        <w:overflowPunct/>
        <w:topLinePunct w:val="0"/>
        <w:autoSpaceDE w:val="0"/>
        <w:autoSpaceDN w:val="0"/>
        <w:bidi w:val="0"/>
        <w:adjustRightInd w:val="0"/>
        <w:snapToGrid w:val="0"/>
        <w:spacing w:line="360" w:lineRule="auto"/>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按相关</w:t>
      </w:r>
      <w:r>
        <w:rPr>
          <w:rFonts w:hint="eastAsia" w:ascii="仿宋" w:hAnsi="仿宋" w:eastAsia="仿宋" w:cs="仿宋"/>
          <w:color w:val="auto"/>
          <w:spacing w:val="4"/>
          <w:kern w:val="0"/>
          <w:sz w:val="24"/>
          <w:szCs w:val="24"/>
          <w:highlight w:val="none"/>
          <w:lang w:eastAsia="zh-CN"/>
        </w:rPr>
        <w:t>考核标准</w:t>
      </w:r>
      <w:r>
        <w:rPr>
          <w:rFonts w:hint="eastAsia" w:ascii="仿宋" w:hAnsi="仿宋" w:eastAsia="仿宋" w:cs="仿宋"/>
          <w:color w:val="auto"/>
          <w:spacing w:val="4"/>
          <w:kern w:val="0"/>
          <w:sz w:val="24"/>
          <w:szCs w:val="24"/>
          <w:highlight w:val="none"/>
        </w:rPr>
        <w:t>对运维</w:t>
      </w:r>
      <w:r>
        <w:rPr>
          <w:rFonts w:hint="eastAsia" w:ascii="仿宋" w:hAnsi="仿宋" w:eastAsia="仿宋" w:cs="仿宋"/>
          <w:color w:val="auto"/>
          <w:spacing w:val="4"/>
          <w:kern w:val="0"/>
          <w:sz w:val="24"/>
          <w:szCs w:val="24"/>
          <w:highlight w:val="none"/>
          <w:lang w:eastAsia="zh-CN"/>
        </w:rPr>
        <w:t>服务</w:t>
      </w:r>
      <w:r>
        <w:rPr>
          <w:rFonts w:hint="eastAsia" w:ascii="仿宋" w:hAnsi="仿宋" w:eastAsia="仿宋" w:cs="仿宋"/>
          <w:color w:val="auto"/>
          <w:spacing w:val="4"/>
          <w:kern w:val="0"/>
          <w:sz w:val="24"/>
          <w:szCs w:val="24"/>
          <w:highlight w:val="none"/>
        </w:rPr>
        <w:t>单位进行处罚。</w:t>
      </w:r>
    </w:p>
    <w:p w14:paraId="57AF712C">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2</w:t>
      </w:r>
      <w:r>
        <w:rPr>
          <w:rFonts w:hint="eastAsia" w:ascii="仿宋" w:hAnsi="仿宋" w:eastAsia="仿宋" w:cs="仿宋"/>
          <w:color w:val="auto"/>
          <w:spacing w:val="4"/>
          <w:kern w:val="0"/>
          <w:sz w:val="24"/>
          <w:szCs w:val="24"/>
          <w:highlight w:val="none"/>
          <w:lang w:val="en-US" w:eastAsia="zh-CN"/>
        </w:rPr>
        <w:t>.</w:t>
      </w:r>
      <w:r>
        <w:rPr>
          <w:rFonts w:hint="eastAsia" w:ascii="仿宋" w:hAnsi="仿宋" w:eastAsia="仿宋" w:cs="仿宋"/>
          <w:color w:val="auto"/>
          <w:spacing w:val="4"/>
          <w:kern w:val="0"/>
          <w:sz w:val="24"/>
          <w:szCs w:val="24"/>
          <w:highlight w:val="none"/>
          <w:lang w:eastAsia="zh-CN"/>
        </w:rPr>
        <w:t>运维服务</w:t>
      </w:r>
      <w:r>
        <w:rPr>
          <w:rFonts w:hint="eastAsia" w:ascii="仿宋" w:hAnsi="仿宋" w:eastAsia="仿宋" w:cs="仿宋"/>
          <w:color w:val="auto"/>
          <w:spacing w:val="4"/>
          <w:kern w:val="0"/>
          <w:sz w:val="24"/>
          <w:szCs w:val="24"/>
          <w:highlight w:val="none"/>
        </w:rPr>
        <w:t>在季度考核中一次不合格的，对</w:t>
      </w:r>
      <w:r>
        <w:rPr>
          <w:rFonts w:hint="eastAsia" w:ascii="仿宋" w:hAnsi="仿宋" w:eastAsia="仿宋" w:cs="仿宋"/>
          <w:color w:val="auto"/>
          <w:spacing w:val="4"/>
          <w:kern w:val="0"/>
          <w:sz w:val="24"/>
          <w:szCs w:val="24"/>
          <w:highlight w:val="none"/>
          <w:lang w:eastAsia="zh-CN"/>
        </w:rPr>
        <w:t>运维服务</w:t>
      </w:r>
      <w:r>
        <w:rPr>
          <w:rFonts w:hint="eastAsia" w:ascii="仿宋" w:hAnsi="仿宋" w:eastAsia="仿宋" w:cs="仿宋"/>
          <w:color w:val="auto"/>
          <w:spacing w:val="4"/>
          <w:kern w:val="0"/>
          <w:sz w:val="24"/>
          <w:szCs w:val="24"/>
          <w:highlight w:val="none"/>
        </w:rPr>
        <w:t>单位给予通报批评，并根据相关</w:t>
      </w:r>
      <w:r>
        <w:rPr>
          <w:rFonts w:hint="eastAsia" w:ascii="仿宋" w:hAnsi="仿宋" w:eastAsia="仿宋" w:cs="仿宋"/>
          <w:color w:val="auto"/>
          <w:spacing w:val="4"/>
          <w:kern w:val="0"/>
          <w:sz w:val="24"/>
          <w:szCs w:val="24"/>
          <w:highlight w:val="none"/>
          <w:lang w:eastAsia="zh-CN"/>
        </w:rPr>
        <w:t>考核标准</w:t>
      </w:r>
      <w:r>
        <w:rPr>
          <w:rFonts w:hint="eastAsia" w:ascii="仿宋" w:hAnsi="仿宋" w:eastAsia="仿宋" w:cs="仿宋"/>
          <w:color w:val="auto"/>
          <w:spacing w:val="4"/>
          <w:kern w:val="0"/>
          <w:sz w:val="24"/>
          <w:szCs w:val="24"/>
          <w:highlight w:val="none"/>
        </w:rPr>
        <w:t>进行处罚。</w:t>
      </w:r>
    </w:p>
    <w:p w14:paraId="3D2F562C">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96" w:firstLineChars="200"/>
        <w:rPr>
          <w:rFonts w:hint="eastAsia" w:ascii="仿宋" w:hAnsi="仿宋" w:eastAsia="仿宋" w:cs="仿宋"/>
          <w:color w:val="auto"/>
          <w:spacing w:val="4"/>
          <w:kern w:val="0"/>
          <w:sz w:val="24"/>
          <w:szCs w:val="24"/>
          <w:highlight w:val="none"/>
        </w:rPr>
      </w:pPr>
      <w:r>
        <w:rPr>
          <w:rFonts w:hint="eastAsia" w:ascii="仿宋" w:hAnsi="仿宋" w:eastAsia="仿宋" w:cs="仿宋"/>
          <w:color w:val="auto"/>
          <w:spacing w:val="4"/>
          <w:kern w:val="0"/>
          <w:sz w:val="24"/>
          <w:szCs w:val="24"/>
          <w:highlight w:val="none"/>
        </w:rPr>
        <w:t>3</w:t>
      </w:r>
      <w:r>
        <w:rPr>
          <w:rFonts w:hint="eastAsia" w:ascii="仿宋" w:hAnsi="仿宋" w:eastAsia="仿宋" w:cs="仿宋"/>
          <w:color w:val="auto"/>
          <w:spacing w:val="4"/>
          <w:kern w:val="0"/>
          <w:sz w:val="24"/>
          <w:szCs w:val="24"/>
          <w:highlight w:val="none"/>
          <w:lang w:val="en-US" w:eastAsia="zh-CN"/>
        </w:rPr>
        <w:t>.</w:t>
      </w:r>
      <w:r>
        <w:rPr>
          <w:rFonts w:hint="eastAsia" w:ascii="仿宋" w:hAnsi="仿宋" w:eastAsia="仿宋" w:cs="仿宋"/>
          <w:color w:val="auto"/>
          <w:spacing w:val="4"/>
          <w:kern w:val="0"/>
          <w:sz w:val="24"/>
          <w:szCs w:val="24"/>
          <w:highlight w:val="none"/>
          <w:lang w:eastAsia="zh-CN"/>
        </w:rPr>
        <w:t>运维服务</w:t>
      </w:r>
      <w:r>
        <w:rPr>
          <w:rFonts w:hint="eastAsia" w:ascii="仿宋" w:hAnsi="仿宋" w:eastAsia="仿宋" w:cs="仿宋"/>
          <w:color w:val="auto"/>
          <w:spacing w:val="4"/>
          <w:kern w:val="0"/>
          <w:sz w:val="24"/>
          <w:szCs w:val="24"/>
          <w:highlight w:val="none"/>
        </w:rPr>
        <w:t>在季度考核中当年度出现两次不合格的，</w:t>
      </w:r>
      <w:r>
        <w:rPr>
          <w:rFonts w:hint="eastAsia" w:ascii="仿宋" w:hAnsi="仿宋" w:eastAsia="仿宋" w:cs="仿宋"/>
          <w:color w:val="auto"/>
          <w:spacing w:val="4"/>
          <w:kern w:val="0"/>
          <w:sz w:val="24"/>
          <w:szCs w:val="24"/>
          <w:highlight w:val="none"/>
          <w:lang w:eastAsia="zh-CN"/>
        </w:rPr>
        <w:t>甲方有权</w:t>
      </w:r>
      <w:r>
        <w:rPr>
          <w:rFonts w:hint="eastAsia" w:ascii="仿宋" w:hAnsi="仿宋" w:eastAsia="仿宋" w:cs="仿宋"/>
          <w:color w:val="auto"/>
          <w:spacing w:val="4"/>
          <w:kern w:val="0"/>
          <w:sz w:val="24"/>
          <w:szCs w:val="24"/>
          <w:highlight w:val="none"/>
        </w:rPr>
        <w:t>终止运维合同、同时没收履约保证金。</w:t>
      </w:r>
    </w:p>
    <w:p w14:paraId="4FE0701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、履约保证金</w:t>
      </w:r>
    </w:p>
    <w:p w14:paraId="053639C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b w:val="0"/>
          <w:bCs/>
          <w:color w:val="auto"/>
          <w:sz w:val="24"/>
          <w:szCs w:val="24"/>
          <w:highlight w:val="none"/>
          <w:u w:val="none"/>
          <w:lang w:val="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color w:val="auto"/>
          <w:sz w:val="24"/>
          <w:szCs w:val="24"/>
          <w:highlight w:val="none"/>
          <w:u w:val="none"/>
          <w:lang w:val="zh-CN"/>
        </w:rPr>
        <w:t>乙方（</w:t>
      </w:r>
      <w:r>
        <w:rPr>
          <w:rFonts w:hint="eastAsia" w:ascii="仿宋" w:hAnsi="仿宋" w:eastAsia="仿宋" w:cs="仿宋"/>
          <w:b w:val="0"/>
          <w:bCs/>
          <w:color w:val="auto"/>
          <w:sz w:val="24"/>
          <w:szCs w:val="24"/>
          <w:highlight w:val="none"/>
          <w:u w:val="none"/>
          <w:lang w:val="en-US" w:eastAsia="zh-CN"/>
        </w:rPr>
        <w:t>中标人</w:t>
      </w:r>
      <w:r>
        <w:rPr>
          <w:rFonts w:hint="eastAsia" w:ascii="仿宋" w:hAnsi="仿宋" w:eastAsia="仿宋" w:cs="仿宋"/>
          <w:b w:val="0"/>
          <w:bCs/>
          <w:color w:val="auto"/>
          <w:sz w:val="24"/>
          <w:szCs w:val="24"/>
          <w:highlight w:val="none"/>
          <w:u w:val="none"/>
          <w:lang w:val="zh-CN"/>
        </w:rPr>
        <w:t>）在合同签订后30个日内</w:t>
      </w:r>
      <w:r>
        <w:rPr>
          <w:rFonts w:hint="eastAsia" w:ascii="仿宋" w:hAnsi="仿宋" w:eastAsia="仿宋" w:cs="仿宋"/>
          <w:b w:val="0"/>
          <w:bCs/>
          <w:color w:val="auto"/>
          <w:sz w:val="24"/>
          <w:szCs w:val="24"/>
          <w:highlight w:val="none"/>
          <w:u w:val="none"/>
          <w:lang w:val="en-US" w:eastAsia="zh-CN"/>
        </w:rPr>
        <w:t>通过电汇、转账、银行或保险公司出具履约保函向甲方交纳中标金额1%的履约保证金</w:t>
      </w:r>
      <w:r>
        <w:rPr>
          <w:rFonts w:hint="eastAsia" w:ascii="仿宋" w:hAnsi="仿宋" w:eastAsia="仿宋" w:cs="仿宋"/>
          <w:b w:val="0"/>
          <w:bCs/>
          <w:color w:val="auto"/>
          <w:sz w:val="24"/>
          <w:szCs w:val="24"/>
          <w:highlight w:val="none"/>
          <w:u w:val="none"/>
          <w:lang w:val="zh-CN"/>
        </w:rPr>
        <w:t>。在</w:t>
      </w:r>
      <w:r>
        <w:rPr>
          <w:rFonts w:hint="eastAsia" w:ascii="仿宋" w:hAnsi="仿宋" w:eastAsia="仿宋" w:cs="仿宋"/>
          <w:b w:val="0"/>
          <w:bCs/>
          <w:color w:val="auto"/>
          <w:sz w:val="24"/>
          <w:szCs w:val="24"/>
          <w:highlight w:val="none"/>
          <w:u w:val="none"/>
          <w:lang w:val="en-US" w:eastAsia="zh-CN"/>
        </w:rPr>
        <w:t>服务</w:t>
      </w:r>
      <w:r>
        <w:rPr>
          <w:rFonts w:hint="eastAsia" w:ascii="仿宋" w:hAnsi="仿宋" w:eastAsia="仿宋" w:cs="仿宋"/>
          <w:b w:val="0"/>
          <w:bCs/>
          <w:color w:val="auto"/>
          <w:sz w:val="24"/>
          <w:szCs w:val="24"/>
          <w:highlight w:val="none"/>
          <w:u w:val="none"/>
          <w:lang w:val="zh-CN"/>
        </w:rPr>
        <w:t>期满考核合格后</w:t>
      </w:r>
      <w:r>
        <w:rPr>
          <w:rFonts w:hint="eastAsia" w:ascii="仿宋" w:hAnsi="仿宋" w:eastAsia="仿宋" w:cs="仿宋"/>
          <w:b w:val="0"/>
          <w:bCs/>
          <w:color w:val="auto"/>
          <w:sz w:val="24"/>
          <w:szCs w:val="24"/>
          <w:highlight w:val="none"/>
          <w:u w:val="none"/>
          <w:lang w:val="en-US" w:eastAsia="zh-CN"/>
        </w:rPr>
        <w:t>30</w:t>
      </w:r>
      <w:r>
        <w:rPr>
          <w:rFonts w:hint="eastAsia" w:ascii="仿宋" w:hAnsi="仿宋" w:eastAsia="仿宋" w:cs="仿宋"/>
          <w:b w:val="0"/>
          <w:bCs/>
          <w:color w:val="auto"/>
          <w:sz w:val="24"/>
          <w:szCs w:val="24"/>
          <w:highlight w:val="none"/>
          <w:u w:val="none"/>
          <w:lang w:val="zh-CN"/>
        </w:rPr>
        <w:t>天内扣除违约金（如有）后无息退还。（</w:t>
      </w:r>
      <w:r>
        <w:rPr>
          <w:rFonts w:hint="eastAsia" w:ascii="仿宋" w:hAnsi="仿宋" w:eastAsia="仿宋" w:cs="仿宋"/>
          <w:b w:val="0"/>
          <w:bCs/>
          <w:color w:val="auto"/>
          <w:sz w:val="24"/>
          <w:szCs w:val="24"/>
          <w:highlight w:val="none"/>
          <w:u w:val="none"/>
          <w:lang w:val="en-US" w:eastAsia="zh-CN"/>
        </w:rPr>
        <w:t>如乙方拒不缴纳，则每超过一天支付1000元/天的违约金给甲方。</w:t>
      </w:r>
      <w:r>
        <w:rPr>
          <w:rFonts w:hint="eastAsia" w:ascii="仿宋" w:hAnsi="仿宋" w:eastAsia="仿宋" w:cs="仿宋"/>
          <w:b w:val="0"/>
          <w:bCs/>
          <w:color w:val="auto"/>
          <w:sz w:val="24"/>
          <w:szCs w:val="24"/>
          <w:highlight w:val="none"/>
          <w:u w:val="none"/>
          <w:lang w:val="zh-CN"/>
        </w:rPr>
        <w:t>）</w:t>
      </w:r>
    </w:p>
    <w:p w14:paraId="2B07268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b w:val="0"/>
          <w:bCs/>
          <w:color w:val="auto"/>
          <w:sz w:val="24"/>
          <w:szCs w:val="24"/>
          <w:highlight w:val="none"/>
          <w:u w:val="none"/>
        </w:rPr>
      </w:pPr>
      <w:r>
        <w:rPr>
          <w:rFonts w:hint="eastAsia" w:ascii="仿宋" w:hAnsi="仿宋" w:eastAsia="仿宋" w:cs="仿宋"/>
          <w:b w:val="0"/>
          <w:bCs/>
          <w:color w:val="auto"/>
          <w:sz w:val="24"/>
          <w:szCs w:val="24"/>
          <w:highlight w:val="none"/>
          <w:u w:val="none"/>
        </w:rPr>
        <w:t>如</w:t>
      </w:r>
      <w:r>
        <w:rPr>
          <w:rFonts w:hint="eastAsia" w:ascii="仿宋" w:hAnsi="仿宋" w:eastAsia="仿宋" w:cs="仿宋"/>
          <w:b w:val="0"/>
          <w:bCs/>
          <w:color w:val="auto"/>
          <w:sz w:val="24"/>
          <w:szCs w:val="24"/>
          <w:highlight w:val="none"/>
          <w:u w:val="none"/>
          <w:lang w:eastAsia="zh-CN"/>
        </w:rPr>
        <w:t>服务</w:t>
      </w:r>
      <w:r>
        <w:rPr>
          <w:rFonts w:hint="eastAsia" w:ascii="仿宋" w:hAnsi="仿宋" w:eastAsia="仿宋" w:cs="仿宋"/>
          <w:b w:val="0"/>
          <w:bCs/>
          <w:color w:val="auto"/>
          <w:sz w:val="24"/>
          <w:szCs w:val="24"/>
          <w:highlight w:val="none"/>
          <w:u w:val="none"/>
        </w:rPr>
        <w:t>期满</w:t>
      </w:r>
      <w:r>
        <w:rPr>
          <w:rFonts w:hint="eastAsia" w:ascii="仿宋" w:hAnsi="仿宋" w:eastAsia="仿宋" w:cs="仿宋"/>
          <w:b w:val="0"/>
          <w:bCs/>
          <w:color w:val="auto"/>
          <w:sz w:val="24"/>
          <w:szCs w:val="24"/>
          <w:highlight w:val="none"/>
          <w:u w:val="none"/>
          <w:lang w:eastAsia="zh-CN"/>
        </w:rPr>
        <w:t>考核</w:t>
      </w:r>
      <w:r>
        <w:rPr>
          <w:rFonts w:hint="eastAsia" w:ascii="仿宋" w:hAnsi="仿宋" w:eastAsia="仿宋" w:cs="仿宋"/>
          <w:b w:val="0"/>
          <w:bCs/>
          <w:color w:val="auto"/>
          <w:sz w:val="24"/>
          <w:szCs w:val="24"/>
          <w:highlight w:val="none"/>
          <w:u w:val="none"/>
        </w:rPr>
        <w:t>不合格，因乙方原因中途或终止合同者，履约保证金不予归还</w:t>
      </w:r>
      <w:r>
        <w:rPr>
          <w:rFonts w:hint="eastAsia" w:ascii="仿宋" w:hAnsi="仿宋" w:eastAsia="仿宋" w:cs="仿宋"/>
          <w:b w:val="0"/>
          <w:bCs/>
          <w:color w:val="auto"/>
          <w:sz w:val="24"/>
          <w:szCs w:val="24"/>
          <w:highlight w:val="none"/>
          <w:u w:val="none"/>
          <w:lang w:eastAsia="zh-CN"/>
        </w:rPr>
        <w:t>。如因乙方管养原因给甲方造成的其他损失，乙方应进行赔偿</w:t>
      </w:r>
      <w:r>
        <w:rPr>
          <w:rFonts w:hint="eastAsia" w:ascii="仿宋" w:hAnsi="仿宋" w:eastAsia="仿宋" w:cs="仿宋"/>
          <w:b w:val="0"/>
          <w:bCs/>
          <w:color w:val="auto"/>
          <w:sz w:val="24"/>
          <w:szCs w:val="24"/>
          <w:highlight w:val="none"/>
          <w:u w:val="none"/>
        </w:rPr>
        <w:t>。</w:t>
      </w:r>
    </w:p>
    <w:p w14:paraId="64AD653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八、</w:t>
      </w:r>
      <w:bookmarkStart w:id="225" w:name="_Toc60683003"/>
      <w:r>
        <w:rPr>
          <w:rFonts w:hint="eastAsia" w:ascii="仿宋" w:hAnsi="仿宋" w:eastAsia="仿宋" w:cs="仿宋"/>
          <w:b/>
          <w:bCs/>
          <w:color w:val="auto"/>
          <w:sz w:val="24"/>
          <w:szCs w:val="24"/>
          <w:highlight w:val="none"/>
        </w:rPr>
        <w:t>双方的权利与义务</w:t>
      </w:r>
    </w:p>
    <w:p w14:paraId="590FEE4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甲方的权利和义务</w:t>
      </w:r>
      <w:bookmarkEnd w:id="225"/>
    </w:p>
    <w:p w14:paraId="062FE7C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1.1甲方的权利</w:t>
      </w:r>
    </w:p>
    <w:p w14:paraId="61F9AEF9">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（1）甲方有权根据适用法律规定与本协议的约定对本协议</w:t>
      </w:r>
      <w:r>
        <w:rPr>
          <w:rFonts w:hint="eastAsia" w:ascii="仿宋" w:hAnsi="仿宋" w:eastAsia="仿宋" w:cs="仿宋"/>
          <w:color w:val="auto"/>
          <w:sz w:val="24"/>
          <w:szCs w:val="24"/>
          <w:highlight w:val="none"/>
          <w:lang w:eastAsia="zh-CN"/>
        </w:rPr>
        <w:t>规定</w:t>
      </w:r>
      <w:r>
        <w:rPr>
          <w:rFonts w:hint="eastAsia" w:ascii="仿宋" w:hAnsi="仿宋" w:eastAsia="仿宋" w:cs="仿宋"/>
          <w:color w:val="auto"/>
          <w:sz w:val="24"/>
          <w:szCs w:val="24"/>
          <w:highlight w:val="none"/>
        </w:rPr>
        <w:t>的委托运维服务进行监管，对运维成本有知情权、审核权；</w:t>
      </w:r>
    </w:p>
    <w:p w14:paraId="3F269C5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（2）甲方对乙方的日常管廊运维监管包括但不限于：</w:t>
      </w:r>
    </w:p>
    <w:p w14:paraId="6D626D05">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1）要求乙方定期或不定期的向其报告运维情况；</w:t>
      </w:r>
    </w:p>
    <w:p w14:paraId="3B31D1DD">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2）在不影响乙方正常生产运维的情况下，开展定期或不定期的检查，检查内容包括但不限于以下事项：</w:t>
      </w:r>
    </w:p>
    <w:p w14:paraId="644BEA08">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（a）项目设施维护是否正常进行；</w:t>
      </w:r>
    </w:p>
    <w:p w14:paraId="0E9341E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（b）入廊管线流程按照政府和甲方审定流程办理</w:t>
      </w:r>
      <w:r>
        <w:rPr>
          <w:rFonts w:hint="eastAsia" w:ascii="仿宋" w:hAnsi="仿宋" w:eastAsia="仿宋" w:cs="仿宋"/>
          <w:color w:val="auto"/>
          <w:sz w:val="24"/>
          <w:szCs w:val="24"/>
          <w:highlight w:val="none"/>
          <w:lang w:val="en-US" w:eastAsia="zh-CN"/>
        </w:rPr>
        <w:t>完成后，是否进行入廊作业管理</w:t>
      </w:r>
      <w:r>
        <w:rPr>
          <w:rFonts w:hint="eastAsia" w:ascii="仿宋" w:hAnsi="仿宋" w:eastAsia="仿宋" w:cs="仿宋"/>
          <w:color w:val="auto"/>
          <w:sz w:val="24"/>
          <w:szCs w:val="24"/>
          <w:highlight w:val="none"/>
        </w:rPr>
        <w:t>；</w:t>
      </w:r>
    </w:p>
    <w:p w14:paraId="6E217F9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（c）安全责任制是否按照规范落实</w:t>
      </w:r>
      <w:r>
        <w:rPr>
          <w:rFonts w:hint="eastAsia" w:ascii="仿宋" w:hAnsi="仿宋" w:eastAsia="仿宋" w:cs="仿宋"/>
          <w:color w:val="auto"/>
          <w:sz w:val="24"/>
          <w:szCs w:val="24"/>
          <w:highlight w:val="none"/>
          <w:lang w:eastAsia="zh-CN"/>
        </w:rPr>
        <w:t>，应急演练是否正常</w:t>
      </w:r>
      <w:r>
        <w:rPr>
          <w:rFonts w:hint="eastAsia" w:ascii="仿宋" w:hAnsi="仿宋" w:eastAsia="仿宋" w:cs="仿宋"/>
          <w:color w:val="auto"/>
          <w:sz w:val="24"/>
          <w:szCs w:val="24"/>
          <w:highlight w:val="none"/>
        </w:rPr>
        <w:t>；</w:t>
      </w:r>
    </w:p>
    <w:p w14:paraId="5CCD327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（d）应急管理系统是否正常建立，应急物资是否正常配置；</w:t>
      </w:r>
    </w:p>
    <w:p w14:paraId="0EB2146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（e）乙方针对其工作人员的安全保障及措施是否到位；</w:t>
      </w:r>
    </w:p>
    <w:p w14:paraId="33A1C010">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f</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乙方的检测、运行、维修记录等。</w:t>
      </w:r>
    </w:p>
    <w:p w14:paraId="41B9887B">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（3）甲方对乙方的日常隧道运维监管包括但不限于：</w:t>
      </w:r>
    </w:p>
    <w:p w14:paraId="6D9199D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1）要求乙方定期或不定期的向其报告运维情况；</w:t>
      </w:r>
    </w:p>
    <w:p w14:paraId="1917EF86">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2）在不影响乙方正常生产运维的情况下，开展定期或不定期的检查，检查内容包括但不限于以下事项：</w:t>
      </w:r>
    </w:p>
    <w:p w14:paraId="0CBA62F2">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（a）项目设施维护是否正常进行；</w:t>
      </w:r>
    </w:p>
    <w:p w14:paraId="6D87B819">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（b）安全责任制是否按照规范落实；</w:t>
      </w:r>
    </w:p>
    <w:p w14:paraId="5D9BDA8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（c）应急管理系统是否正常建立，应急物资是否正常配置；</w:t>
      </w:r>
    </w:p>
    <w:p w14:paraId="7F259FF0">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d</w:t>
      </w:r>
      <w:r>
        <w:rPr>
          <w:rFonts w:hint="eastAsia" w:ascii="仿宋" w:hAnsi="仿宋" w:eastAsia="仿宋" w:cs="仿宋"/>
          <w:color w:val="auto"/>
          <w:sz w:val="24"/>
          <w:szCs w:val="24"/>
          <w:highlight w:val="none"/>
        </w:rPr>
        <w:t>）乙方针对其工作人员的安全保障及措施是否到位；</w:t>
      </w:r>
    </w:p>
    <w:p w14:paraId="04270FF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e</w:t>
      </w:r>
      <w:r>
        <w:rPr>
          <w:rFonts w:hint="eastAsia" w:ascii="仿宋" w:hAnsi="仿宋" w:eastAsia="仿宋" w:cs="仿宋"/>
          <w:color w:val="auto"/>
          <w:sz w:val="24"/>
          <w:szCs w:val="24"/>
          <w:highlight w:val="none"/>
        </w:rPr>
        <w:t>) 乙方的检测、运行、维修记录等。</w:t>
      </w:r>
    </w:p>
    <w:p w14:paraId="61444702">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（4）有权享受国家和地方各级政府在市政及环保等方面的各项优惠政策。</w:t>
      </w:r>
    </w:p>
    <w:p w14:paraId="0D71EF8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1.2甲方的义务</w:t>
      </w:r>
    </w:p>
    <w:p w14:paraId="2B3024E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（1）甲方应当按本协议约定审核乙方提出的付费申请，履行本协议约定的资金支付义务；</w:t>
      </w:r>
    </w:p>
    <w:p w14:paraId="4B4ACB5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（2）对于乙方提出的</w:t>
      </w:r>
      <w:r>
        <w:rPr>
          <w:rFonts w:hint="eastAsia" w:ascii="仿宋" w:hAnsi="仿宋" w:eastAsia="仿宋" w:cs="仿宋"/>
          <w:color w:val="auto"/>
          <w:sz w:val="24"/>
          <w:szCs w:val="24"/>
          <w:highlight w:val="none"/>
          <w:lang w:eastAsia="zh-CN"/>
        </w:rPr>
        <w:t>固定</w:t>
      </w:r>
      <w:r>
        <w:rPr>
          <w:rFonts w:hint="eastAsia" w:ascii="仿宋" w:hAnsi="仿宋" w:eastAsia="仿宋" w:cs="仿宋"/>
          <w:color w:val="auto"/>
          <w:sz w:val="24"/>
          <w:szCs w:val="24"/>
          <w:highlight w:val="none"/>
        </w:rPr>
        <w:t>设施设备</w:t>
      </w:r>
      <w:r>
        <w:rPr>
          <w:rFonts w:hint="eastAsia" w:ascii="仿宋" w:hAnsi="仿宋" w:eastAsia="仿宋" w:cs="仿宋"/>
          <w:color w:val="auto"/>
          <w:sz w:val="24"/>
          <w:szCs w:val="24"/>
          <w:highlight w:val="none"/>
          <w:lang w:eastAsia="zh-CN"/>
        </w:rPr>
        <w:t>定期</w:t>
      </w:r>
      <w:r>
        <w:rPr>
          <w:rFonts w:hint="eastAsia" w:ascii="仿宋" w:hAnsi="仿宋" w:eastAsia="仿宋" w:cs="仿宋"/>
          <w:color w:val="auto"/>
          <w:sz w:val="24"/>
          <w:szCs w:val="24"/>
          <w:highlight w:val="none"/>
        </w:rPr>
        <w:t>维修，包含在委托运维费中，由乙方自行承担，涉及大中修、更新改造及特别或</w:t>
      </w:r>
      <w:r>
        <w:rPr>
          <w:rFonts w:hint="eastAsia" w:ascii="仿宋" w:hAnsi="仿宋" w:eastAsia="仿宋" w:cs="仿宋"/>
          <w:color w:val="auto"/>
          <w:sz w:val="24"/>
          <w:szCs w:val="24"/>
          <w:highlight w:val="none"/>
          <w:lang w:val="en-US" w:eastAsia="zh-CN"/>
        </w:rPr>
        <w:t>主体结构</w:t>
      </w:r>
      <w:r>
        <w:rPr>
          <w:rFonts w:hint="eastAsia" w:ascii="仿宋" w:hAnsi="仿宋" w:eastAsia="仿宋" w:cs="仿宋"/>
          <w:color w:val="auto"/>
          <w:sz w:val="24"/>
          <w:szCs w:val="24"/>
          <w:highlight w:val="none"/>
        </w:rPr>
        <w:t>检测等</w:t>
      </w:r>
      <w:r>
        <w:rPr>
          <w:rFonts w:hint="eastAsia" w:ascii="仿宋" w:hAnsi="仿宋" w:eastAsia="仿宋" w:cs="仿宋"/>
          <w:color w:val="auto"/>
          <w:sz w:val="24"/>
          <w:szCs w:val="24"/>
          <w:highlight w:val="none"/>
          <w:lang w:eastAsia="zh-CN"/>
        </w:rPr>
        <w:t>费用</w:t>
      </w:r>
      <w:r>
        <w:rPr>
          <w:rFonts w:hint="eastAsia" w:ascii="仿宋" w:hAnsi="仿宋" w:eastAsia="仿宋" w:cs="仿宋"/>
          <w:color w:val="auto"/>
          <w:sz w:val="24"/>
          <w:szCs w:val="24"/>
          <w:highlight w:val="none"/>
        </w:rPr>
        <w:t>由甲方进行实施</w:t>
      </w:r>
      <w:r>
        <w:rPr>
          <w:rFonts w:hint="eastAsia" w:ascii="仿宋" w:hAnsi="仿宋" w:eastAsia="仿宋" w:cs="仿宋"/>
          <w:color w:val="auto"/>
          <w:sz w:val="24"/>
          <w:szCs w:val="24"/>
          <w:highlight w:val="none"/>
          <w:lang w:eastAsia="zh-CN"/>
        </w:rPr>
        <w:t>并支付相关费用，</w:t>
      </w:r>
      <w:r>
        <w:rPr>
          <w:rFonts w:hint="eastAsia" w:ascii="仿宋" w:hAnsi="仿宋" w:eastAsia="仿宋" w:cs="仿宋"/>
          <w:color w:val="auto"/>
          <w:sz w:val="24"/>
          <w:szCs w:val="24"/>
          <w:highlight w:val="none"/>
        </w:rPr>
        <w:t>需乙方配合</w:t>
      </w:r>
      <w:r>
        <w:rPr>
          <w:rFonts w:hint="eastAsia" w:ascii="仿宋" w:hAnsi="仿宋" w:eastAsia="仿宋" w:cs="仿宋"/>
          <w:color w:val="auto"/>
          <w:sz w:val="24"/>
          <w:szCs w:val="24"/>
          <w:highlight w:val="none"/>
          <w:lang w:eastAsia="zh-CN"/>
        </w:rPr>
        <w:t>的，乙方不可收取因配合产生的各类费用；</w:t>
      </w:r>
    </w:p>
    <w:p w14:paraId="4464F8D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（3）第三方单位对项目设施造成的损害、费用、损失或责任，应由第三方单位负责，甲方应予以协调解决；</w:t>
      </w:r>
    </w:p>
    <w:p w14:paraId="5640B2A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（4）委托运维期内，如遇适用法律发生重大变化，对本协议的履行造成实质影响，甲方应积极与乙方协商解决方案，并采取合理措施避免双方的损失扩大；</w:t>
      </w:r>
    </w:p>
    <w:p w14:paraId="5BC0759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（5）甲方负责组织完成并由乙方参与本项目的相关</w:t>
      </w:r>
      <w:r>
        <w:rPr>
          <w:rFonts w:hint="eastAsia" w:ascii="仿宋" w:hAnsi="仿宋" w:eastAsia="仿宋" w:cs="仿宋"/>
          <w:color w:val="auto"/>
          <w:sz w:val="24"/>
          <w:szCs w:val="24"/>
          <w:highlight w:val="none"/>
          <w:lang w:eastAsia="zh-CN"/>
        </w:rPr>
        <w:t>运维服务考核</w:t>
      </w:r>
      <w:r>
        <w:rPr>
          <w:rFonts w:hint="eastAsia" w:ascii="仿宋" w:hAnsi="仿宋" w:eastAsia="仿宋" w:cs="仿宋"/>
          <w:color w:val="auto"/>
          <w:sz w:val="24"/>
          <w:szCs w:val="24"/>
          <w:highlight w:val="none"/>
        </w:rPr>
        <w:t>工作；</w:t>
      </w:r>
    </w:p>
    <w:p w14:paraId="7200CAD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）甲方有权提出促进规范管理的要求。</w:t>
      </w:r>
    </w:p>
    <w:p w14:paraId="7887ACA2">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bookmarkStart w:id="226" w:name="_Toc60683004"/>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乙方的权利和义务</w:t>
      </w:r>
      <w:bookmarkEnd w:id="226"/>
    </w:p>
    <w:p w14:paraId="5F59DD12">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2.1乙方的权利</w:t>
      </w:r>
    </w:p>
    <w:p w14:paraId="17353C2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（1）在委托运维期内按照本协议的相关规定获得本项目相应的运维费用；</w:t>
      </w:r>
    </w:p>
    <w:p w14:paraId="26BADDC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（2）满足国家有关法律法规规定和本协议前提下，有权按照本协议约定自主运维；</w:t>
      </w:r>
    </w:p>
    <w:p w14:paraId="4F8508F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（3）依据相关法律、法规等规范性文件的规定和本协议的约定，应享有的其他权利。</w:t>
      </w:r>
    </w:p>
    <w:p w14:paraId="0BCBDB5A">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2.2乙方的义务</w:t>
      </w:r>
    </w:p>
    <w:p w14:paraId="2AACF83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（1）根据项目需要和本协议下的承诺配备足够的具备</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能力的管理、技术等人员，乙方重要管理人员、技术人员的变动需提前10个工作日向甲方报备，并及时补充具备相关能力的人员，满足运维需要；</w:t>
      </w:r>
    </w:p>
    <w:p w14:paraId="2BA86A5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（2）按照甲方的要求组织运维服务；</w:t>
      </w:r>
    </w:p>
    <w:p w14:paraId="06E387B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（3）按照国家、行业、地方标准运维维护项目本体及附属设施；</w:t>
      </w:r>
    </w:p>
    <w:p w14:paraId="1D85C31B">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（4）保持设施持续运维的义务，未经甲方同意，不得擅自中断设施的运维</w:t>
      </w:r>
      <w:r>
        <w:rPr>
          <w:rFonts w:hint="eastAsia" w:ascii="仿宋" w:hAnsi="仿宋" w:eastAsia="仿宋" w:cs="仿宋"/>
          <w:color w:val="auto"/>
          <w:sz w:val="24"/>
          <w:szCs w:val="24"/>
          <w:highlight w:val="none"/>
          <w:lang w:eastAsia="zh-CN"/>
        </w:rPr>
        <w:t>，擅自中断所产生的后果及损失有乙方负责</w:t>
      </w:r>
      <w:r>
        <w:rPr>
          <w:rFonts w:hint="eastAsia" w:ascii="仿宋" w:hAnsi="仿宋" w:eastAsia="仿宋" w:cs="仿宋"/>
          <w:color w:val="auto"/>
          <w:sz w:val="24"/>
          <w:szCs w:val="24"/>
          <w:highlight w:val="none"/>
        </w:rPr>
        <w:t>；</w:t>
      </w:r>
    </w:p>
    <w:p w14:paraId="689531E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（5）接受甲方的日常监督管理及依照法律、法规、规章进行的临时管理和其他管制措施以及社会公众的监督；</w:t>
      </w:r>
    </w:p>
    <w:p w14:paraId="5461ED3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（6）确保运维期间所有应急处置的能力和义务。承担因</w:t>
      </w:r>
      <w:r>
        <w:rPr>
          <w:rFonts w:hint="eastAsia" w:ascii="仿宋" w:hAnsi="仿宋" w:eastAsia="仿宋" w:cs="仿宋"/>
          <w:color w:val="auto"/>
          <w:sz w:val="24"/>
          <w:szCs w:val="24"/>
          <w:highlight w:val="none"/>
          <w:lang w:val="en-US" w:eastAsia="zh-CN"/>
        </w:rPr>
        <w:t>日常维护（实际接管日期算）、</w:t>
      </w:r>
      <w:r>
        <w:rPr>
          <w:rFonts w:hint="eastAsia" w:ascii="仿宋" w:hAnsi="仿宋" w:eastAsia="仿宋" w:cs="仿宋"/>
          <w:color w:val="auto"/>
          <w:sz w:val="24"/>
          <w:szCs w:val="24"/>
          <w:highlight w:val="none"/>
        </w:rPr>
        <w:t>巡查、检修、属于乙方原因导致的应急处置（不包括不可抗力、第三方破坏）</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未到位发生安全事故所造成的一切后果；</w:t>
      </w:r>
    </w:p>
    <w:p w14:paraId="7D4EF708">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（7）项目运维期满后，向甲方或甲方指定单位移交项目设施；</w:t>
      </w:r>
    </w:p>
    <w:p w14:paraId="38E1FAB8">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（8）乙方依据本协议对运维质量负责，承担运维所有责任及义务；</w:t>
      </w:r>
    </w:p>
    <w:p w14:paraId="3125157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（9）协助甲方完成本项目的</w:t>
      </w:r>
      <w:r>
        <w:rPr>
          <w:rFonts w:hint="eastAsia" w:ascii="仿宋" w:hAnsi="仿宋" w:eastAsia="仿宋" w:cs="仿宋"/>
          <w:color w:val="auto"/>
          <w:sz w:val="24"/>
          <w:szCs w:val="24"/>
          <w:highlight w:val="none"/>
          <w:lang w:eastAsia="zh-CN"/>
        </w:rPr>
        <w:t>运维服务考核</w:t>
      </w:r>
      <w:r>
        <w:rPr>
          <w:rFonts w:hint="eastAsia" w:ascii="仿宋" w:hAnsi="仿宋" w:eastAsia="仿宋" w:cs="仿宋"/>
          <w:color w:val="auto"/>
          <w:sz w:val="24"/>
          <w:szCs w:val="24"/>
          <w:highlight w:val="none"/>
        </w:rPr>
        <w:t>工作；</w:t>
      </w:r>
    </w:p>
    <w:p w14:paraId="27A905E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（10）乙方应接受政府部门的行业监管，履行对社会公益性事业所应尽的义务和服务；</w:t>
      </w:r>
    </w:p>
    <w:p w14:paraId="2D373C6B">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（11）在本项目运维期间，乙方应积极配合甲方取得运维、维护相关所需的各项批准文件</w:t>
      </w:r>
      <w:r>
        <w:rPr>
          <w:rFonts w:hint="eastAsia" w:ascii="仿宋" w:hAnsi="仿宋" w:eastAsia="仿宋" w:cs="仿宋"/>
          <w:color w:val="auto"/>
          <w:sz w:val="24"/>
          <w:szCs w:val="24"/>
          <w:highlight w:val="none"/>
          <w:lang w:eastAsia="zh-CN"/>
        </w:rPr>
        <w:t>，配合甲方完成入廊业务</w:t>
      </w:r>
      <w:r>
        <w:rPr>
          <w:rFonts w:hint="eastAsia" w:ascii="仿宋" w:hAnsi="仿宋" w:eastAsia="仿宋" w:cs="仿宋"/>
          <w:color w:val="auto"/>
          <w:sz w:val="24"/>
          <w:szCs w:val="24"/>
          <w:highlight w:val="none"/>
        </w:rPr>
        <w:t>；</w:t>
      </w:r>
    </w:p>
    <w:p w14:paraId="655AA1D3">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（12）甲方对乙方的</w:t>
      </w:r>
      <w:r>
        <w:rPr>
          <w:rFonts w:hint="eastAsia" w:ascii="仿宋" w:hAnsi="仿宋" w:eastAsia="仿宋" w:cs="仿宋"/>
          <w:color w:val="auto"/>
          <w:sz w:val="24"/>
          <w:szCs w:val="24"/>
          <w:highlight w:val="none"/>
          <w:lang w:eastAsia="zh-CN"/>
        </w:rPr>
        <w:t>运维服务</w:t>
      </w:r>
      <w:r>
        <w:rPr>
          <w:rFonts w:hint="eastAsia" w:ascii="仿宋" w:hAnsi="仿宋" w:eastAsia="仿宋" w:cs="仿宋"/>
          <w:color w:val="auto"/>
          <w:sz w:val="24"/>
          <w:szCs w:val="24"/>
          <w:highlight w:val="none"/>
        </w:rPr>
        <w:t>所提出的合理要求，不能作为免除或减轻乙方本协议所承担的责任和义务（甲方明确给予免除或减轻的除外）；</w:t>
      </w:r>
    </w:p>
    <w:p w14:paraId="203D9D8D">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（13）乙方应为所派出人员提供必要的劳动安全防护、购买人身意外险及医疗保险；</w:t>
      </w:r>
    </w:p>
    <w:p w14:paraId="49AE2A7A">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（14）乙方派出人员必须严格遵守国家法律、法规、遵守甲方各项规章制度，严格遵守相关行业安全规定及规程，因乙方派出人员自身原因和检修质量造成的设备和人身伤亡事故，由乙方承担全部责任；</w:t>
      </w:r>
    </w:p>
    <w:p w14:paraId="12123C1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（15）按国家、行业安全、环保法规和规定，制定实施严格的安全、环保措施，承担由于自身安全管理不力造成事故的责任和因此发生的所有费用</w:t>
      </w:r>
      <w:r>
        <w:rPr>
          <w:rFonts w:hint="eastAsia" w:ascii="仿宋" w:hAnsi="仿宋" w:eastAsia="仿宋" w:cs="仿宋"/>
          <w:color w:val="auto"/>
          <w:sz w:val="24"/>
          <w:szCs w:val="24"/>
          <w:highlight w:val="none"/>
          <w:lang w:eastAsia="zh-CN"/>
        </w:rPr>
        <w:t>；</w:t>
      </w:r>
    </w:p>
    <w:p w14:paraId="4E1313AA">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（16）乙方配合甲方开展固定资产日常管理工作，由乙方原因导致固定资产损失，由乙方负责赔偿。</w:t>
      </w:r>
    </w:p>
    <w:p w14:paraId="7406843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17</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乙方在合同签订后30日内提交本项目保险保单，予甲方备案。</w:t>
      </w:r>
    </w:p>
    <w:p w14:paraId="03B54422">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bookmarkStart w:id="227" w:name="_Toc60683005"/>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甲乙双方共同的权利和义务</w:t>
      </w:r>
      <w:bookmarkEnd w:id="227"/>
    </w:p>
    <w:p w14:paraId="08ED61D0">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保密。双方应当对本协议的内容、因履行本协议或在本协议期间获得的或收到的对方的商务、财务、技术、信息、资料或其他标明保密的文件或信息的内容（简称“保密资料”）保守秘密，未经另一方事先书面同意，不得向第三方透露或公开，但是法律要求公开的信息除外。本条规定在本协议期满、解除或终止后仍然有效。</w:t>
      </w:r>
    </w:p>
    <w:p w14:paraId="2CAED8B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3.2合作义务，预先警告义务。双方应互相合作以达到本协议的目的，并应善意地行使和履行各自在本协议项下的权利和义务。在此前提下，双方同意：</w:t>
      </w:r>
    </w:p>
    <w:p w14:paraId="2CA23BD3">
      <w:pPr>
        <w:keepNext w:val="0"/>
        <w:keepLines w:val="0"/>
        <w:pageBreakBefore w:val="0"/>
        <w:widowControl w:val="0"/>
        <w:numPr>
          <w:ilvl w:val="0"/>
          <w:numId w:val="5"/>
        </w:numPr>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除本协议另有规定外，当一方要求取得另一方的同意时，被要求方应在</w:t>
      </w:r>
      <w:r>
        <w:rPr>
          <w:rFonts w:hint="eastAsia" w:ascii="仿宋" w:hAnsi="仿宋" w:eastAsia="仿宋" w:cs="仿宋"/>
          <w:color w:val="auto"/>
          <w:sz w:val="24"/>
          <w:szCs w:val="24"/>
          <w:highlight w:val="none"/>
          <w:u w:val="single"/>
          <w:lang w:val="en-US" w:eastAsia="zh-CN"/>
        </w:rPr>
        <w:t xml:space="preserve"> 10 </w:t>
      </w:r>
      <w:r>
        <w:rPr>
          <w:rFonts w:hint="eastAsia" w:ascii="仿宋" w:hAnsi="仿宋" w:eastAsia="仿宋" w:cs="仿宋"/>
          <w:color w:val="auto"/>
          <w:sz w:val="24"/>
          <w:szCs w:val="24"/>
          <w:highlight w:val="none"/>
        </w:rPr>
        <w:t>天或其他合理所需的时间内给予同意或不同意的书面回复；</w:t>
      </w:r>
    </w:p>
    <w:p w14:paraId="7EA1D02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任何一方获悉的任何事件或情形属于：（a）经该方合理预计将对任何一方履行其本协议项下的义务或实施项目的能力造成重大不利影响的事件或情形；（b）合理预计另一方不可能获悉该事件或情形时，则该方应尽快将该事件或情形通知另一方；</w:t>
      </w:r>
    </w:p>
    <w:p w14:paraId="78D696E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不影响本协议其它条款规定的情况下，若任何一方在本协议中所作的声明和保证被证明在作出之时在实质方面不正确，而导致另一方受到损害的，受损害方有权就其因此所遭受的任何损害获得对方的赔偿。该等损害指任何一方在谈判、准备和终止本协议同时产生的所有费用及开支，但赔偿数额不应与本协议规定的提前终止补偿金额重复计算。</w:t>
      </w:r>
    </w:p>
    <w:p w14:paraId="4129009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bookmarkStart w:id="228" w:name="_Toc60683006"/>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不可免除</w:t>
      </w:r>
      <w:bookmarkEnd w:id="228"/>
    </w:p>
    <w:p w14:paraId="35B7F97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4.1除本协议规定的其他义务外，在遵守、符合适用法律要求的前提下，甲方负责监督、检查乙方履行本协议项下的义务，但甲方的监督、检查并不解除或减轻乙方应承担的任何义务或责任。</w:t>
      </w:r>
    </w:p>
    <w:p w14:paraId="367B3BA0">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4.2尽管有上述规定，为尽量减少纠正缺陷的费用，甲方在知悉任何缺陷之后应尽其最大努力将该缺陷通知乙方，并要求乙方尽快采取补救措施。</w:t>
      </w:r>
    </w:p>
    <w:p w14:paraId="1A34C55C">
      <w:pPr>
        <w:keepNext w:val="0"/>
        <w:keepLines w:val="0"/>
        <w:pageBreakBefore w:val="0"/>
        <w:widowControl w:val="0"/>
        <w:kinsoku/>
        <w:wordWrap/>
        <w:overflowPunct/>
        <w:topLinePunct w:val="0"/>
        <w:bidi w:val="0"/>
        <w:adjustRightInd w:val="0"/>
        <w:snapToGrid w:val="0"/>
        <w:spacing w:line="360" w:lineRule="auto"/>
        <w:ind w:left="0" w:leftChars="0" w:firstLine="482" w:firstLineChars="200"/>
        <w:rPr>
          <w:rFonts w:hint="eastAsia" w:ascii="仿宋" w:hAnsi="仿宋" w:eastAsia="仿宋" w:cs="仿宋"/>
          <w:b/>
          <w:bCs/>
          <w:color w:val="auto"/>
          <w:sz w:val="24"/>
          <w:szCs w:val="24"/>
          <w:highlight w:val="none"/>
        </w:rPr>
      </w:pPr>
      <w:bookmarkStart w:id="229" w:name="_Toc60683008"/>
      <w:r>
        <w:rPr>
          <w:rFonts w:hint="eastAsia" w:ascii="仿宋" w:hAnsi="仿宋" w:eastAsia="仿宋" w:cs="仿宋"/>
          <w:b/>
          <w:bCs/>
          <w:color w:val="auto"/>
          <w:sz w:val="24"/>
          <w:szCs w:val="24"/>
          <w:highlight w:val="none"/>
          <w:lang w:val="en-US" w:eastAsia="zh-CN"/>
        </w:rPr>
        <w:t>九</w:t>
      </w:r>
      <w:r>
        <w:rPr>
          <w:rFonts w:hint="eastAsia" w:ascii="仿宋" w:hAnsi="仿宋" w:eastAsia="仿宋" w:cs="仿宋"/>
          <w:b/>
          <w:bCs/>
          <w:color w:val="auto"/>
          <w:sz w:val="24"/>
          <w:szCs w:val="24"/>
          <w:highlight w:val="none"/>
        </w:rPr>
        <w:t>、委托和交接</w:t>
      </w:r>
      <w:bookmarkEnd w:id="229"/>
    </w:p>
    <w:p w14:paraId="6FC36AA1">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本项目</w:t>
      </w:r>
      <w:r>
        <w:rPr>
          <w:rFonts w:hint="eastAsia" w:ascii="仿宋" w:hAnsi="仿宋" w:eastAsia="仿宋" w:cs="仿宋"/>
          <w:color w:val="auto"/>
          <w:sz w:val="24"/>
          <w:szCs w:val="24"/>
          <w:highlight w:val="none"/>
          <w:lang w:eastAsia="zh-CN"/>
        </w:rPr>
        <w:t>运维服务开始时间以</w:t>
      </w:r>
      <w:r>
        <w:rPr>
          <w:rFonts w:hint="eastAsia" w:ascii="仿宋" w:hAnsi="仿宋" w:eastAsia="仿宋" w:cs="仿宋"/>
          <w:color w:val="auto"/>
          <w:sz w:val="24"/>
          <w:szCs w:val="24"/>
          <w:highlight w:val="none"/>
        </w:rPr>
        <w:t>甲方书面函件通知的运维时间为</w:t>
      </w:r>
      <w:r>
        <w:rPr>
          <w:rFonts w:hint="eastAsia" w:ascii="仿宋" w:hAnsi="仿宋" w:eastAsia="仿宋" w:cs="仿宋"/>
          <w:color w:val="auto"/>
          <w:sz w:val="24"/>
          <w:szCs w:val="24"/>
          <w:highlight w:val="none"/>
          <w:lang w:eastAsia="zh-CN"/>
        </w:rPr>
        <w:t>准</w:t>
      </w:r>
      <w:r>
        <w:rPr>
          <w:rFonts w:hint="eastAsia" w:ascii="仿宋" w:hAnsi="仿宋" w:eastAsia="仿宋" w:cs="仿宋"/>
          <w:color w:val="auto"/>
          <w:sz w:val="24"/>
          <w:szCs w:val="24"/>
          <w:highlight w:val="none"/>
        </w:rPr>
        <w:t>。</w:t>
      </w:r>
    </w:p>
    <w:p w14:paraId="0ED15F78">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bookmarkStart w:id="230" w:name="_Toc60683009"/>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委托交接</w:t>
      </w:r>
      <w:bookmarkEnd w:id="230"/>
    </w:p>
    <w:p w14:paraId="12EDE3C7">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（1）本协议生效（或甲方书面函告）日起</w:t>
      </w:r>
      <w:r>
        <w:rPr>
          <w:rFonts w:hint="eastAsia" w:ascii="仿宋" w:hAnsi="仿宋" w:eastAsia="仿宋" w:cs="仿宋"/>
          <w:color w:val="auto"/>
          <w:sz w:val="24"/>
          <w:szCs w:val="24"/>
          <w:highlight w:val="none"/>
          <w:u w:val="single"/>
          <w:lang w:val="en-US" w:eastAsia="zh-CN"/>
        </w:rPr>
        <w:t xml:space="preserve"> 10 </w:t>
      </w:r>
      <w:r>
        <w:rPr>
          <w:rFonts w:hint="eastAsia" w:ascii="仿宋" w:hAnsi="仿宋" w:eastAsia="仿宋" w:cs="仿宋"/>
          <w:color w:val="auto"/>
          <w:sz w:val="24"/>
          <w:szCs w:val="24"/>
          <w:highlight w:val="none"/>
        </w:rPr>
        <w:t>个工作日内，双方应派员开展委托交接事宜，负责协调项目的委托交接清单</w:t>
      </w:r>
      <w:r>
        <w:rPr>
          <w:rFonts w:hint="eastAsia" w:ascii="仿宋" w:hAnsi="仿宋" w:eastAsia="仿宋" w:cs="仿宋"/>
          <w:color w:val="auto"/>
          <w:sz w:val="24"/>
          <w:szCs w:val="24"/>
          <w:highlight w:val="none"/>
          <w:lang w:eastAsia="zh-CN"/>
        </w:rPr>
        <w:t>编制等工作</w:t>
      </w:r>
      <w:r>
        <w:rPr>
          <w:rFonts w:hint="eastAsia" w:ascii="仿宋" w:hAnsi="仿宋" w:eastAsia="仿宋" w:cs="仿宋"/>
          <w:color w:val="auto"/>
          <w:sz w:val="24"/>
          <w:szCs w:val="24"/>
          <w:highlight w:val="none"/>
        </w:rPr>
        <w:t>；</w:t>
      </w:r>
    </w:p>
    <w:p w14:paraId="59692C1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（2）委托交接</w:t>
      </w:r>
      <w:r>
        <w:rPr>
          <w:rFonts w:hint="eastAsia" w:ascii="仿宋" w:hAnsi="仿宋" w:eastAsia="仿宋" w:cs="仿宋"/>
          <w:color w:val="auto"/>
          <w:sz w:val="24"/>
          <w:szCs w:val="24"/>
          <w:highlight w:val="none"/>
          <w:lang w:eastAsia="zh-CN"/>
        </w:rPr>
        <w:t>人员</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eastAsia="zh-CN"/>
        </w:rPr>
        <w:t>在</w:t>
      </w:r>
      <w:r>
        <w:rPr>
          <w:rFonts w:hint="eastAsia" w:ascii="仿宋" w:hAnsi="仿宋" w:eastAsia="仿宋" w:cs="仿宋"/>
          <w:color w:val="auto"/>
          <w:sz w:val="24"/>
          <w:szCs w:val="24"/>
          <w:highlight w:val="none"/>
          <w:u w:val="single"/>
          <w:lang w:val="en-US" w:eastAsia="zh-CN"/>
        </w:rPr>
        <w:t xml:space="preserve"> 20 </w:t>
      </w:r>
      <w:r>
        <w:rPr>
          <w:rFonts w:hint="eastAsia" w:ascii="仿宋" w:hAnsi="仿宋" w:eastAsia="仿宋" w:cs="仿宋"/>
          <w:color w:val="auto"/>
          <w:sz w:val="24"/>
          <w:szCs w:val="24"/>
          <w:highlight w:val="none"/>
        </w:rPr>
        <w:t>个工作日</w:t>
      </w:r>
      <w:r>
        <w:rPr>
          <w:rFonts w:hint="eastAsia" w:ascii="仿宋" w:hAnsi="仿宋" w:eastAsia="仿宋" w:cs="仿宋"/>
          <w:color w:val="auto"/>
          <w:sz w:val="24"/>
          <w:szCs w:val="24"/>
          <w:highlight w:val="none"/>
          <w:lang w:eastAsia="zh-CN"/>
        </w:rPr>
        <w:t>之内</w:t>
      </w:r>
      <w:r>
        <w:rPr>
          <w:rFonts w:hint="eastAsia" w:ascii="仿宋" w:hAnsi="仿宋" w:eastAsia="仿宋" w:cs="仿宋"/>
          <w:color w:val="auto"/>
          <w:sz w:val="24"/>
          <w:szCs w:val="24"/>
          <w:highlight w:val="none"/>
        </w:rPr>
        <w:t>，完成清点核查移交项目设施，制订委托交接设施清单；</w:t>
      </w:r>
    </w:p>
    <w:p w14:paraId="5E14A784">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（3）甲方应负责协调项目相关建设主体，协助乙方后续运行相关事宜；</w:t>
      </w:r>
    </w:p>
    <w:p w14:paraId="7A057EC0">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甲方确保交接项目全部设施完好能够正常运行。若设备设施存在缺陷，由甲方负责协调责任方修复，如责任方拒绝修复或怠于修复的，乙方有权在征得甲方同意后自行修复，甲方按相关规定和程序补偿乙方修复费用；</w:t>
      </w:r>
    </w:p>
    <w:p w14:paraId="09A2F135">
      <w:pPr>
        <w:pStyle w:val="3"/>
        <w:keepNext w:val="0"/>
        <w:keepLines w:val="0"/>
        <w:pageBreakBefore w:val="0"/>
        <w:widowControl w:val="0"/>
        <w:numPr>
          <w:ilvl w:val="0"/>
          <w:numId w:val="0"/>
        </w:numPr>
        <w:kinsoku/>
        <w:wordWrap/>
        <w:overflowPunct/>
        <w:topLinePunct w:val="0"/>
        <w:bidi w:val="0"/>
        <w:adjustRightInd w:val="0"/>
        <w:snapToGrid w:val="0"/>
        <w:spacing w:after="0"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）从</w:t>
      </w:r>
      <w:r>
        <w:rPr>
          <w:rFonts w:hint="eastAsia" w:ascii="仿宋" w:hAnsi="仿宋" w:eastAsia="仿宋" w:cs="仿宋"/>
          <w:color w:val="auto"/>
          <w:sz w:val="24"/>
          <w:szCs w:val="24"/>
          <w:highlight w:val="none"/>
          <w:lang w:eastAsia="zh-CN"/>
        </w:rPr>
        <w:t>进入</w:t>
      </w:r>
      <w:r>
        <w:rPr>
          <w:rFonts w:hint="eastAsia" w:ascii="仿宋" w:hAnsi="仿宋" w:eastAsia="仿宋" w:cs="仿宋"/>
          <w:color w:val="auto"/>
          <w:sz w:val="24"/>
          <w:szCs w:val="24"/>
          <w:highlight w:val="none"/>
        </w:rPr>
        <w:t>运维起始日起，乙方承担项目运维设施的全部损失或损坏的风险，除非损失或损坏是由甲方的过错或违约所致。</w:t>
      </w:r>
    </w:p>
    <w:p w14:paraId="30CD4EF0">
      <w:pPr>
        <w:keepNext w:val="0"/>
        <w:keepLines w:val="0"/>
        <w:pageBreakBefore w:val="0"/>
        <w:widowControl w:val="0"/>
        <w:kinsoku/>
        <w:wordWrap/>
        <w:overflowPunct/>
        <w:topLinePunct w:val="0"/>
        <w:bidi w:val="0"/>
        <w:adjustRightInd w:val="0"/>
        <w:snapToGrid w:val="0"/>
        <w:spacing w:line="360" w:lineRule="auto"/>
        <w:ind w:left="0" w:leftChars="0"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十、其它</w:t>
      </w:r>
    </w:p>
    <w:p w14:paraId="0DF6433C">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在履行合同过程中产生争议时:(1) 双方协商解决; (2) 如其中一方不愿意或协商不成的,向甲方所在地的衢州仲裁委员会申请仲裁。争议解决过程中，双方应保证本</w:t>
      </w:r>
      <w:r>
        <w:rPr>
          <w:rFonts w:hint="eastAsia" w:ascii="仿宋" w:hAnsi="仿宋" w:eastAsia="仿宋" w:cs="仿宋"/>
          <w:color w:val="auto"/>
          <w:sz w:val="24"/>
          <w:szCs w:val="24"/>
          <w:highlight w:val="none"/>
          <w:lang w:val="en-US" w:eastAsia="zh-CN"/>
        </w:rPr>
        <w:t>运维服务</w:t>
      </w:r>
      <w:r>
        <w:rPr>
          <w:rFonts w:hint="eastAsia" w:ascii="仿宋" w:hAnsi="仿宋" w:eastAsia="仿宋" w:cs="仿宋"/>
          <w:color w:val="auto"/>
          <w:sz w:val="24"/>
          <w:szCs w:val="24"/>
          <w:highlight w:val="none"/>
        </w:rPr>
        <w:t>项目的正常进行。</w:t>
      </w:r>
    </w:p>
    <w:p w14:paraId="41CBF21E">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合同经双方法定代表人或授权代表签字并加盖单位公章后生效。</w:t>
      </w:r>
    </w:p>
    <w:p w14:paraId="1DD85C5F">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合同执行中涉及采购资金和采购内容修改或补充的，须经双方协商并签书面补充协议，方可作为主合同不可分割的一部分。</w:t>
      </w:r>
    </w:p>
    <w:p w14:paraId="3E3A8C5B">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本合同未尽事宜，遵照《中华人民共和国民法典》有关条文执行。</w:t>
      </w:r>
    </w:p>
    <w:p w14:paraId="7346CDD8">
      <w:pPr>
        <w:keepNext w:val="0"/>
        <w:keepLines w:val="0"/>
        <w:pageBreakBefore w:val="0"/>
        <w:widowControl w:val="0"/>
        <w:kinsoku/>
        <w:wordWrap/>
        <w:overflowPunct/>
        <w:topLinePunct w:val="0"/>
        <w:bidi w:val="0"/>
        <w:adjustRightInd w:val="0"/>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本合同正本一式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lang w:val="en-US" w:eastAsia="zh-CN"/>
        </w:rPr>
        <w:t>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份，副本</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lang w:val="en-US" w:eastAsia="zh-CN"/>
        </w:rPr>
        <w:t>肆</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val="en-US" w:eastAsia="zh-CN"/>
        </w:rPr>
        <w:t>双方</w:t>
      </w:r>
      <w:r>
        <w:rPr>
          <w:rFonts w:hint="eastAsia" w:ascii="仿宋" w:hAnsi="仿宋" w:eastAsia="仿宋" w:cs="仿宋"/>
          <w:color w:val="auto"/>
          <w:sz w:val="24"/>
          <w:szCs w:val="24"/>
          <w:highlight w:val="none"/>
        </w:rPr>
        <w:t>各执正本</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b/>
          <w:bCs/>
          <w:color w:val="auto"/>
          <w:sz w:val="24"/>
          <w:szCs w:val="24"/>
          <w:highlight w:val="none"/>
          <w:u w:val="single"/>
        </w:rPr>
        <w:t>壹</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份，副本</w:t>
      </w:r>
      <w:r>
        <w:rPr>
          <w:rFonts w:hint="eastAsia" w:ascii="仿宋" w:hAnsi="仿宋" w:eastAsia="仿宋" w:cs="仿宋"/>
          <w:b/>
          <w:bCs/>
          <w:color w:val="auto"/>
          <w:sz w:val="24"/>
          <w:szCs w:val="24"/>
          <w:highlight w:val="none"/>
          <w:u w:val="single"/>
          <w:lang w:val="en-US" w:eastAsia="zh-CN"/>
        </w:rPr>
        <w:t xml:space="preserve"> 贰 </w:t>
      </w:r>
      <w:r>
        <w:rPr>
          <w:rFonts w:hint="eastAsia" w:ascii="仿宋" w:hAnsi="仿宋" w:eastAsia="仿宋" w:cs="仿宋"/>
          <w:color w:val="auto"/>
          <w:sz w:val="24"/>
          <w:szCs w:val="24"/>
          <w:highlight w:val="none"/>
        </w:rPr>
        <w:t>份。</w:t>
      </w:r>
    </w:p>
    <w:p w14:paraId="2D2F5D5C">
      <w:pPr>
        <w:spacing w:line="240" w:lineRule="auto"/>
        <w:ind w:firstLine="720" w:firstLineChars="300"/>
        <w:rPr>
          <w:rFonts w:hint="eastAsia" w:ascii="仿宋" w:hAnsi="仿宋" w:eastAsia="仿宋" w:cs="仿宋"/>
          <w:color w:val="auto"/>
          <w:sz w:val="24"/>
          <w:szCs w:val="24"/>
          <w:highlight w:val="none"/>
          <w:lang w:eastAsia="zh-CN"/>
        </w:rPr>
      </w:pPr>
    </w:p>
    <w:p w14:paraId="603F935D">
      <w:pPr>
        <w:spacing w:line="240" w:lineRule="auto"/>
        <w:ind w:firstLine="720" w:firstLineChars="3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以下无正文，为签署页</w:t>
      </w:r>
      <w:r>
        <w:rPr>
          <w:rFonts w:hint="eastAsia" w:ascii="仿宋" w:hAnsi="仿宋" w:eastAsia="仿宋" w:cs="仿宋"/>
          <w:color w:val="auto"/>
          <w:sz w:val="24"/>
          <w:szCs w:val="24"/>
          <w:highlight w:val="none"/>
          <w:lang w:eastAsia="zh-CN"/>
        </w:rPr>
        <w:t>）</w:t>
      </w:r>
    </w:p>
    <w:tbl>
      <w:tblPr>
        <w:tblStyle w:val="88"/>
        <w:tblpPr w:leftFromText="180" w:rightFromText="180" w:vertAnchor="text" w:horzAnchor="page" w:tblpX="1705" w:tblpY="240"/>
        <w:tblOverlap w:val="never"/>
        <w:tblW w:w="9255" w:type="dxa"/>
        <w:tblInd w:w="0" w:type="dxa"/>
        <w:tblLayout w:type="fixed"/>
        <w:tblCellMar>
          <w:top w:w="0" w:type="dxa"/>
          <w:left w:w="108" w:type="dxa"/>
          <w:bottom w:w="0" w:type="dxa"/>
          <w:right w:w="108" w:type="dxa"/>
        </w:tblCellMar>
      </w:tblPr>
      <w:tblGrid>
        <w:gridCol w:w="4440"/>
        <w:gridCol w:w="240"/>
        <w:gridCol w:w="4575"/>
      </w:tblGrid>
      <w:tr w14:paraId="08EAD8F9">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6E27BCB2">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                （盖章）    </w:t>
            </w:r>
          </w:p>
        </w:tc>
        <w:tc>
          <w:tcPr>
            <w:tcW w:w="240" w:type="dxa"/>
            <w:tcBorders>
              <w:top w:val="nil"/>
              <w:left w:val="nil"/>
              <w:bottom w:val="nil"/>
              <w:right w:val="nil"/>
            </w:tcBorders>
            <w:noWrap w:val="0"/>
            <w:vAlign w:val="center"/>
          </w:tcPr>
          <w:p w14:paraId="3C0F761B">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4575" w:type="dxa"/>
            <w:tcBorders>
              <w:top w:val="nil"/>
              <w:left w:val="nil"/>
              <w:bottom w:val="nil"/>
              <w:right w:val="nil"/>
            </w:tcBorders>
            <w:noWrap w:val="0"/>
            <w:vAlign w:val="center"/>
          </w:tcPr>
          <w:p w14:paraId="7A79FF0F">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乙方：               （盖章）     </w:t>
            </w:r>
          </w:p>
        </w:tc>
      </w:tr>
      <w:tr w14:paraId="56823E37">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24428D07">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val="en-US" w:eastAsia="zh-CN"/>
              </w:rPr>
              <w:t>或委托代理人</w:t>
            </w:r>
            <w:r>
              <w:rPr>
                <w:rFonts w:hint="eastAsia" w:ascii="仿宋" w:hAnsi="仿宋" w:eastAsia="仿宋" w:cs="仿宋"/>
                <w:color w:val="auto"/>
                <w:sz w:val="24"/>
                <w:szCs w:val="24"/>
                <w:highlight w:val="none"/>
              </w:rPr>
              <w:t>：（签字</w:t>
            </w:r>
            <w:r>
              <w:rPr>
                <w:rFonts w:hint="eastAsia" w:ascii="仿宋" w:hAnsi="仿宋" w:eastAsia="仿宋" w:cs="仿宋"/>
                <w:color w:val="auto"/>
                <w:sz w:val="24"/>
                <w:szCs w:val="24"/>
                <w:highlight w:val="none"/>
                <w:lang w:val="en-US" w:eastAsia="zh-CN"/>
              </w:rPr>
              <w:t>或盖章</w:t>
            </w:r>
            <w:r>
              <w:rPr>
                <w:rFonts w:hint="eastAsia" w:ascii="仿宋" w:hAnsi="仿宋" w:eastAsia="仿宋" w:cs="仿宋"/>
                <w:color w:val="auto"/>
                <w:sz w:val="24"/>
                <w:szCs w:val="24"/>
                <w:highlight w:val="none"/>
              </w:rPr>
              <w:t xml:space="preserve">）    </w:t>
            </w:r>
          </w:p>
        </w:tc>
        <w:tc>
          <w:tcPr>
            <w:tcW w:w="240" w:type="dxa"/>
            <w:tcBorders>
              <w:top w:val="nil"/>
              <w:left w:val="nil"/>
              <w:bottom w:val="nil"/>
              <w:right w:val="nil"/>
            </w:tcBorders>
            <w:noWrap w:val="0"/>
            <w:vAlign w:val="center"/>
          </w:tcPr>
          <w:p w14:paraId="6F5F1FE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50602CB6">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val="en-US" w:eastAsia="zh-CN"/>
              </w:rPr>
              <w:t>或委托代理人</w:t>
            </w:r>
            <w:r>
              <w:rPr>
                <w:rFonts w:hint="eastAsia" w:ascii="仿宋" w:hAnsi="仿宋" w:eastAsia="仿宋" w:cs="仿宋"/>
                <w:color w:val="auto"/>
                <w:sz w:val="24"/>
                <w:szCs w:val="24"/>
                <w:highlight w:val="none"/>
              </w:rPr>
              <w:t>： （签字</w:t>
            </w:r>
            <w:r>
              <w:rPr>
                <w:rFonts w:hint="eastAsia" w:ascii="仿宋" w:hAnsi="仿宋" w:eastAsia="仿宋" w:cs="仿宋"/>
                <w:color w:val="auto"/>
                <w:sz w:val="24"/>
                <w:szCs w:val="24"/>
                <w:highlight w:val="none"/>
                <w:lang w:val="en-US" w:eastAsia="zh-CN"/>
              </w:rPr>
              <w:t>或盖章</w:t>
            </w:r>
            <w:r>
              <w:rPr>
                <w:rFonts w:hint="eastAsia" w:ascii="仿宋" w:hAnsi="仿宋" w:eastAsia="仿宋" w:cs="仿宋"/>
                <w:color w:val="auto"/>
                <w:sz w:val="24"/>
                <w:szCs w:val="24"/>
                <w:highlight w:val="none"/>
              </w:rPr>
              <w:t xml:space="preserve">） </w:t>
            </w:r>
          </w:p>
        </w:tc>
      </w:tr>
      <w:tr w14:paraId="6B192073">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1A1924AA">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经办人：</w:t>
            </w:r>
          </w:p>
        </w:tc>
        <w:tc>
          <w:tcPr>
            <w:tcW w:w="240" w:type="dxa"/>
            <w:tcBorders>
              <w:top w:val="nil"/>
              <w:left w:val="nil"/>
              <w:bottom w:val="nil"/>
              <w:right w:val="nil"/>
            </w:tcBorders>
            <w:noWrap w:val="0"/>
            <w:vAlign w:val="center"/>
          </w:tcPr>
          <w:p w14:paraId="40854104">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338045CF">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经办人：</w:t>
            </w:r>
          </w:p>
        </w:tc>
      </w:tr>
      <w:tr w14:paraId="7D5D9683">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25F801C7">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40" w:type="dxa"/>
            <w:tcBorders>
              <w:top w:val="nil"/>
              <w:left w:val="nil"/>
              <w:bottom w:val="nil"/>
              <w:right w:val="nil"/>
            </w:tcBorders>
            <w:noWrap w:val="0"/>
            <w:vAlign w:val="center"/>
          </w:tcPr>
          <w:p w14:paraId="3F5C4D43">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5D4B7616">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地址：</w:t>
            </w:r>
          </w:p>
        </w:tc>
      </w:tr>
      <w:tr w14:paraId="0FF37C9A">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043D49A3">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w:t>
            </w:r>
          </w:p>
        </w:tc>
        <w:tc>
          <w:tcPr>
            <w:tcW w:w="240" w:type="dxa"/>
            <w:tcBorders>
              <w:top w:val="nil"/>
              <w:left w:val="nil"/>
              <w:bottom w:val="nil"/>
              <w:right w:val="nil"/>
            </w:tcBorders>
            <w:noWrap w:val="0"/>
            <w:vAlign w:val="center"/>
          </w:tcPr>
          <w:p w14:paraId="587A5DC9">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06C76B1A">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联系方式：</w:t>
            </w:r>
          </w:p>
        </w:tc>
      </w:tr>
      <w:tr w14:paraId="719EA720">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shd w:val="clear" w:color="auto" w:fill="auto"/>
            <w:noWrap w:val="0"/>
            <w:vAlign w:val="center"/>
          </w:tcPr>
          <w:p w14:paraId="6BD6C1D6">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开户银行：</w:t>
            </w:r>
          </w:p>
        </w:tc>
        <w:tc>
          <w:tcPr>
            <w:tcW w:w="240" w:type="dxa"/>
            <w:tcBorders>
              <w:top w:val="nil"/>
              <w:left w:val="nil"/>
              <w:bottom w:val="nil"/>
              <w:right w:val="nil"/>
            </w:tcBorders>
            <w:noWrap w:val="0"/>
            <w:vAlign w:val="center"/>
          </w:tcPr>
          <w:p w14:paraId="4907B1BA">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41FD3C89">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开户银行：</w:t>
            </w:r>
          </w:p>
        </w:tc>
      </w:tr>
      <w:tr w14:paraId="5B05CA29">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shd w:val="clear" w:color="auto" w:fill="auto"/>
            <w:noWrap w:val="0"/>
            <w:vAlign w:val="center"/>
          </w:tcPr>
          <w:p w14:paraId="7382F5F0">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账号：</w:t>
            </w:r>
          </w:p>
        </w:tc>
        <w:tc>
          <w:tcPr>
            <w:tcW w:w="240" w:type="dxa"/>
            <w:tcBorders>
              <w:top w:val="nil"/>
              <w:left w:val="nil"/>
              <w:bottom w:val="nil"/>
              <w:right w:val="nil"/>
            </w:tcBorders>
            <w:noWrap w:val="0"/>
            <w:vAlign w:val="center"/>
          </w:tcPr>
          <w:p w14:paraId="601DACB8">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75C6178A">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账号：</w:t>
            </w:r>
          </w:p>
        </w:tc>
      </w:tr>
      <w:tr w14:paraId="2E0C99D4">
        <w:tblPrEx>
          <w:tblCellMar>
            <w:top w:w="0" w:type="dxa"/>
            <w:left w:w="108" w:type="dxa"/>
            <w:bottom w:w="0" w:type="dxa"/>
            <w:right w:w="108" w:type="dxa"/>
          </w:tblCellMar>
        </w:tblPrEx>
        <w:trPr>
          <w:trHeight w:val="329" w:hRule="atLeast"/>
        </w:trPr>
        <w:tc>
          <w:tcPr>
            <w:tcW w:w="4440" w:type="dxa"/>
            <w:tcBorders>
              <w:top w:val="nil"/>
              <w:left w:val="nil"/>
              <w:bottom w:val="nil"/>
              <w:right w:val="nil"/>
            </w:tcBorders>
            <w:noWrap w:val="0"/>
            <w:vAlign w:val="center"/>
          </w:tcPr>
          <w:p w14:paraId="2FE40EDD">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  月  日</w:t>
            </w:r>
          </w:p>
        </w:tc>
        <w:tc>
          <w:tcPr>
            <w:tcW w:w="240" w:type="dxa"/>
            <w:tcBorders>
              <w:top w:val="nil"/>
              <w:left w:val="nil"/>
              <w:bottom w:val="nil"/>
              <w:right w:val="nil"/>
            </w:tcBorders>
            <w:noWrap w:val="0"/>
            <w:vAlign w:val="center"/>
          </w:tcPr>
          <w:p w14:paraId="65A0E81B">
            <w:pPr>
              <w:keepNext w:val="0"/>
              <w:keepLines w:val="0"/>
              <w:pageBreakBefore w:val="0"/>
              <w:widowControl w:val="0"/>
              <w:kinsoku/>
              <w:wordWrap/>
              <w:overflowPunct/>
              <w:topLinePunct w:val="0"/>
              <w:autoSpaceDE w:val="0"/>
              <w:autoSpaceDN w:val="0"/>
              <w:bidi w:val="0"/>
              <w:adjustRightInd w:val="0"/>
              <w:snapToGrid/>
              <w:spacing w:line="460" w:lineRule="exact"/>
              <w:ind w:firstLine="480" w:firstLineChars="200"/>
              <w:textAlignment w:val="bottom"/>
              <w:rPr>
                <w:rFonts w:hint="eastAsia" w:ascii="仿宋" w:hAnsi="仿宋" w:eastAsia="仿宋" w:cs="仿宋"/>
                <w:color w:val="auto"/>
                <w:sz w:val="24"/>
                <w:szCs w:val="24"/>
                <w:highlight w:val="none"/>
              </w:rPr>
            </w:pPr>
          </w:p>
        </w:tc>
        <w:tc>
          <w:tcPr>
            <w:tcW w:w="4575" w:type="dxa"/>
            <w:tcBorders>
              <w:top w:val="nil"/>
              <w:left w:val="nil"/>
              <w:bottom w:val="nil"/>
              <w:right w:val="nil"/>
            </w:tcBorders>
            <w:noWrap w:val="0"/>
            <w:vAlign w:val="center"/>
          </w:tcPr>
          <w:p w14:paraId="25B10B05">
            <w:pPr>
              <w:keepNext w:val="0"/>
              <w:keepLines w:val="0"/>
              <w:pageBreakBefore w:val="0"/>
              <w:widowControl w:val="0"/>
              <w:kinsoku/>
              <w:wordWrap/>
              <w:overflowPunct/>
              <w:topLinePunct w:val="0"/>
              <w:autoSpaceDE w:val="0"/>
              <w:autoSpaceDN w:val="0"/>
              <w:bidi w:val="0"/>
              <w:adjustRightInd w:val="0"/>
              <w:snapToGrid/>
              <w:spacing w:line="460" w:lineRule="exact"/>
              <w:textAlignment w:val="bottom"/>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  月  日</w:t>
            </w:r>
          </w:p>
        </w:tc>
      </w:tr>
    </w:tbl>
    <w:p w14:paraId="041079B3">
      <w:pPr>
        <w:pStyle w:val="4"/>
        <w:spacing w:line="360" w:lineRule="auto"/>
        <w:ind w:left="0"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注：本合同仅作示范文本，具体以双方签订的正式合同为准，合同内容不得违背</w:t>
      </w:r>
      <w:r>
        <w:rPr>
          <w:rFonts w:hint="eastAsia" w:ascii="仿宋" w:hAnsi="仿宋" w:eastAsia="仿宋" w:cs="仿宋"/>
          <w:b/>
          <w:bCs/>
          <w:color w:val="auto"/>
          <w:sz w:val="24"/>
          <w:szCs w:val="24"/>
          <w:highlight w:val="none"/>
          <w:lang w:eastAsia="zh-CN"/>
        </w:rPr>
        <w:t>采购</w:t>
      </w:r>
      <w:r>
        <w:rPr>
          <w:rFonts w:hint="eastAsia" w:ascii="仿宋" w:hAnsi="仿宋" w:eastAsia="仿宋" w:cs="仿宋"/>
          <w:b/>
          <w:bCs/>
          <w:color w:val="auto"/>
          <w:sz w:val="24"/>
          <w:szCs w:val="24"/>
          <w:highlight w:val="none"/>
        </w:rPr>
        <w:t>文件、</w:t>
      </w:r>
      <w:r>
        <w:rPr>
          <w:rFonts w:hint="eastAsia" w:ascii="仿宋" w:hAnsi="仿宋" w:eastAsia="仿宋" w:cs="仿宋"/>
          <w:b/>
          <w:bCs/>
          <w:color w:val="auto"/>
          <w:sz w:val="24"/>
          <w:szCs w:val="24"/>
          <w:highlight w:val="none"/>
          <w:lang w:val="en-US" w:eastAsia="zh-CN"/>
        </w:rPr>
        <w:t>中标单位</w:t>
      </w:r>
      <w:r>
        <w:rPr>
          <w:rFonts w:hint="eastAsia" w:ascii="仿宋" w:hAnsi="仿宋" w:eastAsia="仿宋" w:cs="仿宋"/>
          <w:b/>
          <w:bCs/>
          <w:color w:val="auto"/>
          <w:sz w:val="24"/>
          <w:szCs w:val="24"/>
          <w:highlight w:val="none"/>
          <w:lang w:eastAsia="zh-CN"/>
        </w:rPr>
        <w:t>投标</w:t>
      </w:r>
      <w:r>
        <w:rPr>
          <w:rFonts w:hint="eastAsia" w:ascii="仿宋" w:hAnsi="仿宋" w:eastAsia="仿宋" w:cs="仿宋"/>
          <w:b/>
          <w:bCs/>
          <w:color w:val="auto"/>
          <w:sz w:val="24"/>
          <w:szCs w:val="24"/>
          <w:highlight w:val="none"/>
        </w:rPr>
        <w:t>文件及</w:t>
      </w:r>
      <w:r>
        <w:rPr>
          <w:rFonts w:hint="eastAsia" w:ascii="仿宋" w:hAnsi="仿宋" w:eastAsia="仿宋" w:cs="仿宋"/>
          <w:b/>
          <w:bCs/>
          <w:color w:val="auto"/>
          <w:sz w:val="24"/>
          <w:szCs w:val="24"/>
          <w:highlight w:val="none"/>
          <w:lang w:val="en-US" w:eastAsia="zh-CN"/>
        </w:rPr>
        <w:t>投标</w:t>
      </w:r>
      <w:r>
        <w:rPr>
          <w:rFonts w:hint="eastAsia" w:ascii="仿宋" w:hAnsi="仿宋" w:eastAsia="仿宋" w:cs="仿宋"/>
          <w:b/>
          <w:bCs/>
          <w:color w:val="auto"/>
          <w:sz w:val="24"/>
          <w:szCs w:val="24"/>
          <w:highlight w:val="none"/>
        </w:rPr>
        <w:t>承诺内容等实质性要求。</w:t>
      </w:r>
    </w:p>
    <w:p w14:paraId="2A87C1E6">
      <w:pPr>
        <w:pStyle w:val="3"/>
        <w:rPr>
          <w:rFonts w:hint="eastAsia" w:ascii="仿宋" w:hAnsi="仿宋" w:eastAsia="仿宋" w:cs="仿宋"/>
          <w:color w:val="auto"/>
          <w:highlight w:val="none"/>
        </w:rPr>
      </w:pPr>
    </w:p>
    <w:p w14:paraId="49136715">
      <w:pPr>
        <w:rPr>
          <w:rFonts w:hint="eastAsia"/>
          <w:color w:val="auto"/>
          <w:highlight w:val="none"/>
        </w:rPr>
      </w:pPr>
    </w:p>
    <w:p w14:paraId="451F65AC">
      <w:pPr>
        <w:pStyle w:val="11"/>
        <w:rPr>
          <w:rFonts w:hint="eastAsia"/>
          <w:color w:val="auto"/>
          <w:highlight w:val="none"/>
        </w:rPr>
      </w:pPr>
    </w:p>
    <w:p w14:paraId="1F22F400">
      <w:pPr>
        <w:pStyle w:val="11"/>
        <w:rPr>
          <w:rFonts w:hint="eastAsia"/>
          <w:color w:val="auto"/>
          <w:highlight w:val="none"/>
        </w:rPr>
      </w:pPr>
    </w:p>
    <w:p w14:paraId="3D8ADA46">
      <w:pPr>
        <w:pStyle w:val="11"/>
        <w:rPr>
          <w:rFonts w:hint="eastAsia"/>
          <w:color w:val="auto"/>
          <w:highlight w:val="none"/>
        </w:rPr>
      </w:pPr>
    </w:p>
    <w:p w14:paraId="355B9CFB">
      <w:pPr>
        <w:pStyle w:val="11"/>
        <w:rPr>
          <w:rFonts w:hint="eastAsia"/>
          <w:color w:val="auto"/>
          <w:highlight w:val="none"/>
        </w:rPr>
      </w:pPr>
    </w:p>
    <w:p w14:paraId="2559653E">
      <w:pPr>
        <w:pStyle w:val="11"/>
        <w:rPr>
          <w:rFonts w:hint="eastAsia"/>
          <w:color w:val="auto"/>
          <w:highlight w:val="none"/>
        </w:rPr>
      </w:pPr>
    </w:p>
    <w:p w14:paraId="164D833A">
      <w:pPr>
        <w:pStyle w:val="11"/>
        <w:rPr>
          <w:rFonts w:hint="eastAsia"/>
          <w:color w:val="auto"/>
          <w:highlight w:val="none"/>
        </w:rPr>
      </w:pPr>
    </w:p>
    <w:p w14:paraId="798117C6">
      <w:pPr>
        <w:pStyle w:val="11"/>
        <w:rPr>
          <w:rFonts w:hint="eastAsia"/>
          <w:color w:val="auto"/>
          <w:highlight w:val="none"/>
        </w:rPr>
      </w:pPr>
    </w:p>
    <w:p w14:paraId="68BBE72D">
      <w:pPr>
        <w:pStyle w:val="11"/>
        <w:rPr>
          <w:rFonts w:hint="eastAsia"/>
          <w:color w:val="auto"/>
          <w:highlight w:val="none"/>
        </w:rPr>
      </w:pPr>
    </w:p>
    <w:p w14:paraId="5F5A223F">
      <w:pPr>
        <w:pStyle w:val="11"/>
        <w:rPr>
          <w:rFonts w:hint="eastAsia"/>
          <w:color w:val="auto"/>
          <w:highlight w:val="none"/>
        </w:rPr>
      </w:pPr>
    </w:p>
    <w:p w14:paraId="1247E633">
      <w:pPr>
        <w:pStyle w:val="11"/>
        <w:rPr>
          <w:rFonts w:hint="eastAsia"/>
          <w:color w:val="auto"/>
          <w:highlight w:val="none"/>
        </w:rPr>
      </w:pPr>
    </w:p>
    <w:p w14:paraId="399E308A">
      <w:pPr>
        <w:pStyle w:val="11"/>
        <w:rPr>
          <w:rFonts w:hint="eastAsia"/>
          <w:color w:val="auto"/>
          <w:highlight w:val="none"/>
        </w:rPr>
      </w:pPr>
    </w:p>
    <w:p w14:paraId="2B463DBA">
      <w:pPr>
        <w:pStyle w:val="11"/>
        <w:rPr>
          <w:rFonts w:hint="eastAsia"/>
          <w:color w:val="auto"/>
          <w:highlight w:val="none"/>
        </w:rPr>
      </w:pPr>
    </w:p>
    <w:p w14:paraId="0CA979E8">
      <w:pPr>
        <w:pStyle w:val="11"/>
        <w:rPr>
          <w:rFonts w:hint="eastAsia"/>
          <w:color w:val="auto"/>
          <w:highlight w:val="none"/>
        </w:rPr>
      </w:pPr>
    </w:p>
    <w:p w14:paraId="5A7A195A">
      <w:pPr>
        <w:keepNext w:val="0"/>
        <w:keepLines w:val="0"/>
        <w:pageBreakBefore w:val="0"/>
        <w:widowControl w:val="0"/>
        <w:kinsoku/>
        <w:wordWrap/>
        <w:overflowPunct/>
        <w:topLinePunct w:val="0"/>
        <w:autoSpaceDE/>
        <w:autoSpaceDN/>
        <w:bidi w:val="0"/>
        <w:spacing w:line="240" w:lineRule="auto"/>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附件一：</w:t>
      </w:r>
    </w:p>
    <w:p w14:paraId="7250BFDA">
      <w:pPr>
        <w:keepNext w:val="0"/>
        <w:keepLines w:val="0"/>
        <w:pageBreakBefore w:val="0"/>
        <w:widowControl w:val="0"/>
        <w:kinsoku/>
        <w:wordWrap/>
        <w:overflowPunct/>
        <w:topLinePunct w:val="0"/>
        <w:autoSpaceDE/>
        <w:autoSpaceDN/>
        <w:bidi w:val="0"/>
        <w:spacing w:line="240" w:lineRule="auto"/>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隧道设施考核办法</w:t>
      </w:r>
    </w:p>
    <w:p w14:paraId="241A2B86">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为进一步提升城市综合服务功能和城市整体品位，规范隧道设施日常养护管理，切实提高隧道设施养护质量，充分发挥隧道设施使用功能，确保隧道设施安全运行，根据</w:t>
      </w:r>
      <w:r>
        <w:rPr>
          <w:rFonts w:hint="eastAsia" w:ascii="仿宋" w:hAnsi="仿宋" w:eastAsia="仿宋" w:cs="仿宋"/>
          <w:b w:val="0"/>
          <w:bCs w:val="0"/>
          <w:color w:val="auto"/>
          <w:sz w:val="24"/>
          <w:szCs w:val="24"/>
          <w:highlight w:val="none"/>
          <w:lang w:val="en-US" w:eastAsia="zh-CN"/>
        </w:rPr>
        <w:t>相关法律法规和</w:t>
      </w:r>
      <w:r>
        <w:rPr>
          <w:rFonts w:hint="eastAsia" w:ascii="仿宋" w:hAnsi="仿宋" w:eastAsia="仿宋" w:cs="仿宋"/>
          <w:b w:val="0"/>
          <w:bCs w:val="0"/>
          <w:color w:val="auto"/>
          <w:sz w:val="24"/>
          <w:szCs w:val="24"/>
          <w:highlight w:val="none"/>
        </w:rPr>
        <w:t>养护规范，特制定本考核办法。</w:t>
      </w:r>
    </w:p>
    <w:p w14:paraId="23AADEF1">
      <w:pPr>
        <w:pStyle w:val="54"/>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rPr>
        <w:t>一、考核</w:t>
      </w:r>
      <w:r>
        <w:rPr>
          <w:rFonts w:hint="eastAsia" w:ascii="仿宋" w:hAnsi="仿宋" w:eastAsia="仿宋" w:cs="仿宋"/>
          <w:b w:val="0"/>
          <w:bCs w:val="0"/>
          <w:color w:val="auto"/>
          <w:sz w:val="24"/>
          <w:szCs w:val="24"/>
          <w:highlight w:val="none"/>
          <w:lang w:val="en-US" w:eastAsia="zh-CN"/>
        </w:rPr>
        <w:t>要求与范围</w:t>
      </w:r>
    </w:p>
    <w:p w14:paraId="49E5AE9A">
      <w:pPr>
        <w:pStyle w:val="54"/>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1.考核主体：衢州智慧新城管理委员会</w:t>
      </w:r>
    </w:p>
    <w:p w14:paraId="7A64EBB0">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考核对象：</w:t>
      </w:r>
    </w:p>
    <w:p w14:paraId="0F06CB92">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3.考核小组:</w:t>
      </w:r>
    </w:p>
    <w:p w14:paraId="7D76D870">
      <w:pPr>
        <w:pStyle w:val="54"/>
        <w:keepNext w:val="0"/>
        <w:keepLines w:val="0"/>
        <w:pageBreakBefore w:val="0"/>
        <w:widowControl w:val="0"/>
        <w:kinsoku/>
        <w:wordWrap/>
        <w:overflowPunct/>
        <w:topLinePunct w:val="0"/>
        <w:autoSpaceDE/>
        <w:autoSpaceDN/>
        <w:bidi w:val="0"/>
        <w:adjustRightInd w:val="0"/>
        <w:snapToGrid w:val="0"/>
        <w:spacing w:line="440" w:lineRule="exact"/>
        <w:ind w:firstLine="960" w:firstLineChars="4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组长：</w:t>
      </w:r>
    </w:p>
    <w:p w14:paraId="3CCE3E40">
      <w:pPr>
        <w:pStyle w:val="54"/>
        <w:keepNext w:val="0"/>
        <w:keepLines w:val="0"/>
        <w:pageBreakBefore w:val="0"/>
        <w:widowControl w:val="0"/>
        <w:kinsoku/>
        <w:wordWrap/>
        <w:overflowPunct/>
        <w:topLinePunct w:val="0"/>
        <w:autoSpaceDE/>
        <w:autoSpaceDN/>
        <w:bidi w:val="0"/>
        <w:adjustRightInd w:val="0"/>
        <w:snapToGrid w:val="0"/>
        <w:spacing w:line="440" w:lineRule="exact"/>
        <w:ind w:firstLine="960" w:firstLineChars="4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副组长：</w:t>
      </w:r>
    </w:p>
    <w:p w14:paraId="1A61B518">
      <w:pPr>
        <w:pStyle w:val="54"/>
        <w:keepNext w:val="0"/>
        <w:keepLines w:val="0"/>
        <w:pageBreakBefore w:val="0"/>
        <w:widowControl w:val="0"/>
        <w:kinsoku/>
        <w:wordWrap/>
        <w:overflowPunct/>
        <w:topLinePunct w:val="0"/>
        <w:autoSpaceDE/>
        <w:autoSpaceDN/>
        <w:bidi w:val="0"/>
        <w:adjustRightInd w:val="0"/>
        <w:snapToGrid w:val="0"/>
        <w:spacing w:line="440" w:lineRule="exact"/>
        <w:ind w:firstLine="960" w:firstLineChars="4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组员：</w:t>
      </w:r>
    </w:p>
    <w:p w14:paraId="4F635FE5">
      <w:pPr>
        <w:pStyle w:val="54"/>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4.考核范围：衢州市智慧新城隧道运营项目，设施清单如下：</w:t>
      </w: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04"/>
        <w:gridCol w:w="5618"/>
      </w:tblGrid>
      <w:tr w14:paraId="224E8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tcPr>
          <w:p w14:paraId="595003A1">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5618" w:type="dxa"/>
          </w:tcPr>
          <w:p w14:paraId="5E0F6F81">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隧道名称</w:t>
            </w:r>
          </w:p>
        </w:tc>
      </w:tr>
      <w:tr w14:paraId="43985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tcPr>
          <w:p w14:paraId="661E1325">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w:t>
            </w:r>
          </w:p>
        </w:tc>
        <w:tc>
          <w:tcPr>
            <w:tcW w:w="5618" w:type="dxa"/>
          </w:tcPr>
          <w:p w14:paraId="310984D9">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三江中路隧道</w:t>
            </w:r>
          </w:p>
        </w:tc>
      </w:tr>
      <w:tr w14:paraId="0D188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tcPr>
          <w:p w14:paraId="01387998">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w:t>
            </w:r>
          </w:p>
        </w:tc>
        <w:tc>
          <w:tcPr>
            <w:tcW w:w="5618" w:type="dxa"/>
          </w:tcPr>
          <w:p w14:paraId="2A1C2E5A">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荷一路隧道</w:t>
            </w:r>
          </w:p>
        </w:tc>
      </w:tr>
      <w:tr w14:paraId="353D9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tcPr>
          <w:p w14:paraId="29947031">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w:t>
            </w:r>
          </w:p>
        </w:tc>
        <w:tc>
          <w:tcPr>
            <w:tcW w:w="5618" w:type="dxa"/>
          </w:tcPr>
          <w:p w14:paraId="40816E5F">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九华大道隧道</w:t>
            </w:r>
          </w:p>
        </w:tc>
      </w:tr>
      <w:tr w14:paraId="4E7C4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4" w:type="dxa"/>
          </w:tcPr>
          <w:p w14:paraId="45DB3A63">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w:t>
            </w:r>
          </w:p>
        </w:tc>
        <w:tc>
          <w:tcPr>
            <w:tcW w:w="5618" w:type="dxa"/>
          </w:tcPr>
          <w:p w14:paraId="4E8F01ED">
            <w:pPr>
              <w:pStyle w:val="54"/>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jc w:val="center"/>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紫薇隧道</w:t>
            </w:r>
          </w:p>
        </w:tc>
      </w:tr>
    </w:tbl>
    <w:p w14:paraId="48BC3DD7">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以单个隧道设施</w:t>
      </w:r>
      <w:r>
        <w:rPr>
          <w:rFonts w:hint="eastAsia" w:ascii="仿宋" w:hAnsi="仿宋" w:eastAsia="仿宋" w:cs="仿宋"/>
          <w:b w:val="0"/>
          <w:bCs w:val="0"/>
          <w:color w:val="auto"/>
          <w:sz w:val="24"/>
          <w:szCs w:val="24"/>
          <w:highlight w:val="none"/>
        </w:rPr>
        <w:t>作为</w:t>
      </w:r>
      <w:r>
        <w:rPr>
          <w:rFonts w:hint="eastAsia" w:ascii="仿宋" w:hAnsi="仿宋" w:eastAsia="仿宋" w:cs="仿宋"/>
          <w:b w:val="0"/>
          <w:bCs w:val="0"/>
          <w:color w:val="auto"/>
          <w:sz w:val="24"/>
          <w:szCs w:val="24"/>
          <w:highlight w:val="none"/>
          <w:lang w:val="en-US" w:eastAsia="zh-CN"/>
        </w:rPr>
        <w:t>一个</w:t>
      </w:r>
      <w:r>
        <w:rPr>
          <w:rFonts w:hint="eastAsia" w:ascii="仿宋" w:hAnsi="仿宋" w:eastAsia="仿宋" w:cs="仿宋"/>
          <w:b w:val="0"/>
          <w:bCs w:val="0"/>
          <w:color w:val="auto"/>
          <w:sz w:val="24"/>
          <w:szCs w:val="24"/>
          <w:highlight w:val="none"/>
        </w:rPr>
        <w:t>考核单元，隧道养护范围包括设施主体及其附属设施，具体以设施量清单等为准。</w:t>
      </w:r>
    </w:p>
    <w:p w14:paraId="1A6DF590">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二</w:t>
      </w:r>
      <w:r>
        <w:rPr>
          <w:rFonts w:hint="eastAsia" w:ascii="仿宋" w:hAnsi="仿宋" w:eastAsia="仿宋" w:cs="仿宋"/>
          <w:b w:val="0"/>
          <w:bCs w:val="0"/>
          <w:color w:val="auto"/>
          <w:sz w:val="24"/>
          <w:szCs w:val="24"/>
          <w:highlight w:val="none"/>
        </w:rPr>
        <w:t>、考核依据</w:t>
      </w:r>
    </w:p>
    <w:p w14:paraId="5BF41255">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1.《城市道路管理条例》（国务院第198号令）</w:t>
      </w:r>
    </w:p>
    <w:p w14:paraId="12A2C31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rPr>
        <w:t>.《</w:t>
      </w:r>
      <w:r>
        <w:rPr>
          <w:rStyle w:val="95"/>
          <w:rFonts w:hint="eastAsia" w:ascii="仿宋" w:hAnsi="仿宋" w:eastAsia="仿宋" w:cs="仿宋"/>
          <w:b w:val="0"/>
          <w:bCs w:val="0"/>
          <w:i w:val="0"/>
          <w:color w:val="auto"/>
          <w:sz w:val="24"/>
          <w:szCs w:val="24"/>
          <w:highlight w:val="none"/>
        </w:rPr>
        <w:t>公路隧道养护技术规范》</w:t>
      </w:r>
      <w:r>
        <w:rPr>
          <w:rFonts w:hint="eastAsia" w:ascii="仿宋" w:hAnsi="仿宋" w:eastAsia="仿宋" w:cs="仿宋"/>
          <w:b w:val="0"/>
          <w:bCs w:val="0"/>
          <w:color w:val="auto"/>
          <w:sz w:val="24"/>
          <w:szCs w:val="24"/>
          <w:highlight w:val="none"/>
        </w:rPr>
        <w:t>（JTGH12-2015）</w:t>
      </w:r>
    </w:p>
    <w:p w14:paraId="4DF0CD0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3.《城市道路养护技术规范》（CJJ36-2016）</w:t>
      </w:r>
    </w:p>
    <w:p w14:paraId="13C7DE1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浙江隧道养护技术规范征求意见稿</w:t>
      </w:r>
      <w:r>
        <w:rPr>
          <w:rFonts w:hint="eastAsia" w:ascii="仿宋" w:hAnsi="仿宋" w:eastAsia="仿宋" w:cs="仿宋"/>
          <w:b w:val="0"/>
          <w:bCs w:val="0"/>
          <w:color w:val="auto"/>
          <w:sz w:val="24"/>
          <w:szCs w:val="24"/>
          <w:highlight w:val="none"/>
        </w:rPr>
        <w:t>》</w:t>
      </w:r>
    </w:p>
    <w:p w14:paraId="1535BDA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i w:val="0"/>
          <w:caps w:val="0"/>
          <w:color w:val="auto"/>
          <w:spacing w:val="0"/>
          <w:sz w:val="24"/>
          <w:szCs w:val="24"/>
          <w:highlight w:val="none"/>
          <w:shd w:val="clear" w:color="auto" w:fill="FFFFFF"/>
          <w:lang w:val="en-US" w:eastAsia="zh-CN"/>
        </w:rPr>
        <w:t>《衢州市城市隧道养护工作指导意见》</w:t>
      </w:r>
    </w:p>
    <w:p w14:paraId="4AEEDD2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6</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rPr>
        <w:t>隧道设施相关招标文件、投标文件和养护合同。</w:t>
      </w:r>
    </w:p>
    <w:p w14:paraId="6FDDF574">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w:t>
      </w:r>
      <w:r>
        <w:rPr>
          <w:rFonts w:hint="eastAsia" w:ascii="仿宋" w:hAnsi="仿宋" w:eastAsia="仿宋" w:cs="仿宋"/>
          <w:b w:val="0"/>
          <w:bCs w:val="0"/>
          <w:color w:val="auto"/>
          <w:sz w:val="24"/>
          <w:szCs w:val="24"/>
          <w:highlight w:val="none"/>
        </w:rPr>
        <w:t>、考核内容</w:t>
      </w:r>
      <w:r>
        <w:rPr>
          <w:rFonts w:hint="eastAsia" w:ascii="仿宋" w:hAnsi="仿宋" w:eastAsia="仿宋" w:cs="仿宋"/>
          <w:b w:val="0"/>
          <w:bCs w:val="0"/>
          <w:color w:val="auto"/>
          <w:sz w:val="24"/>
          <w:szCs w:val="24"/>
          <w:highlight w:val="none"/>
          <w:lang w:val="en-US" w:eastAsia="zh-CN"/>
        </w:rPr>
        <w:t>及方式</w:t>
      </w:r>
    </w:p>
    <w:p w14:paraId="1054B579">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考核</w:t>
      </w:r>
      <w:r>
        <w:rPr>
          <w:rFonts w:hint="eastAsia" w:ascii="仿宋" w:hAnsi="仿宋" w:eastAsia="仿宋" w:cs="仿宋"/>
          <w:b w:val="0"/>
          <w:bCs w:val="0"/>
          <w:color w:val="auto"/>
          <w:sz w:val="24"/>
          <w:szCs w:val="24"/>
          <w:highlight w:val="none"/>
        </w:rPr>
        <w:t>内容主要</w:t>
      </w:r>
      <w:r>
        <w:rPr>
          <w:rFonts w:hint="eastAsia" w:ascii="仿宋" w:hAnsi="仿宋" w:eastAsia="仿宋" w:cs="仿宋"/>
          <w:b w:val="0"/>
          <w:bCs w:val="0"/>
          <w:color w:val="auto"/>
          <w:sz w:val="24"/>
          <w:szCs w:val="24"/>
          <w:highlight w:val="none"/>
          <w:lang w:val="en-US" w:eastAsia="zh-CN"/>
        </w:rPr>
        <w:t>以季度考核的形式进行。</w:t>
      </w:r>
    </w:p>
    <w:p w14:paraId="5BA189C3">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季度考核包含安全生产考核、日常维护考核、现场定期检查考核（不含质保期内施工单位遗留问题）</w:t>
      </w:r>
      <w:r>
        <w:rPr>
          <w:rFonts w:hint="eastAsia" w:ascii="仿宋" w:hAnsi="仿宋" w:eastAsia="仿宋" w:cs="仿宋"/>
          <w:b w:val="0"/>
          <w:bCs w:val="0"/>
          <w:color w:val="auto"/>
          <w:sz w:val="24"/>
          <w:szCs w:val="24"/>
          <w:highlight w:val="none"/>
        </w:rPr>
        <w:t>。</w:t>
      </w:r>
    </w:p>
    <w:p w14:paraId="356A9AEE">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安全生产考核：该季度运营过程中产生的安全生产责任事故。得分计入《季度考核汇总表》，该项为扣分项，单独进行计分。</w:t>
      </w:r>
    </w:p>
    <w:p w14:paraId="23BAA551">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日常维护考核：检查考核评价内容有计划落实、自查自该、督查整改、隐患整治、突发事件处置、档案资料、宣传报道等方面。得分计入《季度考核汇总表》，分值权重为30%。</w:t>
      </w:r>
    </w:p>
    <w:p w14:paraId="110BC7CF">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现场定期检查考核：考核单位应提前通知养护单位，明确考核时间、资料及其他事项。考核当日，对现场设施开展检查考核时，应由养护单位人员共同参与。每季度对每座隧道设施进行考核，总得分为多座设施单个得分的平均值。得分计入《季度考核汇总表》中，分值权重为70%。</w:t>
      </w:r>
    </w:p>
    <w:p w14:paraId="4BE42405">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考核结果对安全生产考核、日常维护考核、现场定期检查考核进行整理汇总，经过签字确认后当场公布。</w:t>
      </w:r>
    </w:p>
    <w:p w14:paraId="3D0CB040">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四、创新创优</w:t>
      </w:r>
    </w:p>
    <w:p w14:paraId="19F121AA">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在经验推广、评奖评优、社会责任等方面取得良好表现及成绩的，可在当季度考核中单独给予加分。</w:t>
      </w:r>
    </w:p>
    <w:p w14:paraId="4922C451">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经验推广：在运营过程中，得到市区、省、国家级正面媒体宣传报道或运营经验推广，每项分别加1分、3分、5分。</w:t>
      </w:r>
    </w:p>
    <w:p w14:paraId="55AAE941">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评奖评优：取得市区、省、国家级荣誉或表彰，每项分别加1分、3分、5分。</w:t>
      </w:r>
    </w:p>
    <w:p w14:paraId="051354FC">
      <w:pPr>
        <w:keepNext w:val="0"/>
        <w:keepLines w:val="0"/>
        <w:pageBreakBefore w:val="0"/>
        <w:widowControl w:val="0"/>
        <w:kinsoku/>
        <w:wordWrap/>
        <w:overflowPunct/>
        <w:topLinePunct w:val="0"/>
        <w:autoSpaceDE/>
        <w:autoSpaceDN/>
        <w:bidi w:val="0"/>
        <w:adjustRightInd w:val="0"/>
        <w:snapToGrid w:val="0"/>
        <w:spacing w:line="440" w:lineRule="exact"/>
        <w:ind w:firstLine="446" w:firstLineChars="186"/>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社会责任：积极配合重点工作、重大活动的开展，参与公益事业，完成主管部门交办的任务，取得良好成果，每项加2分。</w:t>
      </w:r>
    </w:p>
    <w:p w14:paraId="11E7614D">
      <w:pPr>
        <w:pStyle w:val="54"/>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五</w:t>
      </w:r>
      <w:r>
        <w:rPr>
          <w:rFonts w:hint="eastAsia" w:ascii="仿宋" w:hAnsi="仿宋" w:eastAsia="仿宋" w:cs="仿宋"/>
          <w:b w:val="0"/>
          <w:bCs w:val="0"/>
          <w:color w:val="auto"/>
          <w:sz w:val="24"/>
          <w:szCs w:val="24"/>
          <w:highlight w:val="none"/>
        </w:rPr>
        <w:t>、养护</w:t>
      </w:r>
      <w:r>
        <w:rPr>
          <w:rFonts w:hint="eastAsia" w:ascii="仿宋" w:hAnsi="仿宋" w:eastAsia="仿宋" w:cs="仿宋"/>
          <w:b w:val="0"/>
          <w:bCs w:val="0"/>
          <w:color w:val="auto"/>
          <w:sz w:val="24"/>
          <w:szCs w:val="24"/>
          <w:highlight w:val="none"/>
          <w:lang w:val="en-US" w:eastAsia="zh-CN"/>
        </w:rPr>
        <w:t>费用计算与支付</w:t>
      </w:r>
    </w:p>
    <w:p w14:paraId="74FEE4F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考核结果作为支付当季度养护费用计算的依据。</w:t>
      </w:r>
    </w:p>
    <w:p w14:paraId="0EABA82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1.项目当次季度考核得分大于等于90分时，当次考核养护无扣款。</w:t>
      </w:r>
    </w:p>
    <w:p w14:paraId="2090480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2.项目当次季度考核等分小于90分时，当次考核养护扣款按照如下公式：</w:t>
      </w:r>
    </w:p>
    <w:p w14:paraId="1C4A9306">
      <w:pPr>
        <w:keepNext w:val="0"/>
        <w:keepLines w:val="0"/>
        <w:pageBreakBefore w:val="0"/>
        <w:widowControl w:val="0"/>
        <w:kinsoku/>
        <w:wordWrap/>
        <w:overflowPunct/>
        <w:topLinePunct w:val="0"/>
        <w:autoSpaceDE/>
        <w:autoSpaceDN/>
        <w:bidi w:val="0"/>
        <w:adjustRightInd w:val="0"/>
        <w:snapToGrid w:val="0"/>
        <w:spacing w:line="440" w:lineRule="exact"/>
        <w:ind w:firstLine="648" w:firstLineChars="270"/>
        <w:textAlignment w:val="auto"/>
        <w:rPr>
          <w:rFonts w:hint="eastAsia" w:ascii="仿宋" w:hAnsi="仿宋" w:eastAsia="仿宋" w:cs="仿宋"/>
          <w:b w:val="0"/>
          <w:bCs w:val="0"/>
          <w:color w:val="auto"/>
          <w:sz w:val="24"/>
          <w:szCs w:val="24"/>
          <w:highlight w:val="none"/>
          <w:lang w:val="en-US" w:eastAsia="zh-CN"/>
        </w:rPr>
      </w:pPr>
      <m:oMathPara>
        <m:oMath>
          <m:r>
            <m:rPr>
              <m:sty m:val="p"/>
            </m:rPr>
            <w:rPr>
              <w:rFonts w:hint="eastAsia" w:ascii="Cambria Math" w:hAnsi="Cambria Math" w:eastAsia="仿宋" w:cs="仿宋"/>
              <w:color w:val="auto"/>
              <w:kern w:val="2"/>
              <w:sz w:val="24"/>
              <w:szCs w:val="24"/>
              <w:highlight w:val="none"/>
              <w:lang w:val="en-US" w:eastAsia="zh-CN" w:bidi="ar-SA"/>
            </w:rPr>
            <m:t>K=（90−x）</m:t>
          </m:r>
          <m:r>
            <m:rPr>
              <m:sty m:val="p"/>
            </m:rPr>
            <w:rPr>
              <w:rFonts w:hint="eastAsia" w:ascii="Cambria Math" w:hAnsi="Cambria Math" w:eastAsia="仿宋" w:cs="仿宋"/>
              <w:color w:val="auto"/>
              <w:kern w:val="2"/>
              <w:sz w:val="24"/>
              <w:szCs w:val="24"/>
              <w:highlight w:val="none"/>
              <w:lang w:val="en-US" w:bidi="ar-SA"/>
            </w:rPr>
            <m:t>×</m:t>
          </m:r>
          <m:r>
            <m:rPr>
              <m:sty m:val="p"/>
            </m:rPr>
            <w:rPr>
              <w:rFonts w:hint="eastAsia" w:ascii="Cambria Math" w:hAnsi="Cambria Math" w:eastAsia="仿宋" w:cs="仿宋"/>
              <w:color w:val="auto"/>
              <w:kern w:val="2"/>
              <w:sz w:val="24"/>
              <w:szCs w:val="24"/>
              <w:highlight w:val="none"/>
              <w:lang w:val="en-US" w:eastAsia="zh-CN" w:bidi="ar-SA"/>
            </w:rPr>
            <m:t>5000元        （x</m:t>
          </m:r>
          <m:r>
            <m:rPr>
              <m:sty m:val="p"/>
            </m:rPr>
            <w:rPr>
              <w:rFonts w:hint="eastAsia" w:ascii="Cambria Math" w:hAnsi="Cambria Math" w:eastAsia="仿宋" w:cs="仿宋"/>
              <w:color w:val="auto"/>
              <w:kern w:val="2"/>
              <w:sz w:val="24"/>
              <w:szCs w:val="24"/>
              <w:highlight w:val="none"/>
              <w:lang w:val="en-US" w:bidi="ar-SA"/>
            </w:rPr>
            <m:t>&lt;</m:t>
          </m:r>
          <m:r>
            <m:rPr>
              <m:sty m:val="p"/>
            </m:rPr>
            <w:rPr>
              <w:rFonts w:hint="eastAsia" w:ascii="Cambria Math" w:hAnsi="Cambria Math" w:eastAsia="仿宋" w:cs="仿宋"/>
              <w:color w:val="auto"/>
              <w:kern w:val="2"/>
              <w:sz w:val="24"/>
              <w:szCs w:val="24"/>
              <w:highlight w:val="none"/>
              <w:lang w:val="en-US" w:eastAsia="zh-CN" w:bidi="ar-SA"/>
            </w:rPr>
            <m:t>90）</m:t>
          </m:r>
        </m:oMath>
      </m:oMathPara>
    </w:p>
    <w:p w14:paraId="23B8A2E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仿宋" w:hAnsi="仿宋" w:eastAsia="仿宋" w:cs="仿宋"/>
          <w:b w:val="0"/>
          <w:bCs w:val="0"/>
          <w:color w:val="auto"/>
          <w:sz w:val="24"/>
          <w:szCs w:val="24"/>
          <w:highlight w:val="none"/>
        </w:rPr>
      </w:pPr>
      <m:oMath>
        <m:r>
          <m:rPr>
            <m:sty m:val="p"/>
          </m:rPr>
          <w:rPr>
            <w:rFonts w:hint="eastAsia" w:ascii="Cambria Math" w:hAnsi="Cambria Math" w:eastAsia="仿宋" w:cs="仿宋"/>
            <w:color w:val="auto"/>
            <w:kern w:val="2"/>
            <w:sz w:val="24"/>
            <w:szCs w:val="24"/>
            <w:highlight w:val="none"/>
            <w:lang w:val="en-US" w:eastAsia="zh-CN" w:bidi="ar-SA"/>
          </w:rPr>
          <m:t>x</m:t>
        </m:r>
      </m:oMath>
      <w:r>
        <w:rPr>
          <w:rFonts w:hint="eastAsia" w:ascii="仿宋" w:hAnsi="仿宋" w:eastAsia="仿宋" w:cs="仿宋"/>
          <w:b w:val="0"/>
          <w:bCs w:val="0"/>
          <w:color w:val="auto"/>
          <w:sz w:val="24"/>
          <w:szCs w:val="24"/>
          <w:highlight w:val="none"/>
        </w:rPr>
        <w:t>为</w:t>
      </w:r>
      <w:r>
        <w:rPr>
          <w:rFonts w:hint="eastAsia" w:ascii="仿宋" w:hAnsi="仿宋" w:eastAsia="仿宋" w:cs="仿宋"/>
          <w:b w:val="0"/>
          <w:bCs w:val="0"/>
          <w:color w:val="auto"/>
          <w:sz w:val="24"/>
          <w:szCs w:val="24"/>
          <w:highlight w:val="none"/>
          <w:lang w:val="en-US" w:eastAsia="zh-CN"/>
        </w:rPr>
        <w:t>季度</w:t>
      </w:r>
      <w:r>
        <w:rPr>
          <w:rFonts w:hint="eastAsia" w:ascii="仿宋" w:hAnsi="仿宋" w:eastAsia="仿宋" w:cs="仿宋"/>
          <w:b w:val="0"/>
          <w:bCs w:val="0"/>
          <w:color w:val="auto"/>
          <w:sz w:val="24"/>
          <w:szCs w:val="24"/>
          <w:highlight w:val="none"/>
        </w:rPr>
        <w:t>度考核分数,</w:t>
      </w:r>
      <m:oMath>
        <m:r>
          <m:rPr>
            <m:sty m:val="p"/>
          </m:rPr>
          <w:rPr>
            <w:rFonts w:hint="eastAsia" w:ascii="Cambria Math" w:hAnsi="Cambria Math" w:eastAsia="仿宋" w:cs="仿宋"/>
            <w:color w:val="auto"/>
            <w:kern w:val="2"/>
            <w:sz w:val="24"/>
            <w:szCs w:val="24"/>
            <w:highlight w:val="none"/>
            <w:lang w:val="en-US" w:eastAsia="zh-CN" w:bidi="ar-SA"/>
          </w:rPr>
          <m:t>K</m:t>
        </m:r>
      </m:oMath>
      <w:r>
        <w:rPr>
          <w:rFonts w:hint="eastAsia" w:ascii="仿宋" w:hAnsi="仿宋" w:eastAsia="仿宋" w:cs="仿宋"/>
          <w:b w:val="0"/>
          <w:bCs w:val="0"/>
          <w:color w:val="auto"/>
          <w:sz w:val="24"/>
          <w:szCs w:val="24"/>
          <w:highlight w:val="none"/>
        </w:rPr>
        <w:t>为</w:t>
      </w:r>
      <w:r>
        <w:rPr>
          <w:rFonts w:hint="eastAsia" w:ascii="仿宋" w:hAnsi="仿宋" w:eastAsia="仿宋" w:cs="仿宋"/>
          <w:b w:val="0"/>
          <w:bCs w:val="0"/>
          <w:color w:val="auto"/>
          <w:sz w:val="24"/>
          <w:szCs w:val="24"/>
          <w:highlight w:val="none"/>
          <w:lang w:val="en-US" w:eastAsia="zh-CN"/>
        </w:rPr>
        <w:t>季</w:t>
      </w:r>
      <w:r>
        <w:rPr>
          <w:rFonts w:hint="eastAsia" w:ascii="仿宋" w:hAnsi="仿宋" w:eastAsia="仿宋" w:cs="仿宋"/>
          <w:b w:val="0"/>
          <w:bCs w:val="0"/>
          <w:color w:val="auto"/>
          <w:sz w:val="24"/>
          <w:szCs w:val="24"/>
          <w:highlight w:val="none"/>
        </w:rPr>
        <w:t>度考核养护扣款。</w:t>
      </w:r>
    </w:p>
    <w:p w14:paraId="04FCD2C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考核完成后，甲方出具考核成绩并盖章确认，</w:t>
      </w:r>
      <w:r>
        <w:rPr>
          <w:rFonts w:hint="eastAsia" w:ascii="仿宋" w:hAnsi="仿宋" w:eastAsia="仿宋" w:cs="仿宋"/>
          <w:b w:val="0"/>
          <w:bCs w:val="0"/>
          <w:color w:val="auto"/>
          <w:sz w:val="24"/>
          <w:szCs w:val="24"/>
          <w:highlight w:val="none"/>
        </w:rPr>
        <w:t>将考核结果及养护费用通知财政并</w:t>
      </w:r>
      <w:r>
        <w:rPr>
          <w:rFonts w:hint="eastAsia" w:ascii="仿宋" w:hAnsi="仿宋" w:eastAsia="仿宋" w:cs="仿宋"/>
          <w:b w:val="0"/>
          <w:bCs w:val="0"/>
          <w:color w:val="auto"/>
          <w:sz w:val="24"/>
          <w:szCs w:val="24"/>
          <w:highlight w:val="none"/>
          <w:lang w:val="en-US" w:eastAsia="zh-CN"/>
        </w:rPr>
        <w:t>按照合同要求时间进行</w:t>
      </w:r>
      <w:r>
        <w:rPr>
          <w:rFonts w:hint="eastAsia" w:ascii="仿宋" w:hAnsi="仿宋" w:eastAsia="仿宋" w:cs="仿宋"/>
          <w:b w:val="0"/>
          <w:bCs w:val="0"/>
          <w:color w:val="auto"/>
          <w:sz w:val="24"/>
          <w:szCs w:val="24"/>
          <w:highlight w:val="none"/>
        </w:rPr>
        <w:t>支付。</w:t>
      </w:r>
    </w:p>
    <w:p w14:paraId="66698BD9">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.乙方按被告知的应得养护费用</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确认后</w:t>
      </w:r>
      <w:r>
        <w:rPr>
          <w:rFonts w:hint="eastAsia" w:ascii="仿宋" w:hAnsi="仿宋" w:eastAsia="仿宋" w:cs="仿宋"/>
          <w:b w:val="0"/>
          <w:bCs w:val="0"/>
          <w:color w:val="auto"/>
          <w:sz w:val="24"/>
          <w:szCs w:val="24"/>
          <w:highlight w:val="none"/>
        </w:rPr>
        <w:t>向甲方结算，并出具有效收据。</w:t>
      </w:r>
    </w:p>
    <w:p w14:paraId="2791B5FB">
      <w:pPr>
        <w:rPr>
          <w:rFonts w:hint="eastAsia"/>
          <w:color w:val="auto"/>
          <w:highlight w:val="none"/>
        </w:rPr>
      </w:pPr>
    </w:p>
    <w:p w14:paraId="336DF392">
      <w:pPr>
        <w:rPr>
          <w:rFonts w:hint="eastAsia"/>
          <w:color w:val="auto"/>
          <w:highlight w:val="none"/>
        </w:rPr>
      </w:pPr>
    </w:p>
    <w:p w14:paraId="1370A736">
      <w:pPr>
        <w:rPr>
          <w:rFonts w:hint="eastAsia"/>
          <w:color w:val="auto"/>
          <w:highlight w:val="none"/>
        </w:rPr>
        <w:sectPr>
          <w:footerReference r:id="rId10" w:type="default"/>
          <w:pgSz w:w="11906" w:h="16838"/>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pPr>
    </w:p>
    <w:p w14:paraId="7A216177">
      <w:pPr>
        <w:rPr>
          <w:rFonts w:hint="eastAsia" w:ascii="仿宋" w:hAnsi="仿宋" w:eastAsia="仿宋" w:cs="仿宋"/>
          <w:color w:val="auto"/>
          <w:sz w:val="24"/>
          <w:szCs w:val="24"/>
          <w:highlight w:val="none"/>
        </w:rPr>
      </w:pPr>
    </w:p>
    <w:p w14:paraId="17F788C3">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附</w:t>
      </w:r>
      <w:r>
        <w:rPr>
          <w:rFonts w:hint="eastAsia" w:ascii="仿宋" w:hAnsi="仿宋" w:eastAsia="仿宋" w:cs="仿宋"/>
          <w:b/>
          <w:bCs/>
          <w:color w:val="auto"/>
          <w:sz w:val="24"/>
          <w:szCs w:val="24"/>
          <w:highlight w:val="none"/>
          <w:lang w:val="en-US" w:eastAsia="zh-CN"/>
        </w:rPr>
        <w:t>表1：</w:t>
      </w:r>
    </w:p>
    <w:p w14:paraId="776B613D">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隧道季度考核汇总表</w:t>
      </w:r>
    </w:p>
    <w:p w14:paraId="76996AD0">
      <w:pPr>
        <w:rPr>
          <w:rFonts w:hint="eastAsia" w:ascii="仿宋" w:hAnsi="仿宋" w:eastAsia="仿宋" w:cs="仿宋"/>
          <w:color w:val="auto"/>
          <w:sz w:val="24"/>
          <w:szCs w:val="24"/>
          <w:highlight w:val="none"/>
          <w:lang w:val="en-US" w:eastAsia="zh-CN"/>
        </w:rPr>
      </w:pPr>
    </w:p>
    <w:p w14:paraId="7003623F">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被考核单位</w:t>
      </w:r>
      <w:r>
        <w:rPr>
          <w:rFonts w:hint="eastAsia" w:ascii="仿宋" w:hAnsi="仿宋" w:eastAsia="仿宋" w:cs="仿宋"/>
          <w:color w:val="auto"/>
          <w:sz w:val="24"/>
          <w:szCs w:val="24"/>
          <w:highlight w:val="none"/>
        </w:rPr>
        <w:t>：</w:t>
      </w:r>
    </w:p>
    <w:tbl>
      <w:tblPr>
        <w:tblStyle w:val="8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6"/>
        <w:gridCol w:w="4311"/>
        <w:gridCol w:w="3060"/>
        <w:gridCol w:w="1730"/>
        <w:gridCol w:w="3457"/>
      </w:tblGrid>
      <w:tr w14:paraId="44FA4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570" w:type="pct"/>
            <w:noWrap w:val="0"/>
            <w:vAlign w:val="center"/>
          </w:tcPr>
          <w:p w14:paraId="7BB34ACE">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20" w:type="pct"/>
            <w:noWrap w:val="0"/>
            <w:vAlign w:val="center"/>
          </w:tcPr>
          <w:p w14:paraId="6C31760B">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考核内容</w:t>
            </w:r>
          </w:p>
        </w:tc>
        <w:tc>
          <w:tcPr>
            <w:tcW w:w="1079" w:type="pct"/>
            <w:noWrap w:val="0"/>
            <w:vAlign w:val="center"/>
          </w:tcPr>
          <w:p w14:paraId="49E8B99F">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权重</w:t>
            </w:r>
          </w:p>
        </w:tc>
        <w:tc>
          <w:tcPr>
            <w:tcW w:w="610" w:type="pct"/>
            <w:noWrap w:val="0"/>
            <w:vAlign w:val="center"/>
          </w:tcPr>
          <w:p w14:paraId="7D9C4B3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w:t>
            </w:r>
          </w:p>
          <w:p w14:paraId="170C33A2">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得分</w:t>
            </w:r>
          </w:p>
        </w:tc>
        <w:tc>
          <w:tcPr>
            <w:tcW w:w="1219" w:type="pct"/>
            <w:noWrap w:val="0"/>
            <w:vAlign w:val="center"/>
          </w:tcPr>
          <w:p w14:paraId="3C5427BD">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0DFEE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70" w:type="pct"/>
            <w:noWrap w:val="0"/>
            <w:vAlign w:val="center"/>
          </w:tcPr>
          <w:p w14:paraId="17490B0C">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520" w:type="pct"/>
            <w:noWrap w:val="0"/>
            <w:vAlign w:val="center"/>
          </w:tcPr>
          <w:p w14:paraId="211901D6">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安全生产</w:t>
            </w:r>
          </w:p>
        </w:tc>
        <w:tc>
          <w:tcPr>
            <w:tcW w:w="1079" w:type="pct"/>
            <w:noWrap w:val="0"/>
            <w:vAlign w:val="center"/>
          </w:tcPr>
          <w:p w14:paraId="788CE3F7">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单独计分</w:t>
            </w:r>
          </w:p>
        </w:tc>
        <w:tc>
          <w:tcPr>
            <w:tcW w:w="610" w:type="pct"/>
            <w:noWrap w:val="0"/>
            <w:vAlign w:val="center"/>
          </w:tcPr>
          <w:p w14:paraId="0929E0A2">
            <w:pPr>
              <w:snapToGrid w:val="0"/>
              <w:jc w:val="center"/>
              <w:rPr>
                <w:rFonts w:hint="eastAsia" w:ascii="仿宋" w:hAnsi="仿宋" w:eastAsia="仿宋" w:cs="仿宋"/>
                <w:color w:val="auto"/>
                <w:sz w:val="24"/>
                <w:szCs w:val="24"/>
                <w:highlight w:val="none"/>
                <w:lang w:val="en-US" w:eastAsia="zh-CN"/>
              </w:rPr>
            </w:pPr>
          </w:p>
        </w:tc>
        <w:tc>
          <w:tcPr>
            <w:tcW w:w="1219" w:type="pct"/>
            <w:noWrap w:val="0"/>
            <w:vAlign w:val="center"/>
          </w:tcPr>
          <w:p w14:paraId="30589899">
            <w:pPr>
              <w:snapToGrid w:val="0"/>
              <w:jc w:val="center"/>
              <w:rPr>
                <w:rFonts w:hint="eastAsia" w:ascii="仿宋" w:hAnsi="仿宋" w:eastAsia="仿宋" w:cs="仿宋"/>
                <w:color w:val="auto"/>
                <w:sz w:val="24"/>
                <w:szCs w:val="24"/>
                <w:highlight w:val="none"/>
                <w:lang w:val="en-US" w:eastAsia="zh-CN"/>
              </w:rPr>
            </w:pPr>
          </w:p>
        </w:tc>
      </w:tr>
      <w:tr w14:paraId="1FB87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70" w:type="pct"/>
            <w:noWrap w:val="0"/>
            <w:vAlign w:val="center"/>
          </w:tcPr>
          <w:p w14:paraId="432FF31A">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1520" w:type="pct"/>
            <w:noWrap w:val="0"/>
            <w:vAlign w:val="center"/>
          </w:tcPr>
          <w:p w14:paraId="4E039E96">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日常维护</w:t>
            </w:r>
          </w:p>
        </w:tc>
        <w:tc>
          <w:tcPr>
            <w:tcW w:w="1079" w:type="pct"/>
            <w:noWrap w:val="0"/>
            <w:vAlign w:val="center"/>
          </w:tcPr>
          <w:p w14:paraId="33504D65">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w:t>
            </w:r>
          </w:p>
        </w:tc>
        <w:tc>
          <w:tcPr>
            <w:tcW w:w="610" w:type="pct"/>
            <w:noWrap w:val="0"/>
            <w:vAlign w:val="center"/>
          </w:tcPr>
          <w:p w14:paraId="07128C4B">
            <w:pPr>
              <w:snapToGrid w:val="0"/>
              <w:jc w:val="center"/>
              <w:rPr>
                <w:rFonts w:hint="eastAsia" w:ascii="仿宋" w:hAnsi="仿宋" w:eastAsia="仿宋" w:cs="仿宋"/>
                <w:color w:val="auto"/>
                <w:sz w:val="24"/>
                <w:szCs w:val="24"/>
                <w:highlight w:val="none"/>
                <w:lang w:val="en-US" w:eastAsia="zh-CN"/>
              </w:rPr>
            </w:pPr>
          </w:p>
        </w:tc>
        <w:tc>
          <w:tcPr>
            <w:tcW w:w="1219" w:type="pct"/>
            <w:noWrap w:val="0"/>
            <w:vAlign w:val="center"/>
          </w:tcPr>
          <w:p w14:paraId="361BED73">
            <w:pPr>
              <w:snapToGrid w:val="0"/>
              <w:jc w:val="center"/>
              <w:rPr>
                <w:rFonts w:hint="eastAsia" w:ascii="仿宋" w:hAnsi="仿宋" w:eastAsia="仿宋" w:cs="仿宋"/>
                <w:color w:val="auto"/>
                <w:sz w:val="24"/>
                <w:szCs w:val="24"/>
                <w:highlight w:val="none"/>
                <w:lang w:val="en-US" w:eastAsia="zh-CN"/>
              </w:rPr>
            </w:pPr>
          </w:p>
        </w:tc>
      </w:tr>
      <w:tr w14:paraId="48AA3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70" w:type="pct"/>
            <w:noWrap w:val="0"/>
            <w:vAlign w:val="center"/>
          </w:tcPr>
          <w:p w14:paraId="192804EA">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520" w:type="pct"/>
            <w:noWrap w:val="0"/>
            <w:vAlign w:val="center"/>
          </w:tcPr>
          <w:p w14:paraId="5D6EE307">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现场检查</w:t>
            </w:r>
          </w:p>
        </w:tc>
        <w:tc>
          <w:tcPr>
            <w:tcW w:w="1079" w:type="pct"/>
            <w:noWrap w:val="0"/>
            <w:vAlign w:val="center"/>
          </w:tcPr>
          <w:p w14:paraId="6B8FDA4E">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70</w:t>
            </w:r>
            <w:r>
              <w:rPr>
                <w:rFonts w:hint="eastAsia" w:ascii="仿宋" w:hAnsi="仿宋" w:eastAsia="仿宋" w:cs="仿宋"/>
                <w:color w:val="auto"/>
                <w:sz w:val="24"/>
                <w:szCs w:val="24"/>
                <w:highlight w:val="none"/>
              </w:rPr>
              <w:t>%</w:t>
            </w:r>
          </w:p>
        </w:tc>
        <w:tc>
          <w:tcPr>
            <w:tcW w:w="610" w:type="pct"/>
            <w:noWrap w:val="0"/>
            <w:vAlign w:val="center"/>
          </w:tcPr>
          <w:p w14:paraId="772EEE4B">
            <w:pPr>
              <w:snapToGrid w:val="0"/>
              <w:jc w:val="center"/>
              <w:rPr>
                <w:rFonts w:hint="eastAsia" w:ascii="仿宋" w:hAnsi="仿宋" w:eastAsia="仿宋" w:cs="仿宋"/>
                <w:color w:val="auto"/>
                <w:sz w:val="24"/>
                <w:szCs w:val="24"/>
                <w:highlight w:val="none"/>
                <w:lang w:val="en-US" w:eastAsia="zh-CN"/>
              </w:rPr>
            </w:pPr>
          </w:p>
        </w:tc>
        <w:tc>
          <w:tcPr>
            <w:tcW w:w="1219" w:type="pct"/>
            <w:noWrap w:val="0"/>
            <w:vAlign w:val="center"/>
          </w:tcPr>
          <w:p w14:paraId="6D30A103">
            <w:pPr>
              <w:snapToGrid w:val="0"/>
              <w:jc w:val="center"/>
              <w:rPr>
                <w:rFonts w:hint="eastAsia" w:ascii="仿宋" w:hAnsi="仿宋" w:eastAsia="仿宋" w:cs="仿宋"/>
                <w:color w:val="auto"/>
                <w:sz w:val="24"/>
                <w:szCs w:val="24"/>
                <w:highlight w:val="none"/>
                <w:lang w:val="en-US" w:eastAsia="zh-CN"/>
              </w:rPr>
            </w:pPr>
          </w:p>
        </w:tc>
      </w:tr>
      <w:tr w14:paraId="035A2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570" w:type="pct"/>
            <w:tcBorders>
              <w:top w:val="single" w:color="auto" w:sz="4" w:space="0"/>
              <w:left w:val="single" w:color="auto" w:sz="4" w:space="0"/>
              <w:bottom w:val="single" w:color="auto" w:sz="4" w:space="0"/>
              <w:right w:val="single" w:color="auto" w:sz="4" w:space="0"/>
            </w:tcBorders>
            <w:noWrap w:val="0"/>
            <w:vAlign w:val="center"/>
          </w:tcPr>
          <w:p w14:paraId="6F96A46B">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1520" w:type="pct"/>
            <w:tcBorders>
              <w:top w:val="single" w:color="auto" w:sz="4" w:space="0"/>
              <w:left w:val="single" w:color="auto" w:sz="4" w:space="0"/>
              <w:bottom w:val="single" w:color="auto" w:sz="4" w:space="0"/>
              <w:right w:val="single" w:color="auto" w:sz="4" w:space="0"/>
            </w:tcBorders>
            <w:noWrap w:val="0"/>
            <w:vAlign w:val="center"/>
          </w:tcPr>
          <w:p w14:paraId="17FE3109">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079" w:type="pct"/>
            <w:tcBorders>
              <w:top w:val="single" w:color="auto" w:sz="4" w:space="0"/>
              <w:left w:val="single" w:color="auto" w:sz="4" w:space="0"/>
              <w:bottom w:val="single" w:color="auto" w:sz="4" w:space="0"/>
              <w:right w:val="single" w:color="auto" w:sz="4" w:space="0"/>
            </w:tcBorders>
            <w:noWrap w:val="0"/>
            <w:vAlign w:val="center"/>
          </w:tcPr>
          <w:p w14:paraId="2CB8680D">
            <w:pPr>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100%</w:t>
            </w:r>
          </w:p>
        </w:tc>
        <w:tc>
          <w:tcPr>
            <w:tcW w:w="610" w:type="pct"/>
            <w:tcBorders>
              <w:top w:val="single" w:color="auto" w:sz="4" w:space="0"/>
              <w:left w:val="single" w:color="auto" w:sz="4" w:space="0"/>
              <w:bottom w:val="single" w:color="auto" w:sz="4" w:space="0"/>
              <w:right w:val="single" w:color="auto" w:sz="4" w:space="0"/>
            </w:tcBorders>
            <w:noWrap w:val="0"/>
            <w:vAlign w:val="center"/>
          </w:tcPr>
          <w:p w14:paraId="59D49E56">
            <w:pPr>
              <w:snapToGrid w:val="0"/>
              <w:jc w:val="center"/>
              <w:rPr>
                <w:rFonts w:hint="eastAsia" w:ascii="仿宋" w:hAnsi="仿宋" w:eastAsia="仿宋" w:cs="仿宋"/>
                <w:color w:val="auto"/>
                <w:sz w:val="24"/>
                <w:szCs w:val="24"/>
                <w:highlight w:val="none"/>
                <w:lang w:val="en-US" w:eastAsia="zh-CN"/>
              </w:rPr>
            </w:pPr>
          </w:p>
        </w:tc>
        <w:tc>
          <w:tcPr>
            <w:tcW w:w="1219" w:type="pct"/>
            <w:tcBorders>
              <w:top w:val="single" w:color="auto" w:sz="4" w:space="0"/>
              <w:left w:val="single" w:color="auto" w:sz="4" w:space="0"/>
              <w:bottom w:val="single" w:color="auto" w:sz="4" w:space="0"/>
              <w:right w:val="single" w:color="auto" w:sz="4" w:space="0"/>
            </w:tcBorders>
            <w:noWrap w:val="0"/>
            <w:vAlign w:val="center"/>
          </w:tcPr>
          <w:p w14:paraId="5E92171F">
            <w:pPr>
              <w:snapToGrid w:val="0"/>
              <w:jc w:val="center"/>
              <w:rPr>
                <w:rFonts w:hint="eastAsia" w:ascii="仿宋" w:hAnsi="仿宋" w:eastAsia="仿宋" w:cs="仿宋"/>
                <w:color w:val="auto"/>
                <w:sz w:val="24"/>
                <w:szCs w:val="24"/>
                <w:highlight w:val="none"/>
              </w:rPr>
            </w:pPr>
          </w:p>
        </w:tc>
      </w:tr>
    </w:tbl>
    <w:p w14:paraId="137DFE30">
      <w:pPr>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被考核人                             考核评分人：                            时间：    年  月  日</w:t>
      </w:r>
    </w:p>
    <w:p w14:paraId="77E8F37F">
      <w:pPr>
        <w:pStyle w:val="54"/>
        <w:adjustRightInd w:val="0"/>
        <w:snapToGrid w:val="0"/>
        <w:spacing w:before="187" w:beforeLines="60" w:after="187" w:afterLines="60" w:line="240" w:lineRule="auto"/>
        <w:ind w:firstLine="1800" w:firstLineChars="750"/>
        <w:rPr>
          <w:rFonts w:hint="eastAsia" w:ascii="仿宋" w:hAnsi="仿宋" w:eastAsia="仿宋" w:cs="仿宋"/>
          <w:color w:val="auto"/>
          <w:sz w:val="24"/>
          <w:szCs w:val="24"/>
          <w:highlight w:val="none"/>
          <w:lang w:val="en-US" w:eastAsia="zh-CN"/>
        </w:rPr>
        <w:sectPr>
          <w:pgSz w:w="16838" w:h="11906" w:orient="landscape"/>
          <w:pgMar w:top="1800" w:right="1440" w:bottom="1800" w:left="1440" w:header="851" w:footer="992" w:gutter="0"/>
          <w:pgNumType w:fmt="decimal"/>
          <w:cols w:space="720" w:num="1"/>
          <w:docGrid w:type="lines" w:linePitch="312" w:charSpace="0"/>
        </w:sectPr>
      </w:pPr>
    </w:p>
    <w:p w14:paraId="59536FBC">
      <w:pPr>
        <w:rPr>
          <w:rFonts w:hint="eastAsia"/>
          <w:color w:val="auto"/>
          <w:highlight w:val="none"/>
        </w:rPr>
      </w:pPr>
    </w:p>
    <w:p w14:paraId="3F707979">
      <w:pPr>
        <w:rPr>
          <w:rFonts w:hint="eastAsia" w:ascii="黑体" w:hAnsi="黑体" w:eastAsia="黑体" w:cs="黑体"/>
          <w:b/>
          <w:bCs/>
          <w:color w:val="auto"/>
          <w:sz w:val="32"/>
          <w:szCs w:val="32"/>
          <w:highlight w:val="none"/>
          <w:lang w:val="en-US" w:eastAsia="zh-CN"/>
        </w:rPr>
      </w:pPr>
      <w:r>
        <w:rPr>
          <w:rFonts w:hint="eastAsia" w:ascii="仿宋" w:hAnsi="仿宋" w:eastAsia="仿宋" w:cs="仿宋"/>
          <w:b/>
          <w:bCs/>
          <w:color w:val="auto"/>
          <w:sz w:val="24"/>
          <w:szCs w:val="24"/>
          <w:highlight w:val="none"/>
        </w:rPr>
        <w:t>附</w:t>
      </w:r>
      <w:r>
        <w:rPr>
          <w:rFonts w:hint="eastAsia" w:ascii="仿宋" w:hAnsi="仿宋" w:eastAsia="仿宋" w:cs="仿宋"/>
          <w:b/>
          <w:bCs/>
          <w:color w:val="auto"/>
          <w:sz w:val="24"/>
          <w:szCs w:val="24"/>
          <w:highlight w:val="none"/>
          <w:lang w:val="en-US" w:eastAsia="zh-CN"/>
        </w:rPr>
        <w:t>表2：</w:t>
      </w:r>
    </w:p>
    <w:p w14:paraId="4D3EFEF4">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安全生产考核评分表</w:t>
      </w:r>
    </w:p>
    <w:tbl>
      <w:tblPr>
        <w:tblStyle w:val="88"/>
        <w:tblW w:w="476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1830"/>
        <w:gridCol w:w="3554"/>
        <w:gridCol w:w="1425"/>
        <w:gridCol w:w="3545"/>
        <w:gridCol w:w="2142"/>
      </w:tblGrid>
      <w:tr w14:paraId="2DFF0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377" w:type="pct"/>
            <w:noWrap w:val="0"/>
            <w:vAlign w:val="center"/>
          </w:tcPr>
          <w:p w14:paraId="7A1B80CC">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676" w:type="pct"/>
            <w:noWrap w:val="0"/>
            <w:vAlign w:val="center"/>
          </w:tcPr>
          <w:p w14:paraId="517622FA">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考核内容</w:t>
            </w:r>
          </w:p>
        </w:tc>
        <w:tc>
          <w:tcPr>
            <w:tcW w:w="1314" w:type="pct"/>
            <w:noWrap w:val="0"/>
            <w:vAlign w:val="center"/>
          </w:tcPr>
          <w:p w14:paraId="78717C61">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评分标准</w:t>
            </w:r>
          </w:p>
        </w:tc>
        <w:tc>
          <w:tcPr>
            <w:tcW w:w="527" w:type="pct"/>
            <w:noWrap w:val="0"/>
            <w:vAlign w:val="center"/>
          </w:tcPr>
          <w:p w14:paraId="3F01F77A">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分值</w:t>
            </w:r>
          </w:p>
        </w:tc>
        <w:tc>
          <w:tcPr>
            <w:tcW w:w="1311" w:type="pct"/>
            <w:noWrap w:val="0"/>
            <w:vAlign w:val="center"/>
          </w:tcPr>
          <w:p w14:paraId="37A1803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存在问题</w:t>
            </w:r>
          </w:p>
        </w:tc>
        <w:tc>
          <w:tcPr>
            <w:tcW w:w="792" w:type="pct"/>
            <w:noWrap w:val="0"/>
            <w:vAlign w:val="center"/>
          </w:tcPr>
          <w:p w14:paraId="58C91E49">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得分</w:t>
            </w:r>
          </w:p>
        </w:tc>
      </w:tr>
      <w:tr w14:paraId="59BB7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6" w:hRule="atLeast"/>
        </w:trPr>
        <w:tc>
          <w:tcPr>
            <w:tcW w:w="377" w:type="pct"/>
            <w:noWrap w:val="0"/>
            <w:vAlign w:val="center"/>
          </w:tcPr>
          <w:p w14:paraId="7D2B020E">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76" w:type="pct"/>
            <w:noWrap w:val="0"/>
            <w:vAlign w:val="center"/>
          </w:tcPr>
          <w:p w14:paraId="76EA3074">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安全生产</w:t>
            </w:r>
          </w:p>
        </w:tc>
        <w:tc>
          <w:tcPr>
            <w:tcW w:w="1314" w:type="pct"/>
            <w:noWrap w:val="0"/>
            <w:vAlign w:val="center"/>
          </w:tcPr>
          <w:p w14:paraId="3D8417E0">
            <w:pPr>
              <w:keepNext w:val="0"/>
              <w:keepLines w:val="0"/>
              <w:pageBreakBefore w:val="0"/>
              <w:widowControl w:val="0"/>
              <w:kinsoku/>
              <w:wordWrap/>
              <w:overflowPunct/>
              <w:topLinePunct w:val="0"/>
              <w:autoSpaceDE/>
              <w:autoSpaceDN/>
              <w:bidi w:val="0"/>
              <w:adjustRightInd/>
              <w:snapToGrid w:val="0"/>
              <w:spacing w:before="62" w:beforeLines="20" w:after="62" w:afterLines="20" w:line="24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发生一般安全生产责任事故并是主责时，每次扣5分；</w:t>
            </w:r>
          </w:p>
          <w:p w14:paraId="40A776B5">
            <w:pPr>
              <w:keepNext w:val="0"/>
              <w:keepLines w:val="0"/>
              <w:pageBreakBefore w:val="0"/>
              <w:widowControl w:val="0"/>
              <w:kinsoku/>
              <w:wordWrap/>
              <w:overflowPunct/>
              <w:topLinePunct w:val="0"/>
              <w:autoSpaceDE/>
              <w:autoSpaceDN/>
              <w:bidi w:val="0"/>
              <w:adjustRightInd/>
              <w:snapToGrid w:val="0"/>
              <w:spacing w:before="62" w:beforeLines="20" w:after="62" w:afterLines="20" w:line="24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发生较大及以上安全生产责任事故并是主责时，每次扣20分，次责时根据相关部门认定的责任比例确认扣分分值；</w:t>
            </w:r>
          </w:p>
        </w:tc>
        <w:tc>
          <w:tcPr>
            <w:tcW w:w="527" w:type="pct"/>
            <w:noWrap w:val="0"/>
            <w:vAlign w:val="center"/>
          </w:tcPr>
          <w:p w14:paraId="3BB673E2">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此项不设分值、得分为负数</w:t>
            </w:r>
          </w:p>
        </w:tc>
        <w:tc>
          <w:tcPr>
            <w:tcW w:w="1311" w:type="pct"/>
            <w:noWrap w:val="0"/>
            <w:vAlign w:val="center"/>
          </w:tcPr>
          <w:p w14:paraId="24DB62E8">
            <w:pPr>
              <w:keepNext w:val="0"/>
              <w:keepLines w:val="0"/>
              <w:pageBreakBefore w:val="0"/>
              <w:widowControl w:val="0"/>
              <w:kinsoku/>
              <w:wordWrap/>
              <w:overflowPunct/>
              <w:topLinePunct w:val="0"/>
              <w:autoSpaceDE/>
              <w:autoSpaceDN/>
              <w:bidi w:val="0"/>
              <w:adjustRightInd/>
              <w:snapToGrid w:val="0"/>
              <w:spacing w:line="240" w:lineRule="auto"/>
              <w:textAlignment w:val="auto"/>
              <w:rPr>
                <w:rFonts w:hint="eastAsia" w:ascii="仿宋" w:hAnsi="仿宋" w:eastAsia="仿宋" w:cs="仿宋"/>
                <w:color w:val="auto"/>
                <w:sz w:val="24"/>
                <w:szCs w:val="24"/>
                <w:highlight w:val="none"/>
              </w:rPr>
            </w:pPr>
          </w:p>
        </w:tc>
        <w:tc>
          <w:tcPr>
            <w:tcW w:w="792" w:type="pct"/>
            <w:noWrap w:val="0"/>
            <w:vAlign w:val="center"/>
          </w:tcPr>
          <w:p w14:paraId="70672007">
            <w:pPr>
              <w:keepNext w:val="0"/>
              <w:keepLines w:val="0"/>
              <w:pageBreakBefore w:val="0"/>
              <w:widowControl w:val="0"/>
              <w:kinsoku/>
              <w:wordWrap/>
              <w:overflowPunct/>
              <w:topLinePunct w:val="0"/>
              <w:autoSpaceDE/>
              <w:autoSpaceDN/>
              <w:bidi w:val="0"/>
              <w:adjustRightInd/>
              <w:snapToGrid w:val="0"/>
              <w:spacing w:line="240" w:lineRule="auto"/>
              <w:jc w:val="center"/>
              <w:textAlignment w:val="auto"/>
              <w:rPr>
                <w:rFonts w:hint="eastAsia" w:ascii="仿宋" w:hAnsi="仿宋" w:eastAsia="仿宋" w:cs="仿宋"/>
                <w:color w:val="auto"/>
                <w:sz w:val="24"/>
                <w:szCs w:val="24"/>
                <w:highlight w:val="none"/>
                <w:lang w:val="en-US" w:eastAsia="zh-CN"/>
              </w:rPr>
            </w:pPr>
          </w:p>
        </w:tc>
      </w:tr>
    </w:tbl>
    <w:p w14:paraId="4D84EB8A">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考核评分人：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时间：   年  月  日</w:t>
      </w:r>
    </w:p>
    <w:p w14:paraId="10315533">
      <w:pPr>
        <w:rPr>
          <w:rFonts w:hint="eastAsia" w:ascii="仿宋" w:hAnsi="仿宋" w:eastAsia="仿宋" w:cs="仿宋"/>
          <w:color w:val="auto"/>
          <w:sz w:val="24"/>
          <w:szCs w:val="24"/>
          <w:highlight w:val="none"/>
        </w:rPr>
      </w:pPr>
    </w:p>
    <w:p w14:paraId="3E5B7D94">
      <w:pPr>
        <w:rPr>
          <w:rFonts w:hint="eastAsia" w:ascii="仿宋" w:hAnsi="仿宋" w:eastAsia="仿宋" w:cs="仿宋"/>
          <w:color w:val="auto"/>
          <w:sz w:val="24"/>
          <w:szCs w:val="24"/>
          <w:highlight w:val="none"/>
        </w:rPr>
      </w:pPr>
    </w:p>
    <w:p w14:paraId="77815FAF">
      <w:pPr>
        <w:rPr>
          <w:rFonts w:hint="eastAsia"/>
          <w:color w:val="auto"/>
          <w:highlight w:val="none"/>
        </w:rPr>
      </w:pPr>
    </w:p>
    <w:p w14:paraId="7195139F">
      <w:pPr>
        <w:rPr>
          <w:rFonts w:hint="eastAsia"/>
          <w:color w:val="auto"/>
          <w:highlight w:val="none"/>
        </w:rPr>
      </w:pPr>
    </w:p>
    <w:p w14:paraId="039BA23F">
      <w:pPr>
        <w:rPr>
          <w:rFonts w:hint="eastAsia"/>
          <w:color w:val="auto"/>
          <w:highlight w:val="none"/>
        </w:rPr>
      </w:pPr>
    </w:p>
    <w:p w14:paraId="2430B958">
      <w:pPr>
        <w:rPr>
          <w:rFonts w:hint="eastAsia"/>
          <w:color w:val="auto"/>
          <w:highlight w:val="none"/>
        </w:rPr>
      </w:pPr>
    </w:p>
    <w:p w14:paraId="1F938EC5">
      <w:pPr>
        <w:rPr>
          <w:rFonts w:hint="eastAsia"/>
          <w:color w:val="auto"/>
          <w:highlight w:val="none"/>
        </w:rPr>
      </w:pPr>
    </w:p>
    <w:p w14:paraId="2801C60E">
      <w:pPr>
        <w:rPr>
          <w:rFonts w:hint="eastAsia"/>
          <w:color w:val="auto"/>
          <w:highlight w:val="none"/>
        </w:rPr>
      </w:pPr>
    </w:p>
    <w:p w14:paraId="7E2BA55F">
      <w:pPr>
        <w:rPr>
          <w:rFonts w:hint="eastAsia"/>
          <w:color w:val="auto"/>
          <w:highlight w:val="none"/>
        </w:rPr>
      </w:pPr>
    </w:p>
    <w:p w14:paraId="78C84404">
      <w:pPr>
        <w:rPr>
          <w:rFonts w:hint="eastAsia"/>
          <w:color w:val="auto"/>
          <w:highlight w:val="none"/>
        </w:rPr>
      </w:pPr>
    </w:p>
    <w:p w14:paraId="03C38640">
      <w:pPr>
        <w:rPr>
          <w:rFonts w:hint="eastAsia"/>
          <w:color w:val="auto"/>
          <w:highlight w:val="none"/>
        </w:rPr>
      </w:pPr>
    </w:p>
    <w:p w14:paraId="2868600F">
      <w:pPr>
        <w:rPr>
          <w:rFonts w:hint="eastAsia"/>
          <w:color w:val="auto"/>
          <w:highlight w:val="none"/>
        </w:rPr>
      </w:pPr>
    </w:p>
    <w:p w14:paraId="0DAD4CEC">
      <w:pPr>
        <w:rPr>
          <w:rFonts w:hint="eastAsia"/>
          <w:color w:val="auto"/>
          <w:highlight w:val="none"/>
        </w:rPr>
      </w:pPr>
    </w:p>
    <w:p w14:paraId="7A4C9CFB">
      <w:pP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附表3：</w:t>
      </w:r>
    </w:p>
    <w:p w14:paraId="637B694C">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日常维护考核评分表</w:t>
      </w:r>
    </w:p>
    <w:tbl>
      <w:tblPr>
        <w:tblStyle w:val="88"/>
        <w:tblW w:w="1445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830"/>
        <w:gridCol w:w="5457"/>
        <w:gridCol w:w="1440"/>
        <w:gridCol w:w="2999"/>
        <w:gridCol w:w="1800"/>
      </w:tblGrid>
      <w:tr w14:paraId="7570B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927" w:type="dxa"/>
            <w:noWrap w:val="0"/>
            <w:vAlign w:val="center"/>
          </w:tcPr>
          <w:p w14:paraId="3F10B920">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1830" w:type="dxa"/>
            <w:noWrap w:val="0"/>
            <w:vAlign w:val="center"/>
          </w:tcPr>
          <w:p w14:paraId="1EB0EC85">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考核内容</w:t>
            </w:r>
          </w:p>
        </w:tc>
        <w:tc>
          <w:tcPr>
            <w:tcW w:w="5457" w:type="dxa"/>
            <w:noWrap w:val="0"/>
            <w:vAlign w:val="center"/>
          </w:tcPr>
          <w:p w14:paraId="78AB095F">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评分标准</w:t>
            </w:r>
          </w:p>
        </w:tc>
        <w:tc>
          <w:tcPr>
            <w:tcW w:w="1440" w:type="dxa"/>
            <w:noWrap w:val="0"/>
            <w:vAlign w:val="center"/>
          </w:tcPr>
          <w:p w14:paraId="033C3E2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分值</w:t>
            </w:r>
          </w:p>
        </w:tc>
        <w:tc>
          <w:tcPr>
            <w:tcW w:w="2999" w:type="dxa"/>
            <w:noWrap w:val="0"/>
            <w:vAlign w:val="center"/>
          </w:tcPr>
          <w:p w14:paraId="178FBA53">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存在问题</w:t>
            </w:r>
          </w:p>
        </w:tc>
        <w:tc>
          <w:tcPr>
            <w:tcW w:w="1800" w:type="dxa"/>
            <w:noWrap w:val="0"/>
            <w:vAlign w:val="center"/>
          </w:tcPr>
          <w:p w14:paraId="5CB303BE">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得分</w:t>
            </w:r>
          </w:p>
        </w:tc>
      </w:tr>
      <w:tr w14:paraId="3396E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noWrap w:val="0"/>
            <w:vAlign w:val="center"/>
          </w:tcPr>
          <w:p w14:paraId="3892DF3C">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830" w:type="dxa"/>
            <w:noWrap w:val="0"/>
            <w:vAlign w:val="center"/>
          </w:tcPr>
          <w:p w14:paraId="21F32D4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计划落实</w:t>
            </w:r>
          </w:p>
        </w:tc>
        <w:tc>
          <w:tcPr>
            <w:tcW w:w="5457" w:type="dxa"/>
            <w:noWrap w:val="0"/>
            <w:vAlign w:val="center"/>
          </w:tcPr>
          <w:p w14:paraId="1ACD9034">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w:t>
            </w:r>
            <w:r>
              <w:rPr>
                <w:rFonts w:hint="eastAsia" w:ascii="仿宋" w:hAnsi="仿宋" w:eastAsia="仿宋" w:cs="仿宋"/>
                <w:color w:val="auto"/>
                <w:sz w:val="21"/>
                <w:szCs w:val="21"/>
                <w:highlight w:val="none"/>
                <w:lang w:val="en-US" w:eastAsia="zh-CN"/>
              </w:rPr>
              <w:t>季</w:t>
            </w:r>
            <w:r>
              <w:rPr>
                <w:rFonts w:hint="eastAsia" w:ascii="仿宋" w:hAnsi="仿宋" w:eastAsia="仿宋" w:cs="仿宋"/>
                <w:color w:val="auto"/>
                <w:sz w:val="21"/>
                <w:szCs w:val="21"/>
                <w:highlight w:val="none"/>
              </w:rPr>
              <w:t>度重点养护计划进行养护，未按计划实施的每项扣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分；按照养护规范进行养护，每发现一处</w:t>
            </w:r>
            <w:r>
              <w:rPr>
                <w:rFonts w:hint="eastAsia" w:ascii="仿宋" w:hAnsi="仿宋" w:eastAsia="仿宋" w:cs="仿宋"/>
                <w:color w:val="auto"/>
                <w:sz w:val="21"/>
                <w:szCs w:val="21"/>
                <w:highlight w:val="none"/>
                <w:lang w:val="en-US" w:eastAsia="zh-CN"/>
              </w:rPr>
              <w:t>养</w:t>
            </w:r>
            <w:r>
              <w:rPr>
                <w:rFonts w:hint="eastAsia" w:ascii="仿宋" w:hAnsi="仿宋" w:eastAsia="仿宋" w:cs="仿宋"/>
                <w:color w:val="auto"/>
                <w:sz w:val="21"/>
                <w:szCs w:val="21"/>
                <w:highlight w:val="none"/>
              </w:rPr>
              <w:t>护不到位的扣1分。</w:t>
            </w:r>
          </w:p>
        </w:tc>
        <w:tc>
          <w:tcPr>
            <w:tcW w:w="1440" w:type="dxa"/>
            <w:noWrap w:val="0"/>
            <w:vAlign w:val="center"/>
          </w:tcPr>
          <w:p w14:paraId="7A4B2932">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2999" w:type="dxa"/>
            <w:noWrap w:val="0"/>
            <w:vAlign w:val="center"/>
          </w:tcPr>
          <w:p w14:paraId="7078B4A9">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447D28EF">
            <w:pPr>
              <w:snapToGrid w:val="0"/>
              <w:spacing w:line="260" w:lineRule="exact"/>
              <w:jc w:val="center"/>
              <w:rPr>
                <w:rFonts w:hint="eastAsia" w:ascii="仿宋" w:hAnsi="仿宋" w:eastAsia="仿宋" w:cs="仿宋"/>
                <w:color w:val="auto"/>
                <w:sz w:val="21"/>
                <w:szCs w:val="21"/>
                <w:highlight w:val="none"/>
                <w:lang w:val="en-US" w:eastAsia="zh-CN"/>
              </w:rPr>
            </w:pPr>
          </w:p>
        </w:tc>
      </w:tr>
      <w:tr w14:paraId="2787C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27" w:type="dxa"/>
            <w:noWrap w:val="0"/>
            <w:vAlign w:val="center"/>
          </w:tcPr>
          <w:p w14:paraId="3D86C8C3">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830" w:type="dxa"/>
            <w:noWrap w:val="0"/>
            <w:vAlign w:val="center"/>
          </w:tcPr>
          <w:p w14:paraId="587E3E37">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自查自改</w:t>
            </w:r>
          </w:p>
        </w:tc>
        <w:tc>
          <w:tcPr>
            <w:tcW w:w="5457" w:type="dxa"/>
            <w:noWrap w:val="0"/>
            <w:vAlign w:val="center"/>
          </w:tcPr>
          <w:p w14:paraId="591DF11F">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按照规范对设施进行巡查，发现巡查不到位的每次扣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分；发现问题及时整改，发现未及时整改的每次扣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p>
        </w:tc>
        <w:tc>
          <w:tcPr>
            <w:tcW w:w="1440" w:type="dxa"/>
            <w:noWrap w:val="0"/>
            <w:vAlign w:val="center"/>
          </w:tcPr>
          <w:p w14:paraId="02605286">
            <w:pPr>
              <w:snapToGrid w:val="0"/>
              <w:spacing w:line="260" w:lineRule="exact"/>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20</w:t>
            </w:r>
          </w:p>
        </w:tc>
        <w:tc>
          <w:tcPr>
            <w:tcW w:w="2999" w:type="dxa"/>
            <w:noWrap w:val="0"/>
            <w:vAlign w:val="center"/>
          </w:tcPr>
          <w:p w14:paraId="0C81C282">
            <w:pPr>
              <w:snapToGrid w:val="0"/>
              <w:spacing w:line="260" w:lineRule="exact"/>
              <w:jc w:val="center"/>
              <w:rPr>
                <w:rFonts w:hint="eastAsia" w:ascii="仿宋" w:hAnsi="仿宋" w:eastAsia="仿宋" w:cs="仿宋"/>
                <w:color w:val="auto"/>
                <w:sz w:val="21"/>
                <w:szCs w:val="21"/>
                <w:highlight w:val="none"/>
                <w:lang w:val="en-US" w:eastAsia="zh-CN"/>
              </w:rPr>
            </w:pPr>
          </w:p>
        </w:tc>
        <w:tc>
          <w:tcPr>
            <w:tcW w:w="1800" w:type="dxa"/>
            <w:noWrap w:val="0"/>
            <w:vAlign w:val="center"/>
          </w:tcPr>
          <w:p w14:paraId="4D63ECD2">
            <w:pPr>
              <w:snapToGrid w:val="0"/>
              <w:spacing w:line="260" w:lineRule="exact"/>
              <w:jc w:val="center"/>
              <w:rPr>
                <w:rFonts w:hint="eastAsia" w:ascii="仿宋" w:hAnsi="仿宋" w:eastAsia="仿宋" w:cs="仿宋"/>
                <w:color w:val="auto"/>
                <w:sz w:val="21"/>
                <w:szCs w:val="21"/>
                <w:highlight w:val="none"/>
                <w:lang w:val="en-US" w:eastAsia="zh-CN"/>
              </w:rPr>
            </w:pPr>
          </w:p>
        </w:tc>
      </w:tr>
      <w:tr w14:paraId="5FA2B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trPr>
        <w:tc>
          <w:tcPr>
            <w:tcW w:w="927" w:type="dxa"/>
            <w:noWrap w:val="0"/>
            <w:vAlign w:val="center"/>
          </w:tcPr>
          <w:p w14:paraId="1DEB3B35">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830" w:type="dxa"/>
            <w:noWrap w:val="0"/>
            <w:vAlign w:val="center"/>
          </w:tcPr>
          <w:p w14:paraId="162CE0D3">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督查整改</w:t>
            </w:r>
          </w:p>
        </w:tc>
        <w:tc>
          <w:tcPr>
            <w:tcW w:w="5457" w:type="dxa"/>
            <w:noWrap w:val="0"/>
            <w:vAlign w:val="center"/>
          </w:tcPr>
          <w:p w14:paraId="308A40C5">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做好设施各类问题的整改工作，二次及以上抄告每件扣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分；考核发现的问题整改不到位或未回复的每次扣</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分；领导督办件</w:t>
            </w:r>
            <w:r>
              <w:rPr>
                <w:rFonts w:hint="eastAsia" w:ascii="仿宋" w:hAnsi="仿宋" w:eastAsia="仿宋" w:cs="仿宋"/>
                <w:color w:val="auto"/>
                <w:sz w:val="21"/>
                <w:szCs w:val="21"/>
                <w:highlight w:val="none"/>
                <w:lang w:val="en-US" w:eastAsia="zh-CN"/>
              </w:rPr>
              <w:t>位及时整改回复的</w:t>
            </w:r>
            <w:r>
              <w:rPr>
                <w:rFonts w:hint="eastAsia" w:ascii="仿宋" w:hAnsi="仿宋" w:eastAsia="仿宋" w:cs="仿宋"/>
                <w:color w:val="auto"/>
                <w:sz w:val="21"/>
                <w:szCs w:val="21"/>
                <w:highlight w:val="none"/>
              </w:rPr>
              <w:t>，每件扣</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分，情节严重的加倍扣分。</w:t>
            </w:r>
          </w:p>
        </w:tc>
        <w:tc>
          <w:tcPr>
            <w:tcW w:w="1440" w:type="dxa"/>
            <w:noWrap w:val="0"/>
            <w:vAlign w:val="center"/>
          </w:tcPr>
          <w:p w14:paraId="53DBE58F">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w:t>
            </w:r>
          </w:p>
        </w:tc>
        <w:tc>
          <w:tcPr>
            <w:tcW w:w="2999" w:type="dxa"/>
            <w:noWrap w:val="0"/>
            <w:vAlign w:val="center"/>
          </w:tcPr>
          <w:p w14:paraId="558E8E89">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55ED08B6">
            <w:pPr>
              <w:snapToGrid w:val="0"/>
              <w:spacing w:line="260" w:lineRule="exact"/>
              <w:jc w:val="center"/>
              <w:rPr>
                <w:rFonts w:hint="eastAsia" w:ascii="仿宋" w:hAnsi="仿宋" w:eastAsia="仿宋" w:cs="仿宋"/>
                <w:color w:val="auto"/>
                <w:sz w:val="21"/>
                <w:szCs w:val="21"/>
                <w:highlight w:val="none"/>
                <w:lang w:val="en-US" w:eastAsia="zh-CN"/>
              </w:rPr>
            </w:pPr>
          </w:p>
        </w:tc>
      </w:tr>
      <w:tr w14:paraId="548C8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noWrap w:val="0"/>
            <w:vAlign w:val="center"/>
          </w:tcPr>
          <w:p w14:paraId="62BFF5C7">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30" w:type="dxa"/>
            <w:noWrap w:val="0"/>
            <w:vAlign w:val="center"/>
          </w:tcPr>
          <w:p w14:paraId="390A591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隐患整治</w:t>
            </w:r>
          </w:p>
        </w:tc>
        <w:tc>
          <w:tcPr>
            <w:tcW w:w="5457" w:type="dxa"/>
            <w:noWrap w:val="0"/>
            <w:vAlign w:val="center"/>
          </w:tcPr>
          <w:p w14:paraId="56DBD1F2">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及时发现安全隐患，未及时发现的每次扣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分；及时编制整治方案和消除隐患，未编制方案、未及时整治的每次扣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p>
        </w:tc>
        <w:tc>
          <w:tcPr>
            <w:tcW w:w="1440" w:type="dxa"/>
            <w:noWrap w:val="0"/>
            <w:vAlign w:val="center"/>
          </w:tcPr>
          <w:p w14:paraId="26076959">
            <w:pPr>
              <w:snapToGrid w:val="0"/>
              <w:spacing w:line="260" w:lineRule="exact"/>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w:t>
            </w:r>
          </w:p>
        </w:tc>
        <w:tc>
          <w:tcPr>
            <w:tcW w:w="2999" w:type="dxa"/>
            <w:noWrap w:val="0"/>
            <w:vAlign w:val="center"/>
          </w:tcPr>
          <w:p w14:paraId="01D366B8">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6FA001D1">
            <w:pPr>
              <w:snapToGrid w:val="0"/>
              <w:spacing w:line="260" w:lineRule="exact"/>
              <w:jc w:val="center"/>
              <w:rPr>
                <w:rFonts w:hint="eastAsia" w:ascii="仿宋" w:hAnsi="仿宋" w:eastAsia="仿宋" w:cs="仿宋"/>
                <w:color w:val="auto"/>
                <w:sz w:val="21"/>
                <w:szCs w:val="21"/>
                <w:highlight w:val="none"/>
                <w:lang w:val="en-US" w:eastAsia="zh-CN"/>
              </w:rPr>
            </w:pPr>
          </w:p>
        </w:tc>
      </w:tr>
      <w:tr w14:paraId="613C3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927" w:type="dxa"/>
            <w:noWrap w:val="0"/>
            <w:vAlign w:val="center"/>
          </w:tcPr>
          <w:p w14:paraId="200E3FE3">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830" w:type="dxa"/>
            <w:noWrap w:val="0"/>
            <w:vAlign w:val="center"/>
          </w:tcPr>
          <w:p w14:paraId="484E2DE5">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突发事件处置</w:t>
            </w:r>
          </w:p>
        </w:tc>
        <w:tc>
          <w:tcPr>
            <w:tcW w:w="5457" w:type="dxa"/>
            <w:noWrap w:val="0"/>
            <w:vAlign w:val="center"/>
          </w:tcPr>
          <w:p w14:paraId="4AADD5C7">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做好设施保护范围内巡检，发现违章施工、设施遭破坏等，及时报告、采取措施和协助执法，未及时报告的每次扣1分，未采取措施或措施不力的每次扣2分。</w:t>
            </w:r>
          </w:p>
        </w:tc>
        <w:tc>
          <w:tcPr>
            <w:tcW w:w="1440" w:type="dxa"/>
            <w:noWrap w:val="0"/>
            <w:vAlign w:val="center"/>
          </w:tcPr>
          <w:p w14:paraId="5E7F08B2">
            <w:pPr>
              <w:snapToGrid w:val="0"/>
              <w:spacing w:line="260" w:lineRule="exact"/>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w:t>
            </w:r>
          </w:p>
        </w:tc>
        <w:tc>
          <w:tcPr>
            <w:tcW w:w="2999" w:type="dxa"/>
            <w:noWrap w:val="0"/>
            <w:vAlign w:val="center"/>
          </w:tcPr>
          <w:p w14:paraId="404C8770">
            <w:pPr>
              <w:spacing w:line="300" w:lineRule="auto"/>
              <w:ind w:firstLine="420" w:firstLineChars="200"/>
              <w:jc w:val="center"/>
              <w:rPr>
                <w:rFonts w:hint="eastAsia" w:ascii="仿宋" w:hAnsi="仿宋" w:eastAsia="仿宋" w:cs="仿宋"/>
                <w:color w:val="auto"/>
                <w:sz w:val="21"/>
                <w:szCs w:val="21"/>
                <w:highlight w:val="none"/>
                <w:lang w:val="en-US" w:eastAsia="zh-CN"/>
              </w:rPr>
            </w:pPr>
          </w:p>
        </w:tc>
        <w:tc>
          <w:tcPr>
            <w:tcW w:w="1800" w:type="dxa"/>
            <w:noWrap w:val="0"/>
            <w:vAlign w:val="center"/>
          </w:tcPr>
          <w:p w14:paraId="7468B779">
            <w:pPr>
              <w:snapToGrid w:val="0"/>
              <w:spacing w:line="260" w:lineRule="exact"/>
              <w:jc w:val="center"/>
              <w:rPr>
                <w:rFonts w:hint="eastAsia" w:ascii="仿宋" w:hAnsi="仿宋" w:eastAsia="仿宋" w:cs="仿宋"/>
                <w:color w:val="auto"/>
                <w:sz w:val="21"/>
                <w:szCs w:val="21"/>
                <w:highlight w:val="none"/>
                <w:lang w:val="en-US" w:eastAsia="zh-CN"/>
              </w:rPr>
            </w:pPr>
          </w:p>
        </w:tc>
      </w:tr>
      <w:tr w14:paraId="5C8A8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noWrap w:val="0"/>
            <w:vAlign w:val="center"/>
          </w:tcPr>
          <w:p w14:paraId="4697C985">
            <w:pPr>
              <w:snapToGrid w:val="0"/>
              <w:spacing w:line="260" w:lineRule="exact"/>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6</w:t>
            </w:r>
          </w:p>
        </w:tc>
        <w:tc>
          <w:tcPr>
            <w:tcW w:w="1830" w:type="dxa"/>
            <w:noWrap w:val="0"/>
            <w:vAlign w:val="center"/>
          </w:tcPr>
          <w:p w14:paraId="2F61549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档案资料</w:t>
            </w:r>
          </w:p>
        </w:tc>
        <w:tc>
          <w:tcPr>
            <w:tcW w:w="5457" w:type="dxa"/>
            <w:noWrap w:val="0"/>
            <w:vAlign w:val="center"/>
          </w:tcPr>
          <w:p w14:paraId="3D9AC9DF">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建立养护档案，含日常检查、养护维修、排查整治、服务保障、定期检测、应急抢险、防汛抗雪等，发现不完整、不准确的每</w:t>
            </w:r>
            <w:r>
              <w:rPr>
                <w:rFonts w:hint="eastAsia" w:ascii="仿宋" w:hAnsi="仿宋" w:eastAsia="仿宋" w:cs="仿宋"/>
                <w:color w:val="auto"/>
                <w:sz w:val="21"/>
                <w:szCs w:val="21"/>
                <w:highlight w:val="none"/>
                <w:lang w:val="en-US" w:eastAsia="zh-CN"/>
              </w:rPr>
              <w:t>处扣1</w:t>
            </w:r>
            <w:r>
              <w:rPr>
                <w:rFonts w:hint="eastAsia" w:ascii="仿宋" w:hAnsi="仿宋" w:eastAsia="仿宋" w:cs="仿宋"/>
                <w:color w:val="auto"/>
                <w:sz w:val="21"/>
                <w:szCs w:val="21"/>
                <w:highlight w:val="none"/>
              </w:rPr>
              <w:t>分。</w:t>
            </w:r>
          </w:p>
        </w:tc>
        <w:tc>
          <w:tcPr>
            <w:tcW w:w="1440" w:type="dxa"/>
            <w:noWrap w:val="0"/>
            <w:vAlign w:val="center"/>
          </w:tcPr>
          <w:p w14:paraId="39852680">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2999" w:type="dxa"/>
            <w:noWrap w:val="0"/>
            <w:vAlign w:val="center"/>
          </w:tcPr>
          <w:p w14:paraId="045430D3">
            <w:pPr>
              <w:snapToGrid w:val="0"/>
              <w:spacing w:line="260" w:lineRule="exact"/>
              <w:jc w:val="center"/>
              <w:rPr>
                <w:rFonts w:hint="eastAsia" w:ascii="仿宋" w:hAnsi="仿宋" w:eastAsia="仿宋" w:cs="仿宋"/>
                <w:color w:val="auto"/>
                <w:sz w:val="21"/>
                <w:szCs w:val="21"/>
                <w:highlight w:val="none"/>
                <w:lang w:val="en-US" w:eastAsia="zh-CN"/>
              </w:rPr>
            </w:pPr>
          </w:p>
        </w:tc>
        <w:tc>
          <w:tcPr>
            <w:tcW w:w="1800" w:type="dxa"/>
            <w:noWrap w:val="0"/>
            <w:vAlign w:val="center"/>
          </w:tcPr>
          <w:p w14:paraId="789813A6">
            <w:pPr>
              <w:snapToGrid w:val="0"/>
              <w:spacing w:line="260" w:lineRule="exact"/>
              <w:jc w:val="center"/>
              <w:rPr>
                <w:rFonts w:hint="eastAsia" w:ascii="仿宋" w:hAnsi="仿宋" w:eastAsia="仿宋" w:cs="仿宋"/>
                <w:color w:val="auto"/>
                <w:sz w:val="21"/>
                <w:szCs w:val="21"/>
                <w:highlight w:val="none"/>
                <w:lang w:val="en-US" w:eastAsia="zh-CN"/>
              </w:rPr>
            </w:pPr>
          </w:p>
        </w:tc>
      </w:tr>
      <w:tr w14:paraId="6A297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noWrap w:val="0"/>
            <w:vAlign w:val="center"/>
          </w:tcPr>
          <w:p w14:paraId="793D06EA">
            <w:pPr>
              <w:snapToGrid w:val="0"/>
              <w:spacing w:line="260" w:lineRule="exact"/>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7</w:t>
            </w:r>
          </w:p>
        </w:tc>
        <w:tc>
          <w:tcPr>
            <w:tcW w:w="1830" w:type="dxa"/>
            <w:noWrap w:val="0"/>
            <w:vAlign w:val="center"/>
          </w:tcPr>
          <w:p w14:paraId="1C88B34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宣传报道</w:t>
            </w:r>
          </w:p>
        </w:tc>
        <w:tc>
          <w:tcPr>
            <w:tcW w:w="5457" w:type="dxa"/>
            <w:noWrap w:val="0"/>
            <w:vAlign w:val="center"/>
          </w:tcPr>
          <w:p w14:paraId="522BF9F4">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做好宣传报道，</w:t>
            </w:r>
            <w:r>
              <w:rPr>
                <w:rFonts w:hint="eastAsia" w:ascii="仿宋" w:hAnsi="仿宋" w:eastAsia="仿宋" w:cs="仿宋"/>
                <w:color w:val="auto"/>
                <w:sz w:val="21"/>
                <w:szCs w:val="21"/>
                <w:highlight w:val="none"/>
              </w:rPr>
              <w:t>养护管理工作</w:t>
            </w:r>
            <w:r>
              <w:rPr>
                <w:rFonts w:hint="eastAsia" w:ascii="仿宋" w:hAnsi="仿宋" w:eastAsia="仿宋" w:cs="仿宋"/>
                <w:color w:val="auto"/>
                <w:sz w:val="21"/>
                <w:szCs w:val="21"/>
                <w:highlight w:val="none"/>
                <w:lang w:val="en-US" w:eastAsia="zh-CN"/>
              </w:rPr>
              <w:t>得到市区、省、国家级</w:t>
            </w:r>
            <w:r>
              <w:rPr>
                <w:rFonts w:hint="eastAsia" w:ascii="仿宋" w:hAnsi="仿宋" w:eastAsia="仿宋" w:cs="仿宋"/>
                <w:color w:val="auto"/>
                <w:sz w:val="21"/>
                <w:szCs w:val="21"/>
                <w:highlight w:val="none"/>
              </w:rPr>
              <w:t>媒体负面报道</w:t>
            </w:r>
            <w:r>
              <w:rPr>
                <w:rFonts w:hint="eastAsia" w:ascii="仿宋" w:hAnsi="仿宋" w:eastAsia="仿宋" w:cs="仿宋"/>
                <w:color w:val="auto"/>
                <w:sz w:val="21"/>
                <w:szCs w:val="21"/>
                <w:highlight w:val="none"/>
                <w:lang w:val="en-US" w:eastAsia="zh-CN"/>
              </w:rPr>
              <w:t>的分别扣2</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5分、10分</w:t>
            </w:r>
            <w:r>
              <w:rPr>
                <w:rFonts w:hint="eastAsia" w:ascii="仿宋" w:hAnsi="仿宋" w:eastAsia="仿宋" w:cs="仿宋"/>
                <w:color w:val="auto"/>
                <w:sz w:val="21"/>
                <w:szCs w:val="21"/>
                <w:highlight w:val="none"/>
              </w:rPr>
              <w:t>。</w:t>
            </w:r>
          </w:p>
        </w:tc>
        <w:tc>
          <w:tcPr>
            <w:tcW w:w="1440" w:type="dxa"/>
            <w:noWrap w:val="0"/>
            <w:vAlign w:val="center"/>
          </w:tcPr>
          <w:p w14:paraId="1D5CA49E">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2999" w:type="dxa"/>
            <w:noWrap w:val="0"/>
            <w:vAlign w:val="center"/>
          </w:tcPr>
          <w:p w14:paraId="3D051A72">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42D1573C">
            <w:pPr>
              <w:snapToGrid w:val="0"/>
              <w:spacing w:line="260" w:lineRule="exact"/>
              <w:jc w:val="center"/>
              <w:rPr>
                <w:rFonts w:hint="eastAsia" w:ascii="仿宋" w:hAnsi="仿宋" w:eastAsia="仿宋" w:cs="仿宋"/>
                <w:color w:val="auto"/>
                <w:sz w:val="21"/>
                <w:szCs w:val="21"/>
                <w:highlight w:val="none"/>
                <w:lang w:val="en-US" w:eastAsia="zh-CN"/>
              </w:rPr>
            </w:pPr>
          </w:p>
        </w:tc>
      </w:tr>
      <w:tr w14:paraId="50A2D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7" w:type="dxa"/>
            <w:noWrap w:val="0"/>
            <w:vAlign w:val="center"/>
          </w:tcPr>
          <w:p w14:paraId="2B2EF23F">
            <w:pPr>
              <w:snapToGrid w:val="0"/>
              <w:spacing w:line="260" w:lineRule="exact"/>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8</w:t>
            </w:r>
          </w:p>
        </w:tc>
        <w:tc>
          <w:tcPr>
            <w:tcW w:w="1830" w:type="dxa"/>
            <w:noWrap w:val="0"/>
            <w:vAlign w:val="center"/>
          </w:tcPr>
          <w:p w14:paraId="7FFA4DA9">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w:t>
            </w:r>
          </w:p>
        </w:tc>
        <w:tc>
          <w:tcPr>
            <w:tcW w:w="5457" w:type="dxa"/>
            <w:noWrap w:val="0"/>
            <w:vAlign w:val="center"/>
          </w:tcPr>
          <w:p w14:paraId="63135405">
            <w:pPr>
              <w:snapToGrid w:val="0"/>
              <w:spacing w:before="62" w:beforeLines="20" w:after="62" w:afterLines="20"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做好临时交办的养护任务、设施改善配合等，未做好每次扣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p>
        </w:tc>
        <w:tc>
          <w:tcPr>
            <w:tcW w:w="1440" w:type="dxa"/>
            <w:noWrap w:val="0"/>
            <w:vAlign w:val="center"/>
          </w:tcPr>
          <w:p w14:paraId="7E35CE7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999" w:type="dxa"/>
            <w:noWrap w:val="0"/>
            <w:vAlign w:val="center"/>
          </w:tcPr>
          <w:p w14:paraId="141C01CB">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5992052C">
            <w:pPr>
              <w:snapToGrid w:val="0"/>
              <w:spacing w:line="260" w:lineRule="exact"/>
              <w:jc w:val="center"/>
              <w:rPr>
                <w:rFonts w:hint="eastAsia" w:ascii="仿宋" w:hAnsi="仿宋" w:eastAsia="仿宋" w:cs="仿宋"/>
                <w:color w:val="auto"/>
                <w:sz w:val="21"/>
                <w:szCs w:val="21"/>
                <w:highlight w:val="none"/>
                <w:lang w:val="en-US" w:eastAsia="zh-CN"/>
              </w:rPr>
            </w:pPr>
          </w:p>
        </w:tc>
      </w:tr>
      <w:tr w14:paraId="1241D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927" w:type="dxa"/>
            <w:noWrap w:val="0"/>
            <w:vAlign w:val="center"/>
          </w:tcPr>
          <w:p w14:paraId="27A0D259">
            <w:pPr>
              <w:snapToGrid w:val="0"/>
              <w:spacing w:line="260" w:lineRule="exact"/>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9</w:t>
            </w:r>
          </w:p>
        </w:tc>
        <w:tc>
          <w:tcPr>
            <w:tcW w:w="1830" w:type="dxa"/>
            <w:noWrap w:val="0"/>
            <w:vAlign w:val="center"/>
          </w:tcPr>
          <w:p w14:paraId="138ED459">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 计</w:t>
            </w:r>
          </w:p>
        </w:tc>
        <w:tc>
          <w:tcPr>
            <w:tcW w:w="5457" w:type="dxa"/>
            <w:noWrap w:val="0"/>
            <w:vAlign w:val="center"/>
          </w:tcPr>
          <w:p w14:paraId="42BB1E95">
            <w:pPr>
              <w:snapToGrid w:val="0"/>
              <w:spacing w:line="260" w:lineRule="exact"/>
              <w:jc w:val="center"/>
              <w:rPr>
                <w:rFonts w:hint="eastAsia" w:ascii="仿宋" w:hAnsi="仿宋" w:eastAsia="仿宋" w:cs="仿宋"/>
                <w:color w:val="auto"/>
                <w:sz w:val="21"/>
                <w:szCs w:val="21"/>
                <w:highlight w:val="none"/>
              </w:rPr>
            </w:pPr>
          </w:p>
        </w:tc>
        <w:tc>
          <w:tcPr>
            <w:tcW w:w="1440" w:type="dxa"/>
            <w:noWrap w:val="0"/>
            <w:vAlign w:val="center"/>
          </w:tcPr>
          <w:p w14:paraId="67B49A2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w:t>
            </w:r>
          </w:p>
        </w:tc>
        <w:tc>
          <w:tcPr>
            <w:tcW w:w="2999" w:type="dxa"/>
            <w:noWrap w:val="0"/>
            <w:vAlign w:val="center"/>
          </w:tcPr>
          <w:p w14:paraId="04EEDFAC">
            <w:pPr>
              <w:snapToGrid w:val="0"/>
              <w:spacing w:line="260" w:lineRule="exact"/>
              <w:jc w:val="center"/>
              <w:rPr>
                <w:rFonts w:hint="eastAsia" w:ascii="仿宋" w:hAnsi="仿宋" w:eastAsia="仿宋" w:cs="仿宋"/>
                <w:color w:val="auto"/>
                <w:sz w:val="21"/>
                <w:szCs w:val="21"/>
                <w:highlight w:val="none"/>
              </w:rPr>
            </w:pPr>
          </w:p>
        </w:tc>
        <w:tc>
          <w:tcPr>
            <w:tcW w:w="1800" w:type="dxa"/>
            <w:noWrap w:val="0"/>
            <w:vAlign w:val="center"/>
          </w:tcPr>
          <w:p w14:paraId="3FDA16E0">
            <w:pPr>
              <w:snapToGrid w:val="0"/>
              <w:spacing w:line="260" w:lineRule="exact"/>
              <w:jc w:val="center"/>
              <w:rPr>
                <w:rFonts w:hint="eastAsia" w:ascii="仿宋" w:hAnsi="仿宋" w:eastAsia="仿宋" w:cs="仿宋"/>
                <w:color w:val="auto"/>
                <w:sz w:val="21"/>
                <w:szCs w:val="21"/>
                <w:highlight w:val="none"/>
                <w:lang w:val="en-US" w:eastAsia="zh-CN"/>
              </w:rPr>
            </w:pPr>
          </w:p>
        </w:tc>
      </w:tr>
    </w:tbl>
    <w:p w14:paraId="44AA421F">
      <w:pPr>
        <w:pStyle w:val="54"/>
        <w:adjustRightInd w:val="0"/>
        <w:snapToGrid w:val="0"/>
        <w:spacing w:line="620" w:lineRule="exact"/>
        <w:ind w:firstLine="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考核评分人：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时间：   年  月  日</w:t>
      </w:r>
    </w:p>
    <w:p w14:paraId="3E9BF31E">
      <w:pPr>
        <w:rPr>
          <w:rFonts w:hint="eastAsia"/>
          <w:color w:val="auto"/>
          <w:highlight w:val="none"/>
        </w:rPr>
      </w:pPr>
      <w:r>
        <w:rPr>
          <w:rFonts w:hint="eastAsia"/>
          <w:color w:val="auto"/>
          <w:highlight w:val="none"/>
        </w:rPr>
        <w:br w:type="page"/>
      </w:r>
    </w:p>
    <w:p w14:paraId="595AF73D">
      <w:pPr>
        <w:jc w:val="both"/>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附表4：</w:t>
      </w:r>
    </w:p>
    <w:p w14:paraId="63BEFFCE">
      <w:pPr>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现场考核评分表</w:t>
      </w:r>
    </w:p>
    <w:p w14:paraId="2AE12102">
      <w:pPr>
        <w:spacing w:line="620" w:lineRule="exact"/>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lang w:val="en-US" w:eastAsia="zh-CN"/>
        </w:rPr>
        <w:t>设施</w:t>
      </w:r>
      <w:r>
        <w:rPr>
          <w:rFonts w:hint="eastAsia" w:ascii="仿宋" w:hAnsi="仿宋" w:eastAsia="仿宋" w:cs="仿宋"/>
          <w:color w:val="auto"/>
          <w:sz w:val="21"/>
          <w:szCs w:val="21"/>
          <w:highlight w:val="none"/>
        </w:rPr>
        <w:t>名称：</w:t>
      </w:r>
    </w:p>
    <w:tbl>
      <w:tblPr>
        <w:tblStyle w:val="88"/>
        <w:tblW w:w="1418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420"/>
        <w:gridCol w:w="2000"/>
        <w:gridCol w:w="6744"/>
        <w:gridCol w:w="750"/>
        <w:gridCol w:w="2332"/>
        <w:gridCol w:w="1282"/>
      </w:tblGrid>
      <w:tr w14:paraId="03322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noWrap w:val="0"/>
            <w:vAlign w:val="center"/>
          </w:tcPr>
          <w:p w14:paraId="74AE674B">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420" w:type="dxa"/>
            <w:gridSpan w:val="2"/>
            <w:noWrap w:val="0"/>
            <w:vAlign w:val="center"/>
          </w:tcPr>
          <w:p w14:paraId="30FF9E6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考核内容</w:t>
            </w:r>
          </w:p>
        </w:tc>
        <w:tc>
          <w:tcPr>
            <w:tcW w:w="6744" w:type="dxa"/>
            <w:noWrap w:val="0"/>
            <w:vAlign w:val="center"/>
          </w:tcPr>
          <w:p w14:paraId="7B055753">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评分标准</w:t>
            </w:r>
          </w:p>
        </w:tc>
        <w:tc>
          <w:tcPr>
            <w:tcW w:w="750" w:type="dxa"/>
            <w:noWrap w:val="0"/>
            <w:vAlign w:val="center"/>
          </w:tcPr>
          <w:p w14:paraId="1165E148">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分值</w:t>
            </w:r>
          </w:p>
        </w:tc>
        <w:tc>
          <w:tcPr>
            <w:tcW w:w="2332" w:type="dxa"/>
            <w:noWrap w:val="0"/>
            <w:vAlign w:val="center"/>
          </w:tcPr>
          <w:p w14:paraId="0389E959">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存在问题</w:t>
            </w:r>
          </w:p>
        </w:tc>
        <w:tc>
          <w:tcPr>
            <w:tcW w:w="1282" w:type="dxa"/>
            <w:noWrap w:val="0"/>
            <w:vAlign w:val="center"/>
          </w:tcPr>
          <w:p w14:paraId="33B094F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得分</w:t>
            </w:r>
          </w:p>
        </w:tc>
      </w:tr>
      <w:tr w14:paraId="07F75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restart"/>
            <w:noWrap w:val="0"/>
            <w:vAlign w:val="center"/>
          </w:tcPr>
          <w:p w14:paraId="79C4669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420" w:type="dxa"/>
            <w:vMerge w:val="restart"/>
            <w:noWrap w:val="0"/>
            <w:vAlign w:val="center"/>
          </w:tcPr>
          <w:p w14:paraId="6B9D0E7C">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土</w:t>
            </w:r>
          </w:p>
          <w:p w14:paraId="4B0E5C98">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建</w:t>
            </w:r>
          </w:p>
          <w:p w14:paraId="6F734D77">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w:t>
            </w:r>
          </w:p>
          <w:p w14:paraId="49124918">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施及装饰</w:t>
            </w:r>
          </w:p>
        </w:tc>
        <w:tc>
          <w:tcPr>
            <w:tcW w:w="2000" w:type="dxa"/>
            <w:noWrap w:val="0"/>
            <w:vAlign w:val="center"/>
          </w:tcPr>
          <w:p w14:paraId="785FF53F">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隧道衬砌、墙体、变形缝、装饰及涂装</w:t>
            </w:r>
          </w:p>
        </w:tc>
        <w:tc>
          <w:tcPr>
            <w:tcW w:w="6744" w:type="dxa"/>
            <w:noWrap w:val="0"/>
            <w:vAlign w:val="top"/>
          </w:tcPr>
          <w:p w14:paraId="107AACEA">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衬砌变形、开裂、渗漏水；衬砌表面腐蚀、剥落及灰缝脱落；端墙、侧墙、翼墙位移、开裂；变形缝渗漏、错台、止水带老化破损；装饰板、墙砖、涂装等破损、缺失；每项每处扣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分。墙体、装饰层、洞顶污渍、积灰，发现一处扣1分。</w:t>
            </w:r>
          </w:p>
        </w:tc>
        <w:tc>
          <w:tcPr>
            <w:tcW w:w="750" w:type="dxa"/>
            <w:noWrap w:val="0"/>
            <w:vAlign w:val="center"/>
          </w:tcPr>
          <w:p w14:paraId="0644F5FA">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w:t>
            </w:r>
          </w:p>
        </w:tc>
        <w:tc>
          <w:tcPr>
            <w:tcW w:w="2332" w:type="dxa"/>
            <w:noWrap w:val="0"/>
            <w:vAlign w:val="center"/>
          </w:tcPr>
          <w:p w14:paraId="685D41E3">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34D09AFE">
            <w:pPr>
              <w:snapToGrid w:val="0"/>
              <w:spacing w:line="260" w:lineRule="exact"/>
              <w:jc w:val="center"/>
              <w:rPr>
                <w:rFonts w:hint="eastAsia" w:ascii="仿宋" w:hAnsi="仿宋" w:eastAsia="仿宋" w:cs="仿宋"/>
                <w:color w:val="auto"/>
                <w:sz w:val="21"/>
                <w:szCs w:val="21"/>
                <w:highlight w:val="none"/>
                <w:lang w:val="en-US" w:eastAsia="zh-CN"/>
              </w:rPr>
            </w:pPr>
          </w:p>
        </w:tc>
      </w:tr>
      <w:tr w14:paraId="6B7E8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continue"/>
            <w:noWrap w:val="0"/>
            <w:vAlign w:val="center"/>
          </w:tcPr>
          <w:p w14:paraId="15708752">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3D3B824D">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2357595C">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路面、人行道、检修道、栏杆</w:t>
            </w:r>
          </w:p>
        </w:tc>
        <w:tc>
          <w:tcPr>
            <w:tcW w:w="6744" w:type="dxa"/>
            <w:noWrap w:val="0"/>
            <w:vAlign w:val="top"/>
          </w:tcPr>
          <w:p w14:paraId="5E87C41D">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路面出现裂缝、松散、坑洞、拥包、破损；路面渗水；人行道、检修道、栏杆设施损坏等；每处扣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分。隧道内路面、栏杆有垃圾、积灰等，发现一处扣1分。</w:t>
            </w:r>
          </w:p>
        </w:tc>
        <w:tc>
          <w:tcPr>
            <w:tcW w:w="750" w:type="dxa"/>
            <w:noWrap w:val="0"/>
            <w:vAlign w:val="center"/>
          </w:tcPr>
          <w:p w14:paraId="5952917A">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w:t>
            </w:r>
          </w:p>
        </w:tc>
        <w:tc>
          <w:tcPr>
            <w:tcW w:w="2332" w:type="dxa"/>
            <w:noWrap w:val="0"/>
            <w:vAlign w:val="center"/>
          </w:tcPr>
          <w:p w14:paraId="6C4DFA9D">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737FAE91">
            <w:pPr>
              <w:snapToGrid w:val="0"/>
              <w:spacing w:line="260" w:lineRule="exact"/>
              <w:jc w:val="center"/>
              <w:rPr>
                <w:rFonts w:hint="eastAsia" w:ascii="仿宋" w:hAnsi="仿宋" w:eastAsia="仿宋" w:cs="仿宋"/>
                <w:color w:val="auto"/>
                <w:sz w:val="21"/>
                <w:szCs w:val="21"/>
                <w:highlight w:val="none"/>
                <w:lang w:val="en-US" w:eastAsia="zh-CN"/>
              </w:rPr>
            </w:pPr>
          </w:p>
        </w:tc>
      </w:tr>
      <w:tr w14:paraId="1DB6F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continue"/>
            <w:noWrap w:val="0"/>
            <w:vAlign w:val="center"/>
          </w:tcPr>
          <w:p w14:paraId="1CF2BF6E">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7BC6127E">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72665F8E">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给排水</w:t>
            </w:r>
          </w:p>
        </w:tc>
        <w:tc>
          <w:tcPr>
            <w:tcW w:w="6744" w:type="dxa"/>
            <w:noWrap w:val="0"/>
            <w:vAlign w:val="top"/>
          </w:tcPr>
          <w:p w14:paraId="11A716A7">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水池及集水井结构完整、无开裂、渗水；排水构筑物如盖板破损、缺失、不平整；横截沟盖板松动、破损、缺失；过渡混凝土开裂、破损、不平整等未及时维护、修缮等每处扣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分。防汛措施未到位，发生隧道积水</w:t>
            </w:r>
            <w:r>
              <w:rPr>
                <w:rFonts w:hint="eastAsia" w:ascii="仿宋" w:hAnsi="仿宋" w:eastAsia="仿宋" w:cs="仿宋"/>
                <w:color w:val="auto"/>
                <w:sz w:val="21"/>
                <w:szCs w:val="21"/>
                <w:highlight w:val="none"/>
                <w:lang w:val="en-US" w:eastAsia="zh-CN"/>
              </w:rPr>
              <w:t>未及时处置</w:t>
            </w:r>
            <w:r>
              <w:rPr>
                <w:rFonts w:hint="eastAsia" w:ascii="仿宋" w:hAnsi="仿宋" w:eastAsia="仿宋" w:cs="仿宋"/>
                <w:color w:val="auto"/>
                <w:sz w:val="21"/>
                <w:szCs w:val="21"/>
                <w:highlight w:val="none"/>
              </w:rPr>
              <w:t>等现象，每次每处扣</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w:t>
            </w:r>
          </w:p>
        </w:tc>
        <w:tc>
          <w:tcPr>
            <w:tcW w:w="750" w:type="dxa"/>
            <w:noWrap w:val="0"/>
            <w:vAlign w:val="center"/>
          </w:tcPr>
          <w:p w14:paraId="4D9F224D">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538E36C9">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73755BCE">
            <w:pPr>
              <w:snapToGrid w:val="0"/>
              <w:spacing w:line="260" w:lineRule="exact"/>
              <w:jc w:val="center"/>
              <w:rPr>
                <w:rFonts w:hint="eastAsia" w:ascii="仿宋" w:hAnsi="仿宋" w:eastAsia="仿宋" w:cs="仿宋"/>
                <w:color w:val="auto"/>
                <w:sz w:val="21"/>
                <w:szCs w:val="21"/>
                <w:highlight w:val="none"/>
                <w:lang w:val="en-US" w:eastAsia="zh-CN"/>
              </w:rPr>
            </w:pPr>
          </w:p>
        </w:tc>
      </w:tr>
      <w:tr w14:paraId="60E20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Merge w:val="continue"/>
            <w:noWrap w:val="0"/>
            <w:vAlign w:val="center"/>
          </w:tcPr>
          <w:p w14:paraId="174BE271">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65787829">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670B1860">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洞口防护</w:t>
            </w:r>
          </w:p>
        </w:tc>
        <w:tc>
          <w:tcPr>
            <w:tcW w:w="6744" w:type="dxa"/>
            <w:noWrap w:val="0"/>
            <w:vAlign w:val="center"/>
          </w:tcPr>
          <w:p w14:paraId="08ADAAC1">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隧道洞口外护坡滑坡、洞口坍塌等迹象未及时采取措施，每项每处扣</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分；洞口有落石、局部破损，每处扣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 xml:space="preserve">分。 </w:t>
            </w:r>
          </w:p>
        </w:tc>
        <w:tc>
          <w:tcPr>
            <w:tcW w:w="750" w:type="dxa"/>
            <w:noWrap w:val="0"/>
            <w:vAlign w:val="center"/>
          </w:tcPr>
          <w:p w14:paraId="6B8F0B8A">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21CC989B">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4291FDC6">
            <w:pPr>
              <w:snapToGrid w:val="0"/>
              <w:spacing w:line="260" w:lineRule="exact"/>
              <w:jc w:val="center"/>
              <w:rPr>
                <w:rFonts w:hint="eastAsia" w:ascii="仿宋" w:hAnsi="仿宋" w:eastAsia="仿宋" w:cs="仿宋"/>
                <w:color w:val="auto"/>
                <w:sz w:val="21"/>
                <w:szCs w:val="21"/>
                <w:highlight w:val="none"/>
                <w:lang w:val="en-US" w:eastAsia="zh-CN"/>
              </w:rPr>
            </w:pPr>
          </w:p>
        </w:tc>
      </w:tr>
      <w:tr w14:paraId="17F9B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restart"/>
            <w:noWrap w:val="0"/>
            <w:vAlign w:val="center"/>
          </w:tcPr>
          <w:p w14:paraId="0B035EE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p w14:paraId="52822D2B">
            <w:pPr>
              <w:snapToGrid w:val="0"/>
              <w:spacing w:line="260" w:lineRule="exact"/>
              <w:jc w:val="center"/>
              <w:rPr>
                <w:rFonts w:hint="eastAsia" w:ascii="仿宋" w:hAnsi="仿宋" w:eastAsia="仿宋" w:cs="仿宋"/>
                <w:color w:val="auto"/>
                <w:sz w:val="21"/>
                <w:szCs w:val="21"/>
                <w:highlight w:val="none"/>
              </w:rPr>
            </w:pPr>
          </w:p>
        </w:tc>
        <w:tc>
          <w:tcPr>
            <w:tcW w:w="420" w:type="dxa"/>
            <w:vMerge w:val="restart"/>
            <w:noWrap w:val="0"/>
            <w:vAlign w:val="center"/>
          </w:tcPr>
          <w:p w14:paraId="66019F59">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机</w:t>
            </w:r>
          </w:p>
          <w:p w14:paraId="6140C10E">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电</w:t>
            </w:r>
          </w:p>
          <w:p w14:paraId="3E96BB35">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设备</w:t>
            </w:r>
          </w:p>
        </w:tc>
        <w:tc>
          <w:tcPr>
            <w:tcW w:w="2000" w:type="dxa"/>
            <w:noWrap w:val="0"/>
            <w:vAlign w:val="center"/>
          </w:tcPr>
          <w:p w14:paraId="5F59E73D">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供配电系统</w:t>
            </w:r>
          </w:p>
        </w:tc>
        <w:tc>
          <w:tcPr>
            <w:tcW w:w="6744" w:type="dxa"/>
            <w:noWrap w:val="0"/>
            <w:vAlign w:val="center"/>
          </w:tcPr>
          <w:p w14:paraId="31D67AB0">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明确设施供电系统的范围及线路走向，在配电房显眼位置上墙示意；变压器、高低压配电柜、投切开关、应急电源、电缆线等设备完整、清洁、运行正常，设备所处环境正常稳定、安全可控；检查台账记录齐全；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6729B22C">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2332" w:type="dxa"/>
            <w:noWrap w:val="0"/>
            <w:vAlign w:val="center"/>
          </w:tcPr>
          <w:p w14:paraId="70CC6C28">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51D6A0C6">
            <w:pPr>
              <w:snapToGrid w:val="0"/>
              <w:spacing w:line="260" w:lineRule="exact"/>
              <w:jc w:val="center"/>
              <w:rPr>
                <w:rFonts w:hint="eastAsia" w:ascii="仿宋" w:hAnsi="仿宋" w:eastAsia="仿宋" w:cs="仿宋"/>
                <w:color w:val="auto"/>
                <w:sz w:val="21"/>
                <w:szCs w:val="21"/>
                <w:highlight w:val="none"/>
                <w:lang w:val="en-US" w:eastAsia="zh-CN"/>
              </w:rPr>
            </w:pPr>
          </w:p>
        </w:tc>
      </w:tr>
      <w:tr w14:paraId="73E6B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continue"/>
            <w:noWrap w:val="0"/>
            <w:vAlign w:val="center"/>
          </w:tcPr>
          <w:p w14:paraId="16763459">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2C184B6E">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1C0F8432">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照明及通风系统</w:t>
            </w:r>
          </w:p>
        </w:tc>
        <w:tc>
          <w:tcPr>
            <w:tcW w:w="6744" w:type="dxa"/>
            <w:noWrap w:val="0"/>
            <w:vAlign w:val="center"/>
          </w:tcPr>
          <w:p w14:paraId="0D8BF467">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风机、照明灯具、开关箱等设备完整、清洁、运行正常；线缆整洁有序；控制系统完好有效；照度、均匀度，空气CO浓度等符合规范要求；发现一项不合格，扣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 xml:space="preserve">分。 </w:t>
            </w:r>
          </w:p>
        </w:tc>
        <w:tc>
          <w:tcPr>
            <w:tcW w:w="750" w:type="dxa"/>
            <w:noWrap w:val="0"/>
            <w:vAlign w:val="center"/>
          </w:tcPr>
          <w:p w14:paraId="2D5C495D">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2332" w:type="dxa"/>
            <w:noWrap w:val="0"/>
            <w:vAlign w:val="center"/>
          </w:tcPr>
          <w:p w14:paraId="160C5661">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7E673C39">
            <w:pPr>
              <w:snapToGrid w:val="0"/>
              <w:spacing w:line="260" w:lineRule="exact"/>
              <w:jc w:val="center"/>
              <w:rPr>
                <w:rFonts w:hint="eastAsia" w:ascii="仿宋" w:hAnsi="仿宋" w:eastAsia="仿宋" w:cs="仿宋"/>
                <w:color w:val="auto"/>
                <w:sz w:val="21"/>
                <w:szCs w:val="21"/>
                <w:highlight w:val="none"/>
                <w:lang w:val="en-US" w:eastAsia="zh-CN"/>
              </w:rPr>
            </w:pPr>
          </w:p>
        </w:tc>
      </w:tr>
      <w:tr w14:paraId="5D95A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659" w:type="dxa"/>
            <w:vMerge w:val="continue"/>
            <w:noWrap w:val="0"/>
            <w:vAlign w:val="center"/>
          </w:tcPr>
          <w:p w14:paraId="76E90F20">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466B3560">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7F3D9122">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给排水及消防系统</w:t>
            </w:r>
          </w:p>
        </w:tc>
        <w:tc>
          <w:tcPr>
            <w:tcW w:w="6744" w:type="dxa"/>
            <w:noWrap w:val="0"/>
            <w:vAlign w:val="center"/>
          </w:tcPr>
          <w:p w14:paraId="2C32CE63">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增压泵、稳压泵、潜污泵、开关箱、液位仪等设备完整、清洁、运行正常；管道、保护措施及支架完好，无渗漏、锈蚀、变形，给水管道压力满足要求；消火栓及灭火器外观应保持完整、清洁，无漏水、腐蚀、软管损伤老化、箱体锈蚀，欠压等情况；隧道手报、温感、烟感、综合盘、火灾报警器灯设备运行正常；隧道内防火门、防火卷帘、消防安全疏散指示标志、应急照明、广播、紧急电话等设施应处于正常状态；检查台账记录齐全；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045D5B08">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2332" w:type="dxa"/>
            <w:noWrap w:val="0"/>
            <w:vAlign w:val="center"/>
          </w:tcPr>
          <w:p w14:paraId="33524C76">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4EC6265E">
            <w:pPr>
              <w:snapToGrid w:val="0"/>
              <w:spacing w:line="260" w:lineRule="exact"/>
              <w:jc w:val="center"/>
              <w:rPr>
                <w:rFonts w:hint="eastAsia" w:ascii="仿宋" w:hAnsi="仿宋" w:eastAsia="仿宋" w:cs="仿宋"/>
                <w:color w:val="auto"/>
                <w:sz w:val="21"/>
                <w:szCs w:val="21"/>
                <w:highlight w:val="none"/>
                <w:lang w:val="en-US" w:eastAsia="zh-CN"/>
              </w:rPr>
            </w:pPr>
          </w:p>
        </w:tc>
      </w:tr>
      <w:tr w14:paraId="3D2C2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659" w:type="dxa"/>
            <w:vMerge w:val="continue"/>
            <w:noWrap w:val="0"/>
            <w:vAlign w:val="center"/>
          </w:tcPr>
          <w:p w14:paraId="0DF1B922">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209D5579">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312C15E6">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智能交通及环境监测系统</w:t>
            </w:r>
          </w:p>
        </w:tc>
        <w:tc>
          <w:tcPr>
            <w:tcW w:w="6744" w:type="dxa"/>
            <w:noWrap w:val="0"/>
            <w:vAlign w:val="center"/>
          </w:tcPr>
          <w:p w14:paraId="6CD7B1AC">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交通信号灯、情报板、电子限速牌等设备完整、清洁、运行正常；线缆整洁有序；控制系统完好有效；CO/VI检测仪、气象仪等设备运行正常，数据可靠；发现一项不合格扣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0761182B">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2332" w:type="dxa"/>
            <w:noWrap w:val="0"/>
            <w:vAlign w:val="center"/>
          </w:tcPr>
          <w:p w14:paraId="34081F8F">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71CD8B63">
            <w:pPr>
              <w:snapToGrid w:val="0"/>
              <w:spacing w:line="260" w:lineRule="exact"/>
              <w:jc w:val="center"/>
              <w:rPr>
                <w:rFonts w:hint="eastAsia" w:ascii="仿宋" w:hAnsi="仿宋" w:eastAsia="仿宋" w:cs="仿宋"/>
                <w:color w:val="auto"/>
                <w:sz w:val="21"/>
                <w:szCs w:val="21"/>
                <w:highlight w:val="none"/>
                <w:lang w:val="en-US" w:eastAsia="zh-CN"/>
              </w:rPr>
            </w:pPr>
          </w:p>
        </w:tc>
      </w:tr>
      <w:tr w14:paraId="37FEA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Merge w:val="continue"/>
            <w:noWrap w:val="0"/>
            <w:vAlign w:val="center"/>
          </w:tcPr>
          <w:p w14:paraId="1AA01C27">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055E3803">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5A1C85C0">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监控系统及中控集成平台</w:t>
            </w:r>
          </w:p>
        </w:tc>
        <w:tc>
          <w:tcPr>
            <w:tcW w:w="6744" w:type="dxa"/>
            <w:noWrap w:val="0"/>
            <w:vAlign w:val="center"/>
          </w:tcPr>
          <w:p w14:paraId="57A8446A">
            <w:pPr>
              <w:snapToGrid w:val="0"/>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监控探头、服务器、显示器、存储等设备完整、清洁、运行正常；线缆整洁有序；中控集成平台完好有效、正常联动；发现一项不合格扣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038151A4">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2332" w:type="dxa"/>
            <w:noWrap w:val="0"/>
            <w:vAlign w:val="center"/>
          </w:tcPr>
          <w:p w14:paraId="2D4DAFE2">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6406E3A0">
            <w:pPr>
              <w:snapToGrid w:val="0"/>
              <w:spacing w:line="260" w:lineRule="exact"/>
              <w:jc w:val="center"/>
              <w:rPr>
                <w:rFonts w:hint="eastAsia" w:ascii="仿宋" w:hAnsi="仿宋" w:eastAsia="仿宋" w:cs="仿宋"/>
                <w:color w:val="auto"/>
                <w:sz w:val="21"/>
                <w:szCs w:val="21"/>
                <w:highlight w:val="none"/>
                <w:lang w:val="en-US" w:eastAsia="zh-CN"/>
              </w:rPr>
            </w:pPr>
          </w:p>
        </w:tc>
      </w:tr>
      <w:tr w14:paraId="2AB10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Merge w:val="restart"/>
            <w:tcBorders>
              <w:top w:val="single" w:color="auto" w:sz="4" w:space="0"/>
              <w:left w:val="single" w:color="auto" w:sz="4" w:space="0"/>
              <w:right w:val="single" w:color="auto" w:sz="4" w:space="0"/>
            </w:tcBorders>
            <w:noWrap w:val="0"/>
            <w:vAlign w:val="center"/>
          </w:tcPr>
          <w:p w14:paraId="3B83CD89">
            <w:pPr>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420" w:type="dxa"/>
            <w:vMerge w:val="restart"/>
            <w:tcBorders>
              <w:left w:val="single" w:color="auto" w:sz="4" w:space="0"/>
              <w:right w:val="single" w:color="auto" w:sz="4" w:space="0"/>
            </w:tcBorders>
            <w:noWrap w:val="0"/>
            <w:vAlign w:val="center"/>
          </w:tcPr>
          <w:p w14:paraId="5E59CB08">
            <w:pPr>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附属设施</w:t>
            </w:r>
          </w:p>
          <w:p w14:paraId="358FA115">
            <w:pPr>
              <w:spacing w:line="260" w:lineRule="exact"/>
              <w:rPr>
                <w:rFonts w:hint="eastAsia" w:ascii="仿宋" w:hAnsi="仿宋" w:eastAsia="仿宋" w:cs="仿宋"/>
                <w:color w:val="auto"/>
                <w:sz w:val="21"/>
                <w:szCs w:val="21"/>
                <w:highlight w:val="none"/>
              </w:rPr>
            </w:pPr>
          </w:p>
        </w:tc>
        <w:tc>
          <w:tcPr>
            <w:tcW w:w="2000" w:type="dxa"/>
            <w:noWrap w:val="0"/>
            <w:vAlign w:val="center"/>
          </w:tcPr>
          <w:p w14:paraId="0B6EB16E">
            <w:pPr>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管理房</w:t>
            </w:r>
          </w:p>
        </w:tc>
        <w:tc>
          <w:tcPr>
            <w:tcW w:w="6744" w:type="dxa"/>
            <w:noWrap w:val="0"/>
            <w:vAlign w:val="center"/>
          </w:tcPr>
          <w:p w14:paraId="0B9359F6">
            <w:pPr>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隧道管理范围内的（含监控、配电室、泵房等）物品摆放有序、整洁；管理房需配备门禁系统，并制定门禁管理制度；发现一项不合格扣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6DE3866E">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098FBA1E">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67800BB3">
            <w:pPr>
              <w:snapToGrid w:val="0"/>
              <w:spacing w:line="260" w:lineRule="exact"/>
              <w:jc w:val="center"/>
              <w:rPr>
                <w:rFonts w:hint="eastAsia" w:ascii="仿宋" w:hAnsi="仿宋" w:eastAsia="仿宋" w:cs="仿宋"/>
                <w:color w:val="auto"/>
                <w:sz w:val="21"/>
                <w:szCs w:val="21"/>
                <w:highlight w:val="none"/>
                <w:lang w:val="en-US" w:eastAsia="zh-CN"/>
              </w:rPr>
            </w:pPr>
          </w:p>
        </w:tc>
      </w:tr>
      <w:tr w14:paraId="6A423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59" w:type="dxa"/>
            <w:vMerge w:val="continue"/>
            <w:tcBorders>
              <w:left w:val="single" w:color="auto" w:sz="4" w:space="0"/>
              <w:right w:val="single" w:color="auto" w:sz="4" w:space="0"/>
            </w:tcBorders>
            <w:noWrap w:val="0"/>
            <w:vAlign w:val="center"/>
          </w:tcPr>
          <w:p w14:paraId="1DFD0873">
            <w:pPr>
              <w:spacing w:line="260" w:lineRule="exact"/>
              <w:rPr>
                <w:rFonts w:hint="eastAsia" w:ascii="仿宋" w:hAnsi="仿宋" w:eastAsia="仿宋" w:cs="仿宋"/>
                <w:color w:val="auto"/>
                <w:sz w:val="21"/>
                <w:szCs w:val="21"/>
                <w:highlight w:val="none"/>
              </w:rPr>
            </w:pPr>
          </w:p>
        </w:tc>
        <w:tc>
          <w:tcPr>
            <w:tcW w:w="420" w:type="dxa"/>
            <w:vMerge w:val="continue"/>
            <w:tcBorders>
              <w:left w:val="single" w:color="auto" w:sz="4" w:space="0"/>
              <w:right w:val="single" w:color="auto" w:sz="4" w:space="0"/>
            </w:tcBorders>
            <w:noWrap w:val="0"/>
            <w:vAlign w:val="center"/>
          </w:tcPr>
          <w:p w14:paraId="1B164601">
            <w:pPr>
              <w:spacing w:line="260" w:lineRule="exact"/>
              <w:rPr>
                <w:rFonts w:hint="eastAsia" w:ascii="仿宋" w:hAnsi="仿宋" w:eastAsia="仿宋" w:cs="仿宋"/>
                <w:color w:val="auto"/>
                <w:sz w:val="21"/>
                <w:szCs w:val="21"/>
                <w:highlight w:val="none"/>
              </w:rPr>
            </w:pPr>
          </w:p>
        </w:tc>
        <w:tc>
          <w:tcPr>
            <w:tcW w:w="2000" w:type="dxa"/>
            <w:noWrap w:val="0"/>
            <w:vAlign w:val="center"/>
          </w:tcPr>
          <w:p w14:paraId="0CC5DC03">
            <w:pPr>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交通标志标线</w:t>
            </w:r>
          </w:p>
        </w:tc>
        <w:tc>
          <w:tcPr>
            <w:tcW w:w="6744" w:type="dxa"/>
            <w:noWrap w:val="0"/>
            <w:vAlign w:val="center"/>
          </w:tcPr>
          <w:p w14:paraId="68F4BB80">
            <w:pPr>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隧道龙门架、超限标志牌、示廓灯、反光标、标线等完好、清洁；发现一项不合格扣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6315FB35">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400FFC7A">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622107CF">
            <w:pPr>
              <w:snapToGrid w:val="0"/>
              <w:spacing w:line="260" w:lineRule="exact"/>
              <w:jc w:val="center"/>
              <w:rPr>
                <w:rFonts w:hint="eastAsia" w:ascii="仿宋" w:hAnsi="仿宋" w:eastAsia="仿宋" w:cs="仿宋"/>
                <w:color w:val="auto"/>
                <w:sz w:val="21"/>
                <w:szCs w:val="21"/>
                <w:highlight w:val="none"/>
                <w:lang w:val="en-US" w:eastAsia="zh-CN"/>
              </w:rPr>
            </w:pPr>
          </w:p>
        </w:tc>
      </w:tr>
      <w:tr w14:paraId="3A39C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59" w:type="dxa"/>
            <w:vMerge w:val="restart"/>
            <w:noWrap w:val="0"/>
            <w:vAlign w:val="center"/>
          </w:tcPr>
          <w:p w14:paraId="09FE7DA7">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420" w:type="dxa"/>
            <w:vMerge w:val="restart"/>
            <w:noWrap w:val="0"/>
            <w:vAlign w:val="center"/>
          </w:tcPr>
          <w:p w14:paraId="63779AC0">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w:t>
            </w:r>
          </w:p>
        </w:tc>
        <w:tc>
          <w:tcPr>
            <w:tcW w:w="2000" w:type="dxa"/>
            <w:noWrap w:val="0"/>
            <w:vAlign w:val="center"/>
          </w:tcPr>
          <w:p w14:paraId="5197566A">
            <w:pPr>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应急制度及值班人员</w:t>
            </w:r>
          </w:p>
        </w:tc>
        <w:tc>
          <w:tcPr>
            <w:tcW w:w="6744" w:type="dxa"/>
            <w:noWrap w:val="0"/>
            <w:vAlign w:val="center"/>
          </w:tcPr>
          <w:p w14:paraId="6D8BE860">
            <w:pPr>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隧道内各类应急制度完善，并上墙；值班人员着装统一、训练有素，职责清晰、设施熟悉、设备操作熟练，对待外人来人员有礼有节；各项台账记录规范、完整；发现一项不合格扣</w:t>
            </w:r>
            <w:r>
              <w:rPr>
                <w:rFonts w:hint="eastAsia" w:ascii="仿宋" w:hAnsi="仿宋" w:eastAsia="仿宋" w:cs="仿宋"/>
                <w:color w:val="auto"/>
                <w:sz w:val="21"/>
                <w:szCs w:val="21"/>
                <w:highlight w:val="none"/>
                <w:lang w:val="en-US" w:eastAsia="zh-CN"/>
              </w:rPr>
              <w:t>0.5</w:t>
            </w:r>
            <w:r>
              <w:rPr>
                <w:rFonts w:hint="eastAsia" w:ascii="仿宋" w:hAnsi="仿宋" w:eastAsia="仿宋" w:cs="仿宋"/>
                <w:color w:val="auto"/>
                <w:sz w:val="21"/>
                <w:szCs w:val="21"/>
                <w:highlight w:val="none"/>
              </w:rPr>
              <w:t>分。</w:t>
            </w:r>
          </w:p>
        </w:tc>
        <w:tc>
          <w:tcPr>
            <w:tcW w:w="750" w:type="dxa"/>
            <w:noWrap w:val="0"/>
            <w:vAlign w:val="center"/>
          </w:tcPr>
          <w:p w14:paraId="0452A051">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43E37663">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4A43E5A2">
            <w:pPr>
              <w:snapToGrid w:val="0"/>
              <w:spacing w:line="260" w:lineRule="exact"/>
              <w:jc w:val="center"/>
              <w:rPr>
                <w:rFonts w:hint="eastAsia" w:ascii="仿宋" w:hAnsi="仿宋" w:eastAsia="仿宋" w:cs="仿宋"/>
                <w:color w:val="auto"/>
                <w:sz w:val="21"/>
                <w:szCs w:val="21"/>
                <w:highlight w:val="none"/>
                <w:lang w:val="en-US" w:eastAsia="zh-CN"/>
              </w:rPr>
            </w:pPr>
          </w:p>
        </w:tc>
      </w:tr>
      <w:tr w14:paraId="4B8B7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59" w:type="dxa"/>
            <w:vMerge w:val="continue"/>
            <w:noWrap w:val="0"/>
            <w:vAlign w:val="center"/>
          </w:tcPr>
          <w:p w14:paraId="62F171A9">
            <w:pPr>
              <w:snapToGrid w:val="0"/>
              <w:spacing w:line="260" w:lineRule="exact"/>
              <w:jc w:val="center"/>
              <w:rPr>
                <w:rFonts w:hint="eastAsia" w:ascii="仿宋" w:hAnsi="仿宋" w:eastAsia="仿宋" w:cs="仿宋"/>
                <w:color w:val="auto"/>
                <w:sz w:val="21"/>
                <w:szCs w:val="21"/>
                <w:highlight w:val="none"/>
              </w:rPr>
            </w:pPr>
          </w:p>
        </w:tc>
        <w:tc>
          <w:tcPr>
            <w:tcW w:w="420" w:type="dxa"/>
            <w:vMerge w:val="continue"/>
            <w:noWrap w:val="0"/>
            <w:vAlign w:val="center"/>
          </w:tcPr>
          <w:p w14:paraId="1080505C">
            <w:pPr>
              <w:snapToGrid w:val="0"/>
              <w:spacing w:line="260" w:lineRule="exact"/>
              <w:jc w:val="center"/>
              <w:rPr>
                <w:rFonts w:hint="eastAsia" w:ascii="仿宋" w:hAnsi="仿宋" w:eastAsia="仿宋" w:cs="仿宋"/>
                <w:color w:val="auto"/>
                <w:sz w:val="21"/>
                <w:szCs w:val="21"/>
                <w:highlight w:val="none"/>
              </w:rPr>
            </w:pPr>
          </w:p>
        </w:tc>
        <w:tc>
          <w:tcPr>
            <w:tcW w:w="2000" w:type="dxa"/>
            <w:noWrap w:val="0"/>
            <w:vAlign w:val="center"/>
          </w:tcPr>
          <w:p w14:paraId="2D1F7FF4">
            <w:pPr>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其他设施</w:t>
            </w:r>
          </w:p>
        </w:tc>
        <w:tc>
          <w:tcPr>
            <w:tcW w:w="6744" w:type="dxa"/>
            <w:noWrap w:val="0"/>
            <w:vAlign w:val="center"/>
          </w:tcPr>
          <w:p w14:paraId="39F8C6A4">
            <w:pPr>
              <w:spacing w:line="260" w:lineRule="exac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设施养护范围及安全保护区域内运行正常，发现存在问题</w:t>
            </w:r>
            <w:r>
              <w:rPr>
                <w:rFonts w:hint="eastAsia" w:ascii="仿宋" w:hAnsi="仿宋" w:eastAsia="仿宋" w:cs="仿宋"/>
                <w:color w:val="auto"/>
                <w:sz w:val="21"/>
                <w:szCs w:val="21"/>
                <w:highlight w:val="none"/>
                <w:lang w:val="en-US" w:eastAsia="zh-CN"/>
              </w:rPr>
              <w:t>未及时处置的，</w:t>
            </w:r>
            <w:r>
              <w:rPr>
                <w:rFonts w:hint="eastAsia" w:ascii="仿宋" w:hAnsi="仿宋" w:eastAsia="仿宋" w:cs="仿宋"/>
                <w:color w:val="auto"/>
                <w:sz w:val="21"/>
                <w:szCs w:val="21"/>
                <w:highlight w:val="none"/>
              </w:rPr>
              <w:t>每项每处扣</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w:t>
            </w:r>
          </w:p>
        </w:tc>
        <w:tc>
          <w:tcPr>
            <w:tcW w:w="750" w:type="dxa"/>
            <w:noWrap w:val="0"/>
            <w:vAlign w:val="center"/>
          </w:tcPr>
          <w:p w14:paraId="69E1EB9F">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332" w:type="dxa"/>
            <w:noWrap w:val="0"/>
            <w:vAlign w:val="center"/>
          </w:tcPr>
          <w:p w14:paraId="21CC2980">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1FF5A783">
            <w:pPr>
              <w:snapToGrid w:val="0"/>
              <w:spacing w:line="260" w:lineRule="exact"/>
              <w:jc w:val="center"/>
              <w:rPr>
                <w:rFonts w:hint="eastAsia" w:ascii="仿宋" w:hAnsi="仿宋" w:eastAsia="仿宋" w:cs="仿宋"/>
                <w:color w:val="auto"/>
                <w:sz w:val="21"/>
                <w:szCs w:val="21"/>
                <w:highlight w:val="none"/>
                <w:lang w:val="en-US" w:eastAsia="zh-CN"/>
              </w:rPr>
            </w:pPr>
          </w:p>
        </w:tc>
      </w:tr>
      <w:tr w14:paraId="55376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59" w:type="dxa"/>
            <w:noWrap w:val="0"/>
            <w:vAlign w:val="center"/>
          </w:tcPr>
          <w:p w14:paraId="164F70CB">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2420" w:type="dxa"/>
            <w:gridSpan w:val="2"/>
            <w:noWrap w:val="0"/>
            <w:vAlign w:val="center"/>
          </w:tcPr>
          <w:p w14:paraId="5958BA1A">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合计</w:t>
            </w:r>
          </w:p>
        </w:tc>
        <w:tc>
          <w:tcPr>
            <w:tcW w:w="6744" w:type="dxa"/>
            <w:noWrap w:val="0"/>
            <w:vAlign w:val="center"/>
          </w:tcPr>
          <w:p w14:paraId="43E6037B">
            <w:pPr>
              <w:snapToGrid w:val="0"/>
              <w:spacing w:line="260" w:lineRule="exact"/>
              <w:jc w:val="center"/>
              <w:rPr>
                <w:rFonts w:hint="eastAsia" w:ascii="仿宋" w:hAnsi="仿宋" w:eastAsia="仿宋" w:cs="仿宋"/>
                <w:color w:val="auto"/>
                <w:sz w:val="21"/>
                <w:szCs w:val="21"/>
                <w:highlight w:val="none"/>
              </w:rPr>
            </w:pPr>
          </w:p>
        </w:tc>
        <w:tc>
          <w:tcPr>
            <w:tcW w:w="750" w:type="dxa"/>
            <w:noWrap w:val="0"/>
            <w:vAlign w:val="center"/>
          </w:tcPr>
          <w:p w14:paraId="5B89D782">
            <w:pPr>
              <w:snapToGrid w:val="0"/>
              <w:spacing w:line="260" w:lineRule="exac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100</w:t>
            </w:r>
          </w:p>
        </w:tc>
        <w:tc>
          <w:tcPr>
            <w:tcW w:w="2332" w:type="dxa"/>
            <w:noWrap w:val="0"/>
            <w:vAlign w:val="center"/>
          </w:tcPr>
          <w:p w14:paraId="680DDCF6">
            <w:pPr>
              <w:snapToGrid w:val="0"/>
              <w:spacing w:line="260" w:lineRule="exact"/>
              <w:jc w:val="center"/>
              <w:rPr>
                <w:rFonts w:hint="eastAsia" w:ascii="仿宋" w:hAnsi="仿宋" w:eastAsia="仿宋" w:cs="仿宋"/>
                <w:color w:val="auto"/>
                <w:sz w:val="21"/>
                <w:szCs w:val="21"/>
                <w:highlight w:val="none"/>
              </w:rPr>
            </w:pPr>
          </w:p>
        </w:tc>
        <w:tc>
          <w:tcPr>
            <w:tcW w:w="1282" w:type="dxa"/>
            <w:noWrap w:val="0"/>
            <w:vAlign w:val="center"/>
          </w:tcPr>
          <w:p w14:paraId="4B7F9126">
            <w:pPr>
              <w:snapToGrid w:val="0"/>
              <w:spacing w:line="260" w:lineRule="exact"/>
              <w:jc w:val="center"/>
              <w:rPr>
                <w:rFonts w:hint="eastAsia" w:ascii="仿宋" w:hAnsi="仿宋" w:eastAsia="仿宋" w:cs="仿宋"/>
                <w:color w:val="auto"/>
                <w:sz w:val="21"/>
                <w:szCs w:val="21"/>
                <w:highlight w:val="none"/>
                <w:lang w:val="en-US" w:eastAsia="zh-CN"/>
              </w:rPr>
            </w:pPr>
          </w:p>
        </w:tc>
      </w:tr>
    </w:tbl>
    <w:p w14:paraId="2CC6A6AF">
      <w:pPr>
        <w:pStyle w:val="54"/>
        <w:adjustRightInd w:val="0"/>
        <w:snapToGrid w:val="0"/>
        <w:spacing w:line="240" w:lineRule="auto"/>
        <w:ind w:firstLine="0"/>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备注：上述考核内容未明确的事项，可根据现场实际判定情况进行相应扣分。</w:t>
      </w:r>
    </w:p>
    <w:p w14:paraId="4940C684">
      <w:pPr>
        <w:pStyle w:val="54"/>
        <w:adjustRightInd w:val="0"/>
        <w:snapToGrid w:val="0"/>
        <w:spacing w:line="620" w:lineRule="exact"/>
        <w:ind w:firstLine="0"/>
        <w:rPr>
          <w:rFonts w:hint="eastAsia"/>
          <w:color w:val="auto"/>
          <w:highlight w:val="none"/>
        </w:rPr>
      </w:pPr>
      <w:r>
        <w:rPr>
          <w:rFonts w:hint="eastAsia" w:ascii="仿宋" w:hAnsi="仿宋" w:eastAsia="仿宋" w:cs="仿宋"/>
          <w:color w:val="auto"/>
          <w:sz w:val="21"/>
          <w:szCs w:val="21"/>
          <w:highlight w:val="none"/>
        </w:rPr>
        <w:t xml:space="preserve">考核评分人：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时间：   年  月  日</w:t>
      </w:r>
    </w:p>
    <w:p w14:paraId="6388FD13">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pPr>
    </w:p>
    <w:p w14:paraId="10374319">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sectPr>
          <w:pgSz w:w="16838" w:h="11906" w:orient="landscape"/>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pPr>
    </w:p>
    <w:p w14:paraId="22B09010">
      <w:pPr>
        <w:keepNext w:val="0"/>
        <w:keepLines w:val="0"/>
        <w:pageBreakBefore w:val="0"/>
        <w:widowControl w:val="0"/>
        <w:kinsoku/>
        <w:wordWrap/>
        <w:overflowPunct/>
        <w:topLinePunct w:val="0"/>
        <w:autoSpaceDE/>
        <w:autoSpaceDN/>
        <w:bidi w:val="0"/>
        <w:spacing w:line="400" w:lineRule="exact"/>
        <w:jc w:val="both"/>
        <w:textAlignment w:val="auto"/>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24"/>
          <w:szCs w:val="24"/>
          <w:highlight w:val="none"/>
        </w:rPr>
        <w:t>附件</w:t>
      </w: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rPr>
        <w:t>：</w:t>
      </w:r>
    </w:p>
    <w:p w14:paraId="6C4F2265">
      <w:pPr>
        <w:keepNext w:val="0"/>
        <w:keepLines w:val="0"/>
        <w:pageBreakBefore w:val="0"/>
        <w:widowControl w:val="0"/>
        <w:kinsoku/>
        <w:wordWrap/>
        <w:overflowPunct/>
        <w:topLinePunct w:val="0"/>
        <w:autoSpaceDE/>
        <w:autoSpaceDN/>
        <w:bidi w:val="0"/>
        <w:spacing w:line="400" w:lineRule="exact"/>
        <w:jc w:val="center"/>
        <w:textAlignment w:val="auto"/>
        <w:rPr>
          <w:rFonts w:hint="default"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t>衢州智慧新城地下综合管廊运营项目</w:t>
      </w:r>
    </w:p>
    <w:p w14:paraId="16ABC56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val="en-US" w:eastAsia="zh-CN"/>
        </w:rPr>
        <w:t>绩效考核管理办法</w:t>
      </w:r>
    </w:p>
    <w:p w14:paraId="172688E5">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pPr>
    </w:p>
    <w:p w14:paraId="64A0B28C">
      <w:pPr>
        <w:pStyle w:val="7"/>
        <w:pageBreakBefore w:val="0"/>
        <w:kinsoku/>
        <w:wordWrap/>
        <w:overflowPunct/>
        <w:topLinePunct w:val="0"/>
        <w:autoSpaceDE/>
        <w:autoSpaceDN/>
        <w:bidi w:val="0"/>
        <w:adjustRightInd/>
        <w:spacing w:line="440" w:lineRule="exact"/>
        <w:ind w:left="0" w:leftChars="0" w:firstLine="482" w:firstLineChars="200"/>
        <w:outlineLvl w:val="0"/>
        <w:rPr>
          <w:rFonts w:hint="eastAsia" w:ascii="仿宋" w:hAnsi="仿宋" w:eastAsia="仿宋" w:cs="仿宋"/>
          <w:color w:val="auto"/>
          <w:sz w:val="24"/>
          <w:szCs w:val="24"/>
          <w:highlight w:val="none"/>
          <w:lang w:val="en-US" w:eastAsia="zh-CN"/>
        </w:rPr>
      </w:pPr>
      <w:bookmarkStart w:id="231" w:name="_Toc19695"/>
      <w:r>
        <w:rPr>
          <w:rFonts w:hint="eastAsia" w:ascii="仿宋" w:hAnsi="仿宋" w:eastAsia="仿宋" w:cs="仿宋"/>
          <w:color w:val="auto"/>
          <w:sz w:val="24"/>
          <w:szCs w:val="24"/>
          <w:highlight w:val="none"/>
          <w:lang w:val="en-US" w:eastAsia="zh-CN"/>
        </w:rPr>
        <w:t>一、项目基本情况</w:t>
      </w:r>
      <w:bookmarkEnd w:id="231"/>
    </w:p>
    <w:p w14:paraId="6CAF6368">
      <w:pPr>
        <w:pageBreakBefore w:val="0"/>
        <w:kinsoku/>
        <w:wordWrap/>
        <w:overflowPunct/>
        <w:topLinePunct w:val="0"/>
        <w:autoSpaceDE/>
        <w:autoSpaceDN/>
        <w:bidi w:val="0"/>
        <w:adjustRightInd/>
        <w:spacing w:line="44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（一）项目概况</w:t>
      </w:r>
    </w:p>
    <w:p w14:paraId="703DEE9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衢州市高铁新城地下综合管廊工程位于衢州市高铁新城，其范围包括：东至锦西大道、西至石华线、北至柯安三路、南至常山江及320国道。</w:t>
      </w:r>
    </w:p>
    <w:p w14:paraId="3D4FC07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主要运营内容包括：</w:t>
      </w:r>
      <w:r>
        <w:rPr>
          <w:rFonts w:hint="eastAsia" w:ascii="仿宋" w:hAnsi="仿宋" w:eastAsia="仿宋" w:cs="仿宋"/>
          <w:b w:val="0"/>
          <w:bCs w:val="0"/>
          <w:color w:val="auto"/>
          <w:sz w:val="24"/>
          <w:szCs w:val="24"/>
          <w:highlight w:val="none"/>
          <w:lang w:val="en-US" w:eastAsia="zh-CN"/>
        </w:rPr>
        <w:t>闽江大道（九华西大道）、钱江大道（三江西路）、衢县路（芹江西路）芹江大道、三清山大道（橘林大道）、常山路（创智路）、武夷山大道六条道路的地下综合管廊工程及其配套附属设施，管廊全长16.809km；其中：闽江大道综合管廊全长3173m，两舱管廊(7.3*3.3)：83m，三舱管廊(9.35*3.3)：3090.4m；钱江大道综合管廊全长3625m，三舱管廊(7.0*3.0)：1115m；三舱管廊(7.7*3.0)：1860m：两舱管廊(7.7*3.0)：650m；创智路综合管廊全长1601m：两舱管廊(5.05*3.0)：芹江西路综合管廊全长约3434.561m,两舱（3.0m×3.0m+1.8m×3.3m）。三清山大道综合管廊全长2375m，两舱管廊(5.05*3.0)：1586m；三舱管廊(7.0*3.0)：789m。闽江大道：1100m：三舱：（1.8*3.3）,（1.7*3.3）,（5.3*3.3）。武夷山大道：1500m 二舱：（1.8*2.2）,（2.85*2.2）。综合管廊监控中心1座，设在芹江西路与锦西大道交叉口西北角。管廊为二舱、三舱截面，将容纳给水、污水、燃气、电力、通信等管线。</w:t>
      </w:r>
    </w:p>
    <w:p w14:paraId="1B6B4A6F">
      <w:pPr>
        <w:pStyle w:val="11"/>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（二）项目主要参与方</w:t>
      </w:r>
    </w:p>
    <w:p w14:paraId="3822A04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项目运营单位：</w:t>
      </w:r>
    </w:p>
    <w:p w14:paraId="16B6CBF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考核实施主体：衢州智慧新城管理委员会（下称“管委会”）</w:t>
      </w:r>
    </w:p>
    <w:p w14:paraId="3A2B633E">
      <w:pPr>
        <w:pStyle w:val="7"/>
        <w:pageBreakBefore w:val="0"/>
        <w:kinsoku/>
        <w:wordWrap/>
        <w:overflowPunct/>
        <w:topLinePunct w:val="0"/>
        <w:autoSpaceDE/>
        <w:autoSpaceDN/>
        <w:bidi w:val="0"/>
        <w:adjustRightInd/>
        <w:spacing w:line="440" w:lineRule="exact"/>
        <w:ind w:left="0" w:leftChars="0" w:firstLine="482" w:firstLineChars="200"/>
        <w:outlineLvl w:val="0"/>
        <w:rPr>
          <w:rFonts w:hint="eastAsia" w:ascii="仿宋" w:hAnsi="仿宋" w:eastAsia="仿宋" w:cs="仿宋"/>
          <w:color w:val="auto"/>
          <w:sz w:val="24"/>
          <w:szCs w:val="24"/>
          <w:highlight w:val="none"/>
          <w:lang w:val="en-US" w:eastAsia="zh-CN"/>
        </w:rPr>
      </w:pPr>
      <w:bookmarkStart w:id="232" w:name="_Toc12067"/>
      <w:r>
        <w:rPr>
          <w:rFonts w:hint="eastAsia" w:ascii="仿宋" w:hAnsi="仿宋" w:eastAsia="仿宋" w:cs="仿宋"/>
          <w:color w:val="auto"/>
          <w:sz w:val="24"/>
          <w:szCs w:val="24"/>
          <w:highlight w:val="none"/>
          <w:lang w:val="en-US" w:eastAsia="zh-CN"/>
        </w:rPr>
        <w:t>二、项目绩效考核目标</w:t>
      </w:r>
      <w:bookmarkEnd w:id="232"/>
    </w:p>
    <w:p w14:paraId="0C00874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通过运营绩效考核，考核运营单位切实履行衢州管廊项目运营主体责任，不断优化管理水平，提升运行维护质量，促进管廊项目发挥综合效益、安全高效运行。</w:t>
      </w:r>
    </w:p>
    <w:p w14:paraId="07A078F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项目绩效考核目标包括项目管理目标、项目产出目标。项目管理目标的核心关注点在于管廊运营管理单位是否能通过管理手段实现项目的过程目标和结果目标，具体包括运营周期内管廊运营管理单位在履行职责、财务管理、制度建设、档案管理等方面是否符合运营合同及有关规定的要求。项目产出目标包括项目直接产出的数量、质量、时效目标，也包括为实现直接产出而付出的成本或资源。</w:t>
      </w:r>
    </w:p>
    <w:p w14:paraId="7DB521C7">
      <w:pPr>
        <w:pStyle w:val="7"/>
        <w:pageBreakBefore w:val="0"/>
        <w:kinsoku/>
        <w:wordWrap/>
        <w:overflowPunct/>
        <w:topLinePunct w:val="0"/>
        <w:autoSpaceDE/>
        <w:autoSpaceDN/>
        <w:bidi w:val="0"/>
        <w:adjustRightInd/>
        <w:spacing w:line="440" w:lineRule="exact"/>
        <w:outlineLvl w:val="0"/>
        <w:rPr>
          <w:rFonts w:hint="eastAsia" w:ascii="仿宋" w:hAnsi="仿宋" w:eastAsia="仿宋" w:cs="仿宋"/>
          <w:color w:val="auto"/>
          <w:sz w:val="24"/>
          <w:szCs w:val="24"/>
          <w:highlight w:val="none"/>
          <w:lang w:val="en-US" w:eastAsia="zh-CN"/>
        </w:rPr>
      </w:pPr>
      <w:bookmarkStart w:id="233" w:name="_Toc20671"/>
      <w:r>
        <w:rPr>
          <w:rFonts w:hint="eastAsia" w:ascii="仿宋" w:hAnsi="仿宋" w:eastAsia="仿宋" w:cs="仿宋"/>
          <w:color w:val="auto"/>
          <w:sz w:val="24"/>
          <w:szCs w:val="24"/>
          <w:highlight w:val="none"/>
          <w:lang w:val="en-US" w:eastAsia="zh-CN"/>
        </w:rPr>
        <w:t>三、考核管理办法编制依据</w:t>
      </w:r>
      <w:bookmarkEnd w:id="233"/>
    </w:p>
    <w:p w14:paraId="27876A1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（一）《衢州市智慧新城地下综合管廊委托运营合同》</w:t>
      </w:r>
    </w:p>
    <w:p w14:paraId="60F89F1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（二）《城市综合管廊工程技术规范》（GB50838-2015）</w:t>
      </w:r>
    </w:p>
    <w:p w14:paraId="5CBEC0F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（三）《城市工程管线综合规划规范》（GB50289-2017）</w:t>
      </w:r>
    </w:p>
    <w:p w14:paraId="2012FC6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（四）《室外给水设计规范》（GB50013-2006）</w:t>
      </w:r>
    </w:p>
    <w:p w14:paraId="20F9E27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（五）《室外排水设计规范》（GB50014-2006）</w:t>
      </w:r>
    </w:p>
    <w:p w14:paraId="715D7F5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（六）《电力工程电缆设计规范》（GB50217-2018）</w:t>
      </w:r>
    </w:p>
    <w:p w14:paraId="50F80B6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（七）《城镇供热管网设计规范》（CJJ34-2010）</w:t>
      </w:r>
    </w:p>
    <w:p w14:paraId="77885ED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（八）《建筑给水排水设计规范》（GB50015-2003）</w:t>
      </w:r>
    </w:p>
    <w:p w14:paraId="401C216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（九）《建筑设计防火规范》（GB50016-2014）</w:t>
      </w:r>
    </w:p>
    <w:p w14:paraId="2D529DA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（十）《建筑灭火器配置设计规范》（GB50140-2005）</w:t>
      </w:r>
    </w:p>
    <w:p w14:paraId="1E1AAD3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（十一）《给水排水管道工程施工及验收规范》（GB50268-2008）</w:t>
      </w:r>
    </w:p>
    <w:p w14:paraId="7BA92DB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（十二）《混凝土结构设计规范》（GB50010-2010）</w:t>
      </w:r>
    </w:p>
    <w:p w14:paraId="454447D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（十三）《建筑地基基础设计规范》（GB50007-2011）</w:t>
      </w:r>
    </w:p>
    <w:p w14:paraId="4B09460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（十四）衢州市智慧新城地下综合管廊项目运营维护手册</w:t>
      </w:r>
    </w:p>
    <w:p w14:paraId="7C7A189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（十五）建筑消防设施的维护管理（GB25201-2010）</w:t>
      </w:r>
    </w:p>
    <w:p w14:paraId="1A169B3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（十六）建筑灭火器配置验收及检查规范（GB 50444-2008）</w:t>
      </w:r>
    </w:p>
    <w:p w14:paraId="106C8B0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（十七）国家及浙江省相关法律法规、行业规范和管理办法如有变化，按变化后的标准执行。</w:t>
      </w:r>
    </w:p>
    <w:p w14:paraId="25CB37EC">
      <w:pPr>
        <w:pStyle w:val="7"/>
        <w:pageBreakBefore w:val="0"/>
        <w:kinsoku/>
        <w:wordWrap/>
        <w:overflowPunct/>
        <w:topLinePunct w:val="0"/>
        <w:autoSpaceDE/>
        <w:autoSpaceDN/>
        <w:bidi w:val="0"/>
        <w:adjustRightInd/>
        <w:spacing w:line="440" w:lineRule="exact"/>
        <w:outlineLvl w:val="0"/>
        <w:rPr>
          <w:rFonts w:hint="eastAsia" w:ascii="仿宋" w:hAnsi="仿宋" w:eastAsia="仿宋" w:cs="仿宋"/>
          <w:color w:val="auto"/>
          <w:sz w:val="24"/>
          <w:szCs w:val="24"/>
          <w:highlight w:val="none"/>
          <w:lang w:val="en-US" w:eastAsia="zh-CN"/>
        </w:rPr>
      </w:pPr>
      <w:bookmarkStart w:id="234" w:name="_Toc14774"/>
      <w:r>
        <w:rPr>
          <w:rFonts w:hint="eastAsia" w:ascii="仿宋" w:hAnsi="仿宋" w:eastAsia="仿宋" w:cs="仿宋"/>
          <w:color w:val="auto"/>
          <w:sz w:val="24"/>
          <w:szCs w:val="24"/>
          <w:highlight w:val="none"/>
          <w:lang w:val="en-US" w:eastAsia="zh-CN"/>
        </w:rPr>
        <w:t>四、绩效考核范围</w:t>
      </w:r>
      <w:bookmarkEnd w:id="234"/>
    </w:p>
    <w:p w14:paraId="791CAA9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（一）绩效考核范围</w:t>
      </w:r>
    </w:p>
    <w:p w14:paraId="4EAECCA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绩效考核范围为衢州智慧新城地下综合管廊项目，考察项目现阶段日常运行情况及绩效目标的实现情况。考核项目清单如下：</w:t>
      </w:r>
    </w:p>
    <w:tbl>
      <w:tblPr>
        <w:tblStyle w:val="88"/>
        <w:tblW w:w="8160" w:type="dxa"/>
        <w:tblInd w:w="346" w:type="dxa"/>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shd w:val="clear" w:color="auto" w:fill="EAEAEA"/>
        <w:tblLayout w:type="autofit"/>
        <w:tblCellMar>
          <w:top w:w="0" w:type="dxa"/>
          <w:left w:w="108" w:type="dxa"/>
          <w:bottom w:w="0" w:type="dxa"/>
          <w:right w:w="108" w:type="dxa"/>
        </w:tblCellMar>
      </w:tblPr>
      <w:tblGrid>
        <w:gridCol w:w="2445"/>
        <w:gridCol w:w="5715"/>
      </w:tblGrid>
      <w:tr w14:paraId="03FF17BE">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shd w:val="clear" w:color="auto" w:fill="EAEAEA"/>
          <w:tblCellMar>
            <w:top w:w="0" w:type="dxa"/>
            <w:left w:w="108" w:type="dxa"/>
            <w:bottom w:w="0" w:type="dxa"/>
            <w:right w:w="108" w:type="dxa"/>
          </w:tblCellMar>
        </w:tblPrEx>
        <w:trPr>
          <w:trHeight w:val="90" w:hRule="atLeast"/>
        </w:trPr>
        <w:tc>
          <w:tcPr>
            <w:tcW w:w="2445" w:type="dxa"/>
            <w:tcBorders>
              <w:bottom w:val="single" w:color="0000FF" w:sz="2" w:space="0"/>
              <w:right w:val="single" w:color="0000FF" w:sz="2" w:space="0"/>
            </w:tcBorders>
            <w:shd w:val="clear" w:color="auto" w:fill="C8F0FF"/>
            <w:noWrap w:val="0"/>
            <w:vAlign w:val="center"/>
          </w:tcPr>
          <w:p w14:paraId="5868E7DF">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lang w:bidi="ar"/>
              </w:rPr>
              <w:t>序号</w:t>
            </w:r>
          </w:p>
        </w:tc>
        <w:tc>
          <w:tcPr>
            <w:tcW w:w="5715" w:type="dxa"/>
            <w:tcBorders>
              <w:left w:val="single" w:color="0000FF" w:sz="2" w:space="0"/>
              <w:bottom w:val="single" w:color="0000FF" w:sz="2" w:space="0"/>
              <w:right w:val="single" w:color="0000FF" w:sz="2" w:space="0"/>
            </w:tcBorders>
            <w:shd w:val="clear" w:color="auto" w:fill="C8F0FF"/>
            <w:noWrap w:val="0"/>
            <w:vAlign w:val="center"/>
          </w:tcPr>
          <w:p w14:paraId="50596BDA">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lang w:bidi="ar"/>
              </w:rPr>
              <w:t>工程名称</w:t>
            </w:r>
          </w:p>
        </w:tc>
      </w:tr>
      <w:tr w14:paraId="249A2ACC">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6AF2CDD2">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3348C840">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闽江大道综合管廊</w:t>
            </w:r>
          </w:p>
        </w:tc>
      </w:tr>
      <w:tr w14:paraId="4679FD5B">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2E1EF2EB">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493A1FA3">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钱江大道综合管廊</w:t>
            </w:r>
          </w:p>
        </w:tc>
      </w:tr>
      <w:tr w14:paraId="15D93FDC">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shd w:val="clear" w:color="auto" w:fill="EAEAEA"/>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2C0D8E06">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325AB00D">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芹江西路综合管廊</w:t>
            </w:r>
          </w:p>
        </w:tc>
      </w:tr>
      <w:tr w14:paraId="23D27FA9">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487B7000">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67EB0DA6">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三清山大道综合管廊</w:t>
            </w:r>
          </w:p>
        </w:tc>
      </w:tr>
      <w:tr w14:paraId="5B3F9C17">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05627803">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77DE07BF">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创智路道综合管廊</w:t>
            </w:r>
          </w:p>
        </w:tc>
      </w:tr>
      <w:tr w14:paraId="68F13655">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shd w:val="clear" w:color="auto" w:fill="EAEAEA"/>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5BFCABCE">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11CD3E94">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武夷山大道综合管廊（一期）</w:t>
            </w:r>
          </w:p>
        </w:tc>
      </w:tr>
      <w:tr w14:paraId="58518478">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bottom w:val="single" w:color="0000FF" w:sz="2" w:space="0"/>
              <w:right w:val="single" w:color="0000FF" w:sz="2" w:space="0"/>
            </w:tcBorders>
            <w:shd w:val="clear" w:color="auto" w:fill="EAEAEA"/>
            <w:noWrap w:val="0"/>
            <w:vAlign w:val="center"/>
          </w:tcPr>
          <w:p w14:paraId="0EBDF129">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5715" w:type="dxa"/>
            <w:tcBorders>
              <w:top w:val="single" w:color="0000FF" w:sz="2" w:space="0"/>
              <w:left w:val="single" w:color="0000FF" w:sz="2" w:space="0"/>
              <w:bottom w:val="single" w:color="0000FF" w:sz="2" w:space="0"/>
              <w:right w:val="single" w:color="0000FF" w:sz="2" w:space="0"/>
            </w:tcBorders>
            <w:shd w:val="clear" w:color="auto" w:fill="EAEAEA"/>
            <w:noWrap w:val="0"/>
            <w:vAlign w:val="center"/>
          </w:tcPr>
          <w:p w14:paraId="0EA4666A">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闽江大道综合管廊（一期）</w:t>
            </w:r>
          </w:p>
        </w:tc>
      </w:tr>
      <w:tr w14:paraId="27BDF1C8">
        <w:tblPrEx>
          <w:tblBorders>
            <w:top w:val="single" w:color="0000FF" w:sz="12" w:space="0"/>
            <w:left w:val="single" w:color="0000FF" w:sz="12" w:space="0"/>
            <w:bottom w:val="single" w:color="0000FF" w:sz="12" w:space="0"/>
            <w:right w:val="single" w:color="0000FF" w:sz="12"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2445" w:type="dxa"/>
            <w:tcBorders>
              <w:top w:val="single" w:color="0000FF" w:sz="2" w:space="0"/>
              <w:right w:val="single" w:color="0000FF" w:sz="2" w:space="0"/>
            </w:tcBorders>
            <w:shd w:val="clear" w:color="auto" w:fill="EAEAEA"/>
            <w:noWrap w:val="0"/>
            <w:vAlign w:val="center"/>
          </w:tcPr>
          <w:p w14:paraId="68B278BD">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w:t>
            </w:r>
          </w:p>
        </w:tc>
        <w:tc>
          <w:tcPr>
            <w:tcW w:w="5715" w:type="dxa"/>
            <w:tcBorders>
              <w:top w:val="single" w:color="0000FF" w:sz="2" w:space="0"/>
              <w:left w:val="single" w:color="0000FF" w:sz="2" w:space="0"/>
              <w:bottom w:val="single" w:color="0000FF" w:sz="12" w:space="0"/>
              <w:right w:val="single" w:color="0000FF" w:sz="2" w:space="0"/>
            </w:tcBorders>
            <w:shd w:val="clear" w:color="auto" w:fill="EAEAEA"/>
            <w:noWrap w:val="0"/>
            <w:vAlign w:val="center"/>
          </w:tcPr>
          <w:p w14:paraId="38FE0E4E">
            <w:pPr>
              <w:pageBreakBefore w:val="0"/>
              <w:widowControl/>
              <w:kinsoku/>
              <w:wordWrap/>
              <w:overflowPunct/>
              <w:topLinePunct w:val="0"/>
              <w:autoSpaceDE/>
              <w:autoSpaceDN/>
              <w:bidi w:val="0"/>
              <w:adjustRightIn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控制中心</w:t>
            </w:r>
          </w:p>
        </w:tc>
      </w:tr>
    </w:tbl>
    <w:p w14:paraId="227357E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（二）绩效考核制度</w:t>
      </w:r>
    </w:p>
    <w:p w14:paraId="608B0F0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项目绩效考核为固定周期考核，考核每季度进行一次，管委会提前48小时通知运营单位，考核分数为当期运营绩效考核支付系数的取值依据。</w:t>
      </w:r>
    </w:p>
    <w:p w14:paraId="6B991869">
      <w:pPr>
        <w:pStyle w:val="7"/>
        <w:pageBreakBefore w:val="0"/>
        <w:kinsoku/>
        <w:wordWrap/>
        <w:overflowPunct/>
        <w:topLinePunct w:val="0"/>
        <w:autoSpaceDE/>
        <w:autoSpaceDN/>
        <w:bidi w:val="0"/>
        <w:adjustRightInd/>
        <w:spacing w:line="440" w:lineRule="exact"/>
        <w:outlineLvl w:val="0"/>
        <w:rPr>
          <w:rFonts w:hint="eastAsia" w:ascii="仿宋" w:hAnsi="仿宋" w:eastAsia="仿宋" w:cs="仿宋"/>
          <w:color w:val="auto"/>
          <w:sz w:val="24"/>
          <w:szCs w:val="24"/>
          <w:highlight w:val="none"/>
          <w:lang w:val="en-US" w:eastAsia="zh-CN"/>
        </w:rPr>
      </w:pPr>
      <w:bookmarkStart w:id="235" w:name="_Toc25119"/>
      <w:r>
        <w:rPr>
          <w:rFonts w:hint="eastAsia" w:ascii="仿宋" w:hAnsi="仿宋" w:eastAsia="仿宋" w:cs="仿宋"/>
          <w:color w:val="auto"/>
          <w:sz w:val="24"/>
          <w:szCs w:val="24"/>
          <w:highlight w:val="none"/>
          <w:lang w:val="en-US" w:eastAsia="zh-CN"/>
        </w:rPr>
        <w:t>五、绩效考核内容</w:t>
      </w:r>
      <w:bookmarkEnd w:id="235"/>
    </w:p>
    <w:p w14:paraId="169AB4F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（一）组织管理</w:t>
      </w:r>
    </w:p>
    <w:p w14:paraId="2312C19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1.目标与保证</w:t>
      </w:r>
    </w:p>
    <w:p w14:paraId="4B3890F3">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运营管理单位根据管廊运营服务合同，制定运营服务手册，明确服务安全质量目标，并有效执行。运营服务手册内容包括不限于项目概况、运营模式、管理目标、编制原则及依据、组织管理、运行管理、维护管理、机械设备及工器具管理、安全与应急管理、节能与环保管理、信息资料管理、评价与反馈、创优争先。</w:t>
      </w:r>
    </w:p>
    <w:p w14:paraId="6B88E9B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2.组织保证</w:t>
      </w:r>
    </w:p>
    <w:p w14:paraId="2657654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建立管廊运营管理组织机构和明确各岗位职责，对运营安全质量控制实行全过程管理。建立完备的管廊运营管理制度体系（含运行、维护、安全制度体系），根据实际情况及时修订。</w:t>
      </w:r>
    </w:p>
    <w:p w14:paraId="58E8F70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3.人员管理</w:t>
      </w:r>
    </w:p>
    <w:p w14:paraId="4755F520">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岗位设置合理、完备，各岗位职责由规范的操作规程。管廊运营从业人员主要包括运营项目负责人、安全管理人员、商务合约人员、值班人员、巡检人员、维护人员。</w:t>
      </w:r>
    </w:p>
    <w:p w14:paraId="514C7163">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新员工须经过岗前培训和考核合格后上岗，培训内容包括岗位职责、专业技能、安全教育、保密意识、制度办法及相关法律法规等。每年开展不少于1次的专项培训，包括预防演练（演习）、逃生技能、医疗急救等。</w:t>
      </w:r>
    </w:p>
    <w:p w14:paraId="515CD85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（二）运行管理</w:t>
      </w:r>
    </w:p>
    <w:p w14:paraId="7B29255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1.竣工验收</w:t>
      </w:r>
    </w:p>
    <w:p w14:paraId="23CC16D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管廊正式运营前，运营管理单位配合主管部门进行管廊竣工验收，建立问题库清单，明确缺陷责任主体，监督、配合完成缺陷问题库的销号。</w:t>
      </w:r>
    </w:p>
    <w:p w14:paraId="4592C99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2.入廊管线维护管理</w:t>
      </w:r>
    </w:p>
    <w:p w14:paraId="4610272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与入廊管线单位建立完善的联动处置机制，配合管线权属单位做好各专业管线监测及维护管理，实现管线运行、维护、故障及预警等信息的数据传递、数据共享、同时督促入廊管线单位及时处置管线运行问题。</w:t>
      </w:r>
    </w:p>
    <w:p w14:paraId="475048C4">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入廊管线单位按照设计要求和相关规范在指定舱室内进行管线入廊作业，管廊运营管理单位不得随意更改舱室用途属性。</w:t>
      </w:r>
    </w:p>
    <w:p w14:paraId="677660B7">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3.作业管理</w:t>
      </w:r>
    </w:p>
    <w:p w14:paraId="4D3494DA">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管廊应采用人工结合信息化技术进行24小时运行维护及安全管理，每班作业人员不少于2人。</w:t>
      </w:r>
    </w:p>
    <w:p w14:paraId="7720CFE0">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指定完善的岗位作业制度、工作标准和作业流程，并根据实际情况及时修订。</w:t>
      </w:r>
    </w:p>
    <w:p w14:paraId="1FAD3FE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管廊本体巡检应结合相关标准规范、运行情况、外部环境等因素合理制定巡检方案。</w:t>
      </w:r>
    </w:p>
    <w:p w14:paraId="20974315">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根据管廊设施设备安装情况，制定管廊消防检测方案，按照规范要求开展消防系统检测。</w:t>
      </w:r>
    </w:p>
    <w:p w14:paraId="25329FBA">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4.信息化管理</w:t>
      </w:r>
    </w:p>
    <w:p w14:paraId="6B0CE06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管廊运营管理单位对管廊运行维护及安全管理的全过程进行数据信息采集、整理、统计、分析和应用，实现对管廊运营过程中相关数据的实时采集、动态监测、动态更新和信息共享。</w:t>
      </w:r>
    </w:p>
    <w:p w14:paraId="1D1AE24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（三）维护管理</w:t>
      </w:r>
    </w:p>
    <w:p w14:paraId="010D846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1.日常维护</w:t>
      </w:r>
    </w:p>
    <w:p w14:paraId="4CAF7FB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相关规范要求，制定针对于管廊本体和附属设施的年度和季度维护管理计划，并有效执行落实。定期对管廊本体、附属设施进行维修保养、常规和专业检测。维护工作从根源治理和考虑长期效益，检测结果及时处理，保存相关记录，保证管廊本体、附属设施正常运行。</w:t>
      </w:r>
    </w:p>
    <w:p w14:paraId="20BE20D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2.管廊本体维护</w:t>
      </w:r>
    </w:p>
    <w:p w14:paraId="74121B37">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确保管廊结构主体、防排水设施、检修道及风道等构筑物无蜂窝麻面、裂缝、混凝土剥落、堵塞等情况；支架、桥架、爬梯、防护护栏无缺失、锈蚀、破损等情况；地面附属设施（含人员出入口、吊装口、逃生口、通风口、管线分支口、引出口、配电房、设备间、消防泵房等结构）结构无裂缝、无破损，表面干净整洁。</w:t>
      </w:r>
    </w:p>
    <w:p w14:paraId="5397411F">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3.附属设施维护</w:t>
      </w:r>
    </w:p>
    <w:p w14:paraId="1BD4546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eastAsia="zh-CN"/>
        </w:rPr>
        <w:t>确保消防系统设施功能完好，检测每年不少于1次；通风系统事故排烟机及排烟防火阀等的维护、检测符合国家现行标准《建筑消防设施的维护管理》GB 25201和《建筑消防设施检测技术规程》GA 503的有关规定；供电系统运行维护及安全管理符合现行国家标准《电力安全工作规程电力线路部分》GB 26859和《电力安全工作规程发电厂和变电站电气部分》GB 26860的</w:t>
      </w:r>
      <w:r>
        <w:rPr>
          <w:rFonts w:hint="eastAsia" w:ascii="仿宋" w:hAnsi="仿宋" w:eastAsia="仿宋" w:cs="仿宋"/>
          <w:color w:val="auto"/>
          <w:sz w:val="24"/>
          <w:szCs w:val="24"/>
          <w:highlight w:val="none"/>
          <w:lang w:val="en-US" w:eastAsia="zh-CN"/>
        </w:rPr>
        <w:t>有关规定；廊内照明亮灯率不低于95%，照明系统的照度测试每年不应少于1次，应急照明的功能试验每季度不应少于1次；监控与报警系统的检测方法与要求符合现行行业标准《建筑设备监控系统技术规范》JCJ/T334的有关规定；给水排水系统管道、阀门、泵组及水位仪等设备运行正常；标识系统维护包括保洁防腐、紧固、调整、更换等。</w:t>
      </w:r>
    </w:p>
    <w:p w14:paraId="101FA0B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4.工具器械</w:t>
      </w:r>
    </w:p>
    <w:p w14:paraId="4DABE99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维护过程中，工具器械的种类、数量和质量应满足管廊本体及附属工程损坏、缺陷整改、设备维护、易耗品更换需要，工具器械的存储、维护和使用要制定相关制度，并设专人进行分类管理，建立相关管理台账。每年定期将大型机具和使用率偏低的物资机械设备统计上报至管廊主管单位，以便于应急物资机械设备统筹管理，科学合理调度和使用。</w:t>
      </w:r>
    </w:p>
    <w:p w14:paraId="0D1AA65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（四）安全与应急管理</w:t>
      </w:r>
    </w:p>
    <w:p w14:paraId="38E7818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1.安全体系</w:t>
      </w:r>
    </w:p>
    <w:p w14:paraId="026F56A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建立安全运营管理组织机构和安全管理体系，制定安全运营管理制度和安全运营岗位责任制，并落实安全运营管理要求。</w:t>
      </w:r>
    </w:p>
    <w:p w14:paraId="0414901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2.安全检查</w:t>
      </w:r>
    </w:p>
    <w:p w14:paraId="47677FA9">
      <w:pPr>
        <w:pageBreakBefore w:val="0"/>
        <w:kinsoku/>
        <w:wordWrap/>
        <w:overflowPunct/>
        <w:topLinePunct w:val="0"/>
        <w:autoSpaceDE/>
        <w:autoSpaceDN/>
        <w:bidi w:val="0"/>
        <w:adjustRightInd/>
        <w:spacing w:line="440" w:lineRule="exact"/>
        <w:ind w:firstLine="42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定期开展月度、季度安全检查或专项安全检查和安全运营管理例会，并形成影像及书面检查、整改记录、会议纪要。</w:t>
      </w:r>
    </w:p>
    <w:p w14:paraId="6872A85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3.安全培训</w:t>
      </w:r>
    </w:p>
    <w:p w14:paraId="404A772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新入职人员须经岗前安全培训，考核合格后方可上岗；每季度定期对在岗人员进行1次安全教育培训，且应进行考核，并留存相关培训资料及记录。</w:t>
      </w:r>
    </w:p>
    <w:p w14:paraId="633447E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4.出入安全</w:t>
      </w:r>
    </w:p>
    <w:p w14:paraId="1D900F5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制定管廊出入审批管理制度，对出入管廊的人员、设备、工具、材料及携带物品进行管控检查和登记；人员未经允许或单独1人不得进入管廊，且入廊人员应经过安全培训；入廊前先检测，再通风，确认环境参数符合安全要求后方可进入；入廊人员根据相关要求配备必要的防护用具、检测仪器和应急装备。</w:t>
      </w:r>
    </w:p>
    <w:p w14:paraId="4084664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5.作业安全</w:t>
      </w:r>
    </w:p>
    <w:p w14:paraId="1E04E09F">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制定相应的有限空间作业管理制度、安全作业规程，保障作业人员安全；管廊内部应具备作业所需的环境，现场按规定设置警示标识，作业人员根据作业类型及环境，正确穿戴防护用品，配备必要的防护和应急用品等；作业现场安全管理符合消防、用电、高空、动火作业等有关规定，并保持与监控中心的联络畅通；在同一作业区内不宜交叉作业，确需进行交叉作业时，应采取有效措施确保安全；作业现场有专人监护，作业面较大、交叉作业时增设安全监护人员；特种作业按有关规定采取相应防护措施；在管廊有防爆要求的区域内执行运行、维护工作及安全管理的人员、设备、仪器及操作程序等符合相应的防爆安全规定；严禁在管廊内吸烟和其他不文明行为。</w:t>
      </w:r>
    </w:p>
    <w:p w14:paraId="01CD52D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6.环境安全</w:t>
      </w:r>
    </w:p>
    <w:p w14:paraId="5845E75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管廊所属区域、结构形式、入廊管线情况、内外部工程建设影响等，对可能影响管廊运营安全的危险源，每年进行1次辨识和风险评估工作，并建立危险源风险等级台帐，制定危险源管控方案；建立安全防范和隐患排查治理制度，安全检查结合日常巡检定期进行，在管廊运行维护的各个环节实行全方位安全管理，发现隐患及时处理，并留存隐患排查和处理记录。</w:t>
      </w:r>
    </w:p>
    <w:p w14:paraId="550EDFC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7.应急管理</w:t>
      </w:r>
    </w:p>
    <w:p w14:paraId="3BD9281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管廊运营管理单位与入廊管线单位、相关行政主管部门建立应急协调、联动机制，建立包括通信与信息、应急队伍、物资装备、资金等各项应急保障体制，并将应急联动机制纳入政府应急管理体系。</w:t>
      </w:r>
    </w:p>
    <w:p w14:paraId="636EBCC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立应急管理机构，制定科学合理、内容完备的应急预案，按照国家有关规定对应急预案进行评审形成书面评审纪要并报相关主管部门备案；每年定期进行1次综合应急预案演练或专项应急预案演练；根据管廊运营、管线入廊和周边环境等变化情况，每年定期开展1次应急预案的评估和修订工作，保留评估及修订记录；要根据管廊运行和维护过程中可能发生的事故类型制定专项应急预案（包括不限于自然灾害、卫生防疫、火灾事故、触电事故、交通安全事故、综合治安事件、特种设备安全、机械伤害事故、高空作业安全、爆炸事故、管道爆裂事故、物体打击事故、中毒室息事故、恐怖袭击、盗窃事件、突发事件新闻处置工作）</w:t>
      </w:r>
    </w:p>
    <w:p w14:paraId="26D36772">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管廊逃生通道及安全出口要保持畅通，逃生口的井盖要能满足逃生要求，智能化井盖要接入统一管理平台。</w:t>
      </w:r>
    </w:p>
    <w:p w14:paraId="378E2D27">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（五）环保管理</w:t>
      </w:r>
    </w:p>
    <w:p w14:paraId="071CD5C2">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1.环境保护</w:t>
      </w:r>
    </w:p>
    <w:p w14:paraId="703FE05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管廊运营实际情况，做好环境保护相关内容；环境保护工作内容应包括不限于以下内容：标识表面清洁、安装牢固、位置端正、内容清晰完整；管廊内外每月组织1次清洁检查，廊内保持干燥、整洁，禁止堆放杂物及易燃易爆物品，廊外结构表面保持干净、无污渍；做好防潮、防虫鼠、防霉、防蛀等措施，预防蛇、蚊虫、鼠类和其他生物侵入对管线的损害；管廊附属设施整洁美观；监控中心、管理用房内定期清洁，保持室内环境干净整洁；对集水坑、排水沟等部位每半年定期清理1次，汛期前后等特殊时期应进行专项清理，同时对水泵等排水设备进行检修。廊内作业中应做好防尘、防噪声等工作，维护管廊良好环境。</w:t>
      </w:r>
    </w:p>
    <w:p w14:paraId="26D3ED81">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（六）信息档案管理</w:t>
      </w:r>
    </w:p>
    <w:p w14:paraId="536AF83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1.档案管理</w:t>
      </w:r>
    </w:p>
    <w:p w14:paraId="36597919">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立档案管理和保密制度，内容包括档案的收集、整理、鉴定、统计、归档、保管、借阅、检查、销毁等规定和工作流程；管廊运营档案包括有关入廊管线的政策文件、规划、设计资料等，管廊本体、附属设施和入廊管线的竣工资料，运营管理方案制度、设施设备和工器具台帐等有关资料，定期检测与监测特殊检测和监测等报告，入廊管线的入廊、运行维护、迁移变更、废弃等记录与资料，安全检查、危险源辨识、隐患排查记录及整改情况等安全档案，应急预案、应急演练及实施记录，运营过程事故记录和分析处理报告，绩效考核相关资料等；档案存放地采用防火、防潮、防虫鼠、防霉、防蛀、防盗等有效措施；按照委托运营协议定时上交运营记录、财务报表和其他报表等资料。</w:t>
      </w:r>
    </w:p>
    <w:p w14:paraId="6502DD33">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2.数据管理</w:t>
      </w:r>
    </w:p>
    <w:p w14:paraId="0D00301F">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根据现行行业标准《建设电子文件与电子档案管理规范》CJJ/T 117 和《建设电子档案元数据标准》CJJ/T 187的有关规定，建立数据安全管理制度；管廊数据包含地理信息数据、管线数据、运行数据和维护数据等信息；建立有效的数据备份和恢复机制；视频监控数据保存时间不少于90天，其他数据长期保存并备份；管廊及管线的各类数据在加密后进行传输。</w:t>
      </w:r>
    </w:p>
    <w:p w14:paraId="220DAF8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（七）评价与反馈</w:t>
      </w:r>
    </w:p>
    <w:p w14:paraId="526157B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1.社会评价</w:t>
      </w:r>
    </w:p>
    <w:p w14:paraId="58C6F1F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运营管理工作不影响社会公共利益和公共安全；运营管理良好，未造成重大质量、安全责任事故；不发生有责任媒体报道事件；积极妥善处理各类投诉事件，迅速落实解决，不推委扯皮，事件情况记录详细规范；入廊管线单位和周边企业、居民对管廊运营管理服务满意度在90%以上。</w:t>
      </w:r>
    </w:p>
    <w:p w14:paraId="1808AAB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2.整改与反馈</w:t>
      </w:r>
    </w:p>
    <w:p w14:paraId="4129AF11">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收集客户反馈、评价、投诉等信息，并及时处理；对管理单位发现的问题认真进行整改并在规定时间内进行回复。</w:t>
      </w:r>
    </w:p>
    <w:p w14:paraId="6EB7CDD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（八）创优争先</w:t>
      </w:r>
    </w:p>
    <w:p w14:paraId="6486214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在节能降耗、评奖评优、创新实践、增值服务、新闻报道和社会责任方面取得如下良好表现的可在绩效考核中给予加分。</w:t>
      </w:r>
    </w:p>
    <w:p w14:paraId="0F3FECD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1.节能降耗</w:t>
      </w:r>
    </w:p>
    <w:p w14:paraId="78767B3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应用管廊环境数据分析成果或采用“四新技术”，不断提高设备联动效率，不断优化管廊先进管理方式，节能降耗水平得到有效提升。</w:t>
      </w:r>
    </w:p>
    <w:p w14:paraId="54047581">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2.评奖评优</w:t>
      </w:r>
    </w:p>
    <w:p w14:paraId="523F63D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管廊运营管理单位获国家、省部、市区及荣誉或表彰。</w:t>
      </w:r>
    </w:p>
    <w:p w14:paraId="1E6DA080">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3.创新实践</w:t>
      </w:r>
    </w:p>
    <w:p w14:paraId="004E499F">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参与国家、地方、行业标准编制；组织市级以上规模观摩培训；采用新技术、新材料、新工艺、新设备取得较好效果，被行业认可推广；获得国家发明专利、实用新型专利和外观设计专利；课题研究成果在国内核心期刊发表。</w:t>
      </w:r>
    </w:p>
    <w:p w14:paraId="719ED010">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4.新闻报道</w:t>
      </w:r>
    </w:p>
    <w:p w14:paraId="36152906">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运营管理服务获得国家、省、市区及正面新闻媒体报道。</w:t>
      </w:r>
    </w:p>
    <w:p w14:paraId="7260EF1D">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5.社会责任</w:t>
      </w:r>
    </w:p>
    <w:p w14:paraId="4946773E">
      <w:pPr>
        <w:pageBreakBefore w:val="0"/>
        <w:kinsoku/>
        <w:wordWrap/>
        <w:overflowPunct/>
        <w:topLinePunct w:val="0"/>
        <w:autoSpaceDE/>
        <w:autoSpaceDN/>
        <w:bidi w:val="0"/>
        <w:adjustRightInd/>
        <w:spacing w:line="44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积极配合重点工作、重大活动的开展，及时完成主管部门交办的任务；积极参与救助灾害、救济弱势群体和环境保护等公益事业。</w:t>
      </w:r>
    </w:p>
    <w:p w14:paraId="67CE5E52">
      <w:pPr>
        <w:pStyle w:val="7"/>
        <w:pageBreakBefore w:val="0"/>
        <w:kinsoku/>
        <w:wordWrap/>
        <w:overflowPunct/>
        <w:topLinePunct w:val="0"/>
        <w:autoSpaceDE/>
        <w:autoSpaceDN/>
        <w:bidi w:val="0"/>
        <w:adjustRightInd/>
        <w:spacing w:line="440" w:lineRule="exact"/>
        <w:outlineLvl w:val="0"/>
        <w:rPr>
          <w:rFonts w:hint="eastAsia" w:ascii="仿宋" w:hAnsi="仿宋" w:eastAsia="仿宋" w:cs="仿宋"/>
          <w:color w:val="auto"/>
          <w:sz w:val="24"/>
          <w:szCs w:val="24"/>
          <w:highlight w:val="none"/>
          <w:lang w:val="en-US" w:eastAsia="zh-CN"/>
        </w:rPr>
      </w:pPr>
      <w:bookmarkStart w:id="236" w:name="_Toc6377"/>
      <w:r>
        <w:rPr>
          <w:rFonts w:hint="eastAsia" w:ascii="仿宋" w:hAnsi="仿宋" w:eastAsia="仿宋" w:cs="仿宋"/>
          <w:color w:val="auto"/>
          <w:sz w:val="24"/>
          <w:szCs w:val="24"/>
          <w:highlight w:val="none"/>
          <w:lang w:val="en-US" w:eastAsia="zh-CN"/>
        </w:rPr>
        <w:t>六、绩效考核周期和方式</w:t>
      </w:r>
      <w:bookmarkEnd w:id="236"/>
    </w:p>
    <w:p w14:paraId="2E3584A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（一）考核周期</w:t>
      </w:r>
    </w:p>
    <w:p w14:paraId="290D9FFE">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在项目运营满一个季度时，管委会牵头组织季度考核小组在10个工作日内完成对上季度的运营期考核，并出具书面考核结果。</w:t>
      </w:r>
    </w:p>
    <w:p w14:paraId="59B6EF3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（二）考核方式</w:t>
      </w:r>
    </w:p>
    <w:p w14:paraId="44B59B5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委会采取随机样本抽查的形式（样本量不低于总运营量的30%），对运营现场、运营系统、运营资料进行检查，对照运营期绩效考核评分表（附件二），按考核标准扣分，完成季度运营期绩效考核结果。并将季度考核结果作为运营费用结算的重要依据。</w:t>
      </w:r>
    </w:p>
    <w:p w14:paraId="08B597A8">
      <w:pPr>
        <w:pageBreakBefore w:val="0"/>
        <w:kinsoku/>
        <w:wordWrap/>
        <w:overflowPunct/>
        <w:topLinePunct w:val="0"/>
        <w:autoSpaceDE/>
        <w:autoSpaceDN/>
        <w:bidi w:val="0"/>
        <w:adjustRightInd/>
        <w:spacing w:line="440" w:lineRule="exact"/>
        <w:ind w:firstLine="480" w:firstLineChars="200"/>
        <w:outlineLvl w:val="0"/>
        <w:rPr>
          <w:rFonts w:hint="eastAsia" w:ascii="仿宋" w:hAnsi="仿宋" w:eastAsia="仿宋" w:cs="仿宋"/>
          <w:color w:val="auto"/>
          <w:sz w:val="24"/>
          <w:szCs w:val="24"/>
          <w:highlight w:val="none"/>
          <w:lang w:val="en-US" w:eastAsia="zh-CN"/>
        </w:rPr>
      </w:pPr>
      <w:bookmarkStart w:id="237" w:name="_Toc5801"/>
      <w:r>
        <w:rPr>
          <w:rFonts w:hint="eastAsia" w:ascii="仿宋" w:hAnsi="仿宋" w:eastAsia="仿宋" w:cs="仿宋"/>
          <w:color w:val="auto"/>
          <w:sz w:val="24"/>
          <w:szCs w:val="24"/>
          <w:highlight w:val="none"/>
          <w:lang w:val="en-US" w:eastAsia="zh-CN"/>
        </w:rPr>
        <w:t>七、绩效考核的组织与实施</w:t>
      </w:r>
      <w:bookmarkEnd w:id="237"/>
    </w:p>
    <w:p w14:paraId="3BC68181">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（一）绩效考核组织</w:t>
      </w:r>
    </w:p>
    <w:p w14:paraId="61AE652A">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衢州管廊运营项目绩效考核的实施主体为管委会。考核实施主体的职责：负责统筹协调项目绩效考核日常工作，复核绩效初评结果，沟通反馈考核意见，形成并出具考核结果意见。</w:t>
      </w:r>
    </w:p>
    <w:p w14:paraId="326A54B7">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（二）绩效考核实施计划</w:t>
      </w:r>
    </w:p>
    <w:tbl>
      <w:tblPr>
        <w:tblStyle w:val="88"/>
        <w:tblW w:w="82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77"/>
        <w:gridCol w:w="5999"/>
        <w:gridCol w:w="1234"/>
      </w:tblGrid>
      <w:tr w14:paraId="328689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8210" w:type="dxa"/>
            <w:gridSpan w:val="3"/>
            <w:shd w:val="clear" w:color="auto" w:fill="auto"/>
            <w:noWrap/>
            <w:vAlign w:val="center"/>
          </w:tcPr>
          <w:p w14:paraId="048CB27C">
            <w:pPr>
              <w:pageBreakBefore w:val="0"/>
              <w:widowControl/>
              <w:kinsoku/>
              <w:wordWrap/>
              <w:overflowPunct/>
              <w:topLinePunct w:val="0"/>
              <w:autoSpaceDE/>
              <w:autoSpaceDN/>
              <w:bidi w:val="0"/>
              <w:adjustRightInd/>
              <w:snapToGrid/>
              <w:spacing w:line="440" w:lineRule="exact"/>
              <w:ind w:firstLine="562"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绩效考核工作计划表</w:t>
            </w:r>
          </w:p>
        </w:tc>
      </w:tr>
      <w:tr w14:paraId="2E210C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blHeader/>
          <w:jc w:val="center"/>
        </w:trPr>
        <w:tc>
          <w:tcPr>
            <w:tcW w:w="977" w:type="dxa"/>
            <w:shd w:val="clear" w:color="auto" w:fill="auto"/>
            <w:vAlign w:val="center"/>
          </w:tcPr>
          <w:p w14:paraId="35B8E4F0">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5999" w:type="dxa"/>
            <w:shd w:val="clear" w:color="auto" w:fill="auto"/>
            <w:vAlign w:val="center"/>
          </w:tcPr>
          <w:p w14:paraId="1661AEA6">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工作内容</w:t>
            </w:r>
          </w:p>
        </w:tc>
        <w:tc>
          <w:tcPr>
            <w:tcW w:w="1234" w:type="dxa"/>
            <w:shd w:val="clear" w:color="auto" w:fill="auto"/>
            <w:vAlign w:val="center"/>
          </w:tcPr>
          <w:p w14:paraId="20072243">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时间安排</w:t>
            </w:r>
          </w:p>
        </w:tc>
      </w:tr>
      <w:tr w14:paraId="114E55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5" w:hRule="atLeast"/>
          <w:jc w:val="center"/>
        </w:trPr>
        <w:tc>
          <w:tcPr>
            <w:tcW w:w="977" w:type="dxa"/>
            <w:shd w:val="clear" w:color="auto" w:fill="auto"/>
            <w:vAlign w:val="center"/>
          </w:tcPr>
          <w:p w14:paraId="2E9F7B36">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5999" w:type="dxa"/>
            <w:shd w:val="clear" w:color="auto" w:fill="auto"/>
            <w:vAlign w:val="center"/>
          </w:tcPr>
          <w:p w14:paraId="0D59B413">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开展运营期绩效考核考核</w:t>
            </w:r>
          </w:p>
        </w:tc>
        <w:tc>
          <w:tcPr>
            <w:tcW w:w="1234" w:type="dxa"/>
            <w:shd w:val="clear" w:color="auto" w:fill="auto"/>
            <w:noWrap/>
            <w:vAlign w:val="center"/>
          </w:tcPr>
          <w:p w14:paraId="578B1690">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考核当月</w:t>
            </w:r>
          </w:p>
        </w:tc>
      </w:tr>
      <w:tr w14:paraId="0D50CB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9" w:hRule="atLeast"/>
          <w:jc w:val="center"/>
        </w:trPr>
        <w:tc>
          <w:tcPr>
            <w:tcW w:w="977" w:type="dxa"/>
            <w:shd w:val="clear" w:color="auto" w:fill="auto"/>
            <w:vAlign w:val="center"/>
          </w:tcPr>
          <w:p w14:paraId="68985AA8">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5999" w:type="dxa"/>
            <w:shd w:val="clear" w:color="auto" w:fill="auto"/>
            <w:vAlign w:val="center"/>
          </w:tcPr>
          <w:p w14:paraId="248A8ECF">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完成项目运营期绩效考核初评意见并</w:t>
            </w:r>
            <w:r>
              <w:rPr>
                <w:rFonts w:hint="eastAsia" w:ascii="仿宋" w:hAnsi="仿宋" w:eastAsia="仿宋" w:cs="仿宋"/>
                <w:color w:val="auto"/>
                <w:kern w:val="0"/>
                <w:sz w:val="24"/>
                <w:szCs w:val="24"/>
                <w:highlight w:val="none"/>
                <w:lang w:val="en-US" w:eastAsia="zh-CN"/>
              </w:rPr>
              <w:t>出具</w:t>
            </w:r>
            <w:r>
              <w:rPr>
                <w:rFonts w:hint="eastAsia" w:ascii="仿宋" w:hAnsi="仿宋" w:eastAsia="仿宋" w:cs="仿宋"/>
                <w:color w:val="auto"/>
                <w:kern w:val="0"/>
                <w:sz w:val="24"/>
                <w:szCs w:val="24"/>
                <w:highlight w:val="none"/>
              </w:rPr>
              <w:t>考核</w:t>
            </w:r>
            <w:r>
              <w:rPr>
                <w:rFonts w:hint="eastAsia" w:ascii="仿宋" w:hAnsi="仿宋" w:eastAsia="仿宋" w:cs="仿宋"/>
                <w:color w:val="auto"/>
                <w:kern w:val="0"/>
                <w:sz w:val="24"/>
                <w:szCs w:val="24"/>
                <w:highlight w:val="none"/>
                <w:lang w:val="en-US" w:eastAsia="zh-CN"/>
              </w:rPr>
              <w:t>结果意见</w:t>
            </w:r>
          </w:p>
        </w:tc>
        <w:tc>
          <w:tcPr>
            <w:tcW w:w="1234" w:type="dxa"/>
            <w:shd w:val="clear" w:color="auto" w:fill="auto"/>
            <w:noWrap/>
            <w:vAlign w:val="center"/>
          </w:tcPr>
          <w:p w14:paraId="09A35F23">
            <w:pPr>
              <w:pageBreakBefore w:val="0"/>
              <w:widowControl/>
              <w:kinsoku/>
              <w:wordWrap/>
              <w:overflowPunct/>
              <w:topLinePunct w:val="0"/>
              <w:autoSpaceDE/>
              <w:autoSpaceDN/>
              <w:bidi w:val="0"/>
              <w:adjustRightInd/>
              <w:snapToGrid/>
              <w:spacing w:line="440" w:lineRule="exact"/>
              <w:ind w:firstLine="0" w:firstLineChars="0"/>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考核当月</w:t>
            </w:r>
          </w:p>
        </w:tc>
      </w:tr>
    </w:tbl>
    <w:p w14:paraId="5A6D6EF2">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（三）绩效考核实施流程</w:t>
      </w:r>
    </w:p>
    <w:p w14:paraId="515B02A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1.发出绩效考核通知</w:t>
      </w:r>
    </w:p>
    <w:p w14:paraId="1580413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委会以函件形式正式通知运营单位开展绩效考核，通知将包括绩效考核开展的时间、需管廊运营管理单位准备材料及其它需管廊运营管理单位协助安排的事项。随函发送绩效考核工作方案，以便管廊运营管理单位开展自评工作，提交运营报告和相关资料。</w:t>
      </w:r>
    </w:p>
    <w:p w14:paraId="421C9F24">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2.管委会进行考核</w:t>
      </w:r>
    </w:p>
    <w:p w14:paraId="77EE4F2F">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委会对运营单位进行考核，对资料的完整性、有效性进行审查，根据审查情况书面要求运营单位限期对运营报告印证资料修改、补充或完善。管委会进行现场踏勘，考核并打分，经过数据整理和数据分析，确定绩效考核最终得分，在10个工作日内出具考核结果。</w:t>
      </w:r>
    </w:p>
    <w:p w14:paraId="37EC4BDB">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3.征求运营单位意见</w:t>
      </w:r>
    </w:p>
    <w:p w14:paraId="4ABEC055">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委会就考核结果征求运营单位意见。运营单位对绩效考核结果有异议的，应在5个工作日内提交情况说明及有效佐证材料进行复议。管委会会进一步甄别考核内容，决定采纳运营单位意见或者维持原有考核结果。</w:t>
      </w:r>
    </w:p>
    <w:p w14:paraId="40696991">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4.管委会会议确定最终考核成果</w:t>
      </w:r>
    </w:p>
    <w:p w14:paraId="1B9BE256">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管委会组织召开会议研究确定绩效考核成果。</w:t>
      </w:r>
    </w:p>
    <w:p w14:paraId="675563A7">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5.运营单位申请付费</w:t>
      </w:r>
    </w:p>
    <w:p w14:paraId="1394963C">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运营单位在绩效考核完成后，根据绩效考核结果中确认的付费结果提出付费申请，管委会根据《委托运营合同》的约定和绩效考核结果进行付费。     </w:t>
      </w:r>
    </w:p>
    <w:p w14:paraId="71EB4D38">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（四）绩效考核结果应用</w:t>
      </w:r>
    </w:p>
    <w:p w14:paraId="687326C1">
      <w:pPr>
        <w:pageBreakBefore w:val="0"/>
        <w:kinsoku/>
        <w:wordWrap/>
        <w:overflowPunct/>
        <w:topLinePunct w:val="0"/>
        <w:autoSpaceDE/>
        <w:autoSpaceDN/>
        <w:bidi w:val="0"/>
        <w:adjustRightInd/>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综合管廊运营期绩效考核总得分达到90分，管委会全额发放当期应付运维费；若低于80分，管委会有权延期支付一定比例的运维费用（见下表），待</w:t>
      </w:r>
      <w:r>
        <w:rPr>
          <w:rFonts w:hint="eastAsia" w:ascii="仿宋" w:hAnsi="仿宋" w:eastAsia="仿宋" w:cs="仿宋"/>
          <w:color w:val="auto"/>
          <w:sz w:val="22"/>
          <w:szCs w:val="22"/>
          <w:highlight w:val="none"/>
          <w:lang w:val="en-US" w:eastAsia="zh-CN"/>
        </w:rPr>
        <w:t>管委会在</w:t>
      </w:r>
      <w:r>
        <w:rPr>
          <w:rFonts w:hint="eastAsia" w:ascii="仿宋" w:hAnsi="仿宋" w:eastAsia="仿宋" w:cs="仿宋"/>
          <w:color w:val="auto"/>
          <w:sz w:val="24"/>
          <w:szCs w:val="24"/>
          <w:highlight w:val="none"/>
          <w:lang w:val="en-US" w:eastAsia="zh-CN"/>
        </w:rPr>
        <w:t>下个考核周期开始前将问题整改完成后再进行支付。</w:t>
      </w:r>
    </w:p>
    <w:tbl>
      <w:tblPr>
        <w:tblStyle w:val="89"/>
        <w:tblW w:w="91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8"/>
        <w:gridCol w:w="1923"/>
        <w:gridCol w:w="5616"/>
      </w:tblGrid>
      <w:tr w14:paraId="4EBE0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8" w:type="dxa"/>
            <w:vAlign w:val="center"/>
          </w:tcPr>
          <w:p w14:paraId="5DADC24C">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考核得分</w:t>
            </w:r>
          </w:p>
        </w:tc>
        <w:tc>
          <w:tcPr>
            <w:tcW w:w="1923" w:type="dxa"/>
            <w:vAlign w:val="center"/>
          </w:tcPr>
          <w:p w14:paraId="39507879">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延期支付比例</w:t>
            </w:r>
          </w:p>
        </w:tc>
        <w:tc>
          <w:tcPr>
            <w:tcW w:w="5616" w:type="dxa"/>
            <w:vAlign w:val="center"/>
          </w:tcPr>
          <w:p w14:paraId="16A33FFC">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备注</w:t>
            </w:r>
          </w:p>
        </w:tc>
      </w:tr>
      <w:tr w14:paraId="6ED5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8" w:type="dxa"/>
            <w:vAlign w:val="center"/>
          </w:tcPr>
          <w:p w14:paraId="221FE7FB">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[100,80]</w:t>
            </w:r>
          </w:p>
        </w:tc>
        <w:tc>
          <w:tcPr>
            <w:tcW w:w="1923" w:type="dxa"/>
            <w:vAlign w:val="center"/>
          </w:tcPr>
          <w:p w14:paraId="450F4DDE">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0</w:t>
            </w:r>
          </w:p>
        </w:tc>
        <w:tc>
          <w:tcPr>
            <w:tcW w:w="5616" w:type="dxa"/>
            <w:vAlign w:val="center"/>
          </w:tcPr>
          <w:p w14:paraId="0C0BF6F1">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考核报告出具后10个工作日内支付</w:t>
            </w:r>
          </w:p>
        </w:tc>
      </w:tr>
      <w:tr w14:paraId="3D0F9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8" w:type="dxa"/>
            <w:vAlign w:val="center"/>
          </w:tcPr>
          <w:p w14:paraId="4173D861">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（80,70]</w:t>
            </w:r>
          </w:p>
        </w:tc>
        <w:tc>
          <w:tcPr>
            <w:tcW w:w="1923" w:type="dxa"/>
            <w:vAlign w:val="center"/>
          </w:tcPr>
          <w:p w14:paraId="4B476E78">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10%</w:t>
            </w:r>
          </w:p>
        </w:tc>
        <w:tc>
          <w:tcPr>
            <w:tcW w:w="5616" w:type="dxa"/>
            <w:vAlign w:val="center"/>
          </w:tcPr>
          <w:p w14:paraId="63E93032">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延期支付费用在问题整改完成后10个工作日内支付</w:t>
            </w:r>
          </w:p>
        </w:tc>
      </w:tr>
      <w:tr w14:paraId="77432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8" w:type="dxa"/>
            <w:vAlign w:val="center"/>
          </w:tcPr>
          <w:p w14:paraId="29D1E1A7">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（70,60]</w:t>
            </w:r>
          </w:p>
        </w:tc>
        <w:tc>
          <w:tcPr>
            <w:tcW w:w="1923" w:type="dxa"/>
            <w:vAlign w:val="center"/>
          </w:tcPr>
          <w:p w14:paraId="76A046AC">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w:t>
            </w:r>
          </w:p>
        </w:tc>
        <w:tc>
          <w:tcPr>
            <w:tcW w:w="5616" w:type="dxa"/>
            <w:vAlign w:val="center"/>
          </w:tcPr>
          <w:p w14:paraId="5D68E4D5">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延期支付费用在问题整改完成后10个工作日内支付</w:t>
            </w:r>
          </w:p>
        </w:tc>
      </w:tr>
      <w:tr w14:paraId="53E27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8" w:type="dxa"/>
            <w:vAlign w:val="center"/>
          </w:tcPr>
          <w:p w14:paraId="4D264BF7">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（60,0]</w:t>
            </w:r>
          </w:p>
        </w:tc>
        <w:tc>
          <w:tcPr>
            <w:tcW w:w="1923" w:type="dxa"/>
            <w:vAlign w:val="center"/>
          </w:tcPr>
          <w:p w14:paraId="306BAD6D">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30%</w:t>
            </w:r>
          </w:p>
        </w:tc>
        <w:tc>
          <w:tcPr>
            <w:tcW w:w="5616" w:type="dxa"/>
            <w:vAlign w:val="center"/>
          </w:tcPr>
          <w:p w14:paraId="15BF5314">
            <w:pPr>
              <w:pStyle w:val="11"/>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延期支付费用在问题整改完成后10个工作日内支付</w:t>
            </w:r>
          </w:p>
        </w:tc>
      </w:tr>
    </w:tbl>
    <w:p w14:paraId="2502BD47">
      <w:pPr>
        <w:pageBreakBefore w:val="0"/>
        <w:kinsoku/>
        <w:wordWrap/>
        <w:overflowPunct/>
        <w:topLinePunct w:val="0"/>
        <w:autoSpaceDE/>
        <w:autoSpaceDN/>
        <w:bidi w:val="0"/>
        <w:adjustRightInd/>
        <w:spacing w:line="4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（五）争取解决机制</w:t>
      </w:r>
    </w:p>
    <w:p w14:paraId="1B9413E8">
      <w:pPr>
        <w:pStyle w:val="11"/>
        <w:pageBreakBefore w:val="0"/>
        <w:kinsoku/>
        <w:wordWrap/>
        <w:overflowPunct/>
        <w:topLinePunct w:val="0"/>
        <w:autoSpaceDE/>
        <w:autoSpaceDN/>
        <w:bidi w:val="0"/>
        <w:adjustRightInd/>
        <w:spacing w:line="440" w:lineRule="exact"/>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管委会向运营单位反馈绩效考核结果，运营单位对绩效考核结果有异议的，应在5个工作日内明确提出并提供有效的佐证材料，向管委会解释说明并达成一致意见；双方对绩效考核结果无法达成一致的，由管委会组织各相关部门和专家召开听证会，结合当次绩效考核结果及各部门和专家意见，形成决议后据以执行；仍有异议的，按照合同约定的争议解决机制处理。</w:t>
      </w:r>
    </w:p>
    <w:p w14:paraId="74D5B683">
      <w:pPr>
        <w:pStyle w:val="11"/>
        <w:ind w:left="0" w:leftChars="0" w:firstLine="0" w:firstLineChars="0"/>
        <w:rPr>
          <w:rFonts w:hint="eastAsia" w:ascii="仿宋" w:hAnsi="仿宋" w:eastAsia="仿宋" w:cs="仿宋"/>
          <w:b/>
          <w:bCs/>
          <w:color w:val="auto"/>
          <w:sz w:val="36"/>
          <w:szCs w:val="36"/>
          <w:highlight w:val="none"/>
        </w:rPr>
      </w:pPr>
    </w:p>
    <w:p w14:paraId="53B0BB34">
      <w:pPr>
        <w:pStyle w:val="11"/>
        <w:ind w:left="0" w:leftChars="0" w:firstLine="0" w:firstLineChars="0"/>
        <w:rPr>
          <w:rFonts w:hint="eastAsia" w:ascii="仿宋" w:hAnsi="仿宋" w:eastAsia="仿宋" w:cs="仿宋"/>
          <w:b/>
          <w:bCs/>
          <w:color w:val="auto"/>
          <w:sz w:val="36"/>
          <w:szCs w:val="36"/>
          <w:highlight w:val="none"/>
        </w:rPr>
        <w:sectPr>
          <w:pgSz w:w="11906" w:h="16838"/>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pPr>
    </w:p>
    <w:p w14:paraId="190C066A">
      <w:pPr>
        <w:pStyle w:val="7"/>
        <w:bidi w:val="0"/>
        <w:ind w:left="0" w:leftChars="0" w:firstLine="0" w:firstLineChars="0"/>
        <w:outlineLvl w:val="0"/>
        <w:rPr>
          <w:rFonts w:hint="eastAsia" w:ascii="仿宋" w:hAnsi="仿宋" w:eastAsia="仿宋" w:cs="仿宋"/>
          <w:b/>
          <w:color w:val="auto"/>
          <w:sz w:val="24"/>
          <w:szCs w:val="24"/>
          <w:highlight w:val="none"/>
          <w:lang w:val="en-US" w:eastAsia="zh-CN"/>
        </w:rPr>
      </w:pPr>
      <w:bookmarkStart w:id="238" w:name="_Toc24710"/>
      <w:r>
        <w:rPr>
          <w:rFonts w:hint="eastAsia" w:ascii="仿宋" w:hAnsi="仿宋" w:eastAsia="仿宋" w:cs="仿宋"/>
          <w:b/>
          <w:color w:val="auto"/>
          <w:sz w:val="24"/>
          <w:szCs w:val="24"/>
          <w:highlight w:val="none"/>
          <w:lang w:val="en-US" w:eastAsia="zh-CN"/>
        </w:rPr>
        <w:t>附表1：</w:t>
      </w:r>
    </w:p>
    <w:p w14:paraId="2F6F5B34">
      <w:pPr>
        <w:pStyle w:val="7"/>
        <w:bidi w:val="0"/>
        <w:ind w:left="0" w:leftChars="0" w:firstLine="0" w:firstLineChars="0"/>
        <w:jc w:val="center"/>
        <w:outlineLvl w:val="0"/>
        <w:rPr>
          <w:rFonts w:hint="eastAsia" w:ascii="Arial" w:hAnsi="Arial"/>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衢州市地下综合管廊运营考核细则</w:t>
      </w:r>
      <w:bookmarkEnd w:id="238"/>
    </w:p>
    <w:tbl>
      <w:tblPr>
        <w:tblStyle w:val="88"/>
        <w:tblW w:w="14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
        <w:gridCol w:w="1133"/>
        <w:gridCol w:w="1243"/>
        <w:gridCol w:w="645"/>
        <w:gridCol w:w="4749"/>
        <w:gridCol w:w="5604"/>
        <w:gridCol w:w="767"/>
      </w:tblGrid>
      <w:tr w14:paraId="48FEA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465" w:type="dxa"/>
            <w:tcBorders>
              <w:top w:val="single" w:color="auto" w:sz="4" w:space="0"/>
            </w:tcBorders>
            <w:noWrap w:val="0"/>
            <w:vAlign w:val="center"/>
          </w:tcPr>
          <w:p w14:paraId="14752C63">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序号</w:t>
            </w:r>
          </w:p>
        </w:tc>
        <w:tc>
          <w:tcPr>
            <w:tcW w:w="1133" w:type="dxa"/>
            <w:tcBorders>
              <w:top w:val="single" w:color="auto" w:sz="4" w:space="0"/>
            </w:tcBorders>
            <w:noWrap w:val="0"/>
            <w:vAlign w:val="center"/>
          </w:tcPr>
          <w:p w14:paraId="26316305">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考核项目</w:t>
            </w:r>
          </w:p>
        </w:tc>
        <w:tc>
          <w:tcPr>
            <w:tcW w:w="1243" w:type="dxa"/>
            <w:tcBorders>
              <w:top w:val="single" w:color="auto" w:sz="4" w:space="0"/>
            </w:tcBorders>
            <w:noWrap w:val="0"/>
            <w:vAlign w:val="center"/>
          </w:tcPr>
          <w:p w14:paraId="3DA37DD7">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考核指标</w:t>
            </w:r>
          </w:p>
        </w:tc>
        <w:tc>
          <w:tcPr>
            <w:tcW w:w="645" w:type="dxa"/>
            <w:tcBorders>
              <w:top w:val="single" w:color="auto" w:sz="4" w:space="0"/>
            </w:tcBorders>
            <w:noWrap w:val="0"/>
            <w:vAlign w:val="center"/>
          </w:tcPr>
          <w:p w14:paraId="7143BF8B">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分值</w:t>
            </w:r>
          </w:p>
        </w:tc>
        <w:tc>
          <w:tcPr>
            <w:tcW w:w="4749" w:type="dxa"/>
            <w:tcBorders>
              <w:top w:val="single" w:color="auto" w:sz="4" w:space="0"/>
            </w:tcBorders>
            <w:noWrap w:val="0"/>
            <w:vAlign w:val="center"/>
          </w:tcPr>
          <w:p w14:paraId="2F967C35">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考核内容</w:t>
            </w:r>
          </w:p>
        </w:tc>
        <w:tc>
          <w:tcPr>
            <w:tcW w:w="5604" w:type="dxa"/>
            <w:tcBorders>
              <w:top w:val="single" w:color="auto" w:sz="4" w:space="0"/>
            </w:tcBorders>
            <w:noWrap w:val="0"/>
            <w:vAlign w:val="center"/>
          </w:tcPr>
          <w:p w14:paraId="165E64A1">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考核标准</w:t>
            </w:r>
          </w:p>
        </w:tc>
        <w:tc>
          <w:tcPr>
            <w:tcW w:w="767" w:type="dxa"/>
            <w:tcBorders>
              <w:top w:val="single" w:color="auto" w:sz="4" w:space="0"/>
            </w:tcBorders>
            <w:noWrap w:val="0"/>
            <w:vAlign w:val="center"/>
          </w:tcPr>
          <w:p w14:paraId="36ECAB05">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备注</w:t>
            </w:r>
          </w:p>
        </w:tc>
      </w:tr>
      <w:tr w14:paraId="47C07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465" w:type="dxa"/>
            <w:vMerge w:val="restart"/>
            <w:noWrap w:val="0"/>
            <w:vAlign w:val="center"/>
          </w:tcPr>
          <w:p w14:paraId="284724B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一</w:t>
            </w:r>
            <w:r>
              <w:rPr>
                <w:rFonts w:ascii="Calibri" w:hAnsi="Calibri" w:eastAsia="宋体" w:cs="Times New Roman"/>
                <w:color w:val="auto"/>
                <w:kern w:val="0"/>
                <w:sz w:val="21"/>
                <w:szCs w:val="21"/>
                <w:highlight w:val="none"/>
              </w:rPr>
              <w:t xml:space="preserve"> </w:t>
            </w:r>
          </w:p>
        </w:tc>
        <w:tc>
          <w:tcPr>
            <w:tcW w:w="1133" w:type="dxa"/>
            <w:vMerge w:val="restart"/>
            <w:noWrap w:val="0"/>
            <w:vAlign w:val="center"/>
          </w:tcPr>
          <w:p w14:paraId="4E0905D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管廊维护（</w:t>
            </w:r>
            <w:r>
              <w:rPr>
                <w:rFonts w:hint="eastAsia" w:ascii="Calibri" w:hAnsi="Calibri" w:eastAsia="宋体" w:cs="Times New Roman"/>
                <w:color w:val="auto"/>
                <w:kern w:val="0"/>
                <w:sz w:val="21"/>
                <w:szCs w:val="21"/>
                <w:highlight w:val="none"/>
                <w:lang w:val="en-US" w:eastAsia="zh-CN"/>
              </w:rPr>
              <w:t>35</w:t>
            </w:r>
            <w:r>
              <w:rPr>
                <w:rFonts w:hint="eastAsia" w:ascii="Calibri" w:hAnsi="Calibri" w:eastAsia="宋体" w:cs="Times New Roman"/>
                <w:color w:val="auto"/>
                <w:kern w:val="0"/>
                <w:sz w:val="21"/>
                <w:szCs w:val="21"/>
                <w:highlight w:val="none"/>
              </w:rPr>
              <w:t>分）</w:t>
            </w:r>
            <w:r>
              <w:rPr>
                <w:rFonts w:ascii="Calibri" w:hAnsi="Calibri" w:eastAsia="宋体" w:cs="Times New Roman"/>
                <w:color w:val="auto"/>
                <w:kern w:val="0"/>
                <w:sz w:val="21"/>
                <w:szCs w:val="21"/>
                <w:highlight w:val="none"/>
              </w:rPr>
              <w:t xml:space="preserve"> </w:t>
            </w:r>
          </w:p>
        </w:tc>
        <w:tc>
          <w:tcPr>
            <w:tcW w:w="1243" w:type="dxa"/>
            <w:noWrap w:val="0"/>
            <w:vAlign w:val="center"/>
          </w:tcPr>
          <w:p w14:paraId="29BCF232">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管廊设施定期维护</w:t>
            </w:r>
          </w:p>
        </w:tc>
        <w:tc>
          <w:tcPr>
            <w:tcW w:w="645" w:type="dxa"/>
            <w:noWrap w:val="0"/>
            <w:vAlign w:val="center"/>
          </w:tcPr>
          <w:p w14:paraId="7AE0818E">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15</w:t>
            </w:r>
            <w:r>
              <w:rPr>
                <w:rFonts w:ascii="Calibri" w:hAnsi="Calibri" w:eastAsia="宋体" w:cs="Times New Roman"/>
                <w:color w:val="auto"/>
                <w:kern w:val="0"/>
                <w:sz w:val="21"/>
                <w:szCs w:val="21"/>
                <w:highlight w:val="none"/>
              </w:rPr>
              <w:t xml:space="preserve"> </w:t>
            </w:r>
          </w:p>
        </w:tc>
        <w:tc>
          <w:tcPr>
            <w:tcW w:w="4749" w:type="dxa"/>
            <w:noWrap w:val="0"/>
            <w:vAlign w:val="center"/>
          </w:tcPr>
          <w:p w14:paraId="3B9F263C">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rPr>
              <w:t>按照相关标准对管廊进行维护养护，保证设施正常运营</w:t>
            </w:r>
            <w:r>
              <w:rPr>
                <w:rFonts w:hint="eastAsia" w:ascii="Calibri" w:hAnsi="Calibri" w:eastAsia="宋体" w:cs="Times New Roman"/>
                <w:color w:val="auto"/>
                <w:kern w:val="0"/>
                <w:sz w:val="21"/>
                <w:szCs w:val="21"/>
                <w:highlight w:val="none"/>
                <w:lang w:eastAsia="zh-CN"/>
              </w:rPr>
              <w:t>。</w:t>
            </w:r>
          </w:p>
        </w:tc>
        <w:tc>
          <w:tcPr>
            <w:tcW w:w="5604" w:type="dxa"/>
            <w:noWrap w:val="0"/>
            <w:vAlign w:val="center"/>
          </w:tcPr>
          <w:p w14:paraId="0AC41DD1">
            <w:pPr>
              <w:keepNext w:val="0"/>
              <w:keepLines w:val="0"/>
              <w:pageBreakBefore w:val="0"/>
              <w:widowControl/>
              <w:kinsoku/>
              <w:wordWrap/>
              <w:overflowPunct/>
              <w:topLinePunct w:val="0"/>
              <w:bidi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ascii="Calibri" w:hAnsi="Calibri" w:eastAsia="宋体" w:cs="Times New Roman"/>
                <w:bCs/>
                <w:color w:val="auto"/>
                <w:kern w:val="0"/>
                <w:sz w:val="21"/>
                <w:szCs w:val="21"/>
                <w:highlight w:val="none"/>
                <w:lang w:val="en-US" w:eastAsia="zh-CN"/>
              </w:rPr>
              <w:t>安全系统设施（包括但不限于管廊主体、消防系统、通风系统、供电系统、排水系统、监控报警系统），发现故障每处扣0.5分，扣完为止</w:t>
            </w:r>
            <w:r>
              <w:rPr>
                <w:rFonts w:hint="eastAsia" w:ascii="Calibri" w:hAnsi="Calibri" w:eastAsia="宋体" w:cs="Times New Roman"/>
                <w:color w:val="auto"/>
                <w:kern w:val="0"/>
                <w:sz w:val="21"/>
                <w:szCs w:val="21"/>
                <w:highlight w:val="none"/>
                <w:lang w:val="en-US" w:eastAsia="zh-CN"/>
              </w:rPr>
              <w:t>。</w:t>
            </w:r>
          </w:p>
        </w:tc>
        <w:tc>
          <w:tcPr>
            <w:tcW w:w="767" w:type="dxa"/>
            <w:vMerge w:val="restart"/>
            <w:noWrap w:val="0"/>
            <w:vAlign w:val="center"/>
          </w:tcPr>
          <w:p w14:paraId="1A04B20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4C123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5FD4067E">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6688228A">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7C7EF764">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定期巡检及维护</w:t>
            </w:r>
          </w:p>
        </w:tc>
        <w:tc>
          <w:tcPr>
            <w:tcW w:w="645" w:type="dxa"/>
            <w:noWrap w:val="0"/>
            <w:vAlign w:val="center"/>
          </w:tcPr>
          <w:p w14:paraId="0D0778B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5</w:t>
            </w:r>
          </w:p>
        </w:tc>
        <w:tc>
          <w:tcPr>
            <w:tcW w:w="4749" w:type="dxa"/>
            <w:noWrap w:val="0"/>
            <w:vAlign w:val="center"/>
          </w:tcPr>
          <w:p w14:paraId="49C6CABC">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对项目主体设施及附属设施定期巡检及维护</w:t>
            </w:r>
          </w:p>
        </w:tc>
        <w:tc>
          <w:tcPr>
            <w:tcW w:w="5604" w:type="dxa"/>
            <w:noWrap w:val="0"/>
            <w:vAlign w:val="center"/>
          </w:tcPr>
          <w:p w14:paraId="233DDC2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日常巡检每</w:t>
            </w:r>
            <w:r>
              <w:rPr>
                <w:rFonts w:hint="eastAsia" w:ascii="Calibri" w:hAnsi="Calibri" w:eastAsia="宋体" w:cs="Times New Roman"/>
                <w:color w:val="auto"/>
                <w:kern w:val="0"/>
                <w:sz w:val="21"/>
                <w:szCs w:val="21"/>
                <w:highlight w:val="none"/>
                <w:lang w:eastAsia="zh-CN"/>
              </w:rPr>
              <w:t>日需保证管廊正常巡检</w:t>
            </w:r>
            <w:r>
              <w:rPr>
                <w:rFonts w:hint="eastAsia" w:ascii="Calibri" w:hAnsi="Calibri" w:eastAsia="宋体" w:cs="Times New Roman"/>
                <w:color w:val="auto"/>
                <w:kern w:val="0"/>
                <w:sz w:val="21"/>
                <w:szCs w:val="21"/>
                <w:highlight w:val="none"/>
              </w:rPr>
              <w:t>。每个考核周期，每发现一次无巡检记录和维护记录扣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每日检查记录和维护记录未能如实反映对应事件的，每次扣0.5分，扣完为止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4B684E34">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3F19D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08A09843">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2CAF85AB">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1B9A372C">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管廊设施升级改造</w:t>
            </w:r>
          </w:p>
        </w:tc>
        <w:tc>
          <w:tcPr>
            <w:tcW w:w="645" w:type="dxa"/>
            <w:noWrap w:val="0"/>
            <w:vAlign w:val="center"/>
          </w:tcPr>
          <w:p w14:paraId="2E65A0B9">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5</w:t>
            </w:r>
            <w:r>
              <w:rPr>
                <w:rFonts w:ascii="Calibri" w:hAnsi="Calibri" w:eastAsia="宋体" w:cs="Times New Roman"/>
                <w:color w:val="auto"/>
                <w:kern w:val="0"/>
                <w:sz w:val="21"/>
                <w:szCs w:val="21"/>
                <w:highlight w:val="none"/>
              </w:rPr>
              <w:t xml:space="preserve"> </w:t>
            </w:r>
          </w:p>
        </w:tc>
        <w:tc>
          <w:tcPr>
            <w:tcW w:w="4749" w:type="dxa"/>
            <w:noWrap w:val="0"/>
            <w:vAlign w:val="center"/>
          </w:tcPr>
          <w:p w14:paraId="7DF90D95">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lang w:eastAsia="zh-CN"/>
              </w:rPr>
              <w:t>智能化管理系统应</w:t>
            </w:r>
            <w:r>
              <w:rPr>
                <w:rFonts w:hint="eastAsia" w:ascii="Calibri" w:hAnsi="Calibri" w:eastAsia="宋体" w:cs="Times New Roman"/>
                <w:color w:val="auto"/>
                <w:kern w:val="0"/>
                <w:sz w:val="21"/>
                <w:szCs w:val="21"/>
                <w:highlight w:val="none"/>
              </w:rPr>
              <w:t>按相关标准</w:t>
            </w:r>
            <w:r>
              <w:rPr>
                <w:rFonts w:hint="eastAsia" w:ascii="Calibri" w:hAnsi="Calibri" w:eastAsia="宋体" w:cs="Times New Roman"/>
                <w:color w:val="auto"/>
                <w:kern w:val="0"/>
                <w:sz w:val="21"/>
                <w:szCs w:val="21"/>
                <w:highlight w:val="none"/>
                <w:lang w:eastAsia="zh-CN"/>
              </w:rPr>
              <w:t>和实际业务开展需要</w:t>
            </w:r>
            <w:r>
              <w:rPr>
                <w:rFonts w:hint="eastAsia" w:ascii="Calibri" w:hAnsi="Calibri" w:eastAsia="宋体" w:cs="Times New Roman"/>
                <w:color w:val="auto"/>
                <w:kern w:val="0"/>
                <w:sz w:val="21"/>
                <w:szCs w:val="21"/>
                <w:highlight w:val="none"/>
              </w:rPr>
              <w:t>对管廊设施进行升级改造</w:t>
            </w:r>
            <w:r>
              <w:rPr>
                <w:rFonts w:hint="eastAsia" w:ascii="Calibri" w:hAnsi="Calibri" w:eastAsia="宋体" w:cs="Times New Roman"/>
                <w:color w:val="auto"/>
                <w:kern w:val="0"/>
                <w:sz w:val="21"/>
                <w:szCs w:val="21"/>
                <w:highlight w:val="none"/>
                <w:lang w:eastAsia="zh-CN"/>
              </w:rPr>
              <w:t>，实时对管廊相关数据的采集、动态监测和信息共享。</w:t>
            </w:r>
          </w:p>
        </w:tc>
        <w:tc>
          <w:tcPr>
            <w:tcW w:w="5604" w:type="dxa"/>
            <w:noWrap w:val="0"/>
            <w:vAlign w:val="center"/>
          </w:tcPr>
          <w:p w14:paraId="15E3CC6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ascii="Calibri" w:hAnsi="Calibri" w:eastAsia="宋体" w:cs="Times New Roman"/>
                <w:color w:val="auto"/>
                <w:kern w:val="0"/>
                <w:sz w:val="21"/>
                <w:szCs w:val="21"/>
                <w:highlight w:val="none"/>
                <w:lang w:val="en-US" w:eastAsia="zh-CN"/>
              </w:rPr>
              <w:t>①</w:t>
            </w:r>
            <w:r>
              <w:rPr>
                <w:rFonts w:hint="eastAsia" w:ascii="Calibri" w:hAnsi="Calibri" w:eastAsia="宋体" w:cs="Times New Roman"/>
                <w:color w:val="auto"/>
                <w:kern w:val="0"/>
                <w:sz w:val="21"/>
                <w:szCs w:val="21"/>
                <w:highlight w:val="none"/>
              </w:rPr>
              <w:t>若相关规范标准变动</w:t>
            </w:r>
            <w:r>
              <w:rPr>
                <w:rFonts w:hint="eastAsia" w:ascii="Calibri" w:hAnsi="Calibri" w:eastAsia="宋体" w:cs="Times New Roman"/>
                <w:color w:val="auto"/>
                <w:kern w:val="0"/>
                <w:sz w:val="21"/>
                <w:szCs w:val="21"/>
                <w:highlight w:val="none"/>
                <w:lang w:eastAsia="zh-CN"/>
              </w:rPr>
              <w:t>和需求</w:t>
            </w:r>
            <w:r>
              <w:rPr>
                <w:rFonts w:hint="eastAsia" w:ascii="Calibri" w:hAnsi="Calibri" w:eastAsia="宋体" w:cs="Times New Roman"/>
                <w:color w:val="auto"/>
                <w:kern w:val="0"/>
                <w:sz w:val="21"/>
                <w:szCs w:val="21"/>
                <w:highlight w:val="none"/>
              </w:rPr>
              <w:t>需要进行升级改造，</w:t>
            </w:r>
            <w:r>
              <w:rPr>
                <w:rFonts w:hint="eastAsia" w:ascii="Calibri" w:hAnsi="Calibri" w:eastAsia="宋体" w:cs="Times New Roman"/>
                <w:color w:val="auto"/>
                <w:kern w:val="0"/>
                <w:sz w:val="21"/>
                <w:szCs w:val="21"/>
                <w:highlight w:val="none"/>
                <w:lang w:val="en-US" w:eastAsia="zh-CN"/>
              </w:rPr>
              <w:t>在经主管部门批准后，未在规定时间内实施系统升级改造的，每次扣1分，扣完为止。</w:t>
            </w:r>
          </w:p>
          <w:p w14:paraId="515D5A7B">
            <w:pPr>
              <w:pStyle w:val="11"/>
              <w:keepNext w:val="0"/>
              <w:keepLines w:val="0"/>
              <w:pageBreakBefore w:val="0"/>
              <w:kinsoku/>
              <w:wordWrap/>
              <w:overflowPunct/>
              <w:topLinePunct w:val="0"/>
              <w:bidi w:val="0"/>
              <w:spacing w:line="240" w:lineRule="auto"/>
              <w:ind w:left="0" w:leftChars="0" w:firstLine="0" w:firstLineChars="0"/>
              <w:textAlignment w:val="auto"/>
              <w:rPr>
                <w:rFonts w:hint="default"/>
                <w:color w:val="auto"/>
                <w:highlight w:val="none"/>
                <w:lang w:val="en-US" w:eastAsia="zh-CN"/>
              </w:rPr>
            </w:pPr>
            <w:r>
              <w:rPr>
                <w:rFonts w:hint="eastAsia" w:ascii="Calibri" w:hAnsi="Calibri" w:eastAsia="宋体" w:cs="Times New Roman"/>
                <w:color w:val="auto"/>
                <w:kern w:val="0"/>
                <w:sz w:val="21"/>
                <w:szCs w:val="21"/>
                <w:highlight w:val="none"/>
                <w:lang w:val="en-US" w:eastAsia="zh-CN" w:bidi="ar-SA"/>
              </w:rPr>
              <w:t>②未实现对管廊相关数据的采集、动态监测和信息共享的，每次扣0.5分，扣完为止。</w:t>
            </w:r>
          </w:p>
        </w:tc>
        <w:tc>
          <w:tcPr>
            <w:tcW w:w="767" w:type="dxa"/>
            <w:vMerge w:val="continue"/>
            <w:noWrap w:val="0"/>
            <w:vAlign w:val="center"/>
          </w:tcPr>
          <w:p w14:paraId="2958FDFB">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6101B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445C4133">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3FCFEB51">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0BA8E91E">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结构性损坏</w:t>
            </w:r>
          </w:p>
        </w:tc>
        <w:tc>
          <w:tcPr>
            <w:tcW w:w="645" w:type="dxa"/>
            <w:noWrap w:val="0"/>
            <w:vAlign w:val="center"/>
          </w:tcPr>
          <w:p w14:paraId="7B41616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rPr>
              <w:t>1</w:t>
            </w:r>
            <w:r>
              <w:rPr>
                <w:rFonts w:hint="eastAsia" w:ascii="Calibri" w:hAnsi="Calibri" w:eastAsia="宋体" w:cs="Times New Roman"/>
                <w:color w:val="auto"/>
                <w:kern w:val="0"/>
                <w:sz w:val="21"/>
                <w:szCs w:val="21"/>
                <w:highlight w:val="none"/>
                <w:lang w:val="en-US" w:eastAsia="zh-CN"/>
              </w:rPr>
              <w:t>0</w:t>
            </w:r>
          </w:p>
        </w:tc>
        <w:tc>
          <w:tcPr>
            <w:tcW w:w="4749" w:type="dxa"/>
            <w:noWrap w:val="0"/>
            <w:vAlign w:val="center"/>
          </w:tcPr>
          <w:p w14:paraId="599EE2BE">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管廊各项设施没有明显的损坏、没有侵蚀</w:t>
            </w:r>
            <w:r>
              <w:rPr>
                <w:rFonts w:ascii="Calibri" w:hAnsi="Calibri" w:eastAsia="宋体" w:cs="Times New Roman"/>
                <w:color w:val="auto"/>
                <w:kern w:val="0"/>
                <w:sz w:val="21"/>
                <w:szCs w:val="21"/>
                <w:highlight w:val="none"/>
              </w:rPr>
              <w:t xml:space="preserve"> </w:t>
            </w:r>
          </w:p>
        </w:tc>
        <w:tc>
          <w:tcPr>
            <w:tcW w:w="5604" w:type="dxa"/>
            <w:noWrap w:val="0"/>
            <w:vAlign w:val="center"/>
          </w:tcPr>
          <w:p w14:paraId="5E78264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发现管廊内轻微裂缝扣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分，发现严重裂缝扣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分；发现管廊内轻微渗漏水扣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分，发现严重渗漏水扣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分；发现管廊变形扣</w:t>
            </w:r>
            <w:r>
              <w:rPr>
                <w:rFonts w:hint="eastAsia" w:ascii="Calibri" w:hAnsi="Calibri" w:eastAsia="宋体" w:cs="Times New Roman"/>
                <w:color w:val="auto"/>
                <w:kern w:val="0"/>
                <w:sz w:val="21"/>
                <w:szCs w:val="21"/>
                <w:highlight w:val="none"/>
                <w:lang w:val="en-US" w:eastAsia="zh-CN"/>
              </w:rPr>
              <w:t>2</w:t>
            </w:r>
            <w:r>
              <w:rPr>
                <w:rFonts w:hint="eastAsia" w:ascii="Calibri" w:hAnsi="Calibri" w:eastAsia="宋体" w:cs="Times New Roman"/>
                <w:color w:val="auto"/>
                <w:kern w:val="0"/>
                <w:sz w:val="21"/>
                <w:szCs w:val="21"/>
                <w:highlight w:val="none"/>
              </w:rPr>
              <w:t>分；发现管廊</w:t>
            </w:r>
            <w:r>
              <w:rPr>
                <w:rFonts w:hint="eastAsia" w:ascii="Calibri" w:hAnsi="Calibri" w:eastAsia="宋体" w:cs="Times New Roman"/>
                <w:color w:val="auto"/>
                <w:kern w:val="0"/>
                <w:sz w:val="21"/>
                <w:szCs w:val="21"/>
                <w:highlight w:val="none"/>
                <w:lang w:eastAsia="zh-CN"/>
              </w:rPr>
              <w:t>及其支架、附属设施等</w:t>
            </w:r>
            <w:r>
              <w:rPr>
                <w:rFonts w:hint="eastAsia" w:ascii="Calibri" w:hAnsi="Calibri" w:eastAsia="宋体" w:cs="Times New Roman"/>
                <w:color w:val="auto"/>
                <w:kern w:val="0"/>
                <w:sz w:val="21"/>
                <w:szCs w:val="21"/>
                <w:highlight w:val="none"/>
              </w:rPr>
              <w:t>腐蚀现象扣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分；发现管廊轻微缺损扣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分，严重缺损扣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1C6FE554">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04825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65" w:type="dxa"/>
            <w:vMerge w:val="restart"/>
            <w:noWrap w:val="0"/>
            <w:vAlign w:val="center"/>
          </w:tcPr>
          <w:p w14:paraId="6738D7DE">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二</w:t>
            </w:r>
            <w:r>
              <w:rPr>
                <w:rFonts w:ascii="Calibri" w:hAnsi="Calibri" w:eastAsia="宋体" w:cs="Times New Roman"/>
                <w:color w:val="auto"/>
                <w:kern w:val="0"/>
                <w:sz w:val="21"/>
                <w:szCs w:val="21"/>
                <w:highlight w:val="none"/>
              </w:rPr>
              <w:t xml:space="preserve"> </w:t>
            </w:r>
          </w:p>
        </w:tc>
        <w:tc>
          <w:tcPr>
            <w:tcW w:w="1133" w:type="dxa"/>
            <w:vMerge w:val="restart"/>
            <w:noWrap w:val="0"/>
            <w:vAlign w:val="center"/>
          </w:tcPr>
          <w:p w14:paraId="1DC72CD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管廊运行（</w:t>
            </w:r>
            <w:r>
              <w:rPr>
                <w:rFonts w:hint="eastAsia" w:ascii="Calibri" w:hAnsi="Calibri" w:eastAsia="宋体" w:cs="Times New Roman"/>
                <w:color w:val="auto"/>
                <w:kern w:val="0"/>
                <w:sz w:val="21"/>
                <w:szCs w:val="21"/>
                <w:highlight w:val="none"/>
                <w:lang w:val="en-US" w:eastAsia="zh-CN"/>
              </w:rPr>
              <w:t>25</w:t>
            </w:r>
            <w:r>
              <w:rPr>
                <w:rFonts w:hint="eastAsia" w:ascii="Calibri" w:hAnsi="Calibri" w:eastAsia="宋体" w:cs="Times New Roman"/>
                <w:color w:val="auto"/>
                <w:kern w:val="0"/>
                <w:sz w:val="21"/>
                <w:szCs w:val="21"/>
                <w:highlight w:val="none"/>
              </w:rPr>
              <w:t>分）</w:t>
            </w:r>
            <w:r>
              <w:rPr>
                <w:rFonts w:ascii="Calibri" w:hAnsi="Calibri" w:eastAsia="宋体" w:cs="Times New Roman"/>
                <w:color w:val="auto"/>
                <w:kern w:val="0"/>
                <w:sz w:val="21"/>
                <w:szCs w:val="21"/>
                <w:highlight w:val="none"/>
              </w:rPr>
              <w:t xml:space="preserve"> </w:t>
            </w:r>
          </w:p>
        </w:tc>
        <w:tc>
          <w:tcPr>
            <w:tcW w:w="1243" w:type="dxa"/>
            <w:noWrap w:val="0"/>
            <w:vAlign w:val="center"/>
          </w:tcPr>
          <w:p w14:paraId="21974CD6">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维护检修</w:t>
            </w:r>
          </w:p>
        </w:tc>
        <w:tc>
          <w:tcPr>
            <w:tcW w:w="645" w:type="dxa"/>
            <w:noWrap w:val="0"/>
            <w:vAlign w:val="center"/>
          </w:tcPr>
          <w:p w14:paraId="257A461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5</w:t>
            </w:r>
            <w:r>
              <w:rPr>
                <w:rFonts w:ascii="Calibri" w:hAnsi="Calibri" w:eastAsia="宋体" w:cs="Times New Roman"/>
                <w:color w:val="auto"/>
                <w:kern w:val="0"/>
                <w:sz w:val="21"/>
                <w:szCs w:val="21"/>
                <w:highlight w:val="none"/>
              </w:rPr>
              <w:t xml:space="preserve"> </w:t>
            </w:r>
          </w:p>
        </w:tc>
        <w:tc>
          <w:tcPr>
            <w:tcW w:w="4749" w:type="dxa"/>
            <w:noWrap w:val="0"/>
            <w:vAlign w:val="center"/>
          </w:tcPr>
          <w:p w14:paraId="7E0E178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做好管廊设施的维护检修工作，保持管廊环境整洁、设施设备状态良好</w:t>
            </w:r>
            <w:r>
              <w:rPr>
                <w:rFonts w:ascii="Calibri" w:hAnsi="Calibri" w:eastAsia="宋体" w:cs="Times New Roman"/>
                <w:color w:val="auto"/>
                <w:kern w:val="0"/>
                <w:sz w:val="21"/>
                <w:szCs w:val="21"/>
                <w:highlight w:val="none"/>
              </w:rPr>
              <w:t xml:space="preserve"> </w:t>
            </w:r>
          </w:p>
        </w:tc>
        <w:tc>
          <w:tcPr>
            <w:tcW w:w="5604" w:type="dxa"/>
            <w:noWrap w:val="0"/>
            <w:vAlign w:val="center"/>
          </w:tcPr>
          <w:p w14:paraId="3AFCFDA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每个考核周期，未对管廊内清理疏通的，每发现一次扣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restart"/>
            <w:noWrap w:val="0"/>
            <w:vAlign w:val="center"/>
          </w:tcPr>
          <w:p w14:paraId="6141E842">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16463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465" w:type="dxa"/>
            <w:vMerge w:val="continue"/>
            <w:noWrap w:val="0"/>
            <w:vAlign w:val="center"/>
          </w:tcPr>
          <w:p w14:paraId="731D311A">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56EA7115">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2232578E">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规章制度及执行</w:t>
            </w:r>
          </w:p>
        </w:tc>
        <w:tc>
          <w:tcPr>
            <w:tcW w:w="645" w:type="dxa"/>
            <w:noWrap w:val="0"/>
            <w:vAlign w:val="center"/>
          </w:tcPr>
          <w:p w14:paraId="3FC2A25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ascii="Calibri" w:hAnsi="Calibri" w:eastAsia="宋体" w:cs="Times New Roman"/>
                <w:color w:val="auto"/>
                <w:kern w:val="0"/>
                <w:sz w:val="21"/>
                <w:szCs w:val="21"/>
                <w:highlight w:val="none"/>
              </w:rPr>
              <w:t xml:space="preserve">5 </w:t>
            </w:r>
          </w:p>
        </w:tc>
        <w:tc>
          <w:tcPr>
            <w:tcW w:w="4749" w:type="dxa"/>
            <w:noWrap w:val="0"/>
            <w:vAlign w:val="center"/>
          </w:tcPr>
          <w:p w14:paraId="75666D3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建立安全生产责任制，执行安全巡查制度，做好安全保障工作；建立运营档案管理制度，规范管理，建立值班、巡视、维护、维修等管理制度。严格执行已制定的规章制度</w:t>
            </w:r>
            <w:r>
              <w:rPr>
                <w:rFonts w:ascii="Calibri" w:hAnsi="Calibri" w:eastAsia="宋体" w:cs="Times New Roman"/>
                <w:color w:val="auto"/>
                <w:kern w:val="0"/>
                <w:sz w:val="21"/>
                <w:szCs w:val="21"/>
                <w:highlight w:val="none"/>
              </w:rPr>
              <w:t xml:space="preserve"> </w:t>
            </w:r>
          </w:p>
        </w:tc>
        <w:tc>
          <w:tcPr>
            <w:tcW w:w="5604" w:type="dxa"/>
            <w:noWrap w:val="0"/>
            <w:vAlign w:val="center"/>
          </w:tcPr>
          <w:p w14:paraId="42B774E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未建立安全生产责任制扣1分、未建立值班制度扣1分、未建立</w:t>
            </w:r>
            <w:r>
              <w:rPr>
                <w:rFonts w:hint="eastAsia" w:ascii="Calibri" w:hAnsi="Calibri" w:eastAsia="宋体" w:cs="Times New Roman"/>
                <w:color w:val="auto"/>
                <w:kern w:val="0"/>
                <w:sz w:val="21"/>
                <w:szCs w:val="21"/>
                <w:highlight w:val="none"/>
                <w:lang w:val="en-US" w:eastAsia="zh-CN"/>
              </w:rPr>
              <w:t>巡检</w:t>
            </w:r>
            <w:r>
              <w:rPr>
                <w:rFonts w:hint="eastAsia" w:ascii="Calibri" w:hAnsi="Calibri" w:eastAsia="宋体" w:cs="Times New Roman"/>
                <w:color w:val="auto"/>
                <w:kern w:val="0"/>
                <w:sz w:val="21"/>
                <w:szCs w:val="21"/>
                <w:highlight w:val="none"/>
              </w:rPr>
              <w:t>制度扣1分、未建立维护保养制度扣1分；未建立运营档案管理制度扣1分;未按以上制度执行，每发现一次扣0</w:t>
            </w:r>
            <w:r>
              <w:rPr>
                <w:rFonts w:ascii="Calibri" w:hAnsi="Calibri" w:eastAsia="宋体" w:cs="Times New Roman"/>
                <w:color w:val="auto"/>
                <w:kern w:val="0"/>
                <w:sz w:val="21"/>
                <w:szCs w:val="21"/>
                <w:highlight w:val="none"/>
              </w:rPr>
              <w:t>.</w:t>
            </w:r>
            <w:r>
              <w:rPr>
                <w:rFonts w:hint="eastAsia" w:ascii="Calibri" w:hAnsi="Calibri" w:eastAsia="宋体" w:cs="Times New Roman"/>
                <w:color w:val="auto"/>
                <w:kern w:val="0"/>
                <w:sz w:val="21"/>
                <w:szCs w:val="21"/>
                <w:highlight w:val="none"/>
              </w:rPr>
              <w:t>5分</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7C32D40C">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001D0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465" w:type="dxa"/>
            <w:vMerge w:val="continue"/>
            <w:noWrap w:val="0"/>
            <w:vAlign w:val="center"/>
          </w:tcPr>
          <w:p w14:paraId="67CA4E7E">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0F5FA617">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0ACA0E25">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管廊设施及附属工程排障效率</w:t>
            </w:r>
          </w:p>
        </w:tc>
        <w:tc>
          <w:tcPr>
            <w:tcW w:w="645" w:type="dxa"/>
            <w:noWrap w:val="0"/>
            <w:vAlign w:val="center"/>
          </w:tcPr>
          <w:p w14:paraId="49AFFCB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4</w:t>
            </w:r>
            <w:r>
              <w:rPr>
                <w:rFonts w:ascii="Calibri" w:hAnsi="Calibri" w:eastAsia="宋体" w:cs="Times New Roman"/>
                <w:color w:val="auto"/>
                <w:kern w:val="0"/>
                <w:sz w:val="21"/>
                <w:szCs w:val="21"/>
                <w:highlight w:val="none"/>
              </w:rPr>
              <w:t xml:space="preserve"> </w:t>
            </w:r>
          </w:p>
        </w:tc>
        <w:tc>
          <w:tcPr>
            <w:tcW w:w="4749" w:type="dxa"/>
            <w:noWrap w:val="0"/>
            <w:vAlign w:val="center"/>
          </w:tcPr>
          <w:p w14:paraId="4C90B58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rPr>
              <w:t>管廊设施及附属工程损坏时，应第一时间组织抢修，</w:t>
            </w:r>
            <w:r>
              <w:rPr>
                <w:rFonts w:ascii="Calibri" w:hAnsi="Calibri" w:eastAsia="宋体" w:cs="Times New Roman"/>
                <w:color w:val="auto"/>
                <w:kern w:val="0"/>
                <w:sz w:val="21"/>
                <w:szCs w:val="21"/>
                <w:highlight w:val="none"/>
              </w:rPr>
              <w:t>24</w:t>
            </w:r>
            <w:r>
              <w:rPr>
                <w:rFonts w:hint="eastAsia" w:ascii="Calibri" w:hAnsi="Calibri" w:eastAsia="宋体" w:cs="Times New Roman"/>
                <w:color w:val="auto"/>
                <w:kern w:val="0"/>
                <w:sz w:val="21"/>
                <w:szCs w:val="21"/>
                <w:highlight w:val="none"/>
              </w:rPr>
              <w:t>小时内排障率不低于95</w:t>
            </w:r>
            <w:r>
              <w:rPr>
                <w:rFonts w:ascii="Calibri" w:hAnsi="Calibri" w:eastAsia="宋体" w:cs="Times New Roman"/>
                <w:color w:val="auto"/>
                <w:kern w:val="0"/>
                <w:sz w:val="21"/>
                <w:szCs w:val="21"/>
                <w:highlight w:val="none"/>
              </w:rPr>
              <w:t xml:space="preserve">% </w:t>
            </w:r>
            <w:r>
              <w:rPr>
                <w:rFonts w:hint="eastAsia" w:ascii="Calibri" w:hAnsi="Calibri" w:eastAsia="宋体" w:cs="Times New Roman"/>
                <w:color w:val="auto"/>
                <w:kern w:val="0"/>
                <w:sz w:val="21"/>
                <w:szCs w:val="21"/>
                <w:highlight w:val="none"/>
                <w:lang w:eastAsia="zh-CN"/>
              </w:rPr>
              <w:t>；</w:t>
            </w:r>
          </w:p>
        </w:tc>
        <w:tc>
          <w:tcPr>
            <w:tcW w:w="5604" w:type="dxa"/>
            <w:noWrap w:val="0"/>
            <w:vAlign w:val="center"/>
          </w:tcPr>
          <w:p w14:paraId="74ED6664">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每个考核周期，排故率低于95%，每低于1%扣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1040F05C">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3AA01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01FFD003">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7B9EE55A">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2AF740E5">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人员配备满足要求</w:t>
            </w:r>
          </w:p>
        </w:tc>
        <w:tc>
          <w:tcPr>
            <w:tcW w:w="645" w:type="dxa"/>
            <w:noWrap w:val="0"/>
            <w:vAlign w:val="center"/>
          </w:tcPr>
          <w:p w14:paraId="0111E24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ascii="Calibri" w:hAnsi="Calibri" w:eastAsia="宋体" w:cs="Times New Roman"/>
                <w:color w:val="auto"/>
                <w:kern w:val="0"/>
                <w:sz w:val="21"/>
                <w:szCs w:val="21"/>
                <w:highlight w:val="none"/>
              </w:rPr>
              <w:t xml:space="preserve">3 </w:t>
            </w:r>
          </w:p>
        </w:tc>
        <w:tc>
          <w:tcPr>
            <w:tcW w:w="4749" w:type="dxa"/>
            <w:noWrap w:val="0"/>
            <w:vAlign w:val="center"/>
          </w:tcPr>
          <w:p w14:paraId="1F740DC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根据管养要求配备机电、消防、维修电工等专业技术人员并持证上岗</w:t>
            </w:r>
            <w:r>
              <w:rPr>
                <w:rFonts w:ascii="Calibri" w:hAnsi="Calibri" w:eastAsia="宋体" w:cs="Times New Roman"/>
                <w:color w:val="auto"/>
                <w:kern w:val="0"/>
                <w:sz w:val="21"/>
                <w:szCs w:val="21"/>
                <w:highlight w:val="none"/>
              </w:rPr>
              <w:t xml:space="preserve"> </w:t>
            </w:r>
          </w:p>
        </w:tc>
        <w:tc>
          <w:tcPr>
            <w:tcW w:w="5604" w:type="dxa"/>
            <w:noWrap w:val="0"/>
            <w:vAlign w:val="center"/>
          </w:tcPr>
          <w:p w14:paraId="0A1B3A6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未配备机电专业技术人员并持证上岗的扣1分，未配备消防专业技术人员并持证上岗的扣1分，未配备维修电工专业技术人员并持证上岗的扣1分，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4E13ABCC">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31A51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05C42D25">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55EE53E8">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5E109A9B">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管廊标示</w:t>
            </w:r>
          </w:p>
        </w:tc>
        <w:tc>
          <w:tcPr>
            <w:tcW w:w="645" w:type="dxa"/>
            <w:noWrap w:val="0"/>
            <w:vAlign w:val="center"/>
          </w:tcPr>
          <w:p w14:paraId="1484CF5E">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ascii="Calibri" w:hAnsi="Calibri" w:eastAsia="宋体" w:cs="Times New Roman"/>
                <w:color w:val="auto"/>
                <w:kern w:val="0"/>
                <w:sz w:val="21"/>
                <w:szCs w:val="21"/>
                <w:highlight w:val="none"/>
              </w:rPr>
              <w:t xml:space="preserve">2 </w:t>
            </w:r>
          </w:p>
        </w:tc>
        <w:tc>
          <w:tcPr>
            <w:tcW w:w="4749" w:type="dxa"/>
            <w:noWrap w:val="0"/>
            <w:vAlign w:val="center"/>
          </w:tcPr>
          <w:p w14:paraId="0180ACA5">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信息牌、警示牌必须显眼、干净、清晰可见并且结构稳定</w:t>
            </w:r>
            <w:r>
              <w:rPr>
                <w:rFonts w:ascii="Calibri" w:hAnsi="Calibri" w:eastAsia="宋体" w:cs="Times New Roman"/>
                <w:color w:val="auto"/>
                <w:kern w:val="0"/>
                <w:sz w:val="21"/>
                <w:szCs w:val="21"/>
                <w:highlight w:val="none"/>
              </w:rPr>
              <w:t xml:space="preserve"> </w:t>
            </w:r>
          </w:p>
        </w:tc>
        <w:tc>
          <w:tcPr>
            <w:tcW w:w="5604" w:type="dxa"/>
            <w:noWrap w:val="0"/>
            <w:vAlign w:val="center"/>
          </w:tcPr>
          <w:p w14:paraId="083F60C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每个考核周期，信息牌、警示牌设置不显眼、不干净、不清晰可见并且结构不稳定每发现一处问题，每处扣0</w:t>
            </w:r>
            <w:r>
              <w:rPr>
                <w:rFonts w:ascii="Calibri" w:hAnsi="Calibri" w:eastAsia="宋体" w:cs="Times New Roman"/>
                <w:color w:val="auto"/>
                <w:kern w:val="0"/>
                <w:sz w:val="21"/>
                <w:szCs w:val="21"/>
                <w:highlight w:val="none"/>
              </w:rPr>
              <w:t>.</w:t>
            </w:r>
            <w:r>
              <w:rPr>
                <w:rFonts w:hint="eastAsia" w:ascii="Calibri" w:hAnsi="Calibri" w:eastAsia="宋体" w:cs="Times New Roman"/>
                <w:color w:val="auto"/>
                <w:kern w:val="0"/>
                <w:sz w:val="21"/>
                <w:szCs w:val="21"/>
                <w:highlight w:val="none"/>
                <w:lang w:val="en-US" w:eastAsia="zh-CN"/>
              </w:rPr>
              <w:t>5</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59F1463B">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26933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6FD67714">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5B7382FD">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4A50B972">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照明</w:t>
            </w:r>
          </w:p>
        </w:tc>
        <w:tc>
          <w:tcPr>
            <w:tcW w:w="645" w:type="dxa"/>
            <w:noWrap w:val="0"/>
            <w:vAlign w:val="center"/>
          </w:tcPr>
          <w:p w14:paraId="1C9B1F02">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ascii="Calibri" w:hAnsi="Calibri" w:eastAsia="宋体" w:cs="Times New Roman"/>
                <w:color w:val="auto"/>
                <w:kern w:val="0"/>
                <w:sz w:val="21"/>
                <w:szCs w:val="21"/>
                <w:highlight w:val="none"/>
              </w:rPr>
              <w:t xml:space="preserve">2 </w:t>
            </w:r>
          </w:p>
        </w:tc>
        <w:tc>
          <w:tcPr>
            <w:tcW w:w="4749" w:type="dxa"/>
            <w:noWrap w:val="0"/>
            <w:vAlign w:val="center"/>
          </w:tcPr>
          <w:p w14:paraId="616CD0F3">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必须保证管廊内部处于视野清晰可见状态，</w:t>
            </w:r>
            <w:r>
              <w:rPr>
                <w:rFonts w:hint="eastAsia" w:ascii="Calibri" w:hAnsi="Calibri" w:eastAsia="宋体" w:cs="Times New Roman"/>
                <w:color w:val="auto"/>
                <w:kern w:val="0"/>
                <w:sz w:val="21"/>
                <w:szCs w:val="21"/>
                <w:highlight w:val="none"/>
                <w:lang w:eastAsia="zh-CN"/>
              </w:rPr>
              <w:t>完好率</w:t>
            </w:r>
            <w:r>
              <w:rPr>
                <w:rFonts w:hint="eastAsia" w:ascii="Calibri" w:hAnsi="Calibri" w:eastAsia="宋体" w:cs="Times New Roman"/>
                <w:color w:val="auto"/>
                <w:kern w:val="0"/>
                <w:sz w:val="21"/>
                <w:szCs w:val="21"/>
                <w:highlight w:val="none"/>
              </w:rPr>
              <w:t>不低于9</w:t>
            </w:r>
            <w:r>
              <w:rPr>
                <w:rFonts w:hint="eastAsia" w:ascii="Calibri" w:hAnsi="Calibri" w:eastAsia="宋体" w:cs="Times New Roman"/>
                <w:color w:val="auto"/>
                <w:kern w:val="0"/>
                <w:sz w:val="21"/>
                <w:szCs w:val="21"/>
                <w:highlight w:val="none"/>
                <w:lang w:val="en-US" w:eastAsia="zh-CN"/>
              </w:rPr>
              <w:t>5</w:t>
            </w:r>
            <w:r>
              <w:rPr>
                <w:rFonts w:ascii="Calibri" w:hAnsi="Calibri" w:eastAsia="宋体" w:cs="Times New Roman"/>
                <w:color w:val="auto"/>
                <w:kern w:val="0"/>
                <w:sz w:val="21"/>
                <w:szCs w:val="21"/>
                <w:highlight w:val="none"/>
              </w:rPr>
              <w:t xml:space="preserve">% </w:t>
            </w:r>
          </w:p>
        </w:tc>
        <w:tc>
          <w:tcPr>
            <w:tcW w:w="5604" w:type="dxa"/>
            <w:noWrap w:val="0"/>
            <w:vAlign w:val="center"/>
          </w:tcPr>
          <w:p w14:paraId="67D73365">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w:t>
            </w:r>
            <w:r>
              <w:rPr>
                <w:rFonts w:hint="eastAsia" w:ascii="Calibri" w:hAnsi="Calibri" w:eastAsia="宋体" w:cs="Times New Roman"/>
                <w:color w:val="auto"/>
                <w:kern w:val="0"/>
                <w:sz w:val="21"/>
                <w:szCs w:val="21"/>
                <w:highlight w:val="none"/>
                <w:lang w:eastAsia="zh-CN"/>
              </w:rPr>
              <w:t>完好率</w:t>
            </w:r>
            <w:r>
              <w:rPr>
                <w:rFonts w:hint="eastAsia" w:ascii="Calibri" w:hAnsi="Calibri" w:eastAsia="宋体" w:cs="Times New Roman"/>
                <w:color w:val="auto"/>
                <w:kern w:val="0"/>
                <w:sz w:val="21"/>
                <w:szCs w:val="21"/>
                <w:highlight w:val="none"/>
              </w:rPr>
              <w:t>低于9</w:t>
            </w:r>
            <w:r>
              <w:rPr>
                <w:rFonts w:hint="eastAsia" w:ascii="Calibri" w:hAnsi="Calibri" w:eastAsia="宋体" w:cs="Times New Roman"/>
                <w:color w:val="auto"/>
                <w:kern w:val="0"/>
                <w:sz w:val="21"/>
                <w:szCs w:val="21"/>
                <w:highlight w:val="none"/>
                <w:lang w:val="en-US" w:eastAsia="zh-CN"/>
              </w:rPr>
              <w:t>5</w:t>
            </w:r>
            <w:r>
              <w:rPr>
                <w:rFonts w:hint="eastAsia" w:ascii="Calibri" w:hAnsi="Calibri" w:eastAsia="宋体" w:cs="Times New Roman"/>
                <w:color w:val="auto"/>
                <w:kern w:val="0"/>
                <w:sz w:val="21"/>
                <w:szCs w:val="21"/>
                <w:highlight w:val="none"/>
              </w:rPr>
              <w:t>%，每低1%扣0.1分，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224A99F6">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487D4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 w:hRule="atLeast"/>
          <w:jc w:val="center"/>
        </w:trPr>
        <w:tc>
          <w:tcPr>
            <w:tcW w:w="465" w:type="dxa"/>
            <w:vMerge w:val="continue"/>
            <w:noWrap w:val="0"/>
            <w:vAlign w:val="center"/>
          </w:tcPr>
          <w:p w14:paraId="46EACFAA">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4E14CB96">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239C406F">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清洁</w:t>
            </w:r>
          </w:p>
        </w:tc>
        <w:tc>
          <w:tcPr>
            <w:tcW w:w="645" w:type="dxa"/>
            <w:noWrap w:val="0"/>
            <w:vAlign w:val="center"/>
          </w:tcPr>
          <w:p w14:paraId="159D38A1">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4</w:t>
            </w:r>
            <w:r>
              <w:rPr>
                <w:rFonts w:ascii="Calibri" w:hAnsi="Calibri" w:eastAsia="宋体" w:cs="Times New Roman"/>
                <w:color w:val="auto"/>
                <w:kern w:val="0"/>
                <w:sz w:val="21"/>
                <w:szCs w:val="21"/>
                <w:highlight w:val="none"/>
              </w:rPr>
              <w:t xml:space="preserve"> </w:t>
            </w:r>
          </w:p>
        </w:tc>
        <w:tc>
          <w:tcPr>
            <w:tcW w:w="4749" w:type="dxa"/>
            <w:noWrap w:val="0"/>
            <w:vAlign w:val="center"/>
          </w:tcPr>
          <w:p w14:paraId="34A8F651">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管廊无土壤、碎片、垃圾、其他杂物或油迹</w:t>
            </w:r>
            <w:r>
              <w:rPr>
                <w:rFonts w:ascii="Calibri" w:hAnsi="Calibri" w:eastAsia="宋体" w:cs="Times New Roman"/>
                <w:color w:val="auto"/>
                <w:kern w:val="0"/>
                <w:sz w:val="21"/>
                <w:szCs w:val="21"/>
                <w:highlight w:val="none"/>
              </w:rPr>
              <w:t>/</w:t>
            </w:r>
            <w:r>
              <w:rPr>
                <w:rFonts w:hint="eastAsia" w:ascii="Calibri" w:hAnsi="Calibri" w:eastAsia="宋体" w:cs="Times New Roman"/>
                <w:color w:val="auto"/>
                <w:kern w:val="0"/>
                <w:sz w:val="21"/>
                <w:szCs w:val="21"/>
                <w:highlight w:val="none"/>
              </w:rPr>
              <w:t>化学品溅出物</w:t>
            </w:r>
            <w:r>
              <w:rPr>
                <w:rFonts w:ascii="Calibri" w:hAnsi="Calibri" w:eastAsia="宋体" w:cs="Times New Roman"/>
                <w:color w:val="auto"/>
                <w:kern w:val="0"/>
                <w:sz w:val="21"/>
                <w:szCs w:val="21"/>
                <w:highlight w:val="none"/>
              </w:rPr>
              <w:t xml:space="preserve"> </w:t>
            </w:r>
          </w:p>
        </w:tc>
        <w:tc>
          <w:tcPr>
            <w:tcW w:w="5604" w:type="dxa"/>
            <w:noWrap w:val="0"/>
            <w:vAlign w:val="center"/>
          </w:tcPr>
          <w:p w14:paraId="2DA022D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每个考核周期，检查每一处问题扣0</w:t>
            </w:r>
            <w:r>
              <w:rPr>
                <w:rFonts w:ascii="Calibri" w:hAnsi="Calibri" w:eastAsia="宋体" w:cs="Times New Roman"/>
                <w:color w:val="auto"/>
                <w:kern w:val="0"/>
                <w:sz w:val="21"/>
                <w:szCs w:val="21"/>
                <w:highlight w:val="none"/>
              </w:rPr>
              <w:t>.</w:t>
            </w:r>
            <w:r>
              <w:rPr>
                <w:rFonts w:hint="eastAsia" w:ascii="Calibri" w:hAnsi="Calibri" w:eastAsia="宋体" w:cs="Times New Roman"/>
                <w:color w:val="auto"/>
                <w:kern w:val="0"/>
                <w:sz w:val="21"/>
                <w:szCs w:val="21"/>
                <w:highlight w:val="none"/>
              </w:rPr>
              <w:t>1分，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38FDEF1D">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14B1F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 w:hRule="atLeast"/>
          <w:jc w:val="center"/>
        </w:trPr>
        <w:tc>
          <w:tcPr>
            <w:tcW w:w="465" w:type="dxa"/>
            <w:vMerge w:val="restart"/>
            <w:noWrap w:val="0"/>
            <w:vAlign w:val="center"/>
          </w:tcPr>
          <w:p w14:paraId="0AF0AFD4">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ascii="Calibri" w:hAnsi="Calibri" w:eastAsia="宋体" w:cs="Times New Roman"/>
                <w:color w:val="auto"/>
                <w:kern w:val="0"/>
                <w:sz w:val="21"/>
                <w:szCs w:val="21"/>
                <w:highlight w:val="none"/>
                <w:lang w:val="en-US" w:eastAsia="zh-CN"/>
              </w:rPr>
              <w:t>三</w:t>
            </w:r>
          </w:p>
        </w:tc>
        <w:tc>
          <w:tcPr>
            <w:tcW w:w="1133" w:type="dxa"/>
            <w:vMerge w:val="restart"/>
            <w:noWrap w:val="0"/>
            <w:vAlign w:val="center"/>
          </w:tcPr>
          <w:p w14:paraId="0C7D9993">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对权属管线的监督（20分）</w:t>
            </w:r>
            <w:r>
              <w:rPr>
                <w:rFonts w:ascii="Calibri" w:hAnsi="Calibri" w:eastAsia="宋体" w:cs="Times New Roman"/>
                <w:color w:val="auto"/>
                <w:kern w:val="0"/>
                <w:sz w:val="21"/>
                <w:szCs w:val="21"/>
                <w:highlight w:val="none"/>
              </w:rPr>
              <w:t xml:space="preserve"> </w:t>
            </w:r>
          </w:p>
        </w:tc>
        <w:tc>
          <w:tcPr>
            <w:tcW w:w="1243" w:type="dxa"/>
            <w:noWrap w:val="0"/>
            <w:vAlign w:val="center"/>
          </w:tcPr>
          <w:p w14:paraId="6FCF9E46">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hint="eastAsia"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巡检工作</w:t>
            </w:r>
          </w:p>
        </w:tc>
        <w:tc>
          <w:tcPr>
            <w:tcW w:w="645" w:type="dxa"/>
            <w:noWrap w:val="0"/>
            <w:vAlign w:val="center"/>
          </w:tcPr>
          <w:p w14:paraId="4CC73F79">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default" w:ascii="Calibri" w:hAnsi="Calibri" w:eastAsia="宋体" w:cs="Times New Roman"/>
                <w:color w:val="auto"/>
                <w:kern w:val="0"/>
                <w:sz w:val="21"/>
                <w:szCs w:val="21"/>
                <w:highlight w:val="none"/>
                <w:lang w:val="en-US" w:eastAsia="zh-CN"/>
              </w:rPr>
            </w:pPr>
            <w:r>
              <w:rPr>
                <w:rFonts w:hint="eastAsia" w:ascii="Calibri" w:hAnsi="Calibri" w:eastAsia="宋体" w:cs="Times New Roman"/>
                <w:color w:val="auto"/>
                <w:kern w:val="0"/>
                <w:sz w:val="21"/>
                <w:szCs w:val="21"/>
                <w:highlight w:val="none"/>
                <w:lang w:val="en-US" w:eastAsia="zh-CN"/>
              </w:rPr>
              <w:t>15</w:t>
            </w:r>
          </w:p>
        </w:tc>
        <w:tc>
          <w:tcPr>
            <w:tcW w:w="4749" w:type="dxa"/>
            <w:noWrap w:val="0"/>
            <w:vAlign w:val="center"/>
          </w:tcPr>
          <w:p w14:paraId="64C57D00">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督促权属单位</w:t>
            </w:r>
            <w:r>
              <w:rPr>
                <w:rFonts w:hint="eastAsia" w:ascii="Calibri" w:hAnsi="Calibri" w:eastAsia="宋体" w:cs="Times New Roman"/>
                <w:color w:val="auto"/>
                <w:kern w:val="0"/>
                <w:sz w:val="21"/>
                <w:szCs w:val="21"/>
                <w:highlight w:val="none"/>
              </w:rPr>
              <w:t>编制并落实管廊内管线的维护和巡检工作计划，并报</w:t>
            </w:r>
            <w:r>
              <w:rPr>
                <w:rFonts w:hint="eastAsia" w:ascii="Calibri" w:hAnsi="Calibri" w:eastAsia="宋体" w:cs="Times New Roman"/>
                <w:color w:val="auto"/>
                <w:kern w:val="0"/>
                <w:sz w:val="21"/>
                <w:szCs w:val="21"/>
                <w:highlight w:val="none"/>
                <w:lang w:val="en-US" w:eastAsia="zh-CN"/>
              </w:rPr>
              <w:t>管委会</w:t>
            </w:r>
            <w:r>
              <w:rPr>
                <w:rFonts w:hint="eastAsia" w:ascii="Calibri" w:hAnsi="Calibri" w:eastAsia="宋体" w:cs="Times New Roman"/>
                <w:color w:val="auto"/>
                <w:kern w:val="0"/>
                <w:sz w:val="21"/>
                <w:szCs w:val="21"/>
                <w:highlight w:val="none"/>
              </w:rPr>
              <w:t>备案；</w:t>
            </w:r>
            <w:r>
              <w:rPr>
                <w:rFonts w:hint="eastAsia" w:ascii="Calibri" w:hAnsi="Calibri" w:eastAsia="宋体" w:cs="Times New Roman"/>
                <w:color w:val="auto"/>
                <w:kern w:val="0"/>
                <w:sz w:val="21"/>
                <w:szCs w:val="21"/>
                <w:highlight w:val="none"/>
                <w:lang w:eastAsia="zh-CN"/>
              </w:rPr>
              <w:t>管廊运营管理单位</w:t>
            </w:r>
            <w:r>
              <w:rPr>
                <w:rFonts w:hint="eastAsia" w:ascii="Calibri" w:hAnsi="Calibri" w:eastAsia="宋体" w:cs="Times New Roman"/>
                <w:color w:val="auto"/>
                <w:kern w:val="0"/>
                <w:sz w:val="21"/>
                <w:szCs w:val="21"/>
                <w:highlight w:val="none"/>
              </w:rPr>
              <w:t>对入廊管线单位的管养工作进行不定期巡视检查，</w:t>
            </w:r>
            <w:r>
              <w:rPr>
                <w:rFonts w:hint="eastAsia" w:ascii="Calibri" w:hAnsi="Calibri" w:eastAsia="宋体" w:cs="Times New Roman"/>
                <w:color w:val="auto"/>
                <w:kern w:val="0"/>
                <w:sz w:val="21"/>
                <w:szCs w:val="21"/>
                <w:highlight w:val="none"/>
                <w:lang w:eastAsia="zh-CN"/>
              </w:rPr>
              <w:t>每日需保证管廊正常巡检</w:t>
            </w:r>
            <w:r>
              <w:rPr>
                <w:rFonts w:hint="eastAsia" w:ascii="Calibri" w:hAnsi="Calibri" w:eastAsia="宋体" w:cs="Times New Roman"/>
                <w:color w:val="auto"/>
                <w:kern w:val="0"/>
                <w:sz w:val="21"/>
                <w:szCs w:val="21"/>
                <w:highlight w:val="none"/>
              </w:rPr>
              <w:t>，发现问题责令及时整改，确保设施设备安全正常运行</w:t>
            </w:r>
            <w:r>
              <w:rPr>
                <w:rFonts w:ascii="Calibri" w:hAnsi="Calibri" w:eastAsia="宋体" w:cs="Times New Roman"/>
                <w:color w:val="auto"/>
                <w:kern w:val="0"/>
                <w:sz w:val="21"/>
                <w:szCs w:val="21"/>
                <w:highlight w:val="none"/>
              </w:rPr>
              <w:t xml:space="preserve"> </w:t>
            </w:r>
          </w:p>
        </w:tc>
        <w:tc>
          <w:tcPr>
            <w:tcW w:w="5604" w:type="dxa"/>
            <w:noWrap w:val="0"/>
            <w:vAlign w:val="center"/>
          </w:tcPr>
          <w:p w14:paraId="5C36BB78">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每个考核周期，未编制工作计划并备案的情况扣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分；每次检查未按工作计划落实的，发现漏检一次扣0.5分，造成设施损坏后果的扣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分/次.巡检运营台账缺失一项扣0.5分。</w:t>
            </w:r>
          </w:p>
        </w:tc>
        <w:tc>
          <w:tcPr>
            <w:tcW w:w="767" w:type="dxa"/>
            <w:noWrap w:val="0"/>
            <w:vAlign w:val="center"/>
          </w:tcPr>
          <w:p w14:paraId="4EE40BF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3791F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65" w:type="dxa"/>
            <w:vMerge w:val="continue"/>
            <w:noWrap w:val="0"/>
            <w:vAlign w:val="center"/>
          </w:tcPr>
          <w:p w14:paraId="5C922D75">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351FD8B6">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122F34E2">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管线事故应急</w:t>
            </w:r>
          </w:p>
        </w:tc>
        <w:tc>
          <w:tcPr>
            <w:tcW w:w="645" w:type="dxa"/>
            <w:noWrap w:val="0"/>
            <w:vAlign w:val="center"/>
          </w:tcPr>
          <w:p w14:paraId="7BB2C4C9">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lang w:val="en-US" w:eastAsia="zh-CN"/>
              </w:rPr>
              <w:t>5</w:t>
            </w:r>
          </w:p>
        </w:tc>
        <w:tc>
          <w:tcPr>
            <w:tcW w:w="4749" w:type="dxa"/>
            <w:noWrap w:val="0"/>
            <w:vAlign w:val="center"/>
          </w:tcPr>
          <w:p w14:paraId="3A9E0B4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ascii="Calibri" w:hAnsi="Calibri" w:eastAsia="宋体" w:cs="Times New Roman"/>
                <w:color w:val="auto"/>
                <w:kern w:val="0"/>
                <w:sz w:val="21"/>
                <w:szCs w:val="21"/>
                <w:highlight w:val="none"/>
              </w:rPr>
              <w:t>制定管线安全事故应急方案，并报相关部门备案；入廊管线发生故障需要进行紧急抢修的，管线权属单位应当及时报</w:t>
            </w:r>
            <w:r>
              <w:rPr>
                <w:rFonts w:hint="eastAsia" w:cs="Times New Roman"/>
                <w:color w:val="auto"/>
                <w:kern w:val="0"/>
                <w:sz w:val="21"/>
                <w:szCs w:val="21"/>
                <w:highlight w:val="none"/>
                <w:lang w:val="en-US" w:eastAsia="zh-CN"/>
              </w:rPr>
              <w:t>运营单位</w:t>
            </w:r>
            <w:r>
              <w:rPr>
                <w:rFonts w:hint="eastAsia" w:ascii="Calibri" w:hAnsi="Calibri" w:eastAsia="宋体" w:cs="Times New Roman"/>
                <w:color w:val="auto"/>
                <w:kern w:val="0"/>
                <w:sz w:val="21"/>
                <w:szCs w:val="21"/>
                <w:highlight w:val="none"/>
              </w:rPr>
              <w:t>并书面报告</w:t>
            </w:r>
            <w:r>
              <w:rPr>
                <w:rFonts w:hint="eastAsia" w:ascii="Calibri" w:hAnsi="Calibri" w:eastAsia="宋体" w:cs="Times New Roman"/>
                <w:color w:val="auto"/>
                <w:kern w:val="0"/>
                <w:sz w:val="21"/>
                <w:szCs w:val="21"/>
                <w:highlight w:val="none"/>
                <w:lang w:val="en-US" w:eastAsia="zh-CN"/>
              </w:rPr>
              <w:t>管委会</w:t>
            </w:r>
          </w:p>
        </w:tc>
        <w:tc>
          <w:tcPr>
            <w:tcW w:w="5604" w:type="dxa"/>
            <w:noWrap w:val="0"/>
            <w:vAlign w:val="center"/>
          </w:tcPr>
          <w:p w14:paraId="6DAC10CC">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未制定管线安全事故应急预案并报相关部门备案的扣1分；突发事件发生后未能及时有效的通知管线单位的每发现一次扣</w:t>
            </w:r>
            <w:r>
              <w:rPr>
                <w:rFonts w:hint="eastAsia" w:ascii="Calibri" w:hAnsi="Calibri" w:eastAsia="宋体" w:cs="Times New Roman"/>
                <w:color w:val="auto"/>
                <w:kern w:val="0"/>
                <w:sz w:val="21"/>
                <w:szCs w:val="21"/>
                <w:highlight w:val="none"/>
                <w:lang w:val="en-US" w:eastAsia="zh-CN"/>
              </w:rPr>
              <w:t>0.5</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restart"/>
            <w:noWrap w:val="0"/>
            <w:vAlign w:val="center"/>
          </w:tcPr>
          <w:p w14:paraId="77D8B0DC">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6FFD3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jc w:val="center"/>
        </w:trPr>
        <w:tc>
          <w:tcPr>
            <w:tcW w:w="465" w:type="dxa"/>
            <w:vMerge w:val="continue"/>
            <w:noWrap w:val="0"/>
            <w:vAlign w:val="center"/>
          </w:tcPr>
          <w:p w14:paraId="79649C1D">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2D68139A">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316022B1">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周边巡视</w:t>
            </w:r>
          </w:p>
        </w:tc>
        <w:tc>
          <w:tcPr>
            <w:tcW w:w="645" w:type="dxa"/>
            <w:noWrap w:val="0"/>
            <w:vAlign w:val="center"/>
          </w:tcPr>
          <w:p w14:paraId="3C1F936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lang w:val="en-US" w:eastAsia="zh-CN"/>
              </w:rPr>
              <w:t>5</w:t>
            </w:r>
          </w:p>
        </w:tc>
        <w:tc>
          <w:tcPr>
            <w:tcW w:w="4749" w:type="dxa"/>
            <w:noWrap w:val="0"/>
            <w:vAlign w:val="center"/>
          </w:tcPr>
          <w:p w14:paraId="54D133A4">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cs="Times New Roman"/>
                <w:color w:val="auto"/>
                <w:kern w:val="0"/>
                <w:sz w:val="21"/>
                <w:szCs w:val="21"/>
                <w:highlight w:val="none"/>
                <w:lang w:val="en-US" w:eastAsia="zh-CN"/>
              </w:rPr>
              <w:t>运营单位</w:t>
            </w:r>
            <w:r>
              <w:rPr>
                <w:rFonts w:hint="eastAsia" w:ascii="Calibri" w:hAnsi="Calibri" w:eastAsia="宋体" w:cs="Times New Roman"/>
                <w:color w:val="auto"/>
                <w:kern w:val="0"/>
                <w:sz w:val="21"/>
                <w:szCs w:val="21"/>
                <w:highlight w:val="none"/>
              </w:rPr>
              <w:t>须加强巡视，一旦发现在管廊及其周边区域从事可能危害管廊安全的作业，及时报告</w:t>
            </w:r>
            <w:r>
              <w:rPr>
                <w:rFonts w:hint="eastAsia" w:ascii="Calibri" w:hAnsi="Calibri" w:eastAsia="宋体" w:cs="Times New Roman"/>
                <w:color w:val="auto"/>
                <w:kern w:val="0"/>
                <w:sz w:val="21"/>
                <w:szCs w:val="21"/>
                <w:highlight w:val="none"/>
                <w:lang w:val="en-US" w:eastAsia="zh-CN"/>
              </w:rPr>
              <w:t>管委会</w:t>
            </w:r>
          </w:p>
        </w:tc>
        <w:tc>
          <w:tcPr>
            <w:tcW w:w="5604" w:type="dxa"/>
            <w:noWrap w:val="0"/>
            <w:vAlign w:val="center"/>
          </w:tcPr>
          <w:p w14:paraId="20979B43">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每个考核周期，未制定巡检计划的扣</w:t>
            </w:r>
            <w:r>
              <w:rPr>
                <w:rFonts w:ascii="Calibri" w:hAnsi="Calibri" w:eastAsia="宋体" w:cs="Times New Roman"/>
                <w:color w:val="auto"/>
                <w:kern w:val="0"/>
                <w:sz w:val="21"/>
                <w:szCs w:val="21"/>
                <w:highlight w:val="none"/>
              </w:rPr>
              <w:t>1</w:t>
            </w:r>
            <w:r>
              <w:rPr>
                <w:rFonts w:hint="eastAsia" w:ascii="Calibri" w:hAnsi="Calibri" w:eastAsia="宋体" w:cs="Times New Roman"/>
                <w:color w:val="auto"/>
                <w:kern w:val="0"/>
                <w:sz w:val="21"/>
                <w:szCs w:val="21"/>
                <w:highlight w:val="none"/>
              </w:rPr>
              <w:t>分；未定期开展安全隐患排查的每发现一次扣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113391F3">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1407B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 w:hRule="atLeast"/>
          <w:jc w:val="center"/>
        </w:trPr>
        <w:tc>
          <w:tcPr>
            <w:tcW w:w="465" w:type="dxa"/>
            <w:vMerge w:val="restart"/>
            <w:noWrap w:val="0"/>
            <w:vAlign w:val="center"/>
          </w:tcPr>
          <w:p w14:paraId="215E030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四</w:t>
            </w:r>
            <w:r>
              <w:rPr>
                <w:rFonts w:ascii="Calibri" w:hAnsi="Calibri" w:eastAsia="宋体" w:cs="Times New Roman"/>
                <w:color w:val="auto"/>
                <w:kern w:val="0"/>
                <w:sz w:val="21"/>
                <w:szCs w:val="21"/>
                <w:highlight w:val="none"/>
              </w:rPr>
              <w:t xml:space="preserve"> </w:t>
            </w:r>
          </w:p>
        </w:tc>
        <w:tc>
          <w:tcPr>
            <w:tcW w:w="1133" w:type="dxa"/>
            <w:vMerge w:val="restart"/>
            <w:noWrap w:val="0"/>
            <w:vAlign w:val="center"/>
          </w:tcPr>
          <w:p w14:paraId="777F64CC">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应急处置措施（</w:t>
            </w:r>
            <w:r>
              <w:rPr>
                <w:rFonts w:ascii="Calibri" w:hAnsi="Calibri" w:eastAsia="宋体" w:cs="Times New Roman"/>
                <w:color w:val="auto"/>
                <w:kern w:val="0"/>
                <w:sz w:val="21"/>
                <w:szCs w:val="21"/>
                <w:highlight w:val="none"/>
              </w:rPr>
              <w:t>15</w:t>
            </w:r>
            <w:r>
              <w:rPr>
                <w:rFonts w:hint="eastAsia" w:ascii="Calibri" w:hAnsi="Calibri" w:eastAsia="宋体" w:cs="Times New Roman"/>
                <w:color w:val="auto"/>
                <w:kern w:val="0"/>
                <w:sz w:val="21"/>
                <w:szCs w:val="21"/>
                <w:highlight w:val="none"/>
              </w:rPr>
              <w:t>分）</w:t>
            </w:r>
            <w:r>
              <w:rPr>
                <w:rFonts w:ascii="Calibri" w:hAnsi="Calibri" w:eastAsia="宋体" w:cs="Times New Roman"/>
                <w:color w:val="auto"/>
                <w:kern w:val="0"/>
                <w:sz w:val="21"/>
                <w:szCs w:val="21"/>
                <w:highlight w:val="none"/>
              </w:rPr>
              <w:t xml:space="preserve"> </w:t>
            </w:r>
          </w:p>
        </w:tc>
        <w:tc>
          <w:tcPr>
            <w:tcW w:w="1243" w:type="dxa"/>
            <w:noWrap w:val="0"/>
            <w:vAlign w:val="center"/>
          </w:tcPr>
          <w:p w14:paraId="58F3EB13">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应急预案</w:t>
            </w:r>
          </w:p>
        </w:tc>
        <w:tc>
          <w:tcPr>
            <w:tcW w:w="645" w:type="dxa"/>
            <w:noWrap w:val="0"/>
            <w:vAlign w:val="center"/>
          </w:tcPr>
          <w:p w14:paraId="5B46144E">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10</w:t>
            </w:r>
            <w:r>
              <w:rPr>
                <w:rFonts w:ascii="Calibri" w:hAnsi="Calibri" w:eastAsia="宋体" w:cs="Times New Roman"/>
                <w:color w:val="auto"/>
                <w:kern w:val="0"/>
                <w:sz w:val="21"/>
                <w:szCs w:val="21"/>
                <w:highlight w:val="none"/>
              </w:rPr>
              <w:t xml:space="preserve"> </w:t>
            </w:r>
          </w:p>
        </w:tc>
        <w:tc>
          <w:tcPr>
            <w:tcW w:w="4749" w:type="dxa"/>
            <w:noWrap w:val="0"/>
            <w:vAlign w:val="center"/>
          </w:tcPr>
          <w:p w14:paraId="5C623781">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制定管廊应急预案，落实应急设备、物资、人员等</w:t>
            </w:r>
            <w:r>
              <w:rPr>
                <w:rFonts w:ascii="Calibri" w:hAnsi="Calibri" w:eastAsia="宋体" w:cs="Times New Roman"/>
                <w:color w:val="auto"/>
                <w:kern w:val="0"/>
                <w:sz w:val="21"/>
                <w:szCs w:val="21"/>
                <w:highlight w:val="none"/>
              </w:rPr>
              <w:t xml:space="preserve"> </w:t>
            </w:r>
          </w:p>
        </w:tc>
        <w:tc>
          <w:tcPr>
            <w:tcW w:w="5604" w:type="dxa"/>
            <w:noWrap w:val="0"/>
            <w:vAlign w:val="center"/>
          </w:tcPr>
          <w:p w14:paraId="3CF94F6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未制定应急预案的扣3分；预案内未落实应急设备的扣1分，未落实物资材料的扣1分，未落实人员的扣1分，</w:t>
            </w:r>
            <w:r>
              <w:rPr>
                <w:rFonts w:hint="eastAsia" w:ascii="Calibri" w:hAnsi="Calibri" w:eastAsia="宋体" w:cs="Times New Roman"/>
                <w:color w:val="auto"/>
                <w:kern w:val="0"/>
                <w:sz w:val="21"/>
                <w:szCs w:val="21"/>
                <w:highlight w:val="none"/>
                <w:lang w:val="en-US" w:eastAsia="zh-CN"/>
              </w:rPr>
              <w:t>扣完为止</w:t>
            </w:r>
            <w:r>
              <w:rPr>
                <w:rFonts w:ascii="Calibri" w:hAnsi="Calibri" w:eastAsia="宋体" w:cs="Times New Roman"/>
                <w:color w:val="auto"/>
                <w:kern w:val="0"/>
                <w:sz w:val="21"/>
                <w:szCs w:val="21"/>
                <w:highlight w:val="none"/>
              </w:rPr>
              <w:t>。</w:t>
            </w:r>
          </w:p>
        </w:tc>
        <w:tc>
          <w:tcPr>
            <w:tcW w:w="767" w:type="dxa"/>
            <w:vMerge w:val="restart"/>
            <w:noWrap w:val="0"/>
            <w:vAlign w:val="center"/>
          </w:tcPr>
          <w:p w14:paraId="36F87AA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0AE52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465" w:type="dxa"/>
            <w:vMerge w:val="continue"/>
            <w:noWrap w:val="0"/>
            <w:vAlign w:val="center"/>
          </w:tcPr>
          <w:p w14:paraId="6EA2EB41">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5381DBBC">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66410F5E">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应急演练</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rPr>
              <w:t>应对突发事件</w:t>
            </w:r>
          </w:p>
        </w:tc>
        <w:tc>
          <w:tcPr>
            <w:tcW w:w="645" w:type="dxa"/>
            <w:noWrap w:val="0"/>
            <w:vAlign w:val="center"/>
          </w:tcPr>
          <w:p w14:paraId="583FC70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ascii="Calibri" w:hAnsi="Calibri" w:eastAsia="宋体" w:cs="Times New Roman"/>
                <w:color w:val="auto"/>
                <w:kern w:val="0"/>
                <w:sz w:val="21"/>
                <w:szCs w:val="21"/>
                <w:highlight w:val="none"/>
              </w:rPr>
              <w:t xml:space="preserve">3 </w:t>
            </w:r>
          </w:p>
        </w:tc>
        <w:tc>
          <w:tcPr>
            <w:tcW w:w="4749" w:type="dxa"/>
            <w:noWrap w:val="0"/>
            <w:vAlign w:val="center"/>
          </w:tcPr>
          <w:p w14:paraId="2C6D5FC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定期组织管线权属单位进行应急预案演练</w:t>
            </w:r>
            <w:r>
              <w:rPr>
                <w:rFonts w:ascii="Calibri" w:hAnsi="Calibri" w:eastAsia="宋体" w:cs="Times New Roman"/>
                <w:color w:val="auto"/>
                <w:kern w:val="0"/>
                <w:sz w:val="21"/>
                <w:szCs w:val="21"/>
                <w:highlight w:val="none"/>
              </w:rPr>
              <w:t xml:space="preserve"> </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rPr>
              <w:t>管廊内发生险情无法处理时，须第一时间启动相应的应急预案</w:t>
            </w:r>
            <w:r>
              <w:rPr>
                <w:rFonts w:ascii="Calibri" w:hAnsi="Calibri" w:eastAsia="宋体" w:cs="Times New Roman"/>
                <w:color w:val="auto"/>
                <w:kern w:val="0"/>
                <w:sz w:val="21"/>
                <w:szCs w:val="21"/>
                <w:highlight w:val="none"/>
              </w:rPr>
              <w:t xml:space="preserve"> </w:t>
            </w:r>
          </w:p>
        </w:tc>
        <w:tc>
          <w:tcPr>
            <w:tcW w:w="5604" w:type="dxa"/>
            <w:noWrap w:val="0"/>
            <w:vAlign w:val="center"/>
          </w:tcPr>
          <w:p w14:paraId="119ECC49">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每个考核周期，未定期开展应急演练的每发现一次扣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ascii="Calibri" w:hAnsi="Calibri" w:eastAsia="宋体" w:cs="Times New Roman"/>
                <w:color w:val="auto"/>
                <w:kern w:val="0"/>
                <w:sz w:val="21"/>
                <w:szCs w:val="21"/>
                <w:highlight w:val="none"/>
              </w:rPr>
              <w:t>合计扣分不超过标准分值</w:t>
            </w:r>
            <w:r>
              <w:rPr>
                <w:rFonts w:hint="eastAsia" w:ascii="Calibri" w:hAnsi="Calibri" w:eastAsia="宋体" w:cs="Times New Roman"/>
                <w:color w:val="auto"/>
                <w:kern w:val="0"/>
                <w:sz w:val="21"/>
                <w:szCs w:val="21"/>
                <w:highlight w:val="none"/>
                <w:lang w:eastAsia="zh-CN"/>
              </w:rPr>
              <w:t>；</w:t>
            </w:r>
            <w:r>
              <w:rPr>
                <w:rFonts w:hint="eastAsia" w:ascii="Calibri" w:hAnsi="Calibri" w:eastAsia="宋体" w:cs="Times New Roman"/>
                <w:color w:val="auto"/>
                <w:kern w:val="0"/>
                <w:sz w:val="21"/>
                <w:szCs w:val="21"/>
                <w:highlight w:val="none"/>
              </w:rPr>
              <w:t>每发生一次未启动应急预案情况扣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0C07DCD2">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71630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465" w:type="dxa"/>
            <w:vMerge w:val="continue"/>
            <w:noWrap w:val="0"/>
            <w:vAlign w:val="center"/>
          </w:tcPr>
          <w:p w14:paraId="71899B72">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5C9C405F">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209CF1AC">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紧急情况下的管廊关闭</w:t>
            </w:r>
          </w:p>
        </w:tc>
        <w:tc>
          <w:tcPr>
            <w:tcW w:w="645" w:type="dxa"/>
            <w:noWrap w:val="0"/>
            <w:vAlign w:val="center"/>
          </w:tcPr>
          <w:p w14:paraId="3B583637">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lang w:val="en-US" w:eastAsia="zh-CN"/>
              </w:rPr>
              <w:t>2</w:t>
            </w:r>
            <w:r>
              <w:rPr>
                <w:rFonts w:ascii="Calibri" w:hAnsi="Calibri" w:eastAsia="宋体" w:cs="Times New Roman"/>
                <w:color w:val="auto"/>
                <w:kern w:val="0"/>
                <w:sz w:val="21"/>
                <w:szCs w:val="21"/>
                <w:highlight w:val="none"/>
              </w:rPr>
              <w:t xml:space="preserve"> </w:t>
            </w:r>
          </w:p>
        </w:tc>
        <w:tc>
          <w:tcPr>
            <w:tcW w:w="4749" w:type="dxa"/>
            <w:noWrap w:val="0"/>
            <w:vAlign w:val="center"/>
          </w:tcPr>
          <w:p w14:paraId="1B8DCCA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管廊时刻处于畅通状态，除非因泥石流、洪水或其他因素需要临时关闭；</w:t>
            </w:r>
            <w:r>
              <w:rPr>
                <w:rFonts w:hint="eastAsia" w:ascii="Calibri" w:hAnsi="Calibri" w:eastAsia="宋体" w:cs="Times New Roman"/>
                <w:color w:val="auto"/>
                <w:kern w:val="0"/>
                <w:sz w:val="21"/>
                <w:szCs w:val="21"/>
                <w:highlight w:val="none"/>
                <w:lang w:eastAsia="zh-CN"/>
              </w:rPr>
              <w:t>管廊运营管理单位</w:t>
            </w:r>
            <w:r>
              <w:rPr>
                <w:rFonts w:hint="eastAsia" w:ascii="Calibri" w:hAnsi="Calibri" w:eastAsia="宋体" w:cs="Times New Roman"/>
                <w:color w:val="auto"/>
                <w:kern w:val="0"/>
                <w:sz w:val="21"/>
                <w:szCs w:val="21"/>
                <w:highlight w:val="none"/>
              </w:rPr>
              <w:t>应将管廊关闭的地点、长度和期限等及时告知相关部门</w:t>
            </w:r>
            <w:r>
              <w:rPr>
                <w:rFonts w:ascii="Calibri" w:hAnsi="Calibri" w:eastAsia="宋体" w:cs="Times New Roman"/>
                <w:color w:val="auto"/>
                <w:kern w:val="0"/>
                <w:sz w:val="21"/>
                <w:szCs w:val="21"/>
                <w:highlight w:val="none"/>
              </w:rPr>
              <w:t xml:space="preserve"> </w:t>
            </w:r>
          </w:p>
        </w:tc>
        <w:tc>
          <w:tcPr>
            <w:tcW w:w="5604" w:type="dxa"/>
            <w:noWrap w:val="0"/>
            <w:vAlign w:val="center"/>
          </w:tcPr>
          <w:p w14:paraId="4A25CF0F">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每个考核周期，每发生一次未告知相关部门的情况扣</w:t>
            </w:r>
            <w:r>
              <w:rPr>
                <w:rFonts w:hint="eastAsia" w:ascii="Calibri" w:hAnsi="Calibri" w:eastAsia="宋体" w:cs="Times New Roman"/>
                <w:color w:val="auto"/>
                <w:kern w:val="0"/>
                <w:sz w:val="21"/>
                <w:szCs w:val="21"/>
                <w:highlight w:val="none"/>
                <w:lang w:val="en-US" w:eastAsia="zh-CN"/>
              </w:rPr>
              <w:t>1</w:t>
            </w:r>
            <w:r>
              <w:rPr>
                <w:rFonts w:hint="eastAsia" w:ascii="Calibri" w:hAnsi="Calibri" w:eastAsia="宋体" w:cs="Times New Roman"/>
                <w:color w:val="auto"/>
                <w:kern w:val="0"/>
                <w:sz w:val="21"/>
                <w:szCs w:val="21"/>
                <w:highlight w:val="none"/>
              </w:rPr>
              <w:t>分，</w:t>
            </w:r>
            <w:r>
              <w:rPr>
                <w:rFonts w:hint="eastAsia" w:ascii="Calibri" w:hAnsi="Calibri" w:eastAsia="宋体" w:cs="Times New Roman"/>
                <w:color w:val="auto"/>
                <w:kern w:val="0"/>
                <w:sz w:val="21"/>
                <w:szCs w:val="21"/>
                <w:highlight w:val="none"/>
                <w:lang w:val="en-US" w:eastAsia="zh-CN"/>
              </w:rPr>
              <w:t>扣完为止</w:t>
            </w:r>
            <w:r>
              <w:rPr>
                <w:rFonts w:hint="eastAsia" w:ascii="Calibri" w:hAnsi="Calibri" w:eastAsia="宋体" w:cs="Times New Roman"/>
                <w:color w:val="auto"/>
                <w:kern w:val="0"/>
                <w:sz w:val="21"/>
                <w:szCs w:val="21"/>
                <w:highlight w:val="none"/>
              </w:rPr>
              <w:t>。</w:t>
            </w:r>
          </w:p>
        </w:tc>
        <w:tc>
          <w:tcPr>
            <w:tcW w:w="767" w:type="dxa"/>
            <w:vMerge w:val="continue"/>
            <w:noWrap w:val="0"/>
            <w:vAlign w:val="center"/>
          </w:tcPr>
          <w:p w14:paraId="6313A405">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21B72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465" w:type="dxa"/>
            <w:vMerge w:val="restart"/>
            <w:noWrap w:val="0"/>
            <w:vAlign w:val="center"/>
          </w:tcPr>
          <w:p w14:paraId="0E11455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五</w:t>
            </w:r>
            <w:r>
              <w:rPr>
                <w:rFonts w:ascii="Calibri" w:hAnsi="Calibri" w:eastAsia="宋体" w:cs="Times New Roman"/>
                <w:color w:val="auto"/>
                <w:kern w:val="0"/>
                <w:sz w:val="21"/>
                <w:szCs w:val="21"/>
                <w:highlight w:val="none"/>
              </w:rPr>
              <w:t xml:space="preserve"> </w:t>
            </w:r>
          </w:p>
        </w:tc>
        <w:tc>
          <w:tcPr>
            <w:tcW w:w="1133" w:type="dxa"/>
            <w:vMerge w:val="restart"/>
            <w:noWrap w:val="0"/>
            <w:vAlign w:val="center"/>
          </w:tcPr>
          <w:p w14:paraId="612B45FC">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利益相关者满意度</w:t>
            </w:r>
            <w:r>
              <w:rPr>
                <w:rFonts w:hint="eastAsia" w:ascii="Calibri" w:hAnsi="Calibri" w:eastAsia="宋体" w:cs="Times New Roman"/>
                <w:color w:val="auto"/>
                <w:kern w:val="0"/>
                <w:sz w:val="21"/>
                <w:szCs w:val="21"/>
                <w:highlight w:val="none"/>
                <w:lang w:eastAsia="zh-CN"/>
              </w:rPr>
              <w:t>及保密措施</w:t>
            </w:r>
            <w:r>
              <w:rPr>
                <w:rFonts w:hint="eastAsia" w:ascii="Calibri" w:hAnsi="Calibri" w:eastAsia="宋体" w:cs="Times New Roman"/>
                <w:color w:val="auto"/>
                <w:kern w:val="0"/>
                <w:sz w:val="21"/>
                <w:szCs w:val="21"/>
                <w:highlight w:val="none"/>
              </w:rPr>
              <w:t>（5分）</w:t>
            </w:r>
            <w:r>
              <w:rPr>
                <w:rFonts w:ascii="Calibri" w:hAnsi="Calibri" w:eastAsia="宋体" w:cs="Times New Roman"/>
                <w:color w:val="auto"/>
                <w:kern w:val="0"/>
                <w:sz w:val="21"/>
                <w:szCs w:val="21"/>
                <w:highlight w:val="none"/>
              </w:rPr>
              <w:t xml:space="preserve"> </w:t>
            </w:r>
          </w:p>
        </w:tc>
        <w:tc>
          <w:tcPr>
            <w:tcW w:w="1243" w:type="dxa"/>
            <w:noWrap w:val="0"/>
            <w:vAlign w:val="center"/>
          </w:tcPr>
          <w:p w14:paraId="2617BD5A">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管线单位满意度</w:t>
            </w:r>
          </w:p>
        </w:tc>
        <w:tc>
          <w:tcPr>
            <w:tcW w:w="645" w:type="dxa"/>
            <w:noWrap w:val="0"/>
            <w:vAlign w:val="center"/>
          </w:tcPr>
          <w:p w14:paraId="0D0D7C2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3</w:t>
            </w:r>
            <w:r>
              <w:rPr>
                <w:rFonts w:ascii="Calibri" w:hAnsi="Calibri" w:eastAsia="宋体" w:cs="Times New Roman"/>
                <w:color w:val="auto"/>
                <w:kern w:val="0"/>
                <w:sz w:val="21"/>
                <w:szCs w:val="21"/>
                <w:highlight w:val="none"/>
              </w:rPr>
              <w:t xml:space="preserve"> </w:t>
            </w:r>
          </w:p>
        </w:tc>
        <w:tc>
          <w:tcPr>
            <w:tcW w:w="4749" w:type="dxa"/>
            <w:noWrap w:val="0"/>
            <w:vAlign w:val="center"/>
          </w:tcPr>
          <w:p w14:paraId="3D4BBB10">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rPr>
              <w:t>对入廊管线单位实施调查，满意度需在</w:t>
            </w:r>
            <w:r>
              <w:rPr>
                <w:rFonts w:ascii="Calibri" w:hAnsi="Calibri" w:eastAsia="宋体" w:cs="Times New Roman"/>
                <w:color w:val="auto"/>
                <w:kern w:val="0"/>
                <w:sz w:val="21"/>
                <w:szCs w:val="21"/>
                <w:highlight w:val="none"/>
              </w:rPr>
              <w:t>90%</w:t>
            </w:r>
            <w:r>
              <w:rPr>
                <w:rFonts w:hint="eastAsia" w:ascii="Calibri" w:hAnsi="Calibri" w:eastAsia="宋体" w:cs="Times New Roman"/>
                <w:color w:val="auto"/>
                <w:kern w:val="0"/>
                <w:sz w:val="21"/>
                <w:szCs w:val="21"/>
                <w:highlight w:val="none"/>
              </w:rPr>
              <w:t>以上；调查内容包括</w:t>
            </w:r>
            <w:r>
              <w:rPr>
                <w:rFonts w:hint="eastAsia" w:ascii="Calibri" w:hAnsi="Calibri" w:eastAsia="宋体" w:cs="Times New Roman"/>
                <w:color w:val="auto"/>
                <w:kern w:val="0"/>
                <w:sz w:val="21"/>
                <w:szCs w:val="21"/>
                <w:highlight w:val="none"/>
                <w:lang w:eastAsia="zh-CN"/>
              </w:rPr>
              <w:t>管廊运营管理单位</w:t>
            </w:r>
            <w:r>
              <w:rPr>
                <w:rFonts w:hint="eastAsia" w:ascii="Calibri" w:hAnsi="Calibri" w:eastAsia="宋体" w:cs="Times New Roman"/>
                <w:color w:val="auto"/>
                <w:kern w:val="0"/>
                <w:sz w:val="21"/>
                <w:szCs w:val="21"/>
                <w:highlight w:val="none"/>
              </w:rPr>
              <w:t>维持设施可用、及时告知管线破损、巡查管线设施、管线设施破坏等</w:t>
            </w:r>
            <w:r>
              <w:rPr>
                <w:rFonts w:hint="eastAsia" w:ascii="Calibri" w:hAnsi="Calibri" w:eastAsia="宋体" w:cs="Times New Roman"/>
                <w:color w:val="auto"/>
                <w:kern w:val="0"/>
                <w:sz w:val="21"/>
                <w:szCs w:val="21"/>
                <w:highlight w:val="none"/>
                <w:lang w:eastAsia="zh-CN"/>
              </w:rPr>
              <w:t>。</w:t>
            </w:r>
          </w:p>
        </w:tc>
        <w:tc>
          <w:tcPr>
            <w:tcW w:w="5604" w:type="dxa"/>
            <w:noWrap w:val="0"/>
            <w:vAlign w:val="center"/>
          </w:tcPr>
          <w:p w14:paraId="4C053EE2">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每个考核周期，</w:t>
            </w:r>
            <w:r>
              <w:rPr>
                <w:rFonts w:hint="eastAsia" w:ascii="Calibri" w:hAnsi="Calibri" w:eastAsia="宋体" w:cs="Times New Roman"/>
                <w:color w:val="auto"/>
                <w:kern w:val="0"/>
                <w:sz w:val="21"/>
                <w:szCs w:val="21"/>
                <w:highlight w:val="none"/>
                <w:lang w:eastAsia="zh-CN"/>
              </w:rPr>
              <w:t>每接到一处管线单位投诉，扣</w:t>
            </w:r>
            <w:r>
              <w:rPr>
                <w:rFonts w:hint="eastAsia" w:ascii="Calibri" w:hAnsi="Calibri" w:eastAsia="宋体" w:cs="Times New Roman"/>
                <w:color w:val="auto"/>
                <w:kern w:val="0"/>
                <w:sz w:val="21"/>
                <w:szCs w:val="21"/>
                <w:highlight w:val="none"/>
                <w:lang w:val="en-US" w:eastAsia="zh-CN"/>
              </w:rPr>
              <w:t>0.5分</w:t>
            </w:r>
            <w:r>
              <w:rPr>
                <w:rFonts w:hint="eastAsia" w:ascii="Calibri" w:hAnsi="Calibri" w:eastAsia="宋体" w:cs="Times New Roman"/>
                <w:color w:val="auto"/>
                <w:kern w:val="0"/>
                <w:sz w:val="21"/>
                <w:szCs w:val="21"/>
                <w:highlight w:val="none"/>
              </w:rPr>
              <w:t>。</w:t>
            </w:r>
          </w:p>
        </w:tc>
        <w:tc>
          <w:tcPr>
            <w:tcW w:w="767" w:type="dxa"/>
            <w:noWrap w:val="0"/>
            <w:vAlign w:val="center"/>
          </w:tcPr>
          <w:p w14:paraId="63CDF29A">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r w14:paraId="3B92B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65" w:type="dxa"/>
            <w:vMerge w:val="continue"/>
            <w:noWrap w:val="0"/>
            <w:vAlign w:val="center"/>
          </w:tcPr>
          <w:p w14:paraId="202DE316">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133" w:type="dxa"/>
            <w:vMerge w:val="continue"/>
            <w:noWrap w:val="0"/>
            <w:vAlign w:val="center"/>
          </w:tcPr>
          <w:p w14:paraId="171E07A9">
            <w:pPr>
              <w:keepNext w:val="0"/>
              <w:keepLines w:val="0"/>
              <w:pageBreakBefore w:val="0"/>
              <w:widowControl/>
              <w:kinsoku/>
              <w:wordWrap/>
              <w:overflowPunct/>
              <w:topLinePunct w:val="0"/>
              <w:bidi w:val="0"/>
              <w:spacing w:line="240" w:lineRule="auto"/>
              <w:ind w:firstLine="0" w:firstLineChars="0"/>
              <w:jc w:val="left"/>
              <w:textAlignment w:val="auto"/>
              <w:rPr>
                <w:rFonts w:ascii="Calibri" w:hAnsi="Calibri" w:eastAsia="宋体" w:cs="Times New Roman"/>
                <w:color w:val="auto"/>
                <w:kern w:val="0"/>
                <w:sz w:val="21"/>
                <w:szCs w:val="21"/>
                <w:highlight w:val="none"/>
              </w:rPr>
            </w:pPr>
          </w:p>
        </w:tc>
        <w:tc>
          <w:tcPr>
            <w:tcW w:w="1243" w:type="dxa"/>
            <w:noWrap w:val="0"/>
            <w:vAlign w:val="center"/>
          </w:tcPr>
          <w:p w14:paraId="197AE0B0">
            <w:pPr>
              <w:keepNext w:val="0"/>
              <w:keepLines w:val="0"/>
              <w:pageBreakBefore w:val="0"/>
              <w:kinsoku/>
              <w:wordWrap/>
              <w:overflowPunct/>
              <w:topLinePunct w:val="0"/>
              <w:autoSpaceDE w:val="0"/>
              <w:autoSpaceDN w:val="0"/>
              <w:bidi w:val="0"/>
              <w:adjustRightInd w:val="0"/>
              <w:spacing w:line="240" w:lineRule="auto"/>
              <w:ind w:firstLine="0" w:firstLineChars="0"/>
              <w:jc w:val="center"/>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lang w:eastAsia="zh-CN"/>
              </w:rPr>
              <w:t>保密措施</w:t>
            </w:r>
          </w:p>
        </w:tc>
        <w:tc>
          <w:tcPr>
            <w:tcW w:w="645" w:type="dxa"/>
            <w:noWrap w:val="0"/>
            <w:vAlign w:val="center"/>
          </w:tcPr>
          <w:p w14:paraId="65802E8D">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rPr>
            </w:pPr>
            <w:r>
              <w:rPr>
                <w:rFonts w:hint="eastAsia" w:ascii="Calibri" w:hAnsi="Calibri" w:eastAsia="宋体" w:cs="Times New Roman"/>
                <w:color w:val="auto"/>
                <w:kern w:val="0"/>
                <w:sz w:val="21"/>
                <w:szCs w:val="21"/>
                <w:highlight w:val="none"/>
              </w:rPr>
              <w:t>2</w:t>
            </w:r>
          </w:p>
        </w:tc>
        <w:tc>
          <w:tcPr>
            <w:tcW w:w="4749" w:type="dxa"/>
            <w:noWrap w:val="0"/>
            <w:vAlign w:val="center"/>
          </w:tcPr>
          <w:p w14:paraId="4231F7B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eastAsia="zh-CN"/>
              </w:rPr>
            </w:pPr>
            <w:r>
              <w:rPr>
                <w:rFonts w:hint="eastAsia" w:ascii="Calibri" w:hAnsi="Calibri" w:eastAsia="宋体" w:cs="Times New Roman"/>
                <w:color w:val="auto"/>
                <w:kern w:val="0"/>
                <w:sz w:val="21"/>
                <w:szCs w:val="21"/>
                <w:highlight w:val="none"/>
                <w:lang w:eastAsia="zh-CN"/>
              </w:rPr>
              <w:t>相关文件及数据应进行保密等级划分，电子类涉密文件及数据应采取加密保护措施，纸质类涉密文件及数据应根据档案管理有关要求进行封存。</w:t>
            </w:r>
          </w:p>
        </w:tc>
        <w:tc>
          <w:tcPr>
            <w:tcW w:w="5604" w:type="dxa"/>
            <w:noWrap w:val="0"/>
            <w:vAlign w:val="center"/>
          </w:tcPr>
          <w:p w14:paraId="3366EA1B">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hint="eastAsia" w:ascii="Calibri" w:hAnsi="Calibri" w:eastAsia="宋体" w:cs="Times New Roman"/>
                <w:color w:val="auto"/>
                <w:kern w:val="0"/>
                <w:sz w:val="21"/>
                <w:szCs w:val="21"/>
                <w:highlight w:val="none"/>
                <w:lang w:val="en-US" w:eastAsia="zh-CN"/>
              </w:rPr>
            </w:pPr>
            <w:r>
              <w:rPr>
                <w:rFonts w:hint="eastAsia" w:ascii="Calibri" w:hAnsi="Calibri" w:eastAsia="宋体" w:cs="Times New Roman"/>
                <w:color w:val="auto"/>
                <w:kern w:val="0"/>
                <w:sz w:val="21"/>
                <w:szCs w:val="21"/>
                <w:highlight w:val="none"/>
                <w:lang w:eastAsia="zh-CN"/>
              </w:rPr>
              <w:t>未采取加密措施扣</w:t>
            </w:r>
            <w:r>
              <w:rPr>
                <w:rFonts w:hint="eastAsia" w:ascii="Calibri" w:hAnsi="Calibri" w:eastAsia="宋体" w:cs="Times New Roman"/>
                <w:color w:val="auto"/>
                <w:kern w:val="0"/>
                <w:sz w:val="21"/>
                <w:szCs w:val="21"/>
                <w:highlight w:val="none"/>
                <w:lang w:val="en-US" w:eastAsia="zh-CN"/>
              </w:rPr>
              <w:t>1分；未按照相关要求进行封存的，扣1分。</w:t>
            </w:r>
          </w:p>
        </w:tc>
        <w:tc>
          <w:tcPr>
            <w:tcW w:w="767" w:type="dxa"/>
            <w:noWrap w:val="0"/>
            <w:vAlign w:val="center"/>
          </w:tcPr>
          <w:p w14:paraId="2FAED186">
            <w:pPr>
              <w:keepNext w:val="0"/>
              <w:keepLines w:val="0"/>
              <w:pageBreakBefore w:val="0"/>
              <w:kinsoku/>
              <w:wordWrap/>
              <w:overflowPunct/>
              <w:topLinePunct w:val="0"/>
              <w:autoSpaceDE w:val="0"/>
              <w:autoSpaceDN w:val="0"/>
              <w:bidi w:val="0"/>
              <w:adjustRightInd w:val="0"/>
              <w:spacing w:line="240" w:lineRule="auto"/>
              <w:ind w:firstLine="0" w:firstLineChars="0"/>
              <w:jc w:val="left"/>
              <w:textAlignment w:val="auto"/>
              <w:rPr>
                <w:rFonts w:ascii="Calibri" w:hAnsi="Calibri" w:eastAsia="宋体" w:cs="Times New Roman"/>
                <w:color w:val="auto"/>
                <w:kern w:val="0"/>
                <w:sz w:val="21"/>
                <w:szCs w:val="21"/>
                <w:highlight w:val="none"/>
              </w:rPr>
            </w:pPr>
          </w:p>
        </w:tc>
      </w:tr>
    </w:tbl>
    <w:p w14:paraId="7BFADD85">
      <w:pPr>
        <w:pStyle w:val="11"/>
        <w:ind w:left="0" w:leftChars="0" w:firstLine="0" w:firstLineChars="0"/>
        <w:rPr>
          <w:rFonts w:hint="eastAsia" w:ascii="仿宋" w:hAnsi="仿宋" w:eastAsia="仿宋" w:cs="仿宋"/>
          <w:b/>
          <w:bCs/>
          <w:color w:val="auto"/>
          <w:sz w:val="36"/>
          <w:szCs w:val="36"/>
          <w:highlight w:val="none"/>
        </w:rPr>
        <w:sectPr>
          <w:pgSz w:w="16838" w:h="11906" w:orient="landscape"/>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pPr>
    </w:p>
    <w:p w14:paraId="581C21B8">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pPr>
    </w:p>
    <w:p w14:paraId="06F2D557">
      <w:pPr>
        <w:keepNext w:val="0"/>
        <w:keepLines w:val="0"/>
        <w:pageBreakBefore w:val="0"/>
        <w:widowControl w:val="0"/>
        <w:kinsoku/>
        <w:wordWrap/>
        <w:overflowPunct/>
        <w:topLinePunct w:val="0"/>
        <w:autoSpaceDE/>
        <w:autoSpaceDN/>
        <w:bidi w:val="0"/>
        <w:spacing w:line="400" w:lineRule="exact"/>
        <w:jc w:val="center"/>
        <w:textAlignment w:val="auto"/>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廉政合同</w:t>
      </w:r>
    </w:p>
    <w:p w14:paraId="7DF0C4E8">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p>
    <w:p w14:paraId="085D1535">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委托方（甲方）：衢州智慧新城管理委员会 </w:t>
      </w:r>
    </w:p>
    <w:p w14:paraId="54B83E57">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受托</w:t>
      </w:r>
      <w:r>
        <w:rPr>
          <w:rFonts w:hint="eastAsia" w:ascii="仿宋" w:hAnsi="仿宋" w:eastAsia="仿宋" w:cs="仿宋"/>
          <w:color w:val="auto"/>
          <w:sz w:val="24"/>
          <w:highlight w:val="none"/>
        </w:rPr>
        <w:t xml:space="preserve">方（乙方）：                         </w:t>
      </w:r>
    </w:p>
    <w:p w14:paraId="59F784E9">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为切实加大反腐力度，推进廉政建设，预防和减少</w:t>
      </w:r>
      <w:r>
        <w:rPr>
          <w:rFonts w:hint="eastAsia" w:ascii="仿宋" w:hAnsi="仿宋" w:eastAsia="仿宋" w:cs="仿宋"/>
          <w:color w:val="auto"/>
          <w:sz w:val="24"/>
          <w:highlight w:val="none"/>
          <w:lang w:eastAsia="zh-CN"/>
        </w:rPr>
        <w:t>项目实施</w:t>
      </w:r>
      <w:r>
        <w:rPr>
          <w:rFonts w:hint="eastAsia" w:ascii="仿宋" w:hAnsi="仿宋" w:eastAsia="仿宋" w:cs="仿宋"/>
          <w:color w:val="auto"/>
          <w:sz w:val="24"/>
          <w:highlight w:val="none"/>
        </w:rPr>
        <w:t>中的经济犯罪，维护市场的正常秩序，委托人(简称甲方)和</w:t>
      </w:r>
      <w:r>
        <w:rPr>
          <w:rFonts w:hint="eastAsia" w:ascii="仿宋" w:hAnsi="仿宋" w:eastAsia="仿宋" w:cs="仿宋"/>
          <w:color w:val="auto"/>
          <w:sz w:val="24"/>
          <w:highlight w:val="none"/>
          <w:lang w:eastAsia="zh-CN"/>
        </w:rPr>
        <w:t>受托</w:t>
      </w:r>
      <w:r>
        <w:rPr>
          <w:rFonts w:hint="eastAsia" w:ascii="仿宋" w:hAnsi="仿宋" w:eastAsia="仿宋" w:cs="仿宋"/>
          <w:color w:val="auto"/>
          <w:sz w:val="24"/>
          <w:highlight w:val="none"/>
        </w:rPr>
        <w:t>方（简称乙方） 愿签定服务廉政</w:t>
      </w:r>
      <w:r>
        <w:rPr>
          <w:rFonts w:hint="eastAsia" w:ascii="仿宋" w:hAnsi="仿宋" w:eastAsia="仿宋" w:cs="仿宋"/>
          <w:color w:val="auto"/>
          <w:sz w:val="24"/>
          <w:highlight w:val="none"/>
          <w:lang w:val="en-US" w:eastAsia="zh-CN"/>
        </w:rPr>
        <w:t>合同</w:t>
      </w:r>
      <w:r>
        <w:rPr>
          <w:rFonts w:hint="eastAsia" w:ascii="仿宋" w:hAnsi="仿宋" w:eastAsia="仿宋" w:cs="仿宋"/>
          <w:color w:val="auto"/>
          <w:sz w:val="24"/>
          <w:highlight w:val="none"/>
        </w:rPr>
        <w:t>：</w:t>
      </w:r>
    </w:p>
    <w:p w14:paraId="35402934">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不得以任何形式向</w:t>
      </w:r>
      <w:r>
        <w:rPr>
          <w:rFonts w:hint="eastAsia" w:ascii="仿宋" w:hAnsi="仿宋" w:eastAsia="仿宋" w:cs="仿宋"/>
          <w:color w:val="auto"/>
          <w:sz w:val="24"/>
          <w:highlight w:val="none"/>
          <w:lang w:eastAsia="zh-CN"/>
        </w:rPr>
        <w:t>甲</w:t>
      </w:r>
      <w:r>
        <w:rPr>
          <w:rFonts w:hint="eastAsia" w:ascii="仿宋" w:hAnsi="仿宋" w:eastAsia="仿宋" w:cs="仿宋"/>
          <w:color w:val="auto"/>
          <w:sz w:val="24"/>
          <w:highlight w:val="none"/>
        </w:rPr>
        <w:t xml:space="preserve">方赠送各种礼品、礼券(现金)， </w:t>
      </w:r>
      <w:r>
        <w:rPr>
          <w:rFonts w:hint="eastAsia" w:ascii="仿宋" w:hAnsi="仿宋" w:eastAsia="仿宋" w:cs="仿宋"/>
          <w:color w:val="auto"/>
          <w:sz w:val="24"/>
          <w:highlight w:val="none"/>
          <w:lang w:eastAsia="zh-CN"/>
        </w:rPr>
        <w:t>甲</w:t>
      </w:r>
      <w:r>
        <w:rPr>
          <w:rFonts w:hint="eastAsia" w:ascii="仿宋" w:hAnsi="仿宋" w:eastAsia="仿宋" w:cs="仿宋"/>
          <w:color w:val="auto"/>
          <w:sz w:val="24"/>
          <w:highlight w:val="none"/>
        </w:rPr>
        <w:t>方人员不得以任何借口收受各种礼品、礼券(现金)。如有违反，将视情节轻重对</w:t>
      </w:r>
      <w:r>
        <w:rPr>
          <w:rFonts w:hint="eastAsia" w:ascii="仿宋" w:hAnsi="仿宋" w:eastAsia="仿宋" w:cs="仿宋"/>
          <w:color w:val="auto"/>
          <w:sz w:val="24"/>
          <w:highlight w:val="none"/>
          <w:lang w:eastAsia="zh-CN"/>
        </w:rPr>
        <w:t>甲</w:t>
      </w:r>
      <w:r>
        <w:rPr>
          <w:rFonts w:hint="eastAsia" w:ascii="仿宋" w:hAnsi="仿宋" w:eastAsia="仿宋" w:cs="仿宋"/>
          <w:color w:val="auto"/>
          <w:sz w:val="24"/>
          <w:highlight w:val="none"/>
        </w:rPr>
        <w:t>方人员给予批评、教育、罚款直到党纪、政纪、法律处分，对</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给予扣减</w:t>
      </w:r>
      <w:r>
        <w:rPr>
          <w:rFonts w:hint="eastAsia" w:ascii="仿宋" w:hAnsi="仿宋" w:eastAsia="仿宋" w:cs="仿宋"/>
          <w:color w:val="auto"/>
          <w:sz w:val="24"/>
          <w:highlight w:val="none"/>
          <w:lang w:val="en-US" w:eastAsia="zh-CN"/>
        </w:rPr>
        <w:t>服务</w:t>
      </w:r>
      <w:r>
        <w:rPr>
          <w:rFonts w:hint="eastAsia" w:ascii="仿宋" w:hAnsi="仿宋" w:eastAsia="仿宋" w:cs="仿宋"/>
          <w:color w:val="auto"/>
          <w:sz w:val="24"/>
          <w:highlight w:val="none"/>
        </w:rPr>
        <w:t>费3％－5％，直到中止合同。</w:t>
      </w:r>
    </w:p>
    <w:p w14:paraId="56EB3D3A">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在服务过程中贿赂</w:t>
      </w:r>
      <w:r>
        <w:rPr>
          <w:rFonts w:hint="eastAsia" w:ascii="仿宋" w:hAnsi="仿宋" w:eastAsia="仿宋" w:cs="仿宋"/>
          <w:color w:val="auto"/>
          <w:sz w:val="24"/>
          <w:highlight w:val="none"/>
          <w:lang w:eastAsia="zh-CN"/>
        </w:rPr>
        <w:t>甲</w:t>
      </w:r>
      <w:r>
        <w:rPr>
          <w:rFonts w:hint="eastAsia" w:ascii="仿宋" w:hAnsi="仿宋" w:eastAsia="仿宋" w:cs="仿宋"/>
          <w:color w:val="auto"/>
          <w:sz w:val="24"/>
          <w:highlight w:val="none"/>
        </w:rPr>
        <w:t>方人员，被纪检监察、检察机关立案查处的，</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有权中止服务合同，由此</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所造成的损失均由</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承担，并负责由此发生的一切费用(在服务费中扣除)。</w:t>
      </w:r>
    </w:p>
    <w:p w14:paraId="2EEB8B40">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向</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索贿，经</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检举被纪检监察、检察机关立案查处的，</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有权从</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处获得被索贿款额1－3倍作为奖励(此款由索贿人承担)，由此产生的办案费用由</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承担。</w:t>
      </w:r>
    </w:p>
    <w:p w14:paraId="1C5D36DE">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双方人员应禁止赠送、贿赂、收受、索要行为的发生，如遇一方发生，另一方当事人应立即报告本单位领导和纪检监察、检察机关，对不主动报告情况的有关人员，一经查实视情节轻重给予党纪、政纪直到法律处分。</w:t>
      </w:r>
    </w:p>
    <w:p w14:paraId="04F8477B">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五、此协议自双方</w:t>
      </w:r>
      <w:r>
        <w:rPr>
          <w:rFonts w:hint="eastAsia" w:ascii="仿宋" w:hAnsi="仿宋" w:eastAsia="仿宋" w:cs="仿宋"/>
          <w:color w:val="auto"/>
          <w:sz w:val="24"/>
          <w:highlight w:val="none"/>
          <w:lang w:val="en-US" w:eastAsia="zh-CN"/>
        </w:rPr>
        <w:t>法定代表人或授权代表签章并加盖单位公章</w:t>
      </w:r>
      <w:r>
        <w:rPr>
          <w:rFonts w:hint="eastAsia" w:ascii="仿宋" w:hAnsi="仿宋" w:eastAsia="仿宋" w:cs="仿宋"/>
          <w:color w:val="auto"/>
          <w:sz w:val="24"/>
          <w:highlight w:val="none"/>
        </w:rPr>
        <w:t>之日起生效。</w:t>
      </w:r>
    </w:p>
    <w:p w14:paraId="77E3D770">
      <w:pPr>
        <w:rPr>
          <w:rFonts w:hint="eastAsia" w:ascii="仿宋" w:hAnsi="仿宋" w:eastAsia="仿宋" w:cs="仿宋"/>
          <w:color w:val="auto"/>
          <w:highlight w:val="none"/>
        </w:rPr>
      </w:pPr>
    </w:p>
    <w:p w14:paraId="5BEB99AD">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p>
    <w:p w14:paraId="7B8CDA65">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bCs/>
          <w:color w:val="auto"/>
          <w:sz w:val="24"/>
          <w:szCs w:val="24"/>
          <w:highlight w:val="none"/>
        </w:rPr>
        <w:t>甲方（盖章）：</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(公章)</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2028C8C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或盖章）：                法定代表人（签</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 xml:space="preserve">或盖章）：                </w:t>
      </w:r>
    </w:p>
    <w:p w14:paraId="738BE70F">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或委托代理人(签</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或盖章）：              或委托代理(签</w:t>
      </w:r>
      <w:r>
        <w:rPr>
          <w:rFonts w:hint="eastAsia" w:ascii="仿宋" w:hAnsi="仿宋" w:eastAsia="仿宋" w:cs="仿宋"/>
          <w:color w:val="auto"/>
          <w:sz w:val="24"/>
          <w:highlight w:val="none"/>
          <w:lang w:val="en-US" w:eastAsia="zh-CN"/>
        </w:rPr>
        <w:t>名</w:t>
      </w:r>
      <w:r>
        <w:rPr>
          <w:rFonts w:hint="eastAsia" w:ascii="仿宋" w:hAnsi="仿宋" w:eastAsia="仿宋" w:cs="仿宋"/>
          <w:color w:val="auto"/>
          <w:sz w:val="24"/>
          <w:highlight w:val="none"/>
        </w:rPr>
        <w:t xml:space="preserve">或盖章）： </w:t>
      </w:r>
    </w:p>
    <w:p w14:paraId="25DB19B4">
      <w:pPr>
        <w:keepNext w:val="0"/>
        <w:keepLines w:val="0"/>
        <w:pageBreakBefore w:val="0"/>
        <w:widowControl w:val="0"/>
        <w:kinsoku/>
        <w:wordWrap/>
        <w:overflowPunct/>
        <w:topLinePunct w:val="0"/>
        <w:autoSpaceDE/>
        <w:autoSpaceDN/>
        <w:bidi w:val="0"/>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经办人：</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经办人：</w:t>
      </w:r>
      <w:r>
        <w:rPr>
          <w:rFonts w:hint="eastAsia" w:ascii="仿宋" w:hAnsi="仿宋" w:eastAsia="仿宋" w:cs="仿宋"/>
          <w:color w:val="auto"/>
          <w:sz w:val="24"/>
          <w:highlight w:val="none"/>
        </w:rPr>
        <w:t xml:space="preserve">      </w:t>
      </w:r>
    </w:p>
    <w:p w14:paraId="46EC27D2">
      <w:pPr>
        <w:pStyle w:val="3"/>
        <w:ind w:firstLine="240"/>
        <w:rPr>
          <w:rFonts w:hint="eastAsia" w:ascii="仿宋" w:hAnsi="仿宋" w:eastAsia="仿宋" w:cs="仿宋"/>
          <w:color w:val="auto"/>
          <w:highlight w:val="none"/>
        </w:rPr>
      </w:pPr>
      <w:r>
        <w:rPr>
          <w:rFonts w:hint="eastAsia" w:ascii="仿宋" w:hAnsi="仿宋" w:eastAsia="仿宋" w:cs="仿宋"/>
          <w:color w:val="auto"/>
          <w:sz w:val="24"/>
          <w:highlight w:val="none"/>
        </w:rPr>
        <w:t xml:space="preserve">                                    </w:t>
      </w:r>
    </w:p>
    <w:p w14:paraId="7F411125">
      <w:pPr>
        <w:spacing w:line="360" w:lineRule="auto"/>
        <w:ind w:firstLine="480" w:firstLineChars="200"/>
        <w:jc w:val="right"/>
        <w:rPr>
          <w:rFonts w:hint="eastAsia" w:ascii="仿宋" w:hAnsi="仿宋" w:eastAsia="仿宋" w:cs="仿宋"/>
          <w:color w:val="auto"/>
          <w:sz w:val="24"/>
          <w:highlight w:val="none"/>
        </w:rPr>
      </w:pPr>
    </w:p>
    <w:p w14:paraId="1D9F9292">
      <w:pPr>
        <w:spacing w:line="360" w:lineRule="auto"/>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68C61526">
      <w:pPr>
        <w:pStyle w:val="48"/>
        <w:adjustRightInd w:val="0"/>
        <w:snapToGrid w:val="0"/>
        <w:spacing w:line="360" w:lineRule="auto"/>
        <w:jc w:val="center"/>
        <w:outlineLvl w:val="1"/>
        <w:rPr>
          <w:rFonts w:hint="eastAsia" w:ascii="仿宋" w:hAnsi="仿宋" w:eastAsia="仿宋" w:cs="仿宋"/>
          <w:b/>
          <w:color w:val="auto"/>
          <w:sz w:val="36"/>
          <w:highlight w:val="none"/>
        </w:rPr>
      </w:pPr>
    </w:p>
    <w:p w14:paraId="61FDFC4B">
      <w:pPr>
        <w:pStyle w:val="48"/>
        <w:adjustRightInd w:val="0"/>
        <w:snapToGrid w:val="0"/>
        <w:spacing w:line="360" w:lineRule="auto"/>
        <w:jc w:val="center"/>
        <w:outlineLvl w:val="1"/>
        <w:rPr>
          <w:rFonts w:hint="eastAsia" w:ascii="仿宋" w:hAnsi="仿宋" w:eastAsia="仿宋" w:cs="仿宋"/>
          <w:b/>
          <w:color w:val="auto"/>
          <w:sz w:val="36"/>
          <w:highlight w:val="none"/>
        </w:rPr>
      </w:pPr>
    </w:p>
    <w:p w14:paraId="42AFF3CF">
      <w:pPr>
        <w:pStyle w:val="49"/>
        <w:rPr>
          <w:rFonts w:hint="eastAsia"/>
          <w:color w:val="auto"/>
          <w:highlight w:val="none"/>
        </w:rPr>
      </w:pPr>
    </w:p>
    <w:p w14:paraId="03BAA1A6">
      <w:pPr>
        <w:pStyle w:val="48"/>
        <w:adjustRightInd w:val="0"/>
        <w:snapToGrid w:val="0"/>
        <w:spacing w:line="360" w:lineRule="auto"/>
        <w:jc w:val="center"/>
        <w:outlineLvl w:val="1"/>
        <w:rPr>
          <w:rFonts w:hint="eastAsia" w:ascii="仿宋" w:hAnsi="仿宋" w:eastAsia="仿宋" w:cs="仿宋"/>
          <w:b/>
          <w:color w:val="auto"/>
          <w:sz w:val="28"/>
          <w:highlight w:val="none"/>
          <w:lang w:val="zh-CN" w:eastAsia="zh-CN"/>
        </w:rPr>
      </w:pPr>
      <w:r>
        <w:rPr>
          <w:rFonts w:hint="eastAsia" w:ascii="仿宋" w:hAnsi="仿宋" w:eastAsia="仿宋" w:cs="仿宋"/>
          <w:b/>
          <w:color w:val="auto"/>
          <w:sz w:val="36"/>
          <w:highlight w:val="none"/>
        </w:rPr>
        <w:t>第五</w:t>
      </w:r>
      <w:r>
        <w:rPr>
          <w:rFonts w:hint="eastAsia" w:ascii="仿宋" w:hAnsi="仿宋" w:eastAsia="仿宋" w:cs="仿宋"/>
          <w:b/>
          <w:color w:val="auto"/>
          <w:sz w:val="36"/>
          <w:highlight w:val="none"/>
          <w:lang w:eastAsia="zh-CN"/>
        </w:rPr>
        <w:t>章</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 xml:space="preserve"> </w:t>
      </w:r>
      <w:bookmarkEnd w:id="222"/>
      <w:bookmarkEnd w:id="223"/>
      <w:bookmarkStart w:id="239" w:name="_Toc519670202"/>
      <w:bookmarkStart w:id="240" w:name="_Toc2553"/>
      <w:bookmarkStart w:id="241" w:name="_Toc233618989"/>
      <w:bookmarkStart w:id="242" w:name="_Toc233618990"/>
      <w:bookmarkStart w:id="243" w:name="_Toc522530052"/>
      <w:r>
        <w:rPr>
          <w:rFonts w:hint="eastAsia" w:ascii="仿宋" w:hAnsi="仿宋" w:eastAsia="仿宋" w:cs="仿宋"/>
          <w:b/>
          <w:color w:val="auto"/>
          <w:sz w:val="36"/>
          <w:highlight w:val="none"/>
          <w:lang w:eastAsia="zh-CN"/>
        </w:rPr>
        <w:t>应提交的有关格式范例</w:t>
      </w:r>
    </w:p>
    <w:bookmarkEnd w:id="16"/>
    <w:bookmarkEnd w:id="17"/>
    <w:bookmarkEnd w:id="18"/>
    <w:bookmarkEnd w:id="19"/>
    <w:bookmarkEnd w:id="239"/>
    <w:bookmarkEnd w:id="240"/>
    <w:bookmarkEnd w:id="241"/>
    <w:bookmarkEnd w:id="242"/>
    <w:bookmarkEnd w:id="243"/>
    <w:p w14:paraId="03D99405">
      <w:pPr>
        <w:autoSpaceDE w:val="0"/>
        <w:autoSpaceDN w:val="0"/>
        <w:adjustRightInd w:val="0"/>
        <w:spacing w:line="400" w:lineRule="exact"/>
        <w:rPr>
          <w:rFonts w:hint="eastAsia" w:ascii="仿宋" w:hAnsi="仿宋" w:eastAsia="仿宋" w:cs="仿宋"/>
          <w:color w:val="auto"/>
          <w:highlight w:val="none"/>
        </w:rPr>
      </w:pPr>
      <w:bookmarkStart w:id="244" w:name="_Toc15453"/>
    </w:p>
    <w:p w14:paraId="7E8636C0">
      <w:pPr>
        <w:spacing w:line="500" w:lineRule="exact"/>
        <w:jc w:val="center"/>
        <w:rPr>
          <w:rFonts w:hint="eastAsia" w:ascii="仿宋" w:hAnsi="仿宋" w:eastAsia="仿宋" w:cs="仿宋"/>
          <w:b/>
          <w:bCs/>
          <w:color w:val="auto"/>
          <w:sz w:val="28"/>
          <w:szCs w:val="24"/>
          <w:highlight w:val="none"/>
        </w:rPr>
      </w:pPr>
      <w:r>
        <w:rPr>
          <w:rFonts w:hint="eastAsia" w:ascii="仿宋" w:hAnsi="仿宋" w:eastAsia="仿宋" w:cs="仿宋"/>
          <w:b/>
          <w:bCs/>
          <w:color w:val="auto"/>
          <w:sz w:val="28"/>
          <w:szCs w:val="28"/>
          <w:highlight w:val="none"/>
        </w:rPr>
        <w:t>一、</w:t>
      </w:r>
      <w:r>
        <w:rPr>
          <w:rFonts w:hint="eastAsia" w:ascii="仿宋" w:hAnsi="仿宋" w:eastAsia="仿宋" w:cs="仿宋"/>
          <w:b/>
          <w:bCs/>
          <w:color w:val="auto"/>
          <w:sz w:val="28"/>
          <w:szCs w:val="24"/>
          <w:highlight w:val="none"/>
        </w:rPr>
        <w:t>资格审查文件</w:t>
      </w:r>
    </w:p>
    <w:p w14:paraId="7E6B0708">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0FD7AE73">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30539C2A">
      <w:pPr>
        <w:pStyle w:val="100"/>
        <w:rPr>
          <w:rFonts w:hint="eastAsia" w:ascii="仿宋" w:hAnsi="仿宋" w:eastAsia="仿宋" w:cs="仿宋"/>
          <w:color w:val="auto"/>
          <w:highlight w:val="none"/>
          <w:lang w:val="zh-CN"/>
        </w:rPr>
      </w:pPr>
    </w:p>
    <w:p w14:paraId="2D7FADCE">
      <w:pPr>
        <w:autoSpaceDE w:val="0"/>
        <w:autoSpaceDN w:val="0"/>
        <w:adjustRightInd w:val="0"/>
        <w:spacing w:line="600" w:lineRule="exact"/>
        <w:jc w:val="center"/>
        <w:rPr>
          <w:rFonts w:hint="eastAsia" w:ascii="仿宋" w:hAnsi="仿宋" w:eastAsia="仿宋" w:cs="仿宋"/>
          <w:bCs/>
          <w:color w:val="auto"/>
          <w:sz w:val="52"/>
          <w:szCs w:val="52"/>
          <w:highlight w:val="none"/>
          <w:lang w:val="zh-CN"/>
        </w:rPr>
      </w:pPr>
      <w:r>
        <w:rPr>
          <w:rFonts w:hint="eastAsia" w:ascii="仿宋" w:hAnsi="仿宋" w:eastAsia="仿宋" w:cs="仿宋"/>
          <w:bCs/>
          <w:color w:val="auto"/>
          <w:sz w:val="52"/>
          <w:szCs w:val="52"/>
          <w:highlight w:val="none"/>
          <w:lang w:val="zh-CN"/>
        </w:rPr>
        <w:t>投标文件</w:t>
      </w:r>
    </w:p>
    <w:p w14:paraId="6B7D35C3">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6F7BF8D3">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1D3BA200">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u w:val="single"/>
          <w:lang w:val="en-US" w:eastAsia="zh-CN"/>
        </w:rPr>
        <w:t xml:space="preserve">                                                 </w:t>
      </w:r>
    </w:p>
    <w:p w14:paraId="0C504650">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val="en-US" w:eastAsia="zh-CN"/>
        </w:rPr>
        <w:t xml:space="preserve">                                                 </w:t>
      </w:r>
    </w:p>
    <w:p w14:paraId="025C5896">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rPr>
      </w:pPr>
      <w:r>
        <w:rPr>
          <w:rFonts w:hint="eastAsia" w:ascii="仿宋" w:hAnsi="仿宋" w:eastAsia="仿宋" w:cs="仿宋"/>
          <w:color w:val="auto"/>
          <w:sz w:val="28"/>
          <w:szCs w:val="28"/>
          <w:highlight w:val="none"/>
        </w:rPr>
        <w:t>投标文件名称：</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w:t>
      </w:r>
      <w:r>
        <w:rPr>
          <w:rFonts w:hint="eastAsia" w:ascii="仿宋" w:hAnsi="仿宋" w:eastAsia="仿宋" w:cs="仿宋"/>
          <w:color w:val="auto"/>
          <w:sz w:val="28"/>
          <w:szCs w:val="28"/>
          <w:highlight w:val="none"/>
          <w:u w:val="single"/>
          <w:lang w:val="en-US" w:eastAsia="zh-CN"/>
        </w:rPr>
        <w:t>资格审查</w:t>
      </w:r>
      <w:r>
        <w:rPr>
          <w:rFonts w:hint="eastAsia" w:ascii="仿宋" w:hAnsi="仿宋" w:eastAsia="仿宋" w:cs="仿宋"/>
          <w:color w:val="auto"/>
          <w:sz w:val="28"/>
          <w:szCs w:val="28"/>
          <w:highlight w:val="none"/>
          <w:u w:val="single"/>
        </w:rPr>
        <w:t>文件）</w:t>
      </w:r>
      <w:r>
        <w:rPr>
          <w:rFonts w:hint="eastAsia" w:ascii="仿宋" w:hAnsi="仿宋" w:eastAsia="仿宋" w:cs="仿宋"/>
          <w:color w:val="auto"/>
          <w:sz w:val="28"/>
          <w:szCs w:val="28"/>
          <w:highlight w:val="none"/>
          <w:u w:val="single"/>
          <w:lang w:val="en-US" w:eastAsia="zh-CN"/>
        </w:rPr>
        <w:t xml:space="preserve">               </w:t>
      </w:r>
    </w:p>
    <w:p w14:paraId="3FF98EBA">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供应商名称（盖章或电子签章）</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u w:val="single"/>
          <w:lang w:val="en-US" w:eastAsia="zh-CN"/>
        </w:rPr>
        <w:t xml:space="preserve">                             </w:t>
      </w:r>
    </w:p>
    <w:p w14:paraId="5C83084F">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法定代表人或其授权代表（签字或盖章或电子签章）：</w:t>
      </w:r>
      <w:r>
        <w:rPr>
          <w:rFonts w:hint="eastAsia" w:ascii="仿宋" w:hAnsi="仿宋" w:eastAsia="仿宋" w:cs="仿宋"/>
          <w:color w:val="auto"/>
          <w:sz w:val="28"/>
          <w:szCs w:val="28"/>
          <w:highlight w:val="none"/>
          <w:u w:val="single"/>
          <w:lang w:val="en-US" w:eastAsia="zh-CN"/>
        </w:rPr>
        <w:t xml:space="preserve">           </w:t>
      </w:r>
    </w:p>
    <w:p w14:paraId="4D1006F5">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投标人地址：</w:t>
      </w:r>
      <w:r>
        <w:rPr>
          <w:rFonts w:hint="eastAsia" w:ascii="仿宋" w:hAnsi="仿宋" w:eastAsia="仿宋" w:cs="仿宋"/>
          <w:color w:val="auto"/>
          <w:sz w:val="28"/>
          <w:szCs w:val="28"/>
          <w:highlight w:val="none"/>
          <w:u w:val="single"/>
          <w:lang w:val="en-US" w:eastAsia="zh-CN"/>
        </w:rPr>
        <w:t xml:space="preserve">                                               </w:t>
      </w:r>
    </w:p>
    <w:p w14:paraId="7CB78718">
      <w:pPr>
        <w:keepNext w:val="0"/>
        <w:keepLines w:val="0"/>
        <w:pageBreakBefore w:val="0"/>
        <w:widowControl w:val="0"/>
        <w:kinsoku/>
        <w:wordWrap/>
        <w:overflowPunct/>
        <w:topLinePunct w:val="0"/>
        <w:autoSpaceDE/>
        <w:autoSpaceDN/>
        <w:bidi w:val="0"/>
        <w:adjustRightInd w:val="0"/>
        <w:spacing w:line="800" w:lineRule="exact"/>
        <w:jc w:val="center"/>
        <w:textAlignment w:val="baseline"/>
        <w:rPr>
          <w:rFonts w:hint="eastAsia" w:ascii="仿宋" w:hAnsi="仿宋" w:eastAsia="仿宋" w:cs="仿宋"/>
          <w:color w:val="auto"/>
          <w:kern w:val="0"/>
          <w:sz w:val="28"/>
          <w:szCs w:val="28"/>
          <w:highlight w:val="none"/>
        </w:rPr>
      </w:pPr>
    </w:p>
    <w:p w14:paraId="54D07EF4">
      <w:pPr>
        <w:keepNext w:val="0"/>
        <w:keepLines w:val="0"/>
        <w:pageBreakBefore w:val="0"/>
        <w:widowControl w:val="0"/>
        <w:kinsoku/>
        <w:wordWrap/>
        <w:overflowPunct/>
        <w:topLinePunct w:val="0"/>
        <w:autoSpaceDE/>
        <w:autoSpaceDN/>
        <w:bidi w:val="0"/>
        <w:adjustRightInd w:val="0"/>
        <w:spacing w:line="800" w:lineRule="exact"/>
        <w:jc w:val="center"/>
        <w:textAlignment w:val="baseline"/>
        <w:rPr>
          <w:rFonts w:hint="eastAsia" w:ascii="仿宋" w:hAnsi="仿宋" w:eastAsia="仿宋" w:cs="仿宋"/>
          <w:color w:val="auto"/>
          <w:sz w:val="28"/>
          <w:szCs w:val="21"/>
          <w:highlight w:val="none"/>
        </w:rPr>
      </w:pPr>
      <w:r>
        <w:rPr>
          <w:rFonts w:hint="eastAsia" w:ascii="仿宋" w:hAnsi="仿宋" w:eastAsia="仿宋" w:cs="仿宋"/>
          <w:color w:val="auto"/>
          <w:sz w:val="28"/>
          <w:szCs w:val="28"/>
          <w:highlight w:val="none"/>
        </w:rPr>
        <w:t xml:space="preserve">日期：     年  </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 xml:space="preserve">月 </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 xml:space="preserve"> 日</w:t>
      </w:r>
    </w:p>
    <w:p w14:paraId="5BF57F21">
      <w:pPr>
        <w:autoSpaceDE w:val="0"/>
        <w:autoSpaceDN w:val="0"/>
        <w:adjustRightInd w:val="0"/>
        <w:spacing w:line="400" w:lineRule="exact"/>
        <w:jc w:val="center"/>
        <w:rPr>
          <w:rFonts w:hint="eastAsia" w:ascii="仿宋" w:hAnsi="仿宋" w:eastAsia="仿宋" w:cs="仿宋"/>
          <w:bCs/>
          <w:color w:val="auto"/>
          <w:sz w:val="30"/>
          <w:szCs w:val="30"/>
          <w:highlight w:val="none"/>
          <w:lang w:val="zh-CN"/>
        </w:rPr>
      </w:pPr>
    </w:p>
    <w:p w14:paraId="2E953592">
      <w:pPr>
        <w:pStyle w:val="100"/>
        <w:rPr>
          <w:rFonts w:hint="eastAsia" w:ascii="仿宋" w:hAnsi="仿宋" w:eastAsia="仿宋" w:cs="仿宋"/>
          <w:color w:val="auto"/>
          <w:highlight w:val="none"/>
        </w:rPr>
      </w:pPr>
    </w:p>
    <w:p w14:paraId="745C9212">
      <w:pPr>
        <w:pStyle w:val="100"/>
        <w:rPr>
          <w:rFonts w:hint="eastAsia" w:ascii="仿宋" w:hAnsi="仿宋" w:eastAsia="仿宋" w:cs="仿宋"/>
          <w:color w:val="auto"/>
          <w:highlight w:val="none"/>
        </w:rPr>
      </w:pPr>
    </w:p>
    <w:p w14:paraId="34339C6D">
      <w:pPr>
        <w:pStyle w:val="100"/>
        <w:rPr>
          <w:rFonts w:hint="eastAsia" w:ascii="仿宋" w:hAnsi="仿宋" w:eastAsia="仿宋" w:cs="仿宋"/>
          <w:color w:val="auto"/>
          <w:highlight w:val="none"/>
        </w:rPr>
      </w:pPr>
    </w:p>
    <w:p w14:paraId="65BCB22F">
      <w:pPr>
        <w:pStyle w:val="100"/>
        <w:rPr>
          <w:rFonts w:hint="eastAsia" w:ascii="仿宋" w:hAnsi="仿宋" w:eastAsia="仿宋" w:cs="仿宋"/>
          <w:color w:val="auto"/>
          <w:highlight w:val="none"/>
        </w:rPr>
      </w:pPr>
    </w:p>
    <w:p w14:paraId="57D6BF7E">
      <w:pPr>
        <w:pStyle w:val="100"/>
        <w:rPr>
          <w:rFonts w:hint="eastAsia" w:ascii="仿宋" w:hAnsi="仿宋" w:eastAsia="仿宋" w:cs="仿宋"/>
          <w:color w:val="auto"/>
          <w:highlight w:val="none"/>
        </w:rPr>
      </w:pPr>
    </w:p>
    <w:p w14:paraId="44D65353">
      <w:pPr>
        <w:pStyle w:val="100"/>
        <w:rPr>
          <w:rFonts w:hint="eastAsia" w:ascii="仿宋" w:hAnsi="仿宋" w:eastAsia="仿宋" w:cs="仿宋"/>
          <w:color w:val="auto"/>
          <w:highlight w:val="none"/>
        </w:rPr>
      </w:pPr>
    </w:p>
    <w:p w14:paraId="38070F49">
      <w:pPr>
        <w:keepNext w:val="0"/>
        <w:keepLines w:val="0"/>
        <w:pageBreakBefore w:val="0"/>
        <w:widowControl w:val="0"/>
        <w:kinsoku/>
        <w:wordWrap/>
        <w:overflowPunct/>
        <w:topLinePunct w:val="0"/>
        <w:autoSpaceDE/>
        <w:autoSpaceDN/>
        <w:bidi w:val="0"/>
        <w:adjustRightInd/>
        <w:spacing w:line="288" w:lineRule="auto"/>
        <w:jc w:val="both"/>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rPr>
        <w:t>符合参加政府采购活动应当具备的一般条件的承诺函</w:t>
      </w:r>
    </w:p>
    <w:p w14:paraId="5B5CDB4D">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rPr>
          <w:rFonts w:hint="eastAsia" w:ascii="仿宋" w:hAnsi="仿宋" w:eastAsia="仿宋" w:cs="仿宋"/>
          <w:b/>
          <w:bCs/>
          <w:color w:val="auto"/>
          <w:sz w:val="24"/>
          <w:szCs w:val="24"/>
          <w:highlight w:val="none"/>
        </w:rPr>
      </w:pPr>
    </w:p>
    <w:p w14:paraId="2698725F">
      <w:pPr>
        <w:keepNext w:val="0"/>
        <w:keepLines w:val="0"/>
        <w:pageBreakBefore w:val="0"/>
        <w:widowControl w:val="0"/>
        <w:kinsoku/>
        <w:wordWrap/>
        <w:overflowPunct/>
        <w:topLinePunct w:val="0"/>
        <w:autoSpaceDE/>
        <w:autoSpaceDN/>
        <w:bidi w:val="0"/>
        <w:adjustRightInd/>
        <w:snapToGrid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符合参加政府采购活动应当具备的一般条件的承诺函</w:t>
      </w:r>
    </w:p>
    <w:p w14:paraId="1DA68924">
      <w:pPr>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 w:hAnsi="仿宋" w:eastAsia="仿宋" w:cs="仿宋"/>
          <w:bCs/>
          <w:color w:val="auto"/>
          <w:spacing w:val="-6"/>
          <w:sz w:val="24"/>
          <w:szCs w:val="24"/>
          <w:highlight w:val="none"/>
          <w:lang w:eastAsia="zh-CN"/>
        </w:rPr>
      </w:pPr>
    </w:p>
    <w:p w14:paraId="2D97C352">
      <w:pPr>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lang w:eastAsia="zh-CN"/>
        </w:rPr>
        <w:t>衢州智慧新城管理委员会</w:t>
      </w:r>
      <w:r>
        <w:rPr>
          <w:rFonts w:hint="eastAsia" w:ascii="仿宋" w:hAnsi="仿宋" w:eastAsia="仿宋" w:cs="仿宋"/>
          <w:bCs/>
          <w:color w:val="auto"/>
          <w:spacing w:val="-6"/>
          <w:sz w:val="24"/>
          <w:szCs w:val="24"/>
          <w:highlight w:val="none"/>
        </w:rPr>
        <w:t>：</w:t>
      </w:r>
    </w:p>
    <w:p w14:paraId="57373D29">
      <w:pPr>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lang w:eastAsia="zh-CN"/>
        </w:rPr>
        <w:t>科信联合工程咨询有限公司</w:t>
      </w:r>
      <w:r>
        <w:rPr>
          <w:rFonts w:hint="eastAsia" w:ascii="仿宋" w:hAnsi="仿宋" w:eastAsia="仿宋" w:cs="仿宋"/>
          <w:bCs/>
          <w:color w:val="auto"/>
          <w:spacing w:val="-6"/>
          <w:sz w:val="24"/>
          <w:szCs w:val="24"/>
          <w:highlight w:val="none"/>
        </w:rPr>
        <w:t>：</w:t>
      </w:r>
    </w:p>
    <w:p w14:paraId="148A5917">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我方参与</w:t>
      </w:r>
      <w:r>
        <w:rPr>
          <w:rFonts w:hint="eastAsia" w:ascii="仿宋" w:hAnsi="仿宋" w:eastAsia="仿宋" w:cs="仿宋"/>
          <w:bCs/>
          <w:color w:val="auto"/>
          <w:spacing w:val="-6"/>
          <w:sz w:val="24"/>
          <w:szCs w:val="24"/>
          <w:highlight w:val="none"/>
          <w:u w:val="single"/>
        </w:rPr>
        <w:t xml:space="preserve"> </w:t>
      </w:r>
      <w:r>
        <w:rPr>
          <w:rFonts w:hint="eastAsia" w:ascii="仿宋" w:hAnsi="仿宋" w:eastAsia="仿宋" w:cs="仿宋"/>
          <w:color w:val="auto"/>
          <w:kern w:val="0"/>
          <w:sz w:val="24"/>
          <w:szCs w:val="24"/>
          <w:highlight w:val="none"/>
          <w:u w:val="single"/>
          <w:lang w:eastAsia="zh-CN"/>
        </w:rPr>
        <w:t>2025年度衢州智慧新城地下综合管廊与隧道运维服务项目</w:t>
      </w:r>
      <w:r>
        <w:rPr>
          <w:rFonts w:hint="eastAsia" w:ascii="仿宋" w:hAnsi="仿宋" w:eastAsia="仿宋" w:cs="仿宋"/>
          <w:color w:val="auto"/>
          <w:kern w:val="0"/>
          <w:sz w:val="24"/>
          <w:szCs w:val="24"/>
          <w:highlight w:val="none"/>
          <w:u w:val="single"/>
        </w:rPr>
        <w:t>（项目名称）（项目编号:</w:t>
      </w:r>
      <w:r>
        <w:rPr>
          <w:rFonts w:hint="eastAsia" w:ascii="仿宋" w:hAnsi="仿宋" w:eastAsia="仿宋" w:cs="仿宋"/>
          <w:color w:val="auto"/>
          <w:kern w:val="0"/>
          <w:sz w:val="24"/>
          <w:szCs w:val="24"/>
          <w:highlight w:val="none"/>
          <w:u w:val="single"/>
          <w:lang w:eastAsia="zh-CN"/>
        </w:rPr>
        <w:t>kxqz2024108</w:t>
      </w:r>
      <w:r>
        <w:rPr>
          <w:rFonts w:hint="eastAsia" w:ascii="仿宋" w:hAnsi="仿宋" w:eastAsia="仿宋" w:cs="仿宋"/>
          <w:color w:val="auto"/>
          <w:kern w:val="0"/>
          <w:sz w:val="24"/>
          <w:szCs w:val="24"/>
          <w:highlight w:val="none"/>
          <w:u w:val="single"/>
        </w:rPr>
        <w:t>）</w:t>
      </w:r>
      <w:r>
        <w:rPr>
          <w:rFonts w:hint="eastAsia" w:ascii="仿宋" w:hAnsi="仿宋" w:eastAsia="仿宋" w:cs="仿宋"/>
          <w:bCs/>
          <w:color w:val="auto"/>
          <w:spacing w:val="-6"/>
          <w:sz w:val="24"/>
          <w:szCs w:val="24"/>
          <w:highlight w:val="none"/>
        </w:rPr>
        <w:t>政府采购活动，郑重承诺：</w:t>
      </w:r>
    </w:p>
    <w:p w14:paraId="3C7266D9">
      <w:pPr>
        <w:keepNext w:val="0"/>
        <w:keepLines w:val="0"/>
        <w:pageBreakBefore w:val="0"/>
        <w:widowControl w:val="0"/>
        <w:kinsoku/>
        <w:wordWrap/>
        <w:overflowPunct/>
        <w:topLinePunct w:val="0"/>
        <w:autoSpaceDE/>
        <w:autoSpaceDN/>
        <w:bidi w:val="0"/>
        <w:adjustRightInd/>
        <w:snapToGrid w:val="0"/>
        <w:spacing w:line="288" w:lineRule="auto"/>
        <w:ind w:firstLine="342" w:firstLineChars="15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（一）具备《中华人民共和国政府采购法》第二十二条第一款规定的条件：</w:t>
      </w:r>
    </w:p>
    <w:p w14:paraId="5E1FEE02">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1</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具有独立承担民事责任的能力；</w:t>
      </w:r>
    </w:p>
    <w:p w14:paraId="75291800">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2</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 xml:space="preserve">具有良好的商业信誉和健全的财务会计制度； </w:t>
      </w:r>
    </w:p>
    <w:p w14:paraId="38D0F2B1">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3</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具有履行合同所必需的设备和专业技术能力；</w:t>
      </w:r>
    </w:p>
    <w:p w14:paraId="3D66A656">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4</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有依法缴纳税收和社会保障资金的良好记录；</w:t>
      </w:r>
    </w:p>
    <w:p w14:paraId="5FB9B931">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5</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参加政府采购活动前三年内，在经营活动中没有重大违法记录；</w:t>
      </w:r>
    </w:p>
    <w:p w14:paraId="3D561D2C">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6</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具有法律、行政法规规定的其他条件。</w:t>
      </w:r>
    </w:p>
    <w:p w14:paraId="119AB0CE">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（二）</w:t>
      </w:r>
      <w:r>
        <w:rPr>
          <w:rFonts w:hint="eastAsia" w:ascii="仿宋" w:hAnsi="仿宋" w:eastAsia="仿宋" w:cs="仿宋"/>
          <w:color w:val="auto"/>
          <w:sz w:val="24"/>
          <w:szCs w:val="24"/>
          <w:highlight w:val="none"/>
        </w:rPr>
        <w:t>未被“信用中国”（www.creditchina.gov.cn)、中国政府采购网（www.ccgp.gov.cn）列入失信被执行人、重大税收违法案件当事人名单、政府采购严重违法失信行为记录名单</w:t>
      </w:r>
      <w:r>
        <w:rPr>
          <w:rFonts w:hint="eastAsia" w:ascii="仿宋" w:hAnsi="仿宋" w:eastAsia="仿宋" w:cs="仿宋"/>
          <w:bCs/>
          <w:color w:val="auto"/>
          <w:spacing w:val="-6"/>
          <w:sz w:val="24"/>
          <w:szCs w:val="24"/>
          <w:highlight w:val="none"/>
        </w:rPr>
        <w:t>。</w:t>
      </w:r>
    </w:p>
    <w:p w14:paraId="66865AA5">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（三）不存在以下情况：</w:t>
      </w:r>
    </w:p>
    <w:p w14:paraId="197ED213">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1</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单位负责人为同一人或者存在直接控股、管理关系的不同供应商参加同一合同项下的政府采购活动的；</w:t>
      </w:r>
    </w:p>
    <w:p w14:paraId="531FA2F8">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2</w:t>
      </w:r>
      <w:r>
        <w:rPr>
          <w:rFonts w:hint="eastAsia" w:ascii="仿宋" w:hAnsi="仿宋" w:eastAsia="仿宋" w:cs="仿宋"/>
          <w:bCs/>
          <w:color w:val="auto"/>
          <w:spacing w:val="-6"/>
          <w:sz w:val="24"/>
          <w:szCs w:val="24"/>
          <w:highlight w:val="none"/>
          <w:lang w:val="en-US" w:eastAsia="zh-CN"/>
        </w:rPr>
        <w:t>.</w:t>
      </w:r>
      <w:r>
        <w:rPr>
          <w:rFonts w:hint="eastAsia" w:ascii="仿宋" w:hAnsi="仿宋" w:eastAsia="仿宋" w:cs="仿宋"/>
          <w:bCs/>
          <w:color w:val="auto"/>
          <w:spacing w:val="-6"/>
          <w:sz w:val="24"/>
          <w:szCs w:val="24"/>
          <w:highlight w:val="none"/>
        </w:rPr>
        <w:t>为采购项目提供整体设计、规范编制或者项目管理、监理、检测等服务后再参加该采购项目的其他采购活动的。</w:t>
      </w:r>
    </w:p>
    <w:p w14:paraId="69036DDD">
      <w:pPr>
        <w:keepNext w:val="0"/>
        <w:keepLines w:val="0"/>
        <w:pageBreakBefore w:val="0"/>
        <w:widowControl w:val="0"/>
        <w:kinsoku/>
        <w:wordWrap/>
        <w:overflowPunct/>
        <w:topLinePunct w:val="0"/>
        <w:autoSpaceDE/>
        <w:autoSpaceDN/>
        <w:bidi w:val="0"/>
        <w:adjustRightInd/>
        <w:snapToGrid w:val="0"/>
        <w:spacing w:line="288" w:lineRule="auto"/>
        <w:ind w:firstLine="456" w:firstLineChars="200"/>
        <w:textAlignment w:val="auto"/>
        <w:rPr>
          <w:rFonts w:hint="eastAsia" w:ascii="仿宋" w:hAnsi="仿宋" w:eastAsia="仿宋" w:cs="仿宋"/>
          <w:bCs/>
          <w:color w:val="auto"/>
          <w:spacing w:val="-6"/>
          <w:sz w:val="24"/>
          <w:szCs w:val="24"/>
          <w:highlight w:val="none"/>
        </w:rPr>
      </w:pPr>
      <w:r>
        <w:rPr>
          <w:rFonts w:hint="eastAsia" w:ascii="仿宋" w:hAnsi="仿宋" w:eastAsia="仿宋" w:cs="仿宋"/>
          <w:bCs/>
          <w:color w:val="auto"/>
          <w:spacing w:val="-6"/>
          <w:sz w:val="24"/>
          <w:szCs w:val="24"/>
          <w:highlight w:val="none"/>
        </w:rPr>
        <w:t>（四）如有虚假，采购人可取消我方任何资格（投标/中标/签订合同），我方愿意承担相应责任，对此无任何异议。</w:t>
      </w:r>
    </w:p>
    <w:p w14:paraId="560948AF">
      <w:pPr>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 w:hAnsi="仿宋" w:eastAsia="仿宋" w:cs="仿宋"/>
          <w:bCs/>
          <w:color w:val="auto"/>
          <w:spacing w:val="-6"/>
          <w:sz w:val="24"/>
          <w:szCs w:val="24"/>
          <w:highlight w:val="none"/>
          <w:lang w:val="zh-CN"/>
        </w:rPr>
      </w:pPr>
    </w:p>
    <w:p w14:paraId="620E4555">
      <w:pPr>
        <w:keepNext w:val="0"/>
        <w:keepLines w:val="0"/>
        <w:pageBreakBefore w:val="0"/>
        <w:widowControl w:val="0"/>
        <w:kinsoku/>
        <w:wordWrap/>
        <w:overflowPunct/>
        <w:topLinePunct w:val="0"/>
        <w:autoSpaceDE/>
        <w:autoSpaceDN/>
        <w:bidi w:val="0"/>
        <w:adjustRightInd/>
        <w:snapToGrid w:val="0"/>
        <w:spacing w:line="288" w:lineRule="auto"/>
        <w:ind w:firstLine="5244" w:firstLineChars="2300"/>
        <w:textAlignment w:val="auto"/>
        <w:rPr>
          <w:rFonts w:hint="eastAsia" w:ascii="仿宋" w:hAnsi="仿宋" w:eastAsia="仿宋" w:cs="仿宋"/>
          <w:bCs/>
          <w:color w:val="auto"/>
          <w:spacing w:val="-6"/>
          <w:sz w:val="24"/>
          <w:szCs w:val="24"/>
          <w:highlight w:val="none"/>
          <w:lang w:val="zh-CN"/>
        </w:rPr>
      </w:pPr>
      <w:r>
        <w:rPr>
          <w:rFonts w:hint="eastAsia" w:ascii="仿宋" w:hAnsi="仿宋" w:eastAsia="仿宋" w:cs="仿宋"/>
          <w:bCs/>
          <w:color w:val="auto"/>
          <w:spacing w:val="-6"/>
          <w:sz w:val="24"/>
          <w:szCs w:val="24"/>
          <w:highlight w:val="none"/>
          <w:lang w:val="zh-CN"/>
        </w:rPr>
        <w:t>供应商名称（盖章或电子签章）：</w:t>
      </w:r>
    </w:p>
    <w:p w14:paraId="38375142">
      <w:pPr>
        <w:keepNext w:val="0"/>
        <w:keepLines w:val="0"/>
        <w:pageBreakBefore w:val="0"/>
        <w:widowControl w:val="0"/>
        <w:kinsoku/>
        <w:wordWrap/>
        <w:overflowPunct/>
        <w:topLinePunct w:val="0"/>
        <w:autoSpaceDE/>
        <w:autoSpaceDN/>
        <w:bidi w:val="0"/>
        <w:adjustRightInd/>
        <w:snapToGrid w:val="0"/>
        <w:spacing w:line="288" w:lineRule="auto"/>
        <w:ind w:firstLine="5244" w:firstLineChars="2300"/>
        <w:textAlignment w:val="auto"/>
        <w:rPr>
          <w:rFonts w:hint="eastAsia" w:ascii="仿宋" w:hAnsi="仿宋" w:eastAsia="仿宋" w:cs="仿宋"/>
          <w:color w:val="auto"/>
          <w:sz w:val="24"/>
          <w:szCs w:val="24"/>
          <w:highlight w:val="none"/>
        </w:rPr>
      </w:pPr>
      <w:r>
        <w:rPr>
          <w:rFonts w:hint="eastAsia" w:ascii="仿宋" w:hAnsi="仿宋" w:eastAsia="仿宋" w:cs="仿宋"/>
          <w:bCs/>
          <w:color w:val="auto"/>
          <w:spacing w:val="-6"/>
          <w:sz w:val="24"/>
          <w:szCs w:val="24"/>
          <w:highlight w:val="none"/>
          <w:lang w:val="zh-CN"/>
        </w:rPr>
        <w:t>日期</w:t>
      </w:r>
      <w:r>
        <w:rPr>
          <w:rFonts w:hint="eastAsia" w:ascii="仿宋" w:hAnsi="仿宋" w:eastAsia="仿宋" w:cs="仿宋"/>
          <w:bCs/>
          <w:color w:val="auto"/>
          <w:spacing w:val="-6"/>
          <w:sz w:val="24"/>
          <w:szCs w:val="24"/>
          <w:highlight w:val="none"/>
        </w:rPr>
        <w:t>：</w:t>
      </w:r>
      <w:r>
        <w:rPr>
          <w:rFonts w:hint="eastAsia" w:ascii="仿宋" w:hAnsi="仿宋" w:eastAsia="仿宋" w:cs="仿宋"/>
          <w:bCs/>
          <w:color w:val="auto"/>
          <w:spacing w:val="-6"/>
          <w:sz w:val="24"/>
          <w:szCs w:val="24"/>
          <w:highlight w:val="none"/>
          <w:lang w:val="en-US" w:eastAsia="zh-CN"/>
        </w:rPr>
        <w:t xml:space="preserve"> </w:t>
      </w:r>
      <w:r>
        <w:rPr>
          <w:rFonts w:hint="eastAsia" w:ascii="仿宋" w:hAnsi="仿宋" w:eastAsia="仿宋" w:cs="仿宋"/>
          <w:bCs/>
          <w:color w:val="auto"/>
          <w:spacing w:val="-6"/>
          <w:sz w:val="24"/>
          <w:szCs w:val="24"/>
          <w:highlight w:val="none"/>
        </w:rPr>
        <w:t xml:space="preserve">  年  </w:t>
      </w:r>
      <w:r>
        <w:rPr>
          <w:rFonts w:hint="eastAsia" w:ascii="仿宋" w:hAnsi="仿宋" w:eastAsia="仿宋" w:cs="仿宋"/>
          <w:bCs/>
          <w:color w:val="auto"/>
          <w:spacing w:val="-6"/>
          <w:sz w:val="24"/>
          <w:szCs w:val="24"/>
          <w:highlight w:val="none"/>
          <w:lang w:val="zh-CN"/>
        </w:rPr>
        <w:t>月</w:t>
      </w:r>
      <w:r>
        <w:rPr>
          <w:rFonts w:hint="eastAsia" w:ascii="仿宋" w:hAnsi="仿宋" w:eastAsia="仿宋" w:cs="仿宋"/>
          <w:bCs/>
          <w:color w:val="auto"/>
          <w:spacing w:val="-6"/>
          <w:sz w:val="24"/>
          <w:szCs w:val="24"/>
          <w:highlight w:val="none"/>
        </w:rPr>
        <w:t xml:space="preserve">   </w:t>
      </w:r>
      <w:r>
        <w:rPr>
          <w:rFonts w:hint="eastAsia" w:ascii="仿宋" w:hAnsi="仿宋" w:eastAsia="仿宋" w:cs="仿宋"/>
          <w:bCs/>
          <w:color w:val="auto"/>
          <w:spacing w:val="-6"/>
          <w:sz w:val="24"/>
          <w:szCs w:val="24"/>
          <w:highlight w:val="none"/>
          <w:lang w:val="zh-CN"/>
        </w:rPr>
        <w:t>日</w:t>
      </w:r>
    </w:p>
    <w:p w14:paraId="3FF7B3B9">
      <w:pPr>
        <w:pStyle w:val="3"/>
        <w:ind w:firstLine="210"/>
        <w:rPr>
          <w:rFonts w:hint="eastAsia" w:ascii="仿宋" w:hAnsi="仿宋" w:eastAsia="仿宋" w:cs="仿宋"/>
          <w:color w:val="auto"/>
          <w:highlight w:val="none"/>
        </w:rPr>
      </w:pPr>
    </w:p>
    <w:p w14:paraId="53B35D6E">
      <w:pPr>
        <w:rPr>
          <w:rFonts w:hint="eastAsia" w:ascii="仿宋" w:hAnsi="仿宋" w:eastAsia="仿宋" w:cs="仿宋"/>
          <w:color w:val="auto"/>
          <w:highlight w:val="none"/>
        </w:rPr>
      </w:pPr>
    </w:p>
    <w:p w14:paraId="4FEC9FA4">
      <w:pPr>
        <w:rPr>
          <w:rFonts w:hint="eastAsia" w:ascii="仿宋" w:hAnsi="仿宋" w:eastAsia="仿宋" w:cs="仿宋"/>
          <w:color w:val="auto"/>
          <w:highlight w:val="none"/>
        </w:rPr>
      </w:pPr>
    </w:p>
    <w:p w14:paraId="22EE0180">
      <w:pPr>
        <w:pStyle w:val="100"/>
        <w:rPr>
          <w:rFonts w:hint="eastAsia" w:ascii="仿宋" w:hAnsi="仿宋" w:eastAsia="仿宋" w:cs="仿宋"/>
          <w:color w:val="auto"/>
          <w:highlight w:val="none"/>
        </w:rPr>
      </w:pPr>
    </w:p>
    <w:p w14:paraId="0E84285E">
      <w:pPr>
        <w:pStyle w:val="100"/>
        <w:rPr>
          <w:rFonts w:hint="eastAsia" w:ascii="仿宋" w:hAnsi="仿宋" w:eastAsia="仿宋" w:cs="仿宋"/>
          <w:color w:val="auto"/>
          <w:highlight w:val="none"/>
        </w:rPr>
      </w:pPr>
    </w:p>
    <w:p w14:paraId="45A823F4">
      <w:pPr>
        <w:pStyle w:val="100"/>
        <w:rPr>
          <w:rFonts w:hint="eastAsia" w:ascii="仿宋" w:hAnsi="仿宋" w:eastAsia="仿宋" w:cs="仿宋"/>
          <w:color w:val="auto"/>
          <w:highlight w:val="none"/>
        </w:rPr>
      </w:pPr>
    </w:p>
    <w:p w14:paraId="1C1D9F12">
      <w:pPr>
        <w:pStyle w:val="100"/>
        <w:rPr>
          <w:rFonts w:hint="eastAsia" w:ascii="仿宋" w:hAnsi="仿宋" w:eastAsia="仿宋" w:cs="仿宋"/>
          <w:color w:val="auto"/>
          <w:highlight w:val="none"/>
        </w:rPr>
      </w:pPr>
    </w:p>
    <w:p w14:paraId="404CA224">
      <w:pPr>
        <w:pStyle w:val="100"/>
        <w:rPr>
          <w:rFonts w:hint="eastAsia" w:ascii="仿宋" w:hAnsi="仿宋" w:eastAsia="仿宋" w:cs="仿宋"/>
          <w:color w:val="auto"/>
          <w:highlight w:val="none"/>
        </w:rPr>
      </w:pPr>
    </w:p>
    <w:p w14:paraId="5EA89EB3">
      <w:pPr>
        <w:pStyle w:val="100"/>
        <w:rPr>
          <w:rFonts w:hint="eastAsia" w:ascii="仿宋" w:hAnsi="仿宋" w:eastAsia="仿宋" w:cs="仿宋"/>
          <w:color w:val="auto"/>
          <w:highlight w:val="none"/>
        </w:rPr>
      </w:pPr>
    </w:p>
    <w:p w14:paraId="333964BD">
      <w:pPr>
        <w:pStyle w:val="100"/>
        <w:rPr>
          <w:rFonts w:hint="eastAsia" w:ascii="仿宋" w:hAnsi="仿宋" w:eastAsia="仿宋" w:cs="仿宋"/>
          <w:color w:val="auto"/>
          <w:highlight w:val="none"/>
        </w:rPr>
      </w:pPr>
    </w:p>
    <w:p w14:paraId="147D4672">
      <w:pPr>
        <w:pStyle w:val="100"/>
        <w:rPr>
          <w:rFonts w:hint="eastAsia" w:ascii="仿宋" w:hAnsi="仿宋" w:eastAsia="仿宋" w:cs="仿宋"/>
          <w:color w:val="auto"/>
          <w:highlight w:val="none"/>
        </w:rPr>
      </w:pPr>
    </w:p>
    <w:p w14:paraId="4C5CE75B">
      <w:pPr>
        <w:pStyle w:val="87"/>
        <w:keepNext w:val="0"/>
        <w:keepLines w:val="0"/>
        <w:pageBreakBefore w:val="0"/>
        <w:widowControl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rPr>
        <w:t>具有独立承担民事责任的能力证明材料：</w:t>
      </w:r>
    </w:p>
    <w:p w14:paraId="64E11C48">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如供应商是企业（包括合伙企业），提供在工商部门注册的有效“企业法人营业执照”或“营业执照”；</w:t>
      </w:r>
    </w:p>
    <w:p w14:paraId="5823FEF5">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如供应商是事业单位，提供有效的“事业单位法人证书”；</w:t>
      </w:r>
    </w:p>
    <w:p w14:paraId="22A9D8B1">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如供应商是非企业专业服务机构的，提供执业许可证等证明文件；</w:t>
      </w:r>
    </w:p>
    <w:p w14:paraId="6EB2F423">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（4）</w:t>
      </w:r>
      <w:r>
        <w:rPr>
          <w:rFonts w:hint="eastAsia" w:ascii="仿宋" w:hAnsi="仿宋" w:eastAsia="仿宋" w:cs="仿宋"/>
          <w:color w:val="auto"/>
          <w:sz w:val="24"/>
          <w:szCs w:val="24"/>
          <w:highlight w:val="none"/>
        </w:rPr>
        <w:t>如供应商是个体工商户，提供有效的“个体工商户营业执照”；</w:t>
      </w:r>
    </w:p>
    <w:p w14:paraId="7EA0DC29">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（5）</w:t>
      </w:r>
      <w:r>
        <w:rPr>
          <w:rFonts w:hint="eastAsia" w:ascii="仿宋" w:hAnsi="仿宋" w:eastAsia="仿宋" w:cs="仿宋"/>
          <w:color w:val="auto"/>
          <w:sz w:val="24"/>
          <w:szCs w:val="24"/>
          <w:highlight w:val="none"/>
        </w:rPr>
        <w:t>如供应商是自然人，提供有效的自然人身份证明（居民身份证正反面或公安机关出具的临时居民身份证正反面或港澳台胞证或护照）。</w:t>
      </w:r>
    </w:p>
    <w:p w14:paraId="70F18679">
      <w:pPr>
        <w:pStyle w:val="87"/>
        <w:keepNext w:val="0"/>
        <w:keepLines w:val="0"/>
        <w:pageBreakBefore w:val="0"/>
        <w:widowControl w:val="0"/>
        <w:kinsoku/>
        <w:wordWrap/>
        <w:overflowPunct/>
        <w:topLinePunct w:val="0"/>
        <w:autoSpaceDE/>
        <w:autoSpaceDN/>
        <w:bidi w:val="0"/>
        <w:adjustRightInd/>
        <w:snapToGrid/>
        <w:spacing w:line="288" w:lineRule="auto"/>
        <w:ind w:firstLine="480"/>
        <w:textAlignment w:val="auto"/>
        <w:rPr>
          <w:rFonts w:hint="eastAsia" w:ascii="仿宋" w:hAnsi="仿宋" w:eastAsia="仿宋" w:cs="仿宋"/>
          <w:color w:val="auto"/>
          <w:sz w:val="24"/>
          <w:szCs w:val="24"/>
          <w:highlight w:val="none"/>
        </w:rPr>
      </w:pPr>
    </w:p>
    <w:p w14:paraId="2A41D66D">
      <w:pPr>
        <w:pStyle w:val="87"/>
        <w:keepNext w:val="0"/>
        <w:keepLines w:val="0"/>
        <w:pageBreakBefore w:val="0"/>
        <w:widowControl w:val="0"/>
        <w:kinsoku/>
        <w:wordWrap/>
        <w:overflowPunct/>
        <w:topLinePunct w:val="0"/>
        <w:autoSpaceDE/>
        <w:autoSpaceDN/>
        <w:bidi w:val="0"/>
        <w:adjustRightInd/>
        <w:snapToGrid/>
        <w:spacing w:line="288" w:lineRule="auto"/>
        <w:ind w:firstLine="480"/>
        <w:textAlignment w:val="auto"/>
        <w:rPr>
          <w:rFonts w:hint="eastAsia" w:ascii="仿宋" w:hAnsi="仿宋" w:eastAsia="仿宋" w:cs="仿宋"/>
          <w:color w:val="auto"/>
          <w:sz w:val="24"/>
          <w:szCs w:val="24"/>
          <w:highlight w:val="none"/>
        </w:rPr>
      </w:pPr>
    </w:p>
    <w:p w14:paraId="099FC540">
      <w:pPr>
        <w:pStyle w:val="87"/>
        <w:keepNext w:val="0"/>
        <w:keepLines w:val="0"/>
        <w:pageBreakBefore w:val="0"/>
        <w:widowControl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color w:val="auto"/>
          <w:sz w:val="24"/>
          <w:szCs w:val="24"/>
          <w:highlight w:val="none"/>
        </w:rPr>
      </w:pPr>
    </w:p>
    <w:p w14:paraId="0B88D7CA">
      <w:pPr>
        <w:pStyle w:val="87"/>
        <w:keepNext w:val="0"/>
        <w:keepLines w:val="0"/>
        <w:pageBreakBefore w:val="0"/>
        <w:widowControl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color w:val="auto"/>
          <w:sz w:val="24"/>
          <w:szCs w:val="24"/>
          <w:highlight w:val="none"/>
        </w:rPr>
      </w:pPr>
    </w:p>
    <w:p w14:paraId="099AEA64">
      <w:pPr>
        <w:pStyle w:val="3"/>
        <w:keepNext w:val="0"/>
        <w:keepLines w:val="0"/>
        <w:pageBreakBefore w:val="0"/>
        <w:widowControl w:val="0"/>
        <w:kinsoku/>
        <w:wordWrap/>
        <w:overflowPunct/>
        <w:topLinePunct w:val="0"/>
        <w:autoSpaceDE/>
        <w:autoSpaceDN/>
        <w:bidi w:val="0"/>
        <w:adjustRightInd/>
        <w:snapToGrid/>
        <w:spacing w:line="288" w:lineRule="auto"/>
        <w:ind w:firstLine="240"/>
        <w:textAlignment w:val="auto"/>
        <w:rPr>
          <w:rFonts w:hint="eastAsia" w:ascii="仿宋" w:hAnsi="仿宋" w:eastAsia="仿宋" w:cs="仿宋"/>
          <w:color w:val="auto"/>
          <w:sz w:val="24"/>
          <w:szCs w:val="24"/>
          <w:highlight w:val="none"/>
        </w:rPr>
      </w:pPr>
    </w:p>
    <w:p w14:paraId="4BAC811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color w:val="auto"/>
          <w:sz w:val="24"/>
          <w:szCs w:val="24"/>
          <w:highlight w:val="none"/>
        </w:rPr>
      </w:pPr>
    </w:p>
    <w:p w14:paraId="5D12A588">
      <w:pPr>
        <w:pStyle w:val="3"/>
        <w:ind w:firstLine="240"/>
        <w:rPr>
          <w:rFonts w:hint="eastAsia" w:ascii="仿宋" w:hAnsi="仿宋" w:eastAsia="仿宋" w:cs="仿宋"/>
          <w:color w:val="auto"/>
          <w:sz w:val="24"/>
          <w:highlight w:val="none"/>
        </w:rPr>
      </w:pPr>
    </w:p>
    <w:p w14:paraId="074548A5">
      <w:pPr>
        <w:rPr>
          <w:rFonts w:hint="eastAsia" w:ascii="仿宋" w:hAnsi="仿宋" w:eastAsia="仿宋" w:cs="仿宋"/>
          <w:color w:val="auto"/>
          <w:sz w:val="24"/>
          <w:highlight w:val="none"/>
        </w:rPr>
      </w:pPr>
    </w:p>
    <w:p w14:paraId="3159A805">
      <w:pPr>
        <w:pStyle w:val="3"/>
        <w:ind w:firstLine="240"/>
        <w:rPr>
          <w:rFonts w:hint="eastAsia" w:ascii="仿宋" w:hAnsi="仿宋" w:eastAsia="仿宋" w:cs="仿宋"/>
          <w:color w:val="auto"/>
          <w:sz w:val="24"/>
          <w:highlight w:val="none"/>
        </w:rPr>
      </w:pPr>
    </w:p>
    <w:p w14:paraId="6AE5E741">
      <w:pPr>
        <w:rPr>
          <w:rFonts w:hint="eastAsia" w:ascii="仿宋" w:hAnsi="仿宋" w:eastAsia="仿宋" w:cs="仿宋"/>
          <w:color w:val="auto"/>
          <w:sz w:val="24"/>
          <w:highlight w:val="none"/>
        </w:rPr>
      </w:pPr>
    </w:p>
    <w:p w14:paraId="770C48FF">
      <w:pPr>
        <w:pStyle w:val="3"/>
        <w:ind w:firstLine="240"/>
        <w:rPr>
          <w:rFonts w:hint="eastAsia" w:ascii="仿宋" w:hAnsi="仿宋" w:eastAsia="仿宋" w:cs="仿宋"/>
          <w:color w:val="auto"/>
          <w:sz w:val="24"/>
          <w:highlight w:val="none"/>
        </w:rPr>
      </w:pPr>
    </w:p>
    <w:p w14:paraId="40FC41FC">
      <w:pPr>
        <w:rPr>
          <w:rFonts w:hint="eastAsia" w:ascii="仿宋" w:hAnsi="仿宋" w:eastAsia="仿宋" w:cs="仿宋"/>
          <w:color w:val="auto"/>
          <w:sz w:val="24"/>
          <w:highlight w:val="none"/>
        </w:rPr>
      </w:pPr>
    </w:p>
    <w:p w14:paraId="619CF4E8">
      <w:pPr>
        <w:pStyle w:val="3"/>
        <w:ind w:firstLine="240"/>
        <w:rPr>
          <w:rFonts w:hint="eastAsia" w:ascii="仿宋" w:hAnsi="仿宋" w:eastAsia="仿宋" w:cs="仿宋"/>
          <w:color w:val="auto"/>
          <w:sz w:val="24"/>
          <w:highlight w:val="none"/>
        </w:rPr>
      </w:pPr>
    </w:p>
    <w:p w14:paraId="4788E849">
      <w:pPr>
        <w:rPr>
          <w:rFonts w:hint="eastAsia" w:ascii="仿宋" w:hAnsi="仿宋" w:eastAsia="仿宋" w:cs="仿宋"/>
          <w:color w:val="auto"/>
          <w:sz w:val="24"/>
          <w:highlight w:val="none"/>
        </w:rPr>
      </w:pPr>
    </w:p>
    <w:p w14:paraId="7723F9B0">
      <w:pPr>
        <w:pStyle w:val="3"/>
        <w:ind w:firstLine="240"/>
        <w:rPr>
          <w:rFonts w:hint="eastAsia" w:ascii="仿宋" w:hAnsi="仿宋" w:eastAsia="仿宋" w:cs="仿宋"/>
          <w:color w:val="auto"/>
          <w:sz w:val="24"/>
          <w:highlight w:val="none"/>
        </w:rPr>
      </w:pPr>
    </w:p>
    <w:p w14:paraId="774724A6">
      <w:pPr>
        <w:rPr>
          <w:rFonts w:hint="eastAsia" w:ascii="仿宋" w:hAnsi="仿宋" w:eastAsia="仿宋" w:cs="仿宋"/>
          <w:color w:val="auto"/>
          <w:sz w:val="24"/>
          <w:highlight w:val="none"/>
        </w:rPr>
      </w:pPr>
    </w:p>
    <w:p w14:paraId="796BB36C">
      <w:pPr>
        <w:pStyle w:val="3"/>
        <w:ind w:firstLine="240"/>
        <w:rPr>
          <w:rFonts w:hint="eastAsia" w:ascii="仿宋" w:hAnsi="仿宋" w:eastAsia="仿宋" w:cs="仿宋"/>
          <w:color w:val="auto"/>
          <w:sz w:val="24"/>
          <w:highlight w:val="none"/>
        </w:rPr>
      </w:pPr>
    </w:p>
    <w:p w14:paraId="1B9D5713">
      <w:pPr>
        <w:rPr>
          <w:rFonts w:hint="eastAsia" w:ascii="仿宋" w:hAnsi="仿宋" w:eastAsia="仿宋" w:cs="仿宋"/>
          <w:color w:val="auto"/>
          <w:sz w:val="24"/>
          <w:highlight w:val="none"/>
        </w:rPr>
      </w:pPr>
    </w:p>
    <w:p w14:paraId="46A2E510">
      <w:pPr>
        <w:pStyle w:val="3"/>
        <w:ind w:firstLine="240"/>
        <w:rPr>
          <w:rFonts w:hint="eastAsia" w:ascii="仿宋" w:hAnsi="仿宋" w:eastAsia="仿宋" w:cs="仿宋"/>
          <w:color w:val="auto"/>
          <w:sz w:val="24"/>
          <w:highlight w:val="none"/>
        </w:rPr>
      </w:pPr>
    </w:p>
    <w:p w14:paraId="2AFD9883">
      <w:pPr>
        <w:rPr>
          <w:rFonts w:hint="eastAsia" w:ascii="仿宋" w:hAnsi="仿宋" w:eastAsia="仿宋" w:cs="仿宋"/>
          <w:color w:val="auto"/>
          <w:sz w:val="24"/>
          <w:highlight w:val="none"/>
        </w:rPr>
      </w:pPr>
    </w:p>
    <w:p w14:paraId="5BEE0D14">
      <w:pPr>
        <w:pStyle w:val="87"/>
        <w:keepNext w:val="0"/>
        <w:keepLines w:val="0"/>
        <w:pageBreakBefore/>
        <w:kinsoku/>
        <w:wordWrap/>
        <w:overflowPunct/>
        <w:topLinePunct w:val="0"/>
        <w:autoSpaceDE/>
        <w:autoSpaceDN/>
        <w:bidi w:val="0"/>
        <w:adjustRightInd/>
        <w:spacing w:line="288" w:lineRule="auto"/>
        <w:ind w:firstLine="0"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b/>
          <w:color w:val="auto"/>
          <w:kern w:val="0"/>
          <w:sz w:val="24"/>
          <w:szCs w:val="24"/>
          <w:highlight w:val="none"/>
        </w:rPr>
        <w:t>3</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lang w:val="zh-CN"/>
        </w:rPr>
        <w:t>落实政府采购政策需满足的资格要求</w:t>
      </w:r>
      <w:r>
        <w:rPr>
          <w:rFonts w:hint="eastAsia" w:ascii="仿宋" w:hAnsi="仿宋" w:eastAsia="仿宋" w:cs="仿宋"/>
          <w:b/>
          <w:bCs/>
          <w:color w:val="auto"/>
          <w:sz w:val="24"/>
          <w:szCs w:val="24"/>
          <w:highlight w:val="none"/>
        </w:rPr>
        <w:t>证明材料</w:t>
      </w:r>
      <w:r>
        <w:rPr>
          <w:rFonts w:hint="eastAsia" w:ascii="仿宋" w:hAnsi="仿宋" w:eastAsia="仿宋" w:cs="仿宋"/>
          <w:b/>
          <w:bCs/>
          <w:color w:val="auto"/>
          <w:sz w:val="24"/>
          <w:szCs w:val="24"/>
          <w:highlight w:val="none"/>
          <w:lang w:val="zh-CN"/>
        </w:rPr>
        <w:t>：</w:t>
      </w:r>
    </w:p>
    <w:p w14:paraId="587DE11E">
      <w:pPr>
        <w:keepNext w:val="0"/>
        <w:keepLines w:val="0"/>
        <w:widowControl/>
        <w:kinsoku/>
        <w:wordWrap/>
        <w:overflowPunct/>
        <w:topLinePunct w:val="0"/>
        <w:autoSpaceDE/>
        <w:autoSpaceDN/>
        <w:bidi w:val="0"/>
        <w:adjustRightInd/>
        <w:spacing w:line="288" w:lineRule="auto"/>
        <w:ind w:firstLine="482" w:firstLineChars="200"/>
        <w:jc w:val="center"/>
        <w:textAlignment w:val="auto"/>
        <w:rPr>
          <w:rFonts w:hint="eastAsia" w:ascii="仿宋" w:hAnsi="仿宋" w:eastAsia="仿宋" w:cs="仿宋"/>
          <w:b/>
          <w:bCs/>
          <w:color w:val="auto"/>
          <w:kern w:val="0"/>
          <w:sz w:val="24"/>
          <w:szCs w:val="24"/>
          <w:highlight w:val="none"/>
        </w:rPr>
      </w:pPr>
    </w:p>
    <w:p w14:paraId="19CA0DAD">
      <w:pPr>
        <w:keepNext w:val="0"/>
        <w:keepLines w:val="0"/>
        <w:widowControl/>
        <w:kinsoku/>
        <w:wordWrap/>
        <w:overflowPunct/>
        <w:topLinePunct w:val="0"/>
        <w:autoSpaceDE/>
        <w:autoSpaceDN/>
        <w:bidi w:val="0"/>
        <w:adjustRightInd/>
        <w:spacing w:line="288" w:lineRule="auto"/>
        <w:jc w:val="center"/>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（一）中小企业声明函（服务）</w:t>
      </w:r>
    </w:p>
    <w:p w14:paraId="0BCA1AA4">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szCs w:val="24"/>
          <w:highlight w:val="none"/>
          <w:u w:val="single"/>
          <w:lang w:eastAsia="zh-CN"/>
        </w:rPr>
        <w:t>衢州智慧新城管理委员会（采购人）</w:t>
      </w:r>
      <w:r>
        <w:rPr>
          <w:rFonts w:hint="eastAsia" w:ascii="仿宋" w:hAnsi="仿宋" w:eastAsia="仿宋" w:cs="仿宋"/>
          <w:color w:val="auto"/>
          <w:sz w:val="24"/>
          <w:szCs w:val="24"/>
          <w:highlight w:val="none"/>
        </w:rPr>
        <w:t xml:space="preserve">的 </w:t>
      </w:r>
      <w:r>
        <w:rPr>
          <w:rFonts w:hint="eastAsia" w:ascii="仿宋" w:hAnsi="仿宋" w:eastAsia="仿宋" w:cs="仿宋"/>
          <w:color w:val="auto"/>
          <w:sz w:val="24"/>
          <w:szCs w:val="24"/>
          <w:highlight w:val="none"/>
          <w:u w:val="single"/>
          <w:lang w:eastAsia="zh-CN"/>
        </w:rPr>
        <w:t>2025年度衢州智慧新城地下综合管廊与隧道运维服务项目（项目名称）</w:t>
      </w:r>
      <w:r>
        <w:rPr>
          <w:rFonts w:hint="eastAsia" w:ascii="仿宋" w:hAnsi="仿宋" w:eastAsia="仿宋" w:cs="仿宋"/>
          <w:color w:val="auto"/>
          <w:sz w:val="24"/>
          <w:szCs w:val="24"/>
          <w:highlight w:val="none"/>
        </w:rPr>
        <w:t xml:space="preserve"> 采购活动，提供的服务全部由符合政策要求的中小企业承接。相关企业（含联合体中的中小企业、签订分包意向协议的中小企业）的具体情况如下：</w:t>
      </w:r>
    </w:p>
    <w:p w14:paraId="53495F8E">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u w:val="single"/>
          <w:lang w:eastAsia="zh-CN"/>
        </w:rPr>
        <w:t>2025年度衢州智慧新城地下综合管廊与隧道运维服务项目</w:t>
      </w:r>
      <w:r>
        <w:rPr>
          <w:rFonts w:hint="eastAsia" w:ascii="仿宋" w:hAnsi="仿宋" w:eastAsia="仿宋" w:cs="仿宋"/>
          <w:color w:val="auto"/>
          <w:sz w:val="24"/>
          <w:szCs w:val="24"/>
          <w:highlight w:val="none"/>
          <w:u w:val="single"/>
        </w:rPr>
        <w:t>（标的名称）</w:t>
      </w:r>
      <w:r>
        <w:rPr>
          <w:rFonts w:hint="eastAsia" w:ascii="仿宋" w:hAnsi="仿宋" w:eastAsia="仿宋" w:cs="仿宋"/>
          <w:color w:val="auto"/>
          <w:sz w:val="24"/>
          <w:szCs w:val="24"/>
          <w:highlight w:val="none"/>
        </w:rPr>
        <w:t xml:space="preserve"> ，属于 </w:t>
      </w:r>
      <w:r>
        <w:rPr>
          <w:rFonts w:hint="eastAsia" w:ascii="仿宋" w:hAnsi="仿宋" w:eastAsia="仿宋" w:cs="仿宋"/>
          <w:color w:val="auto"/>
          <w:sz w:val="24"/>
          <w:szCs w:val="24"/>
          <w:highlight w:val="none"/>
          <w:u w:val="single"/>
          <w:lang w:eastAsia="zh-CN"/>
        </w:rPr>
        <w:t>【其他未列明行业】</w:t>
      </w:r>
      <w:r>
        <w:rPr>
          <w:rFonts w:hint="eastAsia" w:ascii="仿宋" w:hAnsi="仿宋" w:eastAsia="仿宋" w:cs="仿宋"/>
          <w:color w:val="auto"/>
          <w:sz w:val="24"/>
          <w:szCs w:val="24"/>
          <w:highlight w:val="none"/>
          <w:u w:val="single"/>
        </w:rPr>
        <w:t>（采购文件中明确的所属行业）</w:t>
      </w:r>
      <w:r>
        <w:rPr>
          <w:rFonts w:hint="eastAsia" w:ascii="仿宋" w:hAnsi="仿宋" w:eastAsia="仿宋" w:cs="仿宋"/>
          <w:color w:val="auto"/>
          <w:sz w:val="24"/>
          <w:szCs w:val="24"/>
          <w:highlight w:val="none"/>
        </w:rPr>
        <w:t>行业 ；供应商为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（企业名称）</w:t>
      </w:r>
      <w:r>
        <w:rPr>
          <w:rFonts w:hint="eastAsia" w:ascii="仿宋" w:hAnsi="仿宋" w:eastAsia="仿宋" w:cs="仿宋"/>
          <w:color w:val="auto"/>
          <w:sz w:val="24"/>
          <w:szCs w:val="24"/>
          <w:highlight w:val="none"/>
        </w:rPr>
        <w:t xml:space="preserve"> ，从业人员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（中型企业、小型企业、微型企业）</w:t>
      </w:r>
      <w:r>
        <w:rPr>
          <w:rFonts w:hint="eastAsia" w:ascii="仿宋" w:hAnsi="仿宋" w:eastAsia="仿宋" w:cs="仿宋"/>
          <w:color w:val="auto"/>
          <w:sz w:val="24"/>
          <w:szCs w:val="24"/>
          <w:highlight w:val="none"/>
        </w:rPr>
        <w:t xml:space="preserve"> ；</w:t>
      </w:r>
    </w:p>
    <w:p w14:paraId="6FD4EEFE">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 </w:t>
      </w:r>
      <w:r>
        <w:rPr>
          <w:rFonts w:hint="eastAsia" w:ascii="仿宋" w:hAnsi="仿宋" w:eastAsia="仿宋" w:cs="仿宋"/>
          <w:color w:val="auto"/>
          <w:sz w:val="24"/>
          <w:szCs w:val="24"/>
          <w:highlight w:val="none"/>
          <w:u w:val="single"/>
        </w:rPr>
        <w:t>（标的名称）</w:t>
      </w:r>
      <w:r>
        <w:rPr>
          <w:rFonts w:hint="eastAsia" w:ascii="仿宋" w:hAnsi="仿宋" w:eastAsia="仿宋" w:cs="仿宋"/>
          <w:color w:val="auto"/>
          <w:sz w:val="24"/>
          <w:szCs w:val="24"/>
          <w:highlight w:val="none"/>
        </w:rPr>
        <w:t xml:space="preserve"> ，属于 </w:t>
      </w:r>
      <w:r>
        <w:rPr>
          <w:rFonts w:hint="eastAsia" w:ascii="仿宋" w:hAnsi="仿宋" w:eastAsia="仿宋" w:cs="仿宋"/>
          <w:color w:val="auto"/>
          <w:sz w:val="24"/>
          <w:szCs w:val="24"/>
          <w:highlight w:val="none"/>
          <w:u w:val="single"/>
        </w:rPr>
        <w:t>（采购文件中明确的所属行业）</w:t>
      </w:r>
      <w:r>
        <w:rPr>
          <w:rFonts w:hint="eastAsia" w:ascii="仿宋" w:hAnsi="仿宋" w:eastAsia="仿宋" w:cs="仿宋"/>
          <w:color w:val="auto"/>
          <w:sz w:val="24"/>
          <w:szCs w:val="24"/>
          <w:highlight w:val="none"/>
        </w:rPr>
        <w:t>行业 ；供应商商为</w:t>
      </w:r>
      <w:r>
        <w:rPr>
          <w:rFonts w:hint="eastAsia" w:ascii="仿宋" w:hAnsi="仿宋" w:eastAsia="仿宋" w:cs="仿宋"/>
          <w:color w:val="auto"/>
          <w:sz w:val="24"/>
          <w:szCs w:val="24"/>
          <w:highlight w:val="none"/>
          <w:u w:val="single"/>
        </w:rPr>
        <w:t xml:space="preserve"> （企业名称）</w:t>
      </w:r>
      <w:r>
        <w:rPr>
          <w:rFonts w:hint="eastAsia" w:ascii="仿宋" w:hAnsi="仿宋" w:eastAsia="仿宋" w:cs="仿宋"/>
          <w:color w:val="auto"/>
          <w:sz w:val="24"/>
          <w:szCs w:val="24"/>
          <w:highlight w:val="none"/>
        </w:rPr>
        <w:t xml:space="preserve"> ，从业人员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hint="eastAsia" w:ascii="仿宋" w:hAnsi="仿宋" w:eastAsia="仿宋" w:cs="仿宋"/>
          <w:color w:val="auto"/>
          <w:sz w:val="24"/>
          <w:szCs w:val="24"/>
          <w:highlight w:val="none"/>
          <w:u w:val="single"/>
        </w:rPr>
        <w:t xml:space="preserve"> （中型企业、小型企业、微型企业）</w:t>
      </w:r>
      <w:r>
        <w:rPr>
          <w:rFonts w:hint="eastAsia" w:ascii="仿宋" w:hAnsi="仿宋" w:eastAsia="仿宋" w:cs="仿宋"/>
          <w:color w:val="auto"/>
          <w:sz w:val="24"/>
          <w:szCs w:val="24"/>
          <w:highlight w:val="none"/>
        </w:rPr>
        <w:t xml:space="preserve"> ；</w:t>
      </w:r>
    </w:p>
    <w:p w14:paraId="6B0F8038">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6738599">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1F3A3D71">
      <w:pPr>
        <w:keepNext w:val="0"/>
        <w:keepLines w:val="0"/>
        <w:kinsoku/>
        <w:wordWrap/>
        <w:overflowPunct/>
        <w:topLinePunct w:val="0"/>
        <w:autoSpaceDE/>
        <w:autoSpaceDN/>
        <w:bidi w:val="0"/>
        <w:adjustRightIn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3D444342">
      <w:pPr>
        <w:keepNext w:val="0"/>
        <w:keepLines w:val="0"/>
        <w:kinsoku/>
        <w:wordWrap/>
        <w:overflowPunct/>
        <w:topLinePunct w:val="0"/>
        <w:autoSpaceDE/>
        <w:autoSpaceDN/>
        <w:bidi w:val="0"/>
        <w:adjustRightInd/>
        <w:snapToGrid w:val="0"/>
        <w:spacing w:line="288" w:lineRule="auto"/>
        <w:ind w:firstLine="5160" w:firstLineChars="215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供应商名称（盖章或电子签章）：</w:t>
      </w:r>
    </w:p>
    <w:p w14:paraId="556D85B1">
      <w:pPr>
        <w:keepNext w:val="0"/>
        <w:keepLines w:val="0"/>
        <w:kinsoku/>
        <w:wordWrap/>
        <w:overflowPunct/>
        <w:topLinePunct w:val="0"/>
        <w:autoSpaceDE/>
        <w:autoSpaceDN/>
        <w:bidi w:val="0"/>
        <w:adjustRightInd/>
        <w:snapToGrid w:val="0"/>
        <w:spacing w:line="288" w:lineRule="auto"/>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 xml:space="preserve">                                           日期</w:t>
      </w:r>
      <w:r>
        <w:rPr>
          <w:rFonts w:hint="eastAsia" w:ascii="仿宋" w:hAnsi="仿宋" w:eastAsia="仿宋" w:cs="仿宋"/>
          <w:color w:val="auto"/>
          <w:kern w:val="0"/>
          <w:sz w:val="24"/>
          <w:szCs w:val="24"/>
          <w:highlight w:val="none"/>
        </w:rPr>
        <w:t xml:space="preserve">：  年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14:paraId="0A9CD04E">
      <w:pPr>
        <w:keepNext w:val="0"/>
        <w:keepLines w:val="0"/>
        <w:kinsoku/>
        <w:wordWrap/>
        <w:overflowPunct/>
        <w:topLinePunct w:val="0"/>
        <w:autoSpaceDE/>
        <w:autoSpaceDN/>
        <w:bidi w:val="0"/>
        <w:adjustRightInd/>
        <w:spacing w:line="28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从业人员、营业收入、资产总额填报上一年度数据，无上一年度数据的新成立企业可不填报。</w:t>
      </w:r>
    </w:p>
    <w:p w14:paraId="1BB0BB92">
      <w:pPr>
        <w:keepNext w:val="0"/>
        <w:keepLines w:val="0"/>
        <w:kinsoku/>
        <w:wordWrap/>
        <w:overflowPunct/>
        <w:topLinePunct w:val="0"/>
        <w:autoSpaceDE/>
        <w:autoSpaceDN/>
        <w:bidi w:val="0"/>
        <w:adjustRightInd/>
        <w:spacing w:line="288" w:lineRule="auto"/>
        <w:ind w:right="42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59E7F35C">
      <w:pPr>
        <w:keepNext w:val="0"/>
        <w:keepLines w:val="0"/>
        <w:kinsoku/>
        <w:wordWrap/>
        <w:overflowPunct/>
        <w:topLinePunct w:val="0"/>
        <w:autoSpaceDE/>
        <w:autoSpaceDN/>
        <w:bidi w:val="0"/>
        <w:adjustRightInd/>
        <w:spacing w:line="288" w:lineRule="auto"/>
        <w:ind w:right="42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填写要求：①“标的名称”、“采购文件中明确的所属行业”依据招标文件第二部分投标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57CA8D2">
      <w:pPr>
        <w:keepNext w:val="0"/>
        <w:keepLines w:val="0"/>
        <w:widowControl/>
        <w:kinsoku/>
        <w:wordWrap/>
        <w:overflowPunct/>
        <w:topLinePunct w:val="0"/>
        <w:autoSpaceDE/>
        <w:autoSpaceDN/>
        <w:bidi w:val="0"/>
        <w:adjustRightInd/>
        <w:spacing w:line="288"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0B153BD">
      <w:pPr>
        <w:widowControl/>
        <w:spacing w:line="600" w:lineRule="exact"/>
        <w:ind w:firstLine="482" w:firstLineChars="200"/>
        <w:jc w:val="center"/>
        <w:rPr>
          <w:rFonts w:hint="eastAsia" w:ascii="仿宋" w:hAnsi="仿宋" w:eastAsia="仿宋" w:cs="仿宋"/>
          <w:b/>
          <w:bCs/>
          <w:color w:val="auto"/>
          <w:kern w:val="0"/>
          <w:sz w:val="24"/>
          <w:szCs w:val="24"/>
          <w:highlight w:val="none"/>
        </w:rPr>
      </w:pPr>
    </w:p>
    <w:p w14:paraId="742A141F">
      <w:pPr>
        <w:keepNext w:val="0"/>
        <w:keepLines w:val="0"/>
        <w:pageBreakBefore w:val="0"/>
        <w:widowControl/>
        <w:kinsoku/>
        <w:wordWrap/>
        <w:overflowPunct/>
        <w:topLinePunct w:val="0"/>
        <w:autoSpaceDE/>
        <w:autoSpaceDN/>
        <w:bidi w:val="0"/>
        <w:adjustRightInd/>
        <w:snapToGrid/>
        <w:spacing w:line="288" w:lineRule="auto"/>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（二）监狱企业声明函【不属于监狱企业，不用提供此函】</w:t>
      </w:r>
    </w:p>
    <w:p w14:paraId="5999637A">
      <w:pPr>
        <w:pStyle w:val="87"/>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仿宋" w:hAnsi="仿宋" w:eastAsia="仿宋" w:cs="仿宋"/>
          <w:b/>
          <w:bCs/>
          <w:color w:val="auto"/>
          <w:kern w:val="0"/>
          <w:sz w:val="24"/>
          <w:highlight w:val="none"/>
        </w:rPr>
      </w:pPr>
    </w:p>
    <w:p w14:paraId="222D5A4B">
      <w:pPr>
        <w:pStyle w:val="87"/>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仿宋" w:hAnsi="仿宋" w:eastAsia="仿宋" w:cs="仿宋"/>
          <w:color w:val="auto"/>
          <w:kern w:val="0"/>
          <w:sz w:val="28"/>
          <w:szCs w:val="28"/>
          <w:highlight w:val="none"/>
          <w:u w:val="single"/>
        </w:rPr>
      </w:pPr>
      <w:r>
        <w:rPr>
          <w:rFonts w:hint="eastAsia" w:ascii="仿宋" w:hAnsi="仿宋" w:eastAsia="仿宋" w:cs="仿宋"/>
          <w:b/>
          <w:bCs/>
          <w:color w:val="auto"/>
          <w:kern w:val="0"/>
          <w:sz w:val="28"/>
          <w:szCs w:val="28"/>
          <w:highlight w:val="none"/>
        </w:rPr>
        <w:t>监狱企业声明函</w:t>
      </w:r>
    </w:p>
    <w:p w14:paraId="273109EC">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本企业郑重声明，根据《关于政府采购支持监狱企业发展有关问题的通知》（财库[2014]68号）的规定，本企业为监狱企业。 </w:t>
      </w:r>
    </w:p>
    <w:p w14:paraId="581EEED9">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根据上述标准，我企业属于监狱企业的理由为：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3311291D">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本企业为参加</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2025年度衢州智慧新城地下综合管廊与隧道运维服务项目</w:t>
      </w:r>
      <w:r>
        <w:rPr>
          <w:rFonts w:hint="eastAsia" w:ascii="仿宋" w:hAnsi="仿宋" w:eastAsia="仿宋" w:cs="仿宋"/>
          <w:color w:val="auto"/>
          <w:kern w:val="0"/>
          <w:sz w:val="24"/>
          <w:szCs w:val="24"/>
          <w:highlight w:val="none"/>
          <w:u w:val="single"/>
        </w:rPr>
        <w:t>（项目名称）（项目编号:</w:t>
      </w:r>
      <w:r>
        <w:rPr>
          <w:rFonts w:hint="eastAsia" w:ascii="仿宋" w:hAnsi="仿宋" w:eastAsia="仿宋" w:cs="仿宋"/>
          <w:color w:val="auto"/>
          <w:kern w:val="0"/>
          <w:sz w:val="24"/>
          <w:szCs w:val="24"/>
          <w:highlight w:val="none"/>
          <w:u w:val="single"/>
          <w:lang w:eastAsia="zh-CN"/>
        </w:rPr>
        <w:t>kxqz2024108</w:t>
      </w:r>
      <w:r>
        <w:rPr>
          <w:rFonts w:hint="eastAsia" w:ascii="仿宋" w:hAnsi="仿宋" w:eastAsia="仿宋" w:cs="仿宋"/>
          <w:color w:val="auto"/>
          <w:kern w:val="0"/>
          <w:sz w:val="24"/>
          <w:szCs w:val="24"/>
          <w:highlight w:val="none"/>
          <w:u w:val="single"/>
        </w:rPr>
        <w:t>）</w:t>
      </w:r>
      <w:r>
        <w:rPr>
          <w:rFonts w:hint="eastAsia" w:ascii="仿宋" w:hAnsi="仿宋" w:eastAsia="仿宋" w:cs="仿宋"/>
          <w:color w:val="auto"/>
          <w:kern w:val="0"/>
          <w:sz w:val="24"/>
          <w:szCs w:val="24"/>
          <w:highlight w:val="none"/>
        </w:rPr>
        <w:t>采购活动并提供本企业的服务。</w:t>
      </w:r>
    </w:p>
    <w:p w14:paraId="5730C4FE">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或提供其他</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（请填写：小型、微型、监狱）企业的服务，该企业为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（请填写：小型、微型、监狱）企业。</w:t>
      </w:r>
    </w:p>
    <w:p w14:paraId="37DA258B">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本企业对上述声明的真实性负责。如有虚假，将依法承担相应责任。 </w:t>
      </w:r>
    </w:p>
    <w:p w14:paraId="36789D14">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p>
    <w:p w14:paraId="4B88E201">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供应商名称（盖章或电子签章）</w:t>
      </w:r>
      <w:r>
        <w:rPr>
          <w:rFonts w:hint="eastAsia" w:ascii="仿宋" w:hAnsi="仿宋" w:eastAsia="仿宋" w:cs="仿宋"/>
          <w:color w:val="auto"/>
          <w:kern w:val="0"/>
          <w:sz w:val="24"/>
          <w:szCs w:val="24"/>
          <w:highlight w:val="none"/>
        </w:rPr>
        <w:t xml:space="preserve">：                                         </w:t>
      </w:r>
    </w:p>
    <w:p w14:paraId="46C36387">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日期：       年     月   日 </w:t>
      </w:r>
    </w:p>
    <w:p w14:paraId="49B1706C">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p>
    <w:p w14:paraId="42F16202">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监狱企业参加政府采购活动时，应当提供由省级以上监狱管理局、戒毒管理局（含新疆生产建设兵团）出具的属于监狱企业的证明文件。 </w:t>
      </w:r>
    </w:p>
    <w:p w14:paraId="68B90FD8">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393429DB">
      <w:pPr>
        <w:keepNext w:val="0"/>
        <w:keepLines w:val="0"/>
        <w:pageBreakBefore w:val="0"/>
        <w:widowControl/>
        <w:kinsoku/>
        <w:wordWrap/>
        <w:overflowPunct/>
        <w:topLinePunct w:val="0"/>
        <w:autoSpaceDE/>
        <w:autoSpaceDN/>
        <w:bidi w:val="0"/>
        <w:adjustRightInd/>
        <w:snapToGrid/>
        <w:spacing w:line="288" w:lineRule="auto"/>
        <w:ind w:firstLine="482" w:firstLineChars="200"/>
        <w:jc w:val="left"/>
        <w:textAlignment w:val="auto"/>
        <w:rPr>
          <w:rFonts w:hint="eastAsia" w:ascii="仿宋" w:hAnsi="仿宋" w:eastAsia="仿宋" w:cs="仿宋"/>
          <w:b/>
          <w:bCs/>
          <w:color w:val="auto"/>
          <w:kern w:val="0"/>
          <w:sz w:val="24"/>
          <w:szCs w:val="24"/>
          <w:highlight w:val="none"/>
          <w:lang w:bidi="ar"/>
        </w:rPr>
      </w:pPr>
      <w:r>
        <w:rPr>
          <w:rFonts w:hint="eastAsia" w:ascii="仿宋" w:hAnsi="仿宋" w:eastAsia="仿宋" w:cs="仿宋"/>
          <w:b/>
          <w:bCs/>
          <w:color w:val="auto"/>
          <w:kern w:val="0"/>
          <w:sz w:val="24"/>
          <w:szCs w:val="24"/>
          <w:highlight w:val="none"/>
          <w:lang w:bidi="ar"/>
        </w:rPr>
        <w:t>注：本声明函为监狱企业填写。</w:t>
      </w:r>
    </w:p>
    <w:p w14:paraId="62B5B998">
      <w:pPr>
        <w:pStyle w:val="616"/>
        <w:ind w:firstLine="482"/>
        <w:rPr>
          <w:rFonts w:hint="eastAsia" w:ascii="仿宋" w:hAnsi="仿宋" w:eastAsia="仿宋" w:cs="仿宋"/>
          <w:b/>
          <w:bCs/>
          <w:color w:val="auto"/>
          <w:kern w:val="0"/>
          <w:szCs w:val="24"/>
          <w:highlight w:val="none"/>
          <w:lang w:bidi="ar"/>
        </w:rPr>
      </w:pPr>
    </w:p>
    <w:p w14:paraId="6556A815">
      <w:pPr>
        <w:pStyle w:val="616"/>
        <w:ind w:firstLine="482"/>
        <w:rPr>
          <w:rFonts w:hint="eastAsia" w:ascii="仿宋" w:hAnsi="仿宋" w:eastAsia="仿宋" w:cs="仿宋"/>
          <w:b/>
          <w:bCs/>
          <w:color w:val="auto"/>
          <w:kern w:val="0"/>
          <w:szCs w:val="24"/>
          <w:highlight w:val="none"/>
          <w:lang w:bidi="ar"/>
        </w:rPr>
      </w:pPr>
    </w:p>
    <w:p w14:paraId="336FF5FE">
      <w:pPr>
        <w:pStyle w:val="616"/>
        <w:ind w:firstLine="482"/>
        <w:rPr>
          <w:rFonts w:hint="eastAsia" w:ascii="仿宋" w:hAnsi="仿宋" w:eastAsia="仿宋" w:cs="仿宋"/>
          <w:b/>
          <w:bCs/>
          <w:color w:val="auto"/>
          <w:kern w:val="0"/>
          <w:szCs w:val="24"/>
          <w:highlight w:val="none"/>
          <w:lang w:bidi="ar"/>
        </w:rPr>
      </w:pPr>
    </w:p>
    <w:p w14:paraId="43F6F392">
      <w:pPr>
        <w:pStyle w:val="616"/>
        <w:ind w:firstLine="482"/>
        <w:rPr>
          <w:rFonts w:hint="eastAsia" w:ascii="仿宋" w:hAnsi="仿宋" w:eastAsia="仿宋" w:cs="仿宋"/>
          <w:b/>
          <w:bCs/>
          <w:color w:val="auto"/>
          <w:kern w:val="0"/>
          <w:szCs w:val="24"/>
          <w:highlight w:val="none"/>
          <w:lang w:bidi="ar"/>
        </w:rPr>
      </w:pPr>
    </w:p>
    <w:p w14:paraId="06FB3114">
      <w:pPr>
        <w:pStyle w:val="616"/>
        <w:ind w:firstLine="482"/>
        <w:rPr>
          <w:rFonts w:hint="eastAsia" w:ascii="仿宋" w:hAnsi="仿宋" w:eastAsia="仿宋" w:cs="仿宋"/>
          <w:b/>
          <w:bCs/>
          <w:color w:val="auto"/>
          <w:kern w:val="0"/>
          <w:szCs w:val="24"/>
          <w:highlight w:val="none"/>
          <w:lang w:bidi="ar"/>
        </w:rPr>
      </w:pPr>
    </w:p>
    <w:p w14:paraId="09F2212F">
      <w:pPr>
        <w:pStyle w:val="616"/>
        <w:ind w:firstLine="482"/>
        <w:rPr>
          <w:rFonts w:hint="eastAsia" w:ascii="仿宋" w:hAnsi="仿宋" w:eastAsia="仿宋" w:cs="仿宋"/>
          <w:b/>
          <w:bCs/>
          <w:color w:val="auto"/>
          <w:kern w:val="0"/>
          <w:szCs w:val="24"/>
          <w:highlight w:val="none"/>
          <w:lang w:bidi="ar"/>
        </w:rPr>
      </w:pPr>
    </w:p>
    <w:p w14:paraId="18E31D87">
      <w:pPr>
        <w:pStyle w:val="616"/>
        <w:ind w:firstLine="482"/>
        <w:rPr>
          <w:rFonts w:hint="eastAsia" w:ascii="仿宋" w:hAnsi="仿宋" w:eastAsia="仿宋" w:cs="仿宋"/>
          <w:b/>
          <w:bCs/>
          <w:color w:val="auto"/>
          <w:kern w:val="0"/>
          <w:szCs w:val="24"/>
          <w:highlight w:val="none"/>
          <w:lang w:bidi="ar"/>
        </w:rPr>
      </w:pPr>
    </w:p>
    <w:p w14:paraId="64E82264">
      <w:pPr>
        <w:pStyle w:val="616"/>
        <w:ind w:firstLine="482"/>
        <w:rPr>
          <w:rFonts w:hint="eastAsia" w:ascii="仿宋" w:hAnsi="仿宋" w:eastAsia="仿宋" w:cs="仿宋"/>
          <w:b/>
          <w:bCs/>
          <w:color w:val="auto"/>
          <w:kern w:val="0"/>
          <w:szCs w:val="24"/>
          <w:highlight w:val="none"/>
          <w:lang w:bidi="ar"/>
        </w:rPr>
      </w:pPr>
    </w:p>
    <w:p w14:paraId="7688CB33">
      <w:pPr>
        <w:pStyle w:val="616"/>
        <w:ind w:firstLine="482"/>
        <w:rPr>
          <w:rFonts w:hint="eastAsia" w:ascii="仿宋" w:hAnsi="仿宋" w:eastAsia="仿宋" w:cs="仿宋"/>
          <w:b/>
          <w:bCs/>
          <w:color w:val="auto"/>
          <w:kern w:val="0"/>
          <w:szCs w:val="24"/>
          <w:highlight w:val="none"/>
          <w:lang w:bidi="ar"/>
        </w:rPr>
      </w:pPr>
    </w:p>
    <w:p w14:paraId="51C23919">
      <w:pPr>
        <w:pStyle w:val="616"/>
        <w:ind w:firstLine="482"/>
        <w:rPr>
          <w:rFonts w:hint="eastAsia" w:ascii="仿宋" w:hAnsi="仿宋" w:eastAsia="仿宋" w:cs="仿宋"/>
          <w:b/>
          <w:bCs/>
          <w:color w:val="auto"/>
          <w:kern w:val="0"/>
          <w:szCs w:val="24"/>
          <w:highlight w:val="none"/>
          <w:lang w:bidi="ar"/>
        </w:rPr>
      </w:pPr>
    </w:p>
    <w:p w14:paraId="42BBEF6F">
      <w:pPr>
        <w:pStyle w:val="616"/>
        <w:ind w:firstLine="482"/>
        <w:rPr>
          <w:rFonts w:hint="eastAsia" w:ascii="仿宋" w:hAnsi="仿宋" w:eastAsia="仿宋" w:cs="仿宋"/>
          <w:b/>
          <w:bCs/>
          <w:color w:val="auto"/>
          <w:kern w:val="0"/>
          <w:szCs w:val="24"/>
          <w:highlight w:val="none"/>
          <w:lang w:bidi="ar"/>
        </w:rPr>
      </w:pPr>
    </w:p>
    <w:p w14:paraId="2CEA782D">
      <w:pPr>
        <w:keepNext w:val="0"/>
        <w:keepLines w:val="0"/>
        <w:pageBreakBefore w:val="0"/>
        <w:widowControl/>
        <w:kinsoku/>
        <w:wordWrap/>
        <w:overflowPunct/>
        <w:topLinePunct w:val="0"/>
        <w:autoSpaceDE/>
        <w:autoSpaceDN/>
        <w:bidi w:val="0"/>
        <w:adjustRightInd/>
        <w:snapToGrid/>
        <w:spacing w:line="288"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（三）残疾人福利性单位声明函【不属于残疾人福利性单位，不用提供此函】</w:t>
      </w:r>
    </w:p>
    <w:p w14:paraId="41F7A0B3">
      <w:pPr>
        <w:pStyle w:val="87"/>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仿宋" w:hAnsi="仿宋" w:eastAsia="仿宋" w:cs="仿宋"/>
          <w:b/>
          <w:bCs/>
          <w:color w:val="auto"/>
          <w:kern w:val="0"/>
          <w:sz w:val="24"/>
          <w:szCs w:val="24"/>
          <w:highlight w:val="none"/>
        </w:rPr>
      </w:pPr>
    </w:p>
    <w:p w14:paraId="30D80880">
      <w:pPr>
        <w:pStyle w:val="87"/>
        <w:keepNext w:val="0"/>
        <w:keepLines w:val="0"/>
        <w:pageBreakBefore w:val="0"/>
        <w:kinsoku/>
        <w:wordWrap/>
        <w:overflowPunct/>
        <w:topLinePunct w:val="0"/>
        <w:autoSpaceDE/>
        <w:autoSpaceDN/>
        <w:bidi w:val="0"/>
        <w:adjustRightInd/>
        <w:snapToGrid/>
        <w:spacing w:line="288" w:lineRule="auto"/>
        <w:ind w:firstLine="0" w:firstLineChars="0"/>
        <w:jc w:val="center"/>
        <w:textAlignment w:val="auto"/>
        <w:rPr>
          <w:rFonts w:hint="eastAsia" w:ascii="仿宋" w:hAnsi="仿宋" w:eastAsia="仿宋" w:cs="仿宋"/>
          <w:color w:val="auto"/>
          <w:kern w:val="0"/>
          <w:sz w:val="28"/>
          <w:szCs w:val="28"/>
          <w:highlight w:val="none"/>
          <w:u w:val="single"/>
          <w:lang w:bidi="ar"/>
        </w:rPr>
      </w:pPr>
      <w:r>
        <w:rPr>
          <w:rFonts w:hint="eastAsia" w:ascii="仿宋" w:hAnsi="仿宋" w:eastAsia="仿宋" w:cs="仿宋"/>
          <w:b/>
          <w:bCs/>
          <w:color w:val="auto"/>
          <w:kern w:val="0"/>
          <w:sz w:val="28"/>
          <w:szCs w:val="28"/>
          <w:highlight w:val="none"/>
        </w:rPr>
        <w:t>残疾人福利性单位声明函</w:t>
      </w:r>
    </w:p>
    <w:p w14:paraId="06C43C89">
      <w:pPr>
        <w:pStyle w:val="87"/>
        <w:keepNext w:val="0"/>
        <w:keepLines w:val="0"/>
        <w:pageBreakBefore w:val="0"/>
        <w:kinsoku/>
        <w:wordWrap/>
        <w:overflowPunct/>
        <w:topLinePunct w:val="0"/>
        <w:autoSpaceDE/>
        <w:autoSpaceDN/>
        <w:bidi w:val="0"/>
        <w:adjustRightInd/>
        <w:snapToGrid/>
        <w:spacing w:line="288" w:lineRule="auto"/>
        <w:ind w:left="0" w:leftChars="0" w:firstLine="0" w:firstLineChars="0"/>
        <w:textAlignment w:val="auto"/>
        <w:rPr>
          <w:rFonts w:hint="eastAsia" w:ascii="仿宋" w:hAnsi="仿宋" w:eastAsia="仿宋" w:cs="仿宋"/>
          <w:color w:val="auto"/>
          <w:kern w:val="0"/>
          <w:sz w:val="24"/>
          <w:szCs w:val="24"/>
          <w:highlight w:val="none"/>
          <w:u w:val="single"/>
          <w:lang w:bidi="ar"/>
        </w:rPr>
      </w:pPr>
      <w:r>
        <w:rPr>
          <w:rFonts w:hint="eastAsia" w:ascii="仿宋" w:hAnsi="仿宋" w:eastAsia="仿宋" w:cs="仿宋"/>
          <w:color w:val="auto"/>
          <w:kern w:val="0"/>
          <w:sz w:val="24"/>
          <w:szCs w:val="24"/>
          <w:highlight w:val="none"/>
          <w:u w:val="single"/>
          <w:lang w:eastAsia="zh-CN" w:bidi="ar"/>
        </w:rPr>
        <w:t>衢州智慧新城管理委员会</w:t>
      </w:r>
      <w:r>
        <w:rPr>
          <w:rFonts w:hint="eastAsia" w:ascii="仿宋" w:hAnsi="仿宋" w:eastAsia="仿宋" w:cs="仿宋"/>
          <w:color w:val="auto"/>
          <w:kern w:val="0"/>
          <w:sz w:val="24"/>
          <w:szCs w:val="24"/>
          <w:highlight w:val="none"/>
          <w:u w:val="single"/>
          <w:lang w:bidi="ar"/>
        </w:rPr>
        <w:t>：</w:t>
      </w:r>
    </w:p>
    <w:p w14:paraId="0579514E">
      <w:pPr>
        <w:keepNext w:val="0"/>
        <w:keepLines w:val="0"/>
        <w:pageBreakBefore w:val="0"/>
        <w:widowControl/>
        <w:kinsoku/>
        <w:wordWrap/>
        <w:overflowPunct/>
        <w:topLinePunct w:val="0"/>
        <w:autoSpaceDE/>
        <w:autoSpaceDN/>
        <w:bidi w:val="0"/>
        <w:adjustRightInd/>
        <w:snapToGrid/>
        <w:spacing w:line="288" w:lineRule="auto"/>
        <w:jc w:val="left"/>
        <w:textAlignment w:val="auto"/>
        <w:rPr>
          <w:rFonts w:hint="eastAsia" w:ascii="仿宋" w:hAnsi="仿宋" w:eastAsia="仿宋" w:cs="仿宋"/>
          <w:color w:val="auto"/>
          <w:kern w:val="0"/>
          <w:sz w:val="24"/>
          <w:szCs w:val="24"/>
          <w:highlight w:val="none"/>
          <w:u w:val="single"/>
          <w:lang w:bidi="ar"/>
        </w:rPr>
      </w:pPr>
      <w:r>
        <w:rPr>
          <w:rFonts w:hint="eastAsia" w:ascii="仿宋" w:hAnsi="仿宋" w:eastAsia="仿宋" w:cs="仿宋"/>
          <w:color w:val="auto"/>
          <w:kern w:val="0"/>
          <w:sz w:val="24"/>
          <w:szCs w:val="24"/>
          <w:highlight w:val="none"/>
          <w:u w:val="single"/>
          <w:lang w:eastAsia="zh-CN" w:bidi="ar"/>
        </w:rPr>
        <w:t>科信联合工程咨询有限公司</w:t>
      </w:r>
      <w:r>
        <w:rPr>
          <w:rFonts w:hint="eastAsia" w:ascii="仿宋" w:hAnsi="仿宋" w:eastAsia="仿宋" w:cs="仿宋"/>
          <w:color w:val="auto"/>
          <w:kern w:val="0"/>
          <w:sz w:val="24"/>
          <w:szCs w:val="24"/>
          <w:highlight w:val="none"/>
          <w:u w:val="single"/>
          <w:lang w:bidi="ar"/>
        </w:rPr>
        <w:t>：</w:t>
      </w:r>
    </w:p>
    <w:p w14:paraId="79103039">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本单位郑重声明，根据《财政部、民政部、中国残疾人联合会关于促进残疾人就业政府采购政策的通知》（财库〔2017〕141号）的规定，本单位为符合条件的残疾人福利性单位，且本单位参加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eastAsia="zh-CN" w:bidi="ar"/>
        </w:rPr>
        <w:t>衢州智慧新城管理委员会（采购人）</w:t>
      </w:r>
      <w:r>
        <w:rPr>
          <w:rFonts w:hint="eastAsia" w:ascii="仿宋" w:hAnsi="仿宋" w:eastAsia="仿宋" w:cs="仿宋"/>
          <w:color w:val="auto"/>
          <w:kern w:val="0"/>
          <w:sz w:val="24"/>
          <w:szCs w:val="24"/>
          <w:highlight w:val="none"/>
          <w:lang w:bidi="ar"/>
        </w:rPr>
        <w:t>单位的</w:t>
      </w:r>
      <w:r>
        <w:rPr>
          <w:rFonts w:hint="eastAsia" w:ascii="仿宋" w:hAnsi="仿宋" w:eastAsia="仿宋" w:cs="仿宋"/>
          <w:color w:val="auto"/>
          <w:kern w:val="0"/>
          <w:sz w:val="24"/>
          <w:szCs w:val="24"/>
          <w:highlight w:val="none"/>
          <w:u w:val="single"/>
          <w:lang w:eastAsia="zh-CN" w:bidi="ar"/>
        </w:rPr>
        <w:t>2025年度衢州智慧新城地下综合管廊与隧道运维服务项目（项目名称）（项目编号:kxqz2024108）</w:t>
      </w:r>
      <w:r>
        <w:rPr>
          <w:rFonts w:hint="eastAsia" w:ascii="仿宋" w:hAnsi="仿宋" w:eastAsia="仿宋" w:cs="仿宋"/>
          <w:color w:val="auto"/>
          <w:kern w:val="0"/>
          <w:sz w:val="24"/>
          <w:szCs w:val="24"/>
          <w:highlight w:val="none"/>
          <w:lang w:bidi="ar"/>
        </w:rPr>
        <w:t>采购活动，由本单位提供本单位的服务，或者提供其他残疾人福利性单位的服务。</w:t>
      </w:r>
    </w:p>
    <w:p w14:paraId="642DB1F2">
      <w:pPr>
        <w:keepNext w:val="0"/>
        <w:keepLines w:val="0"/>
        <w:pageBreakBefore w:val="0"/>
        <w:widowControl/>
        <w:kinsoku/>
        <w:wordWrap/>
        <w:overflowPunct/>
        <w:topLinePunct w:val="0"/>
        <w:autoSpaceDE/>
        <w:autoSpaceDN/>
        <w:bidi w:val="0"/>
        <w:adjustRightInd/>
        <w:snapToGrid/>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 xml:space="preserve">本单位对上述声明的真实性负责。如有虚假，将依法承担相应责任。 </w:t>
      </w:r>
    </w:p>
    <w:p w14:paraId="14182E2C">
      <w:pPr>
        <w:pStyle w:val="87"/>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color w:val="auto"/>
          <w:kern w:val="0"/>
          <w:sz w:val="24"/>
          <w:szCs w:val="24"/>
          <w:highlight w:val="none"/>
        </w:rPr>
      </w:pPr>
    </w:p>
    <w:p w14:paraId="786C928E">
      <w:pPr>
        <w:keepNext w:val="0"/>
        <w:keepLines w:val="0"/>
        <w:pageBreakBefore w:val="0"/>
        <w:tabs>
          <w:tab w:val="left" w:pos="4860"/>
        </w:tabs>
        <w:kinsoku/>
        <w:wordWrap/>
        <w:overflowPunct/>
        <w:topLinePunct w:val="0"/>
        <w:autoSpaceDE/>
        <w:autoSpaceDN/>
        <w:bidi w:val="0"/>
        <w:adjustRightInd/>
        <w:snapToGrid/>
        <w:spacing w:line="288" w:lineRule="auto"/>
        <w:ind w:right="1559"/>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单位名称（</w:t>
      </w:r>
      <w:r>
        <w:rPr>
          <w:rFonts w:hint="eastAsia" w:ascii="仿宋" w:hAnsi="仿宋" w:eastAsia="仿宋" w:cs="仿宋"/>
          <w:color w:val="auto"/>
          <w:kern w:val="0"/>
          <w:sz w:val="24"/>
          <w:szCs w:val="24"/>
          <w:highlight w:val="none"/>
        </w:rPr>
        <w:t>盖章或电子签章</w:t>
      </w:r>
      <w:r>
        <w:rPr>
          <w:rFonts w:hint="eastAsia" w:ascii="仿宋" w:hAnsi="仿宋" w:eastAsia="仿宋" w:cs="仿宋"/>
          <w:color w:val="auto"/>
          <w:kern w:val="0"/>
          <w:sz w:val="24"/>
          <w:szCs w:val="24"/>
          <w:highlight w:val="none"/>
          <w:lang w:bidi="ar"/>
        </w:rPr>
        <w:t>）：</w:t>
      </w:r>
    </w:p>
    <w:p w14:paraId="314722FC">
      <w:pPr>
        <w:keepNext w:val="0"/>
        <w:keepLines w:val="0"/>
        <w:pageBreakBefore w:val="0"/>
        <w:kinsoku/>
        <w:wordWrap/>
        <w:overflowPunct/>
        <w:topLinePunct w:val="0"/>
        <w:autoSpaceDE/>
        <w:autoSpaceDN/>
        <w:bidi w:val="0"/>
        <w:adjustRightInd/>
        <w:snapToGrid/>
        <w:spacing w:line="288"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日  期：</w:t>
      </w:r>
    </w:p>
    <w:p w14:paraId="79409ED6">
      <w:pPr>
        <w:pStyle w:val="87"/>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33CB4345">
      <w:pPr>
        <w:pStyle w:val="87"/>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3A26B6B1">
      <w:pPr>
        <w:pStyle w:val="87"/>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68817CFB">
      <w:pPr>
        <w:pStyle w:val="87"/>
        <w:keepNext w:val="0"/>
        <w:keepLines w:val="0"/>
        <w:pageBreakBefore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244DDF00">
      <w:pPr>
        <w:rPr>
          <w:rFonts w:hint="eastAsia" w:ascii="仿宋" w:hAnsi="仿宋" w:eastAsia="仿宋" w:cs="仿宋"/>
          <w:color w:val="auto"/>
          <w:highlight w:val="none"/>
        </w:rPr>
      </w:pPr>
    </w:p>
    <w:p w14:paraId="2FF8BBD4">
      <w:pPr>
        <w:rPr>
          <w:rFonts w:hint="eastAsia" w:ascii="仿宋" w:hAnsi="仿宋" w:eastAsia="仿宋" w:cs="仿宋"/>
          <w:color w:val="auto"/>
          <w:highlight w:val="none"/>
        </w:rPr>
      </w:pPr>
    </w:p>
    <w:p w14:paraId="42A7BE01">
      <w:pPr>
        <w:rPr>
          <w:rFonts w:hint="eastAsia" w:ascii="仿宋" w:hAnsi="仿宋" w:eastAsia="仿宋" w:cs="仿宋"/>
          <w:color w:val="auto"/>
          <w:highlight w:val="none"/>
        </w:rPr>
      </w:pPr>
    </w:p>
    <w:p w14:paraId="53842857">
      <w:pPr>
        <w:rPr>
          <w:rFonts w:hint="eastAsia" w:ascii="仿宋" w:hAnsi="仿宋" w:eastAsia="仿宋" w:cs="仿宋"/>
          <w:color w:val="auto"/>
          <w:highlight w:val="none"/>
        </w:rPr>
      </w:pPr>
    </w:p>
    <w:p w14:paraId="2638533D">
      <w:pPr>
        <w:rPr>
          <w:rFonts w:hint="eastAsia" w:ascii="仿宋" w:hAnsi="仿宋" w:eastAsia="仿宋" w:cs="仿宋"/>
          <w:color w:val="auto"/>
          <w:highlight w:val="none"/>
        </w:rPr>
      </w:pPr>
    </w:p>
    <w:p w14:paraId="7D6A70D8">
      <w:pPr>
        <w:rPr>
          <w:rFonts w:hint="eastAsia" w:ascii="仿宋" w:hAnsi="仿宋" w:eastAsia="仿宋" w:cs="仿宋"/>
          <w:color w:val="auto"/>
          <w:highlight w:val="none"/>
        </w:rPr>
      </w:pPr>
    </w:p>
    <w:p w14:paraId="70E65296">
      <w:pPr>
        <w:rPr>
          <w:rFonts w:hint="eastAsia" w:ascii="仿宋" w:hAnsi="仿宋" w:eastAsia="仿宋" w:cs="仿宋"/>
          <w:color w:val="auto"/>
          <w:highlight w:val="none"/>
        </w:rPr>
      </w:pPr>
    </w:p>
    <w:p w14:paraId="3B410551">
      <w:pPr>
        <w:rPr>
          <w:rFonts w:hint="eastAsia" w:ascii="仿宋" w:hAnsi="仿宋" w:eastAsia="仿宋" w:cs="仿宋"/>
          <w:color w:val="auto"/>
          <w:highlight w:val="none"/>
        </w:rPr>
      </w:pPr>
    </w:p>
    <w:p w14:paraId="42727C25">
      <w:pPr>
        <w:rPr>
          <w:rFonts w:hint="eastAsia" w:ascii="仿宋" w:hAnsi="仿宋" w:eastAsia="仿宋" w:cs="仿宋"/>
          <w:color w:val="auto"/>
          <w:highlight w:val="none"/>
        </w:rPr>
      </w:pPr>
    </w:p>
    <w:p w14:paraId="753BB4FE">
      <w:pPr>
        <w:rPr>
          <w:rFonts w:hint="eastAsia" w:ascii="仿宋" w:hAnsi="仿宋" w:eastAsia="仿宋" w:cs="仿宋"/>
          <w:color w:val="auto"/>
          <w:highlight w:val="none"/>
        </w:rPr>
      </w:pPr>
    </w:p>
    <w:p w14:paraId="7EE084F7">
      <w:pPr>
        <w:rPr>
          <w:rFonts w:hint="eastAsia" w:ascii="仿宋" w:hAnsi="仿宋" w:eastAsia="仿宋" w:cs="仿宋"/>
          <w:color w:val="auto"/>
          <w:highlight w:val="none"/>
        </w:rPr>
      </w:pPr>
    </w:p>
    <w:p w14:paraId="4CFC2C45">
      <w:pPr>
        <w:pStyle w:val="3"/>
        <w:ind w:firstLine="210"/>
        <w:rPr>
          <w:rFonts w:hint="eastAsia" w:ascii="仿宋" w:hAnsi="仿宋" w:eastAsia="仿宋" w:cs="仿宋"/>
          <w:color w:val="auto"/>
          <w:highlight w:val="none"/>
        </w:rPr>
      </w:pPr>
    </w:p>
    <w:p w14:paraId="1DBB0010">
      <w:pPr>
        <w:rPr>
          <w:rFonts w:hint="eastAsia" w:ascii="仿宋" w:hAnsi="仿宋" w:eastAsia="仿宋" w:cs="仿宋"/>
          <w:color w:val="auto"/>
          <w:highlight w:val="none"/>
        </w:rPr>
      </w:pPr>
    </w:p>
    <w:p w14:paraId="5E099E05">
      <w:pPr>
        <w:pStyle w:val="87"/>
        <w:spacing w:line="600" w:lineRule="exact"/>
        <w:ind w:firstLine="0" w:firstLineChars="0"/>
        <w:rPr>
          <w:rFonts w:hint="eastAsia" w:ascii="仿宋" w:hAnsi="仿宋" w:eastAsia="仿宋" w:cs="仿宋"/>
          <w:b/>
          <w:bCs/>
          <w:color w:val="auto"/>
          <w:sz w:val="24"/>
          <w:highlight w:val="none"/>
        </w:rPr>
      </w:pPr>
    </w:p>
    <w:p w14:paraId="3CAB8BA4">
      <w:pPr>
        <w:pStyle w:val="87"/>
        <w:keepNext w:val="0"/>
        <w:keepLines w:val="0"/>
        <w:pageBreakBefore w:val="0"/>
        <w:kinsoku/>
        <w:wordWrap/>
        <w:overflowPunct/>
        <w:topLinePunct w:val="0"/>
        <w:autoSpaceDE/>
        <w:autoSpaceDN/>
        <w:bidi w:val="0"/>
        <w:spacing w:line="288" w:lineRule="auto"/>
        <w:ind w:left="0" w:leftChars="0" w:firstLine="0" w:firstLineChars="0"/>
        <w:textAlignment w:val="auto"/>
        <w:rPr>
          <w:rFonts w:hint="eastAsia" w:ascii="仿宋" w:hAnsi="仿宋" w:eastAsia="仿宋" w:cs="仿宋"/>
          <w:b/>
          <w:bCs/>
          <w:color w:val="auto"/>
          <w:sz w:val="24"/>
          <w:highlight w:val="none"/>
        </w:rPr>
      </w:pPr>
    </w:p>
    <w:p w14:paraId="3D332E7A">
      <w:pPr>
        <w:pStyle w:val="87"/>
        <w:keepNext w:val="0"/>
        <w:keepLines w:val="0"/>
        <w:pageBreakBefore w:val="0"/>
        <w:kinsoku/>
        <w:wordWrap/>
        <w:overflowPunct/>
        <w:topLinePunct w:val="0"/>
        <w:autoSpaceDE/>
        <w:autoSpaceDN/>
        <w:bidi w:val="0"/>
        <w:spacing w:line="288" w:lineRule="auto"/>
        <w:ind w:left="0" w:leftChars="0" w:firstLine="0" w:firstLineChars="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w:t>
      </w:r>
      <w:r>
        <w:rPr>
          <w:rFonts w:hint="eastAsia" w:ascii="仿宋" w:hAnsi="仿宋" w:eastAsia="仿宋" w:cs="仿宋"/>
          <w:b/>
          <w:bCs/>
          <w:color w:val="auto"/>
          <w:sz w:val="24"/>
          <w:highlight w:val="none"/>
          <w:lang w:val="en-US" w:eastAsia="zh-CN"/>
        </w:rPr>
        <w:t>.</w:t>
      </w:r>
      <w:r>
        <w:rPr>
          <w:rFonts w:hint="eastAsia" w:ascii="仿宋" w:hAnsi="仿宋" w:eastAsia="仿宋" w:cs="仿宋"/>
          <w:b/>
          <w:bCs/>
          <w:color w:val="auto"/>
          <w:sz w:val="24"/>
          <w:highlight w:val="none"/>
        </w:rPr>
        <w:t>金融、保险、通讯等特定行业的全国性企业所设立的区域性分支机构以及个体工商户、个人独资企业、合伙企业能证明其具备实际承担责任的能力和法定的缔结合同能力，可以独立参加政府采购活动的证明材料：</w:t>
      </w:r>
    </w:p>
    <w:p w14:paraId="21FE90DB">
      <w:pPr>
        <w:keepNext w:val="0"/>
        <w:keepLines w:val="0"/>
        <w:pageBreakBefore w:val="0"/>
        <w:widowControl/>
        <w:kinsoku/>
        <w:wordWrap/>
        <w:overflowPunct/>
        <w:topLinePunct w:val="0"/>
        <w:autoSpaceDE/>
        <w:autoSpaceDN/>
        <w:bidi w:val="0"/>
        <w:spacing w:line="288" w:lineRule="auto"/>
        <w:jc w:val="left"/>
        <w:textAlignment w:val="auto"/>
        <w:rPr>
          <w:rFonts w:hint="eastAsia" w:ascii="仿宋" w:hAnsi="仿宋" w:eastAsia="仿宋" w:cs="仿宋"/>
          <w:b/>
          <w:bCs/>
          <w:color w:val="auto"/>
          <w:kern w:val="0"/>
          <w:sz w:val="28"/>
          <w:szCs w:val="28"/>
          <w:highlight w:val="none"/>
          <w:lang w:bidi="ar"/>
        </w:rPr>
      </w:pPr>
    </w:p>
    <w:p w14:paraId="2879DB5B">
      <w:pPr>
        <w:keepNext w:val="0"/>
        <w:keepLines w:val="0"/>
        <w:pageBreakBefore w:val="0"/>
        <w:widowControl/>
        <w:kinsoku/>
        <w:wordWrap/>
        <w:overflowPunct/>
        <w:topLinePunct w:val="0"/>
        <w:autoSpaceDE/>
        <w:autoSpaceDN/>
        <w:bidi w:val="0"/>
        <w:spacing w:line="288" w:lineRule="auto"/>
        <w:ind w:firstLine="562" w:firstLineChars="200"/>
        <w:jc w:val="center"/>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企业类型的声明函</w:t>
      </w:r>
    </w:p>
    <w:p w14:paraId="26C9ADC3">
      <w:pPr>
        <w:pStyle w:val="87"/>
        <w:keepNext w:val="0"/>
        <w:keepLines w:val="0"/>
        <w:pageBreakBefore w:val="0"/>
        <w:kinsoku/>
        <w:wordWrap/>
        <w:overflowPunct/>
        <w:topLinePunct w:val="0"/>
        <w:autoSpaceDE/>
        <w:autoSpaceDN/>
        <w:bidi w:val="0"/>
        <w:spacing w:line="288" w:lineRule="auto"/>
        <w:ind w:left="0" w:leftChars="0" w:firstLine="0" w:firstLineChars="0"/>
        <w:textAlignment w:val="auto"/>
        <w:rPr>
          <w:rFonts w:hint="eastAsia" w:ascii="仿宋" w:hAnsi="仿宋" w:eastAsia="仿宋" w:cs="仿宋"/>
          <w:color w:val="auto"/>
          <w:kern w:val="0"/>
          <w:sz w:val="24"/>
          <w:highlight w:val="none"/>
          <w:u w:val="single"/>
          <w:lang w:bidi="ar"/>
        </w:rPr>
      </w:pPr>
      <w:r>
        <w:rPr>
          <w:rFonts w:hint="eastAsia" w:ascii="仿宋" w:hAnsi="仿宋" w:eastAsia="仿宋" w:cs="仿宋"/>
          <w:color w:val="auto"/>
          <w:kern w:val="0"/>
          <w:sz w:val="24"/>
          <w:highlight w:val="none"/>
          <w:u w:val="single"/>
          <w:lang w:eastAsia="zh-CN" w:bidi="ar"/>
        </w:rPr>
        <w:t>衢州智慧新城管理委员会</w:t>
      </w:r>
      <w:r>
        <w:rPr>
          <w:rFonts w:hint="eastAsia" w:ascii="仿宋" w:hAnsi="仿宋" w:eastAsia="仿宋" w:cs="仿宋"/>
          <w:color w:val="auto"/>
          <w:kern w:val="0"/>
          <w:sz w:val="24"/>
          <w:highlight w:val="none"/>
          <w:u w:val="single"/>
          <w:lang w:bidi="ar"/>
        </w:rPr>
        <w:t>：</w:t>
      </w:r>
    </w:p>
    <w:p w14:paraId="4915BDA9">
      <w:pPr>
        <w:keepNext w:val="0"/>
        <w:keepLines w:val="0"/>
        <w:pageBreakBefore w:val="0"/>
        <w:widowControl/>
        <w:kinsoku/>
        <w:wordWrap/>
        <w:overflowPunct/>
        <w:topLinePunct w:val="0"/>
        <w:autoSpaceDE/>
        <w:autoSpaceDN/>
        <w:bidi w:val="0"/>
        <w:spacing w:line="28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u w:val="single"/>
          <w:lang w:eastAsia="zh-CN" w:bidi="ar"/>
        </w:rPr>
        <w:t>科信联合工程咨询有限公司</w:t>
      </w:r>
      <w:r>
        <w:rPr>
          <w:rFonts w:hint="eastAsia" w:ascii="仿宋" w:hAnsi="仿宋" w:eastAsia="仿宋" w:cs="仿宋"/>
          <w:color w:val="auto"/>
          <w:kern w:val="0"/>
          <w:sz w:val="24"/>
          <w:szCs w:val="24"/>
          <w:highlight w:val="none"/>
          <w:u w:val="single"/>
          <w:lang w:bidi="ar"/>
        </w:rPr>
        <w:t>：</w:t>
      </w:r>
    </w:p>
    <w:p w14:paraId="3C49DDF8">
      <w:pPr>
        <w:keepNext w:val="0"/>
        <w:keepLines w:val="0"/>
        <w:pageBreakBefore w:val="0"/>
        <w:widowControl/>
        <w:kinsoku/>
        <w:wordWrap/>
        <w:overflowPunct/>
        <w:topLinePunct w:val="0"/>
        <w:autoSpaceDE/>
        <w:autoSpaceDN/>
        <w:bidi w:val="0"/>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 xml:space="preserve">我方不属于金融、保险、通讯等特定行业的全国性企业所设立的区域性分支机构、个体工商户、个人独资企业、合伙企业。 </w:t>
      </w:r>
    </w:p>
    <w:p w14:paraId="5CDDA941">
      <w:pPr>
        <w:keepNext w:val="0"/>
        <w:keepLines w:val="0"/>
        <w:pageBreakBefore w:val="0"/>
        <w:widowControl/>
        <w:kinsoku/>
        <w:wordWrap/>
        <w:overflowPunct/>
        <w:topLinePunct w:val="0"/>
        <w:autoSpaceDE/>
        <w:autoSpaceDN/>
        <w:bidi w:val="0"/>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 xml:space="preserve">我方对上述声明的真实性负责。如有虚假，采购人可取消我方任何资格（投标/中标/签订合同），我方愿意承担相应责任，对此无任何异议。 </w:t>
      </w:r>
    </w:p>
    <w:p w14:paraId="72788C70">
      <w:pPr>
        <w:keepNext w:val="0"/>
        <w:keepLines w:val="0"/>
        <w:pageBreakBefore w:val="0"/>
        <w:widowControl/>
        <w:kinsoku/>
        <w:wordWrap/>
        <w:overflowPunct/>
        <w:topLinePunct w:val="0"/>
        <w:autoSpaceDE/>
        <w:autoSpaceDN/>
        <w:bidi w:val="0"/>
        <w:spacing w:line="288" w:lineRule="auto"/>
        <w:ind w:firstLine="480" w:firstLineChars="200"/>
        <w:jc w:val="left"/>
        <w:textAlignment w:val="auto"/>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 xml:space="preserve">特此声明！ </w:t>
      </w:r>
    </w:p>
    <w:p w14:paraId="78DDE4ED">
      <w:pPr>
        <w:pStyle w:val="87"/>
        <w:keepNext w:val="0"/>
        <w:keepLines w:val="0"/>
        <w:pageBreakBefore w:val="0"/>
        <w:kinsoku/>
        <w:wordWrap/>
        <w:overflowPunct/>
        <w:topLinePunct w:val="0"/>
        <w:autoSpaceDE/>
        <w:autoSpaceDN/>
        <w:bidi w:val="0"/>
        <w:spacing w:line="288" w:lineRule="auto"/>
        <w:ind w:firstLine="0" w:firstLineChars="0"/>
        <w:textAlignment w:val="auto"/>
        <w:rPr>
          <w:rFonts w:hint="eastAsia" w:ascii="仿宋" w:hAnsi="仿宋" w:eastAsia="仿宋" w:cs="仿宋"/>
          <w:color w:val="auto"/>
          <w:kern w:val="0"/>
          <w:sz w:val="24"/>
          <w:highlight w:val="none"/>
        </w:rPr>
      </w:pPr>
    </w:p>
    <w:p w14:paraId="67F5AD56">
      <w:pPr>
        <w:keepNext w:val="0"/>
        <w:keepLines w:val="0"/>
        <w:pageBreakBefore w:val="0"/>
        <w:widowControl/>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供应商名称（盖章或电子签章）</w:t>
      </w:r>
      <w:r>
        <w:rPr>
          <w:rFonts w:hint="eastAsia" w:ascii="仿宋" w:hAnsi="仿宋" w:eastAsia="仿宋" w:cs="仿宋"/>
          <w:color w:val="auto"/>
          <w:kern w:val="0"/>
          <w:sz w:val="24"/>
          <w:szCs w:val="24"/>
          <w:highlight w:val="none"/>
        </w:rPr>
        <w:t xml:space="preserve"> ：</w:t>
      </w:r>
    </w:p>
    <w:p w14:paraId="5B7E6A79">
      <w:pPr>
        <w:keepNext w:val="0"/>
        <w:keepLines w:val="0"/>
        <w:pageBreakBefore w:val="0"/>
        <w:widowControl/>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法定代表人或其授权代表（签字或盖章或电子签章）：</w:t>
      </w:r>
    </w:p>
    <w:p w14:paraId="6C79338F">
      <w:pPr>
        <w:keepNext w:val="0"/>
        <w:keepLines w:val="0"/>
        <w:pageBreakBefore w:val="0"/>
        <w:widowControl/>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日期：     年  月  日</w:t>
      </w:r>
    </w:p>
    <w:p w14:paraId="286C50BC">
      <w:pPr>
        <w:pStyle w:val="3"/>
        <w:keepNext w:val="0"/>
        <w:keepLines w:val="0"/>
        <w:pageBreakBefore w:val="0"/>
        <w:kinsoku/>
        <w:wordWrap/>
        <w:overflowPunct/>
        <w:topLinePunct w:val="0"/>
        <w:autoSpaceDE/>
        <w:autoSpaceDN/>
        <w:bidi w:val="0"/>
        <w:spacing w:line="288" w:lineRule="auto"/>
        <w:ind w:firstLine="281"/>
        <w:textAlignment w:val="auto"/>
        <w:rPr>
          <w:rFonts w:hint="eastAsia" w:ascii="仿宋" w:hAnsi="仿宋" w:eastAsia="仿宋" w:cs="仿宋"/>
          <w:b/>
          <w:bCs/>
          <w:color w:val="auto"/>
          <w:sz w:val="28"/>
          <w:szCs w:val="28"/>
          <w:highlight w:val="none"/>
        </w:rPr>
      </w:pPr>
    </w:p>
    <w:p w14:paraId="2F7AD6F7">
      <w:pPr>
        <w:pStyle w:val="4"/>
        <w:rPr>
          <w:rFonts w:hint="eastAsia" w:ascii="仿宋" w:hAnsi="仿宋" w:eastAsia="仿宋" w:cs="仿宋"/>
          <w:b/>
          <w:bCs/>
          <w:color w:val="auto"/>
          <w:sz w:val="28"/>
          <w:szCs w:val="28"/>
          <w:highlight w:val="none"/>
        </w:rPr>
      </w:pPr>
    </w:p>
    <w:p w14:paraId="1346ECFF">
      <w:pPr>
        <w:rPr>
          <w:rFonts w:hint="eastAsia" w:ascii="仿宋" w:hAnsi="仿宋" w:eastAsia="仿宋" w:cs="仿宋"/>
          <w:b/>
          <w:bCs/>
          <w:color w:val="auto"/>
          <w:sz w:val="28"/>
          <w:szCs w:val="28"/>
          <w:highlight w:val="none"/>
        </w:rPr>
      </w:pPr>
    </w:p>
    <w:p w14:paraId="60C8B619">
      <w:pPr>
        <w:pStyle w:val="3"/>
        <w:ind w:firstLine="281"/>
        <w:rPr>
          <w:rFonts w:hint="eastAsia" w:ascii="仿宋" w:hAnsi="仿宋" w:eastAsia="仿宋" w:cs="仿宋"/>
          <w:b/>
          <w:bCs/>
          <w:color w:val="auto"/>
          <w:sz w:val="28"/>
          <w:szCs w:val="28"/>
          <w:highlight w:val="none"/>
        </w:rPr>
      </w:pPr>
    </w:p>
    <w:p w14:paraId="53990039">
      <w:pPr>
        <w:rPr>
          <w:rFonts w:hint="eastAsia" w:ascii="仿宋" w:hAnsi="仿宋" w:eastAsia="仿宋" w:cs="仿宋"/>
          <w:b/>
          <w:bCs/>
          <w:color w:val="auto"/>
          <w:sz w:val="28"/>
          <w:szCs w:val="28"/>
          <w:highlight w:val="none"/>
        </w:rPr>
      </w:pPr>
    </w:p>
    <w:p w14:paraId="1FDC52C6">
      <w:pPr>
        <w:pStyle w:val="3"/>
        <w:ind w:firstLine="281"/>
        <w:rPr>
          <w:rFonts w:hint="eastAsia" w:ascii="仿宋" w:hAnsi="仿宋" w:eastAsia="仿宋" w:cs="仿宋"/>
          <w:b/>
          <w:bCs/>
          <w:color w:val="auto"/>
          <w:sz w:val="28"/>
          <w:szCs w:val="28"/>
          <w:highlight w:val="none"/>
        </w:rPr>
      </w:pPr>
    </w:p>
    <w:p w14:paraId="683E5BD7">
      <w:pPr>
        <w:pStyle w:val="4"/>
        <w:rPr>
          <w:rFonts w:hint="eastAsia" w:ascii="仿宋" w:hAnsi="仿宋" w:eastAsia="仿宋" w:cs="仿宋"/>
          <w:b/>
          <w:bCs/>
          <w:color w:val="auto"/>
          <w:sz w:val="28"/>
          <w:szCs w:val="28"/>
          <w:highlight w:val="none"/>
        </w:rPr>
      </w:pPr>
    </w:p>
    <w:p w14:paraId="7DD419C1">
      <w:pPr>
        <w:rPr>
          <w:rFonts w:hint="eastAsia" w:ascii="仿宋" w:hAnsi="仿宋" w:eastAsia="仿宋" w:cs="仿宋"/>
          <w:b/>
          <w:bCs/>
          <w:color w:val="auto"/>
          <w:sz w:val="28"/>
          <w:szCs w:val="28"/>
          <w:highlight w:val="none"/>
        </w:rPr>
      </w:pPr>
    </w:p>
    <w:p w14:paraId="63AB7428">
      <w:pPr>
        <w:pStyle w:val="100"/>
        <w:rPr>
          <w:rFonts w:hint="eastAsia" w:ascii="仿宋" w:hAnsi="仿宋" w:eastAsia="仿宋" w:cs="仿宋"/>
          <w:b/>
          <w:bCs/>
          <w:color w:val="auto"/>
          <w:sz w:val="28"/>
          <w:szCs w:val="28"/>
          <w:highlight w:val="none"/>
        </w:rPr>
      </w:pPr>
    </w:p>
    <w:p w14:paraId="65648954">
      <w:pPr>
        <w:pStyle w:val="100"/>
        <w:rPr>
          <w:rFonts w:hint="eastAsia" w:ascii="仿宋" w:hAnsi="仿宋" w:eastAsia="仿宋" w:cs="仿宋"/>
          <w:b/>
          <w:bCs/>
          <w:color w:val="auto"/>
          <w:sz w:val="28"/>
          <w:szCs w:val="28"/>
          <w:highlight w:val="none"/>
        </w:rPr>
      </w:pPr>
    </w:p>
    <w:p w14:paraId="06A6357B">
      <w:pPr>
        <w:pStyle w:val="100"/>
        <w:rPr>
          <w:rFonts w:hint="eastAsia" w:ascii="仿宋" w:hAnsi="仿宋" w:eastAsia="仿宋" w:cs="仿宋"/>
          <w:b/>
          <w:bCs/>
          <w:color w:val="auto"/>
          <w:sz w:val="28"/>
          <w:szCs w:val="28"/>
          <w:highlight w:val="none"/>
        </w:rPr>
      </w:pPr>
    </w:p>
    <w:p w14:paraId="7B93BA20">
      <w:pPr>
        <w:pStyle w:val="3"/>
        <w:ind w:firstLine="210"/>
        <w:rPr>
          <w:rFonts w:hint="eastAsia" w:ascii="仿宋" w:hAnsi="仿宋" w:eastAsia="仿宋" w:cs="仿宋"/>
          <w:color w:val="auto"/>
          <w:highlight w:val="none"/>
        </w:rPr>
      </w:pPr>
    </w:p>
    <w:p w14:paraId="11BE157E">
      <w:pPr>
        <w:rPr>
          <w:rFonts w:hint="eastAsia" w:ascii="仿宋" w:hAnsi="仿宋" w:eastAsia="仿宋" w:cs="仿宋"/>
          <w:color w:val="auto"/>
          <w:highlight w:val="none"/>
        </w:rPr>
      </w:pPr>
    </w:p>
    <w:p w14:paraId="6A2F227B">
      <w:pPr>
        <w:widowControl/>
        <w:adjustRightInd w:val="0"/>
        <w:spacing w:line="360" w:lineRule="auto"/>
        <w:ind w:left="150"/>
        <w:jc w:val="center"/>
        <w:rPr>
          <w:rFonts w:hint="eastAsia" w:ascii="仿宋" w:hAnsi="仿宋" w:eastAsia="仿宋" w:cs="仿宋"/>
          <w:b/>
          <w:color w:val="auto"/>
          <w:kern w:val="0"/>
          <w:sz w:val="28"/>
          <w:szCs w:val="28"/>
          <w:highlight w:val="none"/>
        </w:rPr>
      </w:pPr>
    </w:p>
    <w:p w14:paraId="5AFFE46C">
      <w:pPr>
        <w:widowControl/>
        <w:adjustRightInd w:val="0"/>
        <w:spacing w:line="360" w:lineRule="auto"/>
        <w:ind w:left="150"/>
        <w:jc w:val="center"/>
        <w:rPr>
          <w:rFonts w:hint="eastAsia" w:ascii="仿宋" w:hAnsi="仿宋" w:eastAsia="仿宋" w:cs="仿宋"/>
          <w:b/>
          <w:color w:val="auto"/>
          <w:kern w:val="0"/>
          <w:sz w:val="28"/>
          <w:szCs w:val="28"/>
          <w:highlight w:val="none"/>
        </w:rPr>
      </w:pPr>
    </w:p>
    <w:p w14:paraId="02FD0324">
      <w:pPr>
        <w:widowControl/>
        <w:adjustRightInd w:val="0"/>
        <w:spacing w:line="360" w:lineRule="auto"/>
        <w:ind w:left="150"/>
        <w:jc w:val="center"/>
        <w:rPr>
          <w:rFonts w:hint="eastAsia" w:ascii="仿宋" w:hAnsi="仿宋" w:eastAsia="仿宋" w:cs="仿宋"/>
          <w:b/>
          <w:color w:val="auto"/>
          <w:kern w:val="0"/>
          <w:sz w:val="28"/>
          <w:szCs w:val="28"/>
          <w:highlight w:val="none"/>
        </w:rPr>
      </w:pPr>
    </w:p>
    <w:p w14:paraId="7991A0BD">
      <w:pPr>
        <w:pStyle w:val="2"/>
        <w:rPr>
          <w:rFonts w:hint="eastAsia" w:ascii="仿宋" w:hAnsi="仿宋" w:eastAsia="仿宋" w:cs="仿宋"/>
          <w:b/>
          <w:color w:val="auto"/>
          <w:kern w:val="0"/>
          <w:sz w:val="28"/>
          <w:szCs w:val="28"/>
          <w:highlight w:val="none"/>
        </w:rPr>
      </w:pPr>
    </w:p>
    <w:p w14:paraId="1DEF4F0F">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textAlignment w:val="auto"/>
        <w:rPr>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lang w:val="zh-CN" w:eastAsia="zh-CN"/>
        </w:rPr>
        <w:t>供应商必须具有独立法人资格，且具备市政公用工程施工总承包企业资质</w:t>
      </w: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lang w:val="zh-CN" w:eastAsia="zh-CN"/>
        </w:rPr>
        <w:t>级及以上资质（对应资质在“浙江省建筑市场监管公共服务系统”上资质动态核查结果处于“合格”状态的核查证明）</w:t>
      </w:r>
    </w:p>
    <w:p w14:paraId="5599C8E4">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证明材料：提供资质证书扫描件及</w:t>
      </w:r>
      <w:r>
        <w:rPr>
          <w:rFonts w:hint="eastAsia" w:ascii="仿宋" w:hAnsi="仿宋" w:eastAsia="仿宋" w:cs="仿宋"/>
          <w:b/>
          <w:bCs/>
          <w:color w:val="auto"/>
          <w:sz w:val="24"/>
          <w:szCs w:val="24"/>
          <w:highlight w:val="none"/>
        </w:rPr>
        <w:t>动态核查证明</w:t>
      </w:r>
      <w:r>
        <w:rPr>
          <w:rFonts w:hint="eastAsia" w:ascii="仿宋" w:hAnsi="仿宋" w:eastAsia="仿宋" w:cs="仿宋"/>
          <w:b/>
          <w:bCs/>
          <w:color w:val="auto"/>
          <w:sz w:val="24"/>
          <w:szCs w:val="24"/>
          <w:highlight w:val="none"/>
          <w:lang w:val="en-US" w:eastAsia="zh-CN"/>
        </w:rPr>
        <w:t>截图。</w:t>
      </w:r>
    </w:p>
    <w:p w14:paraId="0D44B374">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textAlignment w:val="auto"/>
        <w:rPr>
          <w:rFonts w:hint="eastAsia" w:ascii="仿宋" w:hAnsi="仿宋" w:eastAsia="仿宋" w:cs="仿宋"/>
          <w:b/>
          <w:bCs/>
          <w:color w:val="auto"/>
          <w:sz w:val="24"/>
          <w:szCs w:val="24"/>
          <w:highlight w:val="none"/>
          <w:lang w:val="en-US" w:eastAsia="zh-CN"/>
        </w:rPr>
      </w:pPr>
    </w:p>
    <w:p w14:paraId="2B178D7F">
      <w:pPr>
        <w:pStyle w:val="87"/>
        <w:keepNext w:val="0"/>
        <w:keepLines w:val="0"/>
        <w:pageBreakBefore w:val="0"/>
        <w:widowControl w:val="0"/>
        <w:numPr>
          <w:ilvl w:val="0"/>
          <w:numId w:val="0"/>
        </w:numPr>
        <w:kinsoku/>
        <w:wordWrap/>
        <w:overflowPunct/>
        <w:topLinePunct w:val="0"/>
        <w:autoSpaceDE/>
        <w:autoSpaceDN/>
        <w:bidi w:val="0"/>
        <w:adjustRightInd/>
        <w:snapToGrid/>
        <w:spacing w:line="288" w:lineRule="auto"/>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lang w:val="zh-CN" w:eastAsia="zh-CN"/>
        </w:rPr>
        <w:t>拟派项目负责人具有市政公用工程二级及以上注册建造师执业证。</w:t>
      </w:r>
      <w:r>
        <w:rPr>
          <w:rFonts w:hint="eastAsia" w:ascii="仿宋" w:hAnsi="仿宋" w:eastAsia="仿宋" w:cs="仿宋"/>
          <w:b/>
          <w:bCs/>
          <w:color w:val="auto"/>
          <w:sz w:val="24"/>
          <w:szCs w:val="24"/>
          <w:highlight w:val="none"/>
          <w:lang w:val="zh-CN" w:eastAsia="zh-CN"/>
        </w:rPr>
        <w:br w:type="textWrapping"/>
      </w:r>
      <w:r>
        <w:rPr>
          <w:rFonts w:hint="eastAsia" w:ascii="仿宋" w:hAnsi="仿宋" w:eastAsia="仿宋" w:cs="仿宋"/>
          <w:b/>
          <w:bCs/>
          <w:color w:val="auto"/>
          <w:sz w:val="24"/>
          <w:szCs w:val="24"/>
          <w:highlight w:val="none"/>
          <w:lang w:val="en-US" w:eastAsia="zh-CN"/>
        </w:rPr>
        <w:t>证明材料：提供项目负责人</w:t>
      </w:r>
      <w:r>
        <w:rPr>
          <w:rFonts w:hint="eastAsia" w:ascii="仿宋" w:hAnsi="仿宋" w:eastAsia="仿宋" w:cs="仿宋"/>
          <w:b/>
          <w:bCs/>
          <w:color w:val="auto"/>
          <w:sz w:val="24"/>
          <w:szCs w:val="24"/>
          <w:highlight w:val="none"/>
        </w:rPr>
        <w:t>执业</w:t>
      </w:r>
      <w:r>
        <w:rPr>
          <w:rFonts w:hint="eastAsia" w:ascii="仿宋" w:hAnsi="仿宋" w:eastAsia="仿宋" w:cs="仿宋"/>
          <w:b/>
          <w:bCs/>
          <w:color w:val="auto"/>
          <w:sz w:val="24"/>
          <w:szCs w:val="24"/>
          <w:highlight w:val="none"/>
          <w:lang w:val="en-US" w:eastAsia="zh-CN"/>
        </w:rPr>
        <w:t>证书扫描件。</w:t>
      </w:r>
    </w:p>
    <w:p w14:paraId="37295ACD">
      <w:pPr>
        <w:pStyle w:val="2"/>
        <w:rPr>
          <w:rFonts w:hint="eastAsia"/>
          <w:color w:val="auto"/>
          <w:highlight w:val="none"/>
        </w:rPr>
      </w:pPr>
    </w:p>
    <w:p w14:paraId="480A6261">
      <w:pPr>
        <w:pStyle w:val="87"/>
        <w:pageBreakBefore/>
        <w:numPr>
          <w:ilvl w:val="0"/>
          <w:numId w:val="6"/>
        </w:numPr>
        <w:spacing w:line="600" w:lineRule="exact"/>
        <w:ind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商务技术文件</w:t>
      </w:r>
    </w:p>
    <w:p w14:paraId="5A5B64CD">
      <w:pPr>
        <w:autoSpaceDE w:val="0"/>
        <w:autoSpaceDN w:val="0"/>
        <w:adjustRightInd w:val="0"/>
        <w:spacing w:line="400" w:lineRule="exact"/>
        <w:jc w:val="center"/>
        <w:rPr>
          <w:rFonts w:hint="eastAsia" w:ascii="仿宋" w:hAnsi="仿宋" w:eastAsia="仿宋" w:cs="仿宋"/>
          <w:bCs/>
          <w:color w:val="auto"/>
          <w:sz w:val="30"/>
          <w:szCs w:val="30"/>
          <w:highlight w:val="none"/>
          <w:lang w:val="zh-CN"/>
        </w:rPr>
      </w:pPr>
    </w:p>
    <w:p w14:paraId="77D37E99">
      <w:pPr>
        <w:autoSpaceDE w:val="0"/>
        <w:autoSpaceDN w:val="0"/>
        <w:adjustRightInd w:val="0"/>
        <w:spacing w:line="400" w:lineRule="exact"/>
        <w:jc w:val="center"/>
        <w:rPr>
          <w:rFonts w:hint="eastAsia" w:ascii="仿宋" w:hAnsi="仿宋" w:eastAsia="仿宋" w:cs="仿宋"/>
          <w:bCs/>
          <w:color w:val="auto"/>
          <w:sz w:val="30"/>
          <w:szCs w:val="30"/>
          <w:highlight w:val="none"/>
          <w:lang w:val="zh-CN"/>
        </w:rPr>
      </w:pPr>
    </w:p>
    <w:p w14:paraId="1960A4DD">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225D4880">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37EAA8F3">
      <w:pPr>
        <w:autoSpaceDE w:val="0"/>
        <w:autoSpaceDN w:val="0"/>
        <w:adjustRightInd w:val="0"/>
        <w:spacing w:line="600" w:lineRule="exact"/>
        <w:jc w:val="center"/>
        <w:rPr>
          <w:rFonts w:hint="eastAsia" w:ascii="仿宋" w:hAnsi="仿宋" w:eastAsia="仿宋" w:cs="仿宋"/>
          <w:bCs/>
          <w:color w:val="auto"/>
          <w:sz w:val="52"/>
          <w:szCs w:val="52"/>
          <w:highlight w:val="none"/>
          <w:lang w:val="zh-CN"/>
        </w:rPr>
      </w:pPr>
      <w:r>
        <w:rPr>
          <w:rFonts w:hint="eastAsia" w:ascii="仿宋" w:hAnsi="仿宋" w:eastAsia="仿宋" w:cs="仿宋"/>
          <w:bCs/>
          <w:color w:val="auto"/>
          <w:sz w:val="52"/>
          <w:szCs w:val="52"/>
          <w:highlight w:val="none"/>
          <w:lang w:val="zh-CN"/>
        </w:rPr>
        <w:t>投标文件</w:t>
      </w:r>
    </w:p>
    <w:p w14:paraId="61242CE5">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4E7969E6">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49A42EA8">
      <w:pPr>
        <w:snapToGrid w:val="0"/>
        <w:spacing w:line="600" w:lineRule="exact"/>
        <w:rPr>
          <w:rFonts w:hint="eastAsia" w:ascii="仿宋" w:hAnsi="仿宋" w:eastAsia="仿宋" w:cs="仿宋"/>
          <w:color w:val="auto"/>
          <w:sz w:val="24"/>
          <w:szCs w:val="24"/>
          <w:highlight w:val="none"/>
        </w:rPr>
      </w:pPr>
    </w:p>
    <w:p w14:paraId="59FC6AA6">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eastAsia="zh-CN"/>
        </w:rPr>
      </w:pPr>
      <w:bookmarkStart w:id="245" w:name="OLE_LINK7"/>
      <w:r>
        <w:rPr>
          <w:rFonts w:hint="eastAsia" w:ascii="仿宋" w:hAnsi="仿宋" w:eastAsia="仿宋" w:cs="仿宋"/>
          <w:color w:val="auto"/>
          <w:sz w:val="28"/>
          <w:szCs w:val="28"/>
          <w:highlight w:val="none"/>
        </w:rPr>
        <w:t>项目编号：</w:t>
      </w:r>
      <w:bookmarkStart w:id="246" w:name="OLE_LINK5"/>
      <w:r>
        <w:rPr>
          <w:rFonts w:hint="eastAsia" w:ascii="仿宋" w:hAnsi="仿宋" w:eastAsia="仿宋" w:cs="仿宋"/>
          <w:color w:val="auto"/>
          <w:sz w:val="28"/>
          <w:szCs w:val="28"/>
          <w:highlight w:val="none"/>
          <w:u w:val="single"/>
          <w:lang w:val="en-US" w:eastAsia="zh-CN"/>
        </w:rPr>
        <w:t xml:space="preserve">                                                 </w:t>
      </w:r>
      <w:bookmarkEnd w:id="246"/>
    </w:p>
    <w:p w14:paraId="495A6B6B">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val="en-US" w:eastAsia="zh-CN"/>
        </w:rPr>
        <w:t xml:space="preserve">                                                 </w:t>
      </w:r>
    </w:p>
    <w:p w14:paraId="06104C79">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rPr>
      </w:pPr>
      <w:r>
        <w:rPr>
          <w:rFonts w:hint="eastAsia" w:ascii="仿宋" w:hAnsi="仿宋" w:eastAsia="仿宋" w:cs="仿宋"/>
          <w:color w:val="auto"/>
          <w:sz w:val="28"/>
          <w:szCs w:val="28"/>
          <w:highlight w:val="none"/>
        </w:rPr>
        <w:t>投标文件名称：</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（商务技术文件）</w:t>
      </w:r>
      <w:r>
        <w:rPr>
          <w:rFonts w:hint="eastAsia" w:ascii="仿宋" w:hAnsi="仿宋" w:eastAsia="仿宋" w:cs="仿宋"/>
          <w:color w:val="auto"/>
          <w:sz w:val="28"/>
          <w:szCs w:val="28"/>
          <w:highlight w:val="none"/>
          <w:u w:val="single"/>
          <w:lang w:val="en-US" w:eastAsia="zh-CN"/>
        </w:rPr>
        <w:t xml:space="preserve">               </w:t>
      </w:r>
    </w:p>
    <w:p w14:paraId="54A2CB67">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供应商名称（盖章或电子签章）</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u w:val="single"/>
          <w:lang w:val="en-US" w:eastAsia="zh-CN"/>
        </w:rPr>
        <w:t xml:space="preserve">                             </w:t>
      </w:r>
    </w:p>
    <w:p w14:paraId="63158DA8">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法定代表人或其授权代表（签字或盖章或电子签章）：</w:t>
      </w:r>
      <w:r>
        <w:rPr>
          <w:rFonts w:hint="eastAsia" w:ascii="仿宋" w:hAnsi="仿宋" w:eastAsia="仿宋" w:cs="仿宋"/>
          <w:color w:val="auto"/>
          <w:sz w:val="28"/>
          <w:szCs w:val="28"/>
          <w:highlight w:val="none"/>
          <w:u w:val="single"/>
          <w:lang w:val="en-US" w:eastAsia="zh-CN"/>
        </w:rPr>
        <w:t xml:space="preserve">           </w:t>
      </w:r>
    </w:p>
    <w:p w14:paraId="11A6BBEA">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投标人地址：</w:t>
      </w:r>
      <w:r>
        <w:rPr>
          <w:rFonts w:hint="eastAsia" w:ascii="仿宋" w:hAnsi="仿宋" w:eastAsia="仿宋" w:cs="仿宋"/>
          <w:color w:val="auto"/>
          <w:sz w:val="28"/>
          <w:szCs w:val="28"/>
          <w:highlight w:val="none"/>
          <w:u w:val="single"/>
          <w:lang w:val="en-US" w:eastAsia="zh-CN"/>
        </w:rPr>
        <w:t xml:space="preserve">                                               </w:t>
      </w:r>
    </w:p>
    <w:p w14:paraId="7F838D8C">
      <w:pPr>
        <w:keepNext w:val="0"/>
        <w:keepLines w:val="0"/>
        <w:pageBreakBefore w:val="0"/>
        <w:widowControl w:val="0"/>
        <w:kinsoku/>
        <w:wordWrap/>
        <w:overflowPunct/>
        <w:topLinePunct w:val="0"/>
        <w:autoSpaceDE/>
        <w:autoSpaceDN/>
        <w:bidi w:val="0"/>
        <w:adjustRightInd w:val="0"/>
        <w:spacing w:line="800" w:lineRule="exact"/>
        <w:textAlignment w:val="baseline"/>
        <w:rPr>
          <w:rFonts w:hint="eastAsia" w:ascii="仿宋" w:hAnsi="仿宋" w:eastAsia="仿宋" w:cs="仿宋"/>
          <w:color w:val="auto"/>
          <w:sz w:val="28"/>
          <w:szCs w:val="21"/>
          <w:highlight w:val="none"/>
        </w:rPr>
      </w:pPr>
      <w:r>
        <w:rPr>
          <w:rFonts w:hint="eastAsia" w:ascii="仿宋" w:hAnsi="仿宋" w:eastAsia="仿宋" w:cs="仿宋"/>
          <w:color w:val="auto"/>
          <w:kern w:val="0"/>
          <w:sz w:val="28"/>
          <w:szCs w:val="28"/>
          <w:highlight w:val="none"/>
        </w:rPr>
        <w:t xml:space="preserve">日期：     年  </w:t>
      </w:r>
      <w:r>
        <w:rPr>
          <w:rFonts w:hint="eastAsia" w:ascii="仿宋" w:hAnsi="仿宋" w:eastAsia="仿宋" w:cs="仿宋"/>
          <w:color w:val="auto"/>
          <w:kern w:val="0"/>
          <w:sz w:val="28"/>
          <w:szCs w:val="28"/>
          <w:highlight w:val="none"/>
          <w:lang w:val="en-US" w:eastAsia="zh-CN"/>
        </w:rPr>
        <w:t xml:space="preserve">  </w:t>
      </w:r>
      <w:r>
        <w:rPr>
          <w:rFonts w:hint="eastAsia" w:ascii="仿宋" w:hAnsi="仿宋" w:eastAsia="仿宋" w:cs="仿宋"/>
          <w:color w:val="auto"/>
          <w:kern w:val="0"/>
          <w:sz w:val="28"/>
          <w:szCs w:val="28"/>
          <w:highlight w:val="none"/>
        </w:rPr>
        <w:t xml:space="preserve">月 </w:t>
      </w:r>
      <w:r>
        <w:rPr>
          <w:rFonts w:hint="eastAsia" w:ascii="仿宋" w:hAnsi="仿宋" w:eastAsia="仿宋" w:cs="仿宋"/>
          <w:color w:val="auto"/>
          <w:kern w:val="0"/>
          <w:sz w:val="28"/>
          <w:szCs w:val="28"/>
          <w:highlight w:val="none"/>
          <w:lang w:val="en-US" w:eastAsia="zh-CN"/>
        </w:rPr>
        <w:t xml:space="preserve"> </w:t>
      </w:r>
      <w:r>
        <w:rPr>
          <w:rFonts w:hint="eastAsia" w:ascii="仿宋" w:hAnsi="仿宋" w:eastAsia="仿宋" w:cs="仿宋"/>
          <w:color w:val="auto"/>
          <w:kern w:val="0"/>
          <w:sz w:val="28"/>
          <w:szCs w:val="28"/>
          <w:highlight w:val="none"/>
        </w:rPr>
        <w:t xml:space="preserve"> 日</w:t>
      </w:r>
      <w:r>
        <w:rPr>
          <w:rFonts w:hint="eastAsia" w:ascii="仿宋" w:hAnsi="仿宋" w:eastAsia="仿宋" w:cs="仿宋"/>
          <w:color w:val="auto"/>
          <w:sz w:val="28"/>
          <w:szCs w:val="21"/>
          <w:highlight w:val="none"/>
        </w:rPr>
        <w:t xml:space="preserve">    </w:t>
      </w:r>
    </w:p>
    <w:bookmarkEnd w:id="245"/>
    <w:p w14:paraId="0570F40C">
      <w:pPr>
        <w:snapToGrid w:val="0"/>
        <w:spacing w:line="600" w:lineRule="exact"/>
        <w:rPr>
          <w:rFonts w:hint="eastAsia" w:ascii="仿宋" w:hAnsi="仿宋" w:eastAsia="仿宋" w:cs="仿宋"/>
          <w:color w:val="auto"/>
          <w:sz w:val="24"/>
          <w:szCs w:val="24"/>
          <w:highlight w:val="none"/>
        </w:rPr>
      </w:pPr>
    </w:p>
    <w:p w14:paraId="36CAA443">
      <w:pPr>
        <w:autoSpaceDE w:val="0"/>
        <w:autoSpaceDN w:val="0"/>
        <w:adjustRightInd w:val="0"/>
        <w:spacing w:line="400" w:lineRule="exact"/>
        <w:jc w:val="center"/>
        <w:rPr>
          <w:rFonts w:hint="eastAsia" w:ascii="仿宋" w:hAnsi="仿宋" w:eastAsia="仿宋" w:cs="仿宋"/>
          <w:bCs/>
          <w:color w:val="auto"/>
          <w:sz w:val="30"/>
          <w:szCs w:val="30"/>
          <w:highlight w:val="none"/>
          <w:lang w:val="zh-CN"/>
        </w:rPr>
      </w:pPr>
    </w:p>
    <w:p w14:paraId="738936D0">
      <w:pPr>
        <w:pStyle w:val="2"/>
        <w:rPr>
          <w:rFonts w:hint="eastAsia" w:ascii="仿宋" w:hAnsi="仿宋" w:eastAsia="仿宋" w:cs="仿宋"/>
          <w:color w:val="auto"/>
          <w:highlight w:val="none"/>
        </w:rPr>
      </w:pPr>
    </w:p>
    <w:p w14:paraId="5B388C33">
      <w:pPr>
        <w:rPr>
          <w:rFonts w:hint="eastAsia" w:ascii="仿宋" w:hAnsi="仿宋" w:eastAsia="仿宋" w:cs="仿宋"/>
          <w:color w:val="auto"/>
          <w:highlight w:val="none"/>
        </w:rPr>
      </w:pPr>
    </w:p>
    <w:p w14:paraId="49BC7AB4">
      <w:pPr>
        <w:rPr>
          <w:rFonts w:hint="eastAsia" w:ascii="仿宋" w:hAnsi="仿宋" w:eastAsia="仿宋" w:cs="仿宋"/>
          <w:color w:val="auto"/>
          <w:highlight w:val="none"/>
        </w:rPr>
      </w:pPr>
    </w:p>
    <w:p w14:paraId="51F17F50">
      <w:pPr>
        <w:rPr>
          <w:rFonts w:hint="eastAsia" w:ascii="仿宋" w:hAnsi="仿宋" w:eastAsia="仿宋" w:cs="仿宋"/>
          <w:color w:val="auto"/>
          <w:highlight w:val="none"/>
        </w:rPr>
      </w:pPr>
    </w:p>
    <w:p w14:paraId="77CACE53">
      <w:pPr>
        <w:rPr>
          <w:rFonts w:hint="eastAsia" w:ascii="仿宋" w:hAnsi="仿宋" w:eastAsia="仿宋" w:cs="仿宋"/>
          <w:color w:val="auto"/>
          <w:highlight w:val="none"/>
        </w:rPr>
      </w:pPr>
    </w:p>
    <w:p w14:paraId="46C228B0">
      <w:pPr>
        <w:autoSpaceDE w:val="0"/>
        <w:autoSpaceDN w:val="0"/>
        <w:adjustRightInd w:val="0"/>
        <w:spacing w:line="380" w:lineRule="exact"/>
        <w:jc w:val="center"/>
        <w:rPr>
          <w:rFonts w:hint="eastAsia" w:ascii="仿宋" w:hAnsi="仿宋" w:eastAsia="仿宋" w:cs="仿宋"/>
          <w:b/>
          <w:bCs/>
          <w:color w:val="auto"/>
          <w:sz w:val="32"/>
          <w:szCs w:val="32"/>
          <w:highlight w:val="none"/>
          <w:lang w:val="zh-CN"/>
        </w:rPr>
      </w:pPr>
    </w:p>
    <w:p w14:paraId="590D217D">
      <w:pPr>
        <w:autoSpaceDE w:val="0"/>
        <w:autoSpaceDN w:val="0"/>
        <w:adjustRightInd w:val="0"/>
        <w:spacing w:line="380" w:lineRule="exact"/>
        <w:jc w:val="center"/>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t>自</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lang w:val="zh-CN"/>
        </w:rPr>
        <w:t>评</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lang w:val="zh-CN"/>
        </w:rPr>
        <w:t>表</w:t>
      </w:r>
    </w:p>
    <w:p w14:paraId="13D532A0">
      <w:pPr>
        <w:autoSpaceDE w:val="0"/>
        <w:autoSpaceDN w:val="0"/>
        <w:adjustRightInd w:val="0"/>
        <w:spacing w:line="240" w:lineRule="auto"/>
        <w:jc w:val="center"/>
        <w:rPr>
          <w:rFonts w:hint="eastAsia" w:ascii="仿宋" w:hAnsi="仿宋" w:eastAsia="仿宋" w:cs="仿宋"/>
          <w:b/>
          <w:bCs/>
          <w:color w:val="auto"/>
          <w:sz w:val="21"/>
          <w:szCs w:val="21"/>
          <w:highlight w:val="none"/>
          <w:lang w:val="zh-CN"/>
        </w:rPr>
      </w:pPr>
    </w:p>
    <w:p w14:paraId="68967AB9">
      <w:pPr>
        <w:autoSpaceDE w:val="0"/>
        <w:autoSpaceDN w:val="0"/>
        <w:adjustRightInd w:val="0"/>
        <w:spacing w:line="240" w:lineRule="auto"/>
        <w:jc w:val="left"/>
        <w:rPr>
          <w:rFonts w:hint="eastAsia" w:ascii="仿宋" w:hAnsi="仿宋" w:eastAsia="仿宋" w:cs="仿宋"/>
          <w:bCs/>
          <w:color w:val="auto"/>
          <w:sz w:val="21"/>
          <w:szCs w:val="21"/>
          <w:highlight w:val="none"/>
        </w:rPr>
      </w:pPr>
    </w:p>
    <w:p w14:paraId="76BCA971">
      <w:pPr>
        <w:autoSpaceDE w:val="0"/>
        <w:autoSpaceDN w:val="0"/>
        <w:adjustRightInd w:val="0"/>
        <w:spacing w:line="380" w:lineRule="exact"/>
        <w:jc w:val="left"/>
        <w:rPr>
          <w:rFonts w:hint="eastAsia" w:ascii="仿宋" w:hAnsi="仿宋" w:eastAsia="仿宋" w:cs="仿宋"/>
          <w:bCs/>
          <w:color w:val="auto"/>
          <w:szCs w:val="21"/>
          <w:highlight w:val="none"/>
          <w:lang w:eastAsia="zh-CN"/>
        </w:rPr>
      </w:pPr>
      <w:bookmarkStart w:id="247" w:name="OLE_LINK29"/>
      <w:r>
        <w:rPr>
          <w:rFonts w:hint="eastAsia" w:ascii="仿宋" w:hAnsi="仿宋" w:eastAsia="仿宋" w:cs="仿宋"/>
          <w:bCs/>
          <w:color w:val="auto"/>
          <w:szCs w:val="21"/>
          <w:highlight w:val="none"/>
        </w:rPr>
        <w:t>项目名称：</w:t>
      </w:r>
      <w:r>
        <w:rPr>
          <w:rFonts w:hint="eastAsia" w:ascii="仿宋" w:hAnsi="仿宋" w:eastAsia="仿宋" w:cs="仿宋"/>
          <w:bCs/>
          <w:color w:val="auto"/>
          <w:szCs w:val="21"/>
          <w:highlight w:val="none"/>
          <w:lang w:eastAsia="zh-CN"/>
        </w:rPr>
        <w:t>2025年度衢州智慧新城地下综合管廊与隧道运维服务项目</w:t>
      </w:r>
    </w:p>
    <w:bookmarkEnd w:id="247"/>
    <w:p w14:paraId="119B0079">
      <w:pPr>
        <w:autoSpaceDE w:val="0"/>
        <w:autoSpaceDN w:val="0"/>
        <w:adjustRightInd w:val="0"/>
        <w:spacing w:line="380" w:lineRule="exact"/>
        <w:jc w:val="center"/>
        <w:rPr>
          <w:rFonts w:hint="eastAsia" w:ascii="仿宋" w:hAnsi="仿宋" w:eastAsia="仿宋" w:cs="仿宋"/>
          <w:b/>
          <w:bCs/>
          <w:color w:val="auto"/>
          <w:sz w:val="32"/>
          <w:szCs w:val="32"/>
          <w:highlight w:val="none"/>
          <w:lang w:val="zh-CN"/>
        </w:rPr>
      </w:pPr>
    </w:p>
    <w:tbl>
      <w:tblPr>
        <w:tblStyle w:val="88"/>
        <w:tblW w:w="0" w:type="auto"/>
        <w:tblInd w:w="121"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972"/>
        <w:gridCol w:w="4394"/>
        <w:gridCol w:w="1547"/>
        <w:gridCol w:w="1117"/>
      </w:tblGrid>
      <w:tr w14:paraId="7EB6452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721" w:hRule="atLeast"/>
        </w:trPr>
        <w:tc>
          <w:tcPr>
            <w:tcW w:w="1972" w:type="dxa"/>
            <w:vAlign w:val="center"/>
          </w:tcPr>
          <w:p w14:paraId="682A770A">
            <w:pPr>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评分项目</w:t>
            </w:r>
          </w:p>
        </w:tc>
        <w:tc>
          <w:tcPr>
            <w:tcW w:w="4394" w:type="dxa"/>
            <w:vAlign w:val="center"/>
          </w:tcPr>
          <w:p w14:paraId="3BD56C64">
            <w:pPr>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评标要求</w:t>
            </w:r>
          </w:p>
        </w:tc>
        <w:tc>
          <w:tcPr>
            <w:tcW w:w="1547" w:type="dxa"/>
            <w:vAlign w:val="center"/>
          </w:tcPr>
          <w:p w14:paraId="15800DF1">
            <w:pPr>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分值</w:t>
            </w:r>
          </w:p>
        </w:tc>
        <w:tc>
          <w:tcPr>
            <w:tcW w:w="1117" w:type="dxa"/>
            <w:vAlign w:val="center"/>
          </w:tcPr>
          <w:p w14:paraId="273B89CB">
            <w:pPr>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得分</w:t>
            </w:r>
          </w:p>
        </w:tc>
      </w:tr>
      <w:tr w14:paraId="160686A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04" w:hRule="atLeast"/>
        </w:trPr>
        <w:tc>
          <w:tcPr>
            <w:tcW w:w="1972" w:type="dxa"/>
            <w:vAlign w:val="center"/>
          </w:tcPr>
          <w:p w14:paraId="6340F6E3">
            <w:pPr>
              <w:spacing w:line="360" w:lineRule="exact"/>
              <w:jc w:val="center"/>
              <w:rPr>
                <w:rFonts w:hint="eastAsia" w:ascii="仿宋" w:hAnsi="仿宋" w:eastAsia="仿宋" w:cs="仿宋"/>
                <w:color w:val="auto"/>
                <w:szCs w:val="21"/>
                <w:highlight w:val="none"/>
              </w:rPr>
            </w:pPr>
          </w:p>
        </w:tc>
        <w:tc>
          <w:tcPr>
            <w:tcW w:w="4394" w:type="dxa"/>
            <w:vAlign w:val="center"/>
          </w:tcPr>
          <w:p w14:paraId="53DB42F7">
            <w:pPr>
              <w:adjustRightInd w:val="0"/>
              <w:snapToGrid w:val="0"/>
              <w:spacing w:line="360" w:lineRule="exact"/>
              <w:ind w:left="210" w:hanging="280" w:hangingChars="100"/>
              <w:rPr>
                <w:rFonts w:hint="eastAsia" w:ascii="仿宋" w:hAnsi="仿宋" w:eastAsia="仿宋" w:cs="仿宋"/>
                <w:bCs/>
                <w:color w:val="auto"/>
                <w:szCs w:val="21"/>
                <w:highlight w:val="none"/>
              </w:rPr>
            </w:pPr>
          </w:p>
        </w:tc>
        <w:tc>
          <w:tcPr>
            <w:tcW w:w="1547" w:type="dxa"/>
            <w:vAlign w:val="center"/>
          </w:tcPr>
          <w:p w14:paraId="6A73DBC5">
            <w:pPr>
              <w:adjustRightInd w:val="0"/>
              <w:snapToGrid w:val="0"/>
              <w:jc w:val="center"/>
              <w:rPr>
                <w:rFonts w:hint="eastAsia" w:ascii="仿宋" w:hAnsi="仿宋" w:eastAsia="仿宋" w:cs="仿宋"/>
                <w:bCs/>
                <w:color w:val="auto"/>
                <w:szCs w:val="21"/>
                <w:highlight w:val="none"/>
              </w:rPr>
            </w:pPr>
          </w:p>
        </w:tc>
        <w:tc>
          <w:tcPr>
            <w:tcW w:w="1117" w:type="dxa"/>
            <w:vAlign w:val="center"/>
          </w:tcPr>
          <w:p w14:paraId="5A371677">
            <w:pPr>
              <w:spacing w:line="360" w:lineRule="exact"/>
              <w:jc w:val="left"/>
              <w:rPr>
                <w:rFonts w:hint="eastAsia" w:ascii="仿宋" w:hAnsi="仿宋" w:eastAsia="仿宋" w:cs="仿宋"/>
                <w:color w:val="auto"/>
                <w:szCs w:val="21"/>
                <w:highlight w:val="none"/>
                <w:u w:val="double"/>
              </w:rPr>
            </w:pPr>
          </w:p>
        </w:tc>
      </w:tr>
      <w:tr w14:paraId="1F286571">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905" w:hRule="atLeast"/>
        </w:trPr>
        <w:tc>
          <w:tcPr>
            <w:tcW w:w="1972" w:type="dxa"/>
            <w:vAlign w:val="center"/>
          </w:tcPr>
          <w:p w14:paraId="4A146E4E">
            <w:pPr>
              <w:spacing w:line="360" w:lineRule="exact"/>
              <w:jc w:val="center"/>
              <w:rPr>
                <w:rFonts w:hint="eastAsia" w:ascii="仿宋" w:hAnsi="仿宋" w:eastAsia="仿宋" w:cs="仿宋"/>
                <w:color w:val="auto"/>
                <w:szCs w:val="21"/>
                <w:highlight w:val="none"/>
              </w:rPr>
            </w:pPr>
          </w:p>
        </w:tc>
        <w:tc>
          <w:tcPr>
            <w:tcW w:w="4394" w:type="dxa"/>
            <w:vAlign w:val="center"/>
          </w:tcPr>
          <w:p w14:paraId="2F186EB8">
            <w:pPr>
              <w:adjustRightInd w:val="0"/>
              <w:snapToGrid w:val="0"/>
              <w:spacing w:line="360" w:lineRule="exact"/>
              <w:rPr>
                <w:rFonts w:hint="eastAsia" w:ascii="仿宋" w:hAnsi="仿宋" w:eastAsia="仿宋" w:cs="仿宋"/>
                <w:bCs/>
                <w:color w:val="auto"/>
                <w:szCs w:val="21"/>
                <w:highlight w:val="none"/>
              </w:rPr>
            </w:pPr>
          </w:p>
        </w:tc>
        <w:tc>
          <w:tcPr>
            <w:tcW w:w="1547" w:type="dxa"/>
            <w:vAlign w:val="center"/>
          </w:tcPr>
          <w:p w14:paraId="1FB7CE59">
            <w:pPr>
              <w:adjustRightInd w:val="0"/>
              <w:snapToGrid w:val="0"/>
              <w:jc w:val="center"/>
              <w:rPr>
                <w:rFonts w:hint="eastAsia" w:ascii="仿宋" w:hAnsi="仿宋" w:eastAsia="仿宋" w:cs="仿宋"/>
                <w:bCs/>
                <w:color w:val="auto"/>
                <w:szCs w:val="21"/>
                <w:highlight w:val="none"/>
              </w:rPr>
            </w:pPr>
          </w:p>
        </w:tc>
        <w:tc>
          <w:tcPr>
            <w:tcW w:w="1117" w:type="dxa"/>
            <w:vAlign w:val="center"/>
          </w:tcPr>
          <w:p w14:paraId="6E71A061">
            <w:pPr>
              <w:spacing w:line="360" w:lineRule="exact"/>
              <w:jc w:val="left"/>
              <w:rPr>
                <w:rFonts w:hint="eastAsia" w:ascii="仿宋" w:hAnsi="仿宋" w:eastAsia="仿宋" w:cs="仿宋"/>
                <w:color w:val="auto"/>
                <w:szCs w:val="21"/>
                <w:highlight w:val="none"/>
                <w:u w:val="double"/>
              </w:rPr>
            </w:pPr>
          </w:p>
        </w:tc>
      </w:tr>
      <w:tr w14:paraId="5987FA9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856" w:hRule="atLeast"/>
        </w:trPr>
        <w:tc>
          <w:tcPr>
            <w:tcW w:w="1972" w:type="dxa"/>
            <w:vAlign w:val="center"/>
          </w:tcPr>
          <w:p w14:paraId="22A4CAC9">
            <w:pPr>
              <w:spacing w:line="360" w:lineRule="exact"/>
              <w:rPr>
                <w:rFonts w:hint="eastAsia" w:ascii="仿宋" w:hAnsi="仿宋" w:eastAsia="仿宋" w:cs="仿宋"/>
                <w:color w:val="auto"/>
                <w:szCs w:val="21"/>
                <w:highlight w:val="none"/>
                <w:shd w:val="clear" w:color="auto" w:fill="D9D9D9"/>
              </w:rPr>
            </w:pPr>
          </w:p>
        </w:tc>
        <w:tc>
          <w:tcPr>
            <w:tcW w:w="4394" w:type="dxa"/>
            <w:vAlign w:val="center"/>
          </w:tcPr>
          <w:p w14:paraId="0A175F56">
            <w:pPr>
              <w:adjustRightInd w:val="0"/>
              <w:snapToGrid w:val="0"/>
              <w:spacing w:line="360" w:lineRule="exact"/>
              <w:textAlignment w:val="baseline"/>
              <w:rPr>
                <w:rFonts w:hint="eastAsia" w:ascii="仿宋" w:hAnsi="仿宋" w:eastAsia="仿宋" w:cs="仿宋"/>
                <w:bCs/>
                <w:color w:val="auto"/>
                <w:szCs w:val="21"/>
                <w:highlight w:val="none"/>
              </w:rPr>
            </w:pPr>
          </w:p>
        </w:tc>
        <w:tc>
          <w:tcPr>
            <w:tcW w:w="1547" w:type="dxa"/>
            <w:vAlign w:val="center"/>
          </w:tcPr>
          <w:p w14:paraId="6404ACAB">
            <w:pPr>
              <w:adjustRightInd w:val="0"/>
              <w:snapToGrid w:val="0"/>
              <w:jc w:val="center"/>
              <w:textAlignment w:val="baseline"/>
              <w:rPr>
                <w:rFonts w:hint="eastAsia" w:ascii="仿宋" w:hAnsi="仿宋" w:eastAsia="仿宋" w:cs="仿宋"/>
                <w:bCs/>
                <w:color w:val="auto"/>
                <w:szCs w:val="21"/>
                <w:highlight w:val="none"/>
              </w:rPr>
            </w:pPr>
          </w:p>
        </w:tc>
        <w:tc>
          <w:tcPr>
            <w:tcW w:w="1117" w:type="dxa"/>
            <w:vAlign w:val="center"/>
          </w:tcPr>
          <w:p w14:paraId="70806952">
            <w:pPr>
              <w:spacing w:line="360" w:lineRule="exact"/>
              <w:jc w:val="left"/>
              <w:rPr>
                <w:rFonts w:hint="eastAsia" w:ascii="仿宋" w:hAnsi="仿宋" w:eastAsia="仿宋" w:cs="仿宋"/>
                <w:color w:val="auto"/>
                <w:szCs w:val="21"/>
                <w:highlight w:val="none"/>
              </w:rPr>
            </w:pPr>
          </w:p>
        </w:tc>
      </w:tr>
    </w:tbl>
    <w:p w14:paraId="7CC88F64">
      <w:pPr>
        <w:keepNext w:val="0"/>
        <w:keepLines w:val="0"/>
        <w:pageBreakBefore w:val="0"/>
        <w:widowControl w:val="0"/>
        <w:kinsoku/>
        <w:wordWrap/>
        <w:overflowPunct/>
        <w:topLinePunct w:val="0"/>
        <w:autoSpaceDE w:val="0"/>
        <w:autoSpaceDN w:val="0"/>
        <w:bidi w:val="0"/>
        <w:adjustRightInd w:val="0"/>
        <w:spacing w:line="288"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注：按招标文件评标办法（客观分）评分项列入。</w:t>
      </w:r>
    </w:p>
    <w:p w14:paraId="528AE52E">
      <w:pPr>
        <w:keepNext w:val="0"/>
        <w:keepLines w:val="0"/>
        <w:pageBreakBefore w:val="0"/>
        <w:widowControl w:val="0"/>
        <w:kinsoku/>
        <w:wordWrap/>
        <w:overflowPunct/>
        <w:topLinePunct w:val="0"/>
        <w:autoSpaceDE w:val="0"/>
        <w:autoSpaceDN w:val="0"/>
        <w:bidi w:val="0"/>
        <w:adjustRightInd w:val="0"/>
        <w:spacing w:line="288" w:lineRule="auto"/>
        <w:rPr>
          <w:rFonts w:hint="eastAsia" w:ascii="仿宋" w:hAnsi="仿宋" w:eastAsia="仿宋" w:cs="仿宋"/>
          <w:b w:val="0"/>
          <w:bCs/>
          <w:color w:val="auto"/>
          <w:sz w:val="32"/>
          <w:szCs w:val="32"/>
          <w:highlight w:val="none"/>
        </w:rPr>
      </w:pPr>
    </w:p>
    <w:p w14:paraId="70DF1916">
      <w:pPr>
        <w:keepNext w:val="0"/>
        <w:keepLines w:val="0"/>
        <w:pageBreakBefore w:val="0"/>
        <w:widowControl/>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供应商名称（盖章或电子签章）</w:t>
      </w:r>
      <w:r>
        <w:rPr>
          <w:rFonts w:hint="eastAsia" w:ascii="仿宋" w:hAnsi="仿宋" w:eastAsia="仿宋" w:cs="仿宋"/>
          <w:color w:val="auto"/>
          <w:kern w:val="0"/>
          <w:sz w:val="24"/>
          <w:szCs w:val="24"/>
          <w:highlight w:val="none"/>
        </w:rPr>
        <w:t xml:space="preserve"> ：</w:t>
      </w:r>
    </w:p>
    <w:p w14:paraId="623DDE45">
      <w:pPr>
        <w:keepNext w:val="0"/>
        <w:keepLines w:val="0"/>
        <w:pageBreakBefore w:val="0"/>
        <w:widowControl/>
        <w:kinsoku/>
        <w:wordWrap/>
        <w:overflowPunct/>
        <w:topLinePunct w:val="0"/>
        <w:autoSpaceDE/>
        <w:autoSpaceDN/>
        <w:bidi w:val="0"/>
        <w:adjustRightInd w:val="0"/>
        <w:snapToGrid w:val="0"/>
        <w:spacing w:line="288" w:lineRule="auto"/>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法定代表人或其授权代表（签字或盖章或电子签章）：</w:t>
      </w:r>
    </w:p>
    <w:p w14:paraId="6CB8CE11">
      <w:pPr>
        <w:keepNext w:val="0"/>
        <w:keepLines w:val="0"/>
        <w:pageBreakBefore w:val="0"/>
        <w:widowControl w:val="0"/>
        <w:kinsoku/>
        <w:wordWrap/>
        <w:overflowPunct/>
        <w:topLinePunct w:val="0"/>
        <w:bidi w:val="0"/>
        <w:adjustRightInd w:val="0"/>
        <w:spacing w:line="288" w:lineRule="auto"/>
        <w:textAlignment w:val="baseline"/>
        <w:rPr>
          <w:rFonts w:hint="eastAsia" w:ascii="仿宋" w:hAnsi="仿宋" w:eastAsia="仿宋" w:cs="仿宋"/>
          <w:color w:val="auto"/>
          <w:sz w:val="24"/>
          <w:highlight w:val="none"/>
        </w:rPr>
      </w:pPr>
      <w:bookmarkStart w:id="248" w:name="OLE_LINK4"/>
      <w:r>
        <w:rPr>
          <w:rFonts w:hint="eastAsia" w:ascii="仿宋" w:hAnsi="仿宋" w:eastAsia="仿宋" w:cs="仿宋"/>
          <w:color w:val="auto"/>
          <w:kern w:val="0"/>
          <w:sz w:val="24"/>
          <w:szCs w:val="24"/>
          <w:highlight w:val="none"/>
        </w:rPr>
        <w:t>日期：     年  月  日</w:t>
      </w:r>
      <w:r>
        <w:rPr>
          <w:rFonts w:hint="eastAsia" w:ascii="仿宋" w:hAnsi="仿宋" w:eastAsia="仿宋" w:cs="仿宋"/>
          <w:color w:val="auto"/>
          <w:sz w:val="24"/>
          <w:highlight w:val="none"/>
        </w:rPr>
        <w:t xml:space="preserve">    </w:t>
      </w:r>
    </w:p>
    <w:bookmarkEnd w:id="248"/>
    <w:p w14:paraId="2FC368F8">
      <w:pPr>
        <w:keepNext w:val="0"/>
        <w:keepLines w:val="0"/>
        <w:pageBreakBefore w:val="0"/>
        <w:widowControl w:val="0"/>
        <w:kinsoku/>
        <w:wordWrap/>
        <w:overflowPunct/>
        <w:topLinePunct w:val="0"/>
        <w:autoSpaceDE w:val="0"/>
        <w:autoSpaceDN w:val="0"/>
        <w:bidi w:val="0"/>
        <w:adjustRightInd w:val="0"/>
        <w:spacing w:line="288" w:lineRule="auto"/>
        <w:rPr>
          <w:rFonts w:hint="eastAsia" w:ascii="仿宋" w:hAnsi="仿宋" w:eastAsia="仿宋" w:cs="仿宋"/>
          <w:b/>
          <w:bCs/>
          <w:color w:val="auto"/>
          <w:sz w:val="32"/>
          <w:szCs w:val="32"/>
          <w:highlight w:val="none"/>
        </w:rPr>
      </w:pPr>
    </w:p>
    <w:p w14:paraId="096793D3">
      <w:pPr>
        <w:spacing w:line="600" w:lineRule="exact"/>
        <w:jc w:val="center"/>
        <w:rPr>
          <w:rFonts w:hint="eastAsia" w:ascii="仿宋" w:hAnsi="仿宋" w:eastAsia="仿宋" w:cs="仿宋"/>
          <w:b/>
          <w:bCs/>
          <w:color w:val="auto"/>
          <w:sz w:val="28"/>
          <w:szCs w:val="28"/>
          <w:highlight w:val="none"/>
        </w:rPr>
      </w:pPr>
    </w:p>
    <w:p w14:paraId="1827C943">
      <w:pPr>
        <w:spacing w:line="600" w:lineRule="exact"/>
        <w:jc w:val="center"/>
        <w:rPr>
          <w:rFonts w:hint="eastAsia" w:ascii="仿宋" w:hAnsi="仿宋" w:eastAsia="仿宋" w:cs="仿宋"/>
          <w:b/>
          <w:bCs/>
          <w:color w:val="auto"/>
          <w:sz w:val="28"/>
          <w:szCs w:val="28"/>
          <w:highlight w:val="none"/>
        </w:rPr>
      </w:pPr>
    </w:p>
    <w:p w14:paraId="59BE01A2">
      <w:pPr>
        <w:spacing w:line="600" w:lineRule="exact"/>
        <w:jc w:val="center"/>
        <w:rPr>
          <w:rFonts w:hint="eastAsia" w:ascii="仿宋" w:hAnsi="仿宋" w:eastAsia="仿宋" w:cs="仿宋"/>
          <w:b/>
          <w:bCs/>
          <w:color w:val="auto"/>
          <w:sz w:val="28"/>
          <w:szCs w:val="28"/>
          <w:highlight w:val="none"/>
        </w:rPr>
      </w:pPr>
    </w:p>
    <w:p w14:paraId="040AEC61">
      <w:pPr>
        <w:spacing w:line="600" w:lineRule="exact"/>
        <w:jc w:val="center"/>
        <w:rPr>
          <w:rFonts w:hint="eastAsia" w:ascii="仿宋" w:hAnsi="仿宋" w:eastAsia="仿宋" w:cs="仿宋"/>
          <w:b/>
          <w:bCs/>
          <w:color w:val="auto"/>
          <w:sz w:val="28"/>
          <w:szCs w:val="28"/>
          <w:highlight w:val="none"/>
        </w:rPr>
      </w:pPr>
    </w:p>
    <w:p w14:paraId="21D92396">
      <w:pPr>
        <w:spacing w:line="600" w:lineRule="exact"/>
        <w:jc w:val="center"/>
        <w:rPr>
          <w:rFonts w:hint="eastAsia" w:ascii="仿宋" w:hAnsi="仿宋" w:eastAsia="仿宋" w:cs="仿宋"/>
          <w:b/>
          <w:bCs/>
          <w:color w:val="auto"/>
          <w:sz w:val="28"/>
          <w:szCs w:val="28"/>
          <w:highlight w:val="none"/>
        </w:rPr>
      </w:pPr>
    </w:p>
    <w:p w14:paraId="2ED0BFE7">
      <w:pPr>
        <w:rPr>
          <w:rFonts w:hint="eastAsia" w:ascii="仿宋" w:hAnsi="仿宋" w:eastAsia="仿宋" w:cs="仿宋"/>
          <w:color w:val="auto"/>
          <w:highlight w:val="none"/>
        </w:rPr>
      </w:pPr>
    </w:p>
    <w:p w14:paraId="18E204DB">
      <w:pPr>
        <w:rPr>
          <w:rFonts w:hint="eastAsia" w:ascii="仿宋" w:hAnsi="仿宋" w:eastAsia="仿宋" w:cs="仿宋"/>
          <w:color w:val="auto"/>
          <w:highlight w:val="none"/>
        </w:rPr>
      </w:pPr>
    </w:p>
    <w:p w14:paraId="6F090F2C">
      <w:pPr>
        <w:rPr>
          <w:rFonts w:hint="eastAsia" w:ascii="仿宋" w:hAnsi="仿宋" w:eastAsia="仿宋" w:cs="仿宋"/>
          <w:color w:val="auto"/>
          <w:highlight w:val="none"/>
        </w:rPr>
      </w:pPr>
    </w:p>
    <w:p w14:paraId="08858EB9">
      <w:pPr>
        <w:rPr>
          <w:rFonts w:hint="eastAsia" w:ascii="仿宋" w:hAnsi="仿宋" w:eastAsia="仿宋" w:cs="仿宋"/>
          <w:color w:val="auto"/>
          <w:highlight w:val="none"/>
        </w:rPr>
      </w:pPr>
    </w:p>
    <w:p w14:paraId="31810CDB">
      <w:pPr>
        <w:rPr>
          <w:rFonts w:hint="eastAsia" w:ascii="仿宋" w:hAnsi="仿宋" w:eastAsia="仿宋" w:cs="仿宋"/>
          <w:color w:val="auto"/>
          <w:highlight w:val="none"/>
        </w:rPr>
      </w:pPr>
    </w:p>
    <w:p w14:paraId="10EFA0BB">
      <w:pPr>
        <w:rPr>
          <w:rFonts w:hint="eastAsia" w:ascii="仿宋" w:hAnsi="仿宋" w:eastAsia="仿宋" w:cs="仿宋"/>
          <w:color w:val="auto"/>
          <w:highlight w:val="none"/>
        </w:rPr>
      </w:pPr>
    </w:p>
    <w:p w14:paraId="6355BD32">
      <w:pPr>
        <w:rPr>
          <w:rFonts w:hint="eastAsia" w:ascii="仿宋" w:hAnsi="仿宋" w:eastAsia="仿宋" w:cs="仿宋"/>
          <w:color w:val="auto"/>
          <w:highlight w:val="none"/>
        </w:rPr>
      </w:pPr>
    </w:p>
    <w:p w14:paraId="0FA5B10D">
      <w:pPr>
        <w:rPr>
          <w:rFonts w:hint="eastAsia" w:ascii="仿宋" w:hAnsi="仿宋" w:eastAsia="仿宋" w:cs="仿宋"/>
          <w:color w:val="auto"/>
          <w:highlight w:val="none"/>
        </w:rPr>
      </w:pPr>
    </w:p>
    <w:p w14:paraId="5B281509">
      <w:pPr>
        <w:spacing w:line="6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投 标 函</w:t>
      </w:r>
    </w:p>
    <w:p w14:paraId="6372D437">
      <w:pPr>
        <w:pStyle w:val="87"/>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textAlignment w:val="auto"/>
        <w:rPr>
          <w:rFonts w:hint="eastAsia" w:ascii="仿宋" w:hAnsi="仿宋" w:eastAsia="仿宋" w:cs="仿宋"/>
          <w:color w:val="auto"/>
          <w:kern w:val="0"/>
          <w:sz w:val="24"/>
          <w:szCs w:val="24"/>
          <w:highlight w:val="none"/>
          <w:u w:val="single"/>
          <w:lang w:bidi="ar"/>
        </w:rPr>
      </w:pPr>
      <w:r>
        <w:rPr>
          <w:rFonts w:hint="eastAsia" w:ascii="仿宋" w:hAnsi="仿宋" w:eastAsia="仿宋" w:cs="仿宋"/>
          <w:color w:val="auto"/>
          <w:kern w:val="0"/>
          <w:sz w:val="24"/>
          <w:szCs w:val="24"/>
          <w:highlight w:val="none"/>
          <w:u w:val="single"/>
          <w:lang w:eastAsia="zh-CN" w:bidi="ar"/>
        </w:rPr>
        <w:t>衢州智慧新城管理委员会</w:t>
      </w:r>
      <w:r>
        <w:rPr>
          <w:rFonts w:hint="eastAsia" w:ascii="仿宋" w:hAnsi="仿宋" w:eastAsia="仿宋" w:cs="仿宋"/>
          <w:color w:val="auto"/>
          <w:kern w:val="0"/>
          <w:sz w:val="24"/>
          <w:szCs w:val="24"/>
          <w:highlight w:val="none"/>
          <w:u w:val="single"/>
          <w:lang w:bidi="ar"/>
        </w:rPr>
        <w:t>：</w:t>
      </w:r>
    </w:p>
    <w:p w14:paraId="2B1E693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color w:val="auto"/>
          <w:kern w:val="0"/>
          <w:sz w:val="24"/>
          <w:szCs w:val="24"/>
          <w:highlight w:val="none"/>
          <w:u w:val="single"/>
          <w:lang w:bidi="ar"/>
        </w:rPr>
      </w:pPr>
      <w:r>
        <w:rPr>
          <w:rFonts w:hint="eastAsia" w:ascii="仿宋" w:hAnsi="仿宋" w:eastAsia="仿宋" w:cs="仿宋"/>
          <w:color w:val="auto"/>
          <w:kern w:val="0"/>
          <w:sz w:val="24"/>
          <w:szCs w:val="24"/>
          <w:highlight w:val="none"/>
          <w:u w:val="single"/>
          <w:lang w:eastAsia="zh-CN" w:bidi="ar"/>
        </w:rPr>
        <w:t>科信联合工程咨询有限公司</w:t>
      </w:r>
      <w:r>
        <w:rPr>
          <w:rFonts w:hint="eastAsia" w:ascii="仿宋" w:hAnsi="仿宋" w:eastAsia="仿宋" w:cs="仿宋"/>
          <w:color w:val="auto"/>
          <w:kern w:val="0"/>
          <w:sz w:val="24"/>
          <w:szCs w:val="24"/>
          <w:highlight w:val="none"/>
          <w:u w:val="single"/>
          <w:lang w:bidi="ar"/>
        </w:rPr>
        <w:t>：</w:t>
      </w:r>
    </w:p>
    <w:p w14:paraId="01F0FEDB">
      <w:pPr>
        <w:keepNext w:val="0"/>
        <w:keepLines w:val="0"/>
        <w:pageBreakBefore w:val="0"/>
        <w:widowControl w:val="0"/>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2025年度衢州智慧新城地下综合管廊与隧道运维服务项目</w:t>
      </w:r>
      <w:r>
        <w:rPr>
          <w:rFonts w:hint="eastAsia" w:ascii="仿宋" w:hAnsi="仿宋" w:eastAsia="仿宋" w:cs="仿宋"/>
          <w:color w:val="auto"/>
          <w:sz w:val="24"/>
          <w:szCs w:val="24"/>
          <w:highlight w:val="none"/>
          <w:u w:val="single"/>
        </w:rPr>
        <w:t>（项目名称）（项目编号:</w:t>
      </w:r>
      <w:r>
        <w:rPr>
          <w:rFonts w:hint="eastAsia" w:ascii="仿宋" w:hAnsi="仿宋" w:eastAsia="仿宋" w:cs="仿宋"/>
          <w:color w:val="auto"/>
          <w:sz w:val="24"/>
          <w:szCs w:val="24"/>
          <w:highlight w:val="none"/>
          <w:u w:val="single"/>
          <w:lang w:eastAsia="zh-CN"/>
        </w:rPr>
        <w:t>kxqz2024108</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的采购文件，我方作为供应商正式授权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（授权代表全名，职务）代表我方处理有关本项目公开招标的一切事宜。为此：</w:t>
      </w:r>
    </w:p>
    <w:p w14:paraId="166ADC66">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我方承诺投标有效期从提交投标文件的截止之日起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天，（不少于90天），本投标文件在投标有效期满之前均具有约束力。</w:t>
      </w:r>
    </w:p>
    <w:p w14:paraId="6FECB6E8">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提供采购文件中规定的全部投标文件。</w:t>
      </w:r>
    </w:p>
    <w:p w14:paraId="32F482E0">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我方承诺除投标文件列出的偏离外，我方响应采购文件的全部要求。</w:t>
      </w:r>
    </w:p>
    <w:p w14:paraId="3EC4BE3E">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4.</w:t>
      </w:r>
      <w:r>
        <w:rPr>
          <w:rFonts w:hint="eastAsia" w:ascii="仿宋" w:hAnsi="仿宋" w:eastAsia="仿宋" w:cs="仿宋"/>
          <w:color w:val="auto"/>
          <w:sz w:val="24"/>
          <w:szCs w:val="24"/>
          <w:highlight w:val="none"/>
        </w:rPr>
        <w:t>保证遵守采购文件中的其他有关规定。</w:t>
      </w:r>
    </w:p>
    <w:p w14:paraId="16DB46E3">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5.</w:t>
      </w:r>
      <w:r>
        <w:rPr>
          <w:rFonts w:hint="eastAsia" w:ascii="仿宋" w:hAnsi="仿宋" w:eastAsia="仿宋" w:cs="仿宋"/>
          <w:color w:val="auto"/>
          <w:sz w:val="24"/>
          <w:szCs w:val="24"/>
          <w:highlight w:val="none"/>
        </w:rPr>
        <w:t>我方愿意向贵方提供任何与该项目响应有关的数据、情况和技术资料。若贵方需要，我方愿意提供我方作出的一切承诺的证明材料。</w:t>
      </w:r>
    </w:p>
    <w:p w14:paraId="41486A93">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6.</w:t>
      </w:r>
      <w:r>
        <w:rPr>
          <w:rFonts w:hint="eastAsia" w:ascii="仿宋" w:hAnsi="仿宋" w:eastAsia="仿宋" w:cs="仿宋"/>
          <w:color w:val="auto"/>
          <w:sz w:val="24"/>
          <w:szCs w:val="24"/>
          <w:highlight w:val="none"/>
        </w:rPr>
        <w:t>我方已详细阅读全部采购文件，包括采购文件“更正（延期）公告”（如果有）、参考资料及有关附件，确认无误。</w:t>
      </w:r>
    </w:p>
    <w:p w14:paraId="4174EC92">
      <w:pPr>
        <w:keepNext w:val="0"/>
        <w:keepLines w:val="0"/>
        <w:pageBreakBefore w:val="0"/>
        <w:widowControl w:val="0"/>
        <w:numPr>
          <w:ilvl w:val="0"/>
          <w:numId w:val="0"/>
        </w:numPr>
        <w:kinsoku/>
        <w:wordWrap/>
        <w:overflowPunct/>
        <w:topLinePunct w:val="0"/>
        <w:autoSpaceDE/>
        <w:autoSpaceDN/>
        <w:bidi w:val="0"/>
        <w:adjustRightInd/>
        <w:snapToGrid/>
        <w:spacing w:line="288" w:lineRule="auto"/>
        <w:ind w:firstLine="456" w:firstLineChars="19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7.</w:t>
      </w:r>
      <w:r>
        <w:rPr>
          <w:rFonts w:hint="eastAsia" w:ascii="仿宋" w:hAnsi="仿宋" w:eastAsia="仿宋" w:cs="仿宋"/>
          <w:color w:val="auto"/>
          <w:sz w:val="24"/>
          <w:szCs w:val="24"/>
          <w:highlight w:val="none"/>
        </w:rPr>
        <w:t>如我方中标，我方承诺：</w:t>
      </w:r>
    </w:p>
    <w:p w14:paraId="0DD3663D">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7.1在收到中标通知书后，在中标通知书规定的期限内与你方签订合同；</w:t>
      </w:r>
    </w:p>
    <w:p w14:paraId="641B59D3">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7.2在签订合同时不向你方提出附加条件；</w:t>
      </w:r>
    </w:p>
    <w:p w14:paraId="63E5DD40">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7.3按照采购文件要求提交履约保证金；</w:t>
      </w:r>
    </w:p>
    <w:p w14:paraId="2B8D55C2">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7.4在合同约定的期限内完成合同规定的全部义务。</w:t>
      </w:r>
    </w:p>
    <w:p w14:paraId="41D3BB9A">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 xml:space="preserve">其他补充说明: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0011EBB">
      <w:pPr>
        <w:keepNext w:val="0"/>
        <w:keepLines w:val="0"/>
        <w:pageBreakBefore w:val="0"/>
        <w:widowControl w:val="0"/>
        <w:kinsoku/>
        <w:wordWrap/>
        <w:overflowPunct/>
        <w:topLinePunct w:val="0"/>
        <w:autoSpaceDE/>
        <w:autoSpaceDN/>
        <w:bidi w:val="0"/>
        <w:adjustRightInd/>
        <w:snapToGrid/>
        <w:spacing w:line="288" w:lineRule="auto"/>
        <w:ind w:firstLine="435"/>
        <w:textAlignment w:val="auto"/>
        <w:rPr>
          <w:rFonts w:hint="eastAsia" w:ascii="仿宋" w:hAnsi="仿宋" w:eastAsia="仿宋" w:cs="仿宋"/>
          <w:color w:val="auto"/>
          <w:sz w:val="24"/>
          <w:szCs w:val="24"/>
          <w:highlight w:val="none"/>
          <w:u w:val="single"/>
        </w:rPr>
      </w:pPr>
    </w:p>
    <w:p w14:paraId="66861775">
      <w:pPr>
        <w:keepNext w:val="0"/>
        <w:keepLines w:val="0"/>
        <w:pageBreakBefore w:val="0"/>
        <w:widowControl w:val="0"/>
        <w:kinsoku/>
        <w:wordWrap/>
        <w:overflowPunct/>
        <w:topLinePunct w:val="0"/>
        <w:autoSpaceDE/>
        <w:autoSpaceDN/>
        <w:bidi w:val="0"/>
        <w:adjustRightInd/>
        <w:snapToGrid/>
        <w:spacing w:line="288" w:lineRule="auto"/>
        <w:ind w:firstLine="435"/>
        <w:textAlignment w:val="auto"/>
        <w:rPr>
          <w:rFonts w:hint="eastAsia" w:ascii="仿宋" w:hAnsi="仿宋" w:eastAsia="仿宋" w:cs="仿宋"/>
          <w:color w:val="auto"/>
          <w:sz w:val="24"/>
          <w:szCs w:val="24"/>
          <w:highlight w:val="none"/>
        </w:rPr>
      </w:pPr>
    </w:p>
    <w:p w14:paraId="1A87AB8E">
      <w:pPr>
        <w:keepNext w:val="0"/>
        <w:keepLines w:val="0"/>
        <w:pageBreakBefore w:val="0"/>
        <w:widowControl w:val="0"/>
        <w:kinsoku/>
        <w:wordWrap/>
        <w:overflowPunct/>
        <w:topLinePunct w:val="0"/>
        <w:autoSpaceDE/>
        <w:autoSpaceDN/>
        <w:bidi w:val="0"/>
        <w:adjustRightInd/>
        <w:snapToGrid/>
        <w:spacing w:line="288" w:lineRule="auto"/>
        <w:ind w:firstLine="435"/>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11D455E">
      <w:pPr>
        <w:keepNext w:val="0"/>
        <w:keepLines w:val="0"/>
        <w:pageBreakBefore w:val="0"/>
        <w:widowControl w:val="0"/>
        <w:kinsoku/>
        <w:wordWrap/>
        <w:overflowPunct/>
        <w:topLinePunct w:val="0"/>
        <w:autoSpaceDE/>
        <w:autoSpaceDN/>
        <w:bidi w:val="0"/>
        <w:adjustRightInd/>
        <w:snapToGrid/>
        <w:spacing w:line="288" w:lineRule="auto"/>
        <w:ind w:firstLine="435"/>
        <w:jc w:val="left"/>
        <w:textAlignment w:val="auto"/>
        <w:rPr>
          <w:rFonts w:hint="eastAsia" w:ascii="仿宋" w:hAnsi="仿宋" w:eastAsia="仿宋" w:cs="仿宋"/>
          <w:color w:val="auto"/>
          <w:sz w:val="24"/>
          <w:szCs w:val="24"/>
          <w:highlight w:val="none"/>
        </w:rPr>
      </w:pPr>
    </w:p>
    <w:p w14:paraId="6BA66710">
      <w:pPr>
        <w:keepNext w:val="0"/>
        <w:keepLines w:val="0"/>
        <w:pageBreakBefore w:val="0"/>
        <w:widowControl/>
        <w:kinsoku/>
        <w:wordWrap/>
        <w:overflowPunct/>
        <w:topLinePunct w:val="0"/>
        <w:autoSpaceDE/>
        <w:autoSpaceDN/>
        <w:bidi w:val="0"/>
        <w:adjustRightInd w:val="0"/>
        <w:snapToGrid w:val="0"/>
        <w:spacing w:line="288" w:lineRule="auto"/>
        <w:ind w:firstLine="240" w:firstLineChars="1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供应商名称（盖章或电子签章）</w:t>
      </w:r>
      <w:r>
        <w:rPr>
          <w:rFonts w:hint="eastAsia" w:ascii="仿宋" w:hAnsi="仿宋" w:eastAsia="仿宋" w:cs="仿宋"/>
          <w:color w:val="auto"/>
          <w:kern w:val="0"/>
          <w:sz w:val="24"/>
          <w:szCs w:val="24"/>
          <w:highlight w:val="none"/>
        </w:rPr>
        <w:t xml:space="preserve"> ：</w:t>
      </w:r>
    </w:p>
    <w:p w14:paraId="71F665BE">
      <w:pPr>
        <w:keepNext w:val="0"/>
        <w:keepLines w:val="0"/>
        <w:pageBreakBefore w:val="0"/>
        <w:widowControl/>
        <w:kinsoku/>
        <w:wordWrap/>
        <w:overflowPunct/>
        <w:topLinePunct w:val="0"/>
        <w:autoSpaceDE/>
        <w:autoSpaceDN/>
        <w:bidi w:val="0"/>
        <w:adjustRightInd w:val="0"/>
        <w:snapToGrid w:val="0"/>
        <w:spacing w:line="288" w:lineRule="auto"/>
        <w:ind w:firstLine="240" w:firstLineChars="1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法定代表人或其授权代表（签字或盖章或电子签章）：</w:t>
      </w:r>
    </w:p>
    <w:p w14:paraId="50489AFA">
      <w:pPr>
        <w:keepNext w:val="0"/>
        <w:keepLines w:val="0"/>
        <w:pageBreakBefore w:val="0"/>
        <w:widowControl w:val="0"/>
        <w:kinsoku/>
        <w:wordWrap/>
        <w:overflowPunct/>
        <w:topLinePunct w:val="0"/>
        <w:autoSpaceDE/>
        <w:autoSpaceDN/>
        <w:bidi w:val="0"/>
        <w:adjustRightInd/>
        <w:snapToGrid/>
        <w:spacing w:line="288" w:lineRule="auto"/>
        <w:ind w:firstLine="240" w:firstLineChars="100"/>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kern w:val="0"/>
          <w:sz w:val="24"/>
          <w:szCs w:val="24"/>
          <w:highlight w:val="none"/>
        </w:rPr>
        <w:t xml:space="preserve">日期：     年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月  日</w:t>
      </w:r>
    </w:p>
    <w:p w14:paraId="1279683C">
      <w:pPr>
        <w:pStyle w:val="87"/>
        <w:keepNext w:val="0"/>
        <w:keepLines w:val="0"/>
        <w:pageBreakBefore w:val="0"/>
        <w:widowControl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1A811AC2">
      <w:pPr>
        <w:pStyle w:val="3"/>
        <w:keepNext w:val="0"/>
        <w:keepLines w:val="0"/>
        <w:pageBreakBefore w:val="0"/>
        <w:widowControl w:val="0"/>
        <w:kinsoku/>
        <w:wordWrap/>
        <w:overflowPunct/>
        <w:topLinePunct w:val="0"/>
        <w:autoSpaceDE/>
        <w:autoSpaceDN/>
        <w:bidi w:val="0"/>
        <w:adjustRightInd/>
        <w:snapToGrid/>
        <w:spacing w:line="288" w:lineRule="auto"/>
        <w:ind w:firstLine="210"/>
        <w:textAlignment w:val="auto"/>
        <w:rPr>
          <w:rFonts w:hint="eastAsia" w:ascii="仿宋" w:hAnsi="仿宋" w:eastAsia="仿宋" w:cs="仿宋"/>
          <w:color w:val="auto"/>
          <w:sz w:val="24"/>
          <w:szCs w:val="24"/>
          <w:highlight w:val="none"/>
        </w:rPr>
      </w:pPr>
    </w:p>
    <w:p w14:paraId="6C34C466">
      <w:pPr>
        <w:pStyle w:val="87"/>
        <w:keepNext w:val="0"/>
        <w:keepLines w:val="0"/>
        <w:pageBreakBefore w:val="0"/>
        <w:widowControl w:val="0"/>
        <w:kinsoku/>
        <w:wordWrap/>
        <w:overflowPunct/>
        <w:topLinePunct w:val="0"/>
        <w:autoSpaceDE/>
        <w:autoSpaceDN/>
        <w:bidi w:val="0"/>
        <w:adjustRightInd/>
        <w:snapToGrid/>
        <w:spacing w:line="288" w:lineRule="auto"/>
        <w:ind w:firstLine="0" w:firstLineChars="0"/>
        <w:textAlignment w:val="auto"/>
        <w:rPr>
          <w:rFonts w:hint="eastAsia" w:ascii="仿宋" w:hAnsi="仿宋" w:eastAsia="仿宋" w:cs="仿宋"/>
          <w:b/>
          <w:bCs/>
          <w:color w:val="auto"/>
          <w:sz w:val="24"/>
          <w:szCs w:val="24"/>
          <w:highlight w:val="none"/>
        </w:rPr>
      </w:pPr>
    </w:p>
    <w:p w14:paraId="45242231">
      <w:pPr>
        <w:pStyle w:val="2"/>
        <w:rPr>
          <w:rFonts w:hint="eastAsia" w:ascii="仿宋" w:hAnsi="仿宋" w:eastAsia="仿宋" w:cs="仿宋"/>
          <w:b/>
          <w:bCs/>
          <w:color w:val="auto"/>
          <w:sz w:val="24"/>
          <w:szCs w:val="24"/>
          <w:highlight w:val="none"/>
        </w:rPr>
      </w:pPr>
    </w:p>
    <w:p w14:paraId="45FB8F96">
      <w:pPr>
        <w:rPr>
          <w:rFonts w:hint="eastAsia" w:ascii="仿宋" w:hAnsi="仿宋" w:eastAsia="仿宋" w:cs="仿宋"/>
          <w:b/>
          <w:bCs/>
          <w:color w:val="auto"/>
          <w:sz w:val="24"/>
          <w:szCs w:val="24"/>
          <w:highlight w:val="none"/>
        </w:rPr>
      </w:pPr>
    </w:p>
    <w:p w14:paraId="7C3ED97E">
      <w:pPr>
        <w:pStyle w:val="100"/>
        <w:rPr>
          <w:rFonts w:hint="eastAsia" w:ascii="仿宋" w:hAnsi="仿宋" w:eastAsia="仿宋" w:cs="仿宋"/>
          <w:b/>
          <w:bCs/>
          <w:color w:val="auto"/>
          <w:sz w:val="24"/>
          <w:szCs w:val="24"/>
          <w:highlight w:val="none"/>
        </w:rPr>
      </w:pPr>
    </w:p>
    <w:p w14:paraId="0105BBAB">
      <w:pPr>
        <w:pStyle w:val="100"/>
        <w:rPr>
          <w:rFonts w:hint="eastAsia" w:ascii="仿宋" w:hAnsi="仿宋" w:eastAsia="仿宋" w:cs="仿宋"/>
          <w:b/>
          <w:bCs/>
          <w:color w:val="auto"/>
          <w:sz w:val="24"/>
          <w:szCs w:val="24"/>
          <w:highlight w:val="none"/>
        </w:rPr>
      </w:pPr>
    </w:p>
    <w:p w14:paraId="7597BAEE">
      <w:pPr>
        <w:pStyle w:val="87"/>
        <w:ind w:firstLine="0" w:firstLineChars="0"/>
        <w:rPr>
          <w:rFonts w:hint="eastAsia" w:ascii="仿宋" w:hAnsi="仿宋" w:eastAsia="仿宋" w:cs="仿宋"/>
          <w:b/>
          <w:bCs/>
          <w:color w:val="auto"/>
          <w:sz w:val="28"/>
          <w:szCs w:val="28"/>
          <w:highlight w:val="none"/>
        </w:rPr>
      </w:pPr>
    </w:p>
    <w:p w14:paraId="35B3A15F">
      <w:pPr>
        <w:autoSpaceDE w:val="0"/>
        <w:autoSpaceDN w:val="0"/>
        <w:adjustRightInd w:val="0"/>
        <w:spacing w:line="500" w:lineRule="exact"/>
        <w:jc w:val="center"/>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rPr>
        <w:t>法定代表人资格证明书</w:t>
      </w:r>
    </w:p>
    <w:p w14:paraId="7EB6C6C9">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 标 人：</w:t>
      </w:r>
      <w:r>
        <w:rPr>
          <w:rFonts w:hint="eastAsia" w:ascii="仿宋" w:hAnsi="仿宋" w:eastAsia="仿宋" w:cs="仿宋"/>
          <w:color w:val="auto"/>
          <w:sz w:val="24"/>
          <w:szCs w:val="24"/>
          <w:highlight w:val="none"/>
          <w:u w:val="single"/>
        </w:rPr>
        <w:t xml:space="preserve">                                                        </w:t>
      </w:r>
    </w:p>
    <w:p w14:paraId="678B90AC">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单位性质：</w:t>
      </w:r>
      <w:r>
        <w:rPr>
          <w:rFonts w:hint="eastAsia" w:ascii="仿宋" w:hAnsi="仿宋" w:eastAsia="仿宋" w:cs="仿宋"/>
          <w:color w:val="auto"/>
          <w:sz w:val="24"/>
          <w:szCs w:val="24"/>
          <w:highlight w:val="none"/>
          <w:u w:val="single"/>
        </w:rPr>
        <w:t xml:space="preserve">                                                        </w:t>
      </w:r>
    </w:p>
    <w:p w14:paraId="20589F3A">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single"/>
        </w:rPr>
        <w:t xml:space="preserve">                                                        </w:t>
      </w:r>
    </w:p>
    <w:p w14:paraId="337C1CFD">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46BF9602">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经营期限：</w:t>
      </w:r>
      <w:r>
        <w:rPr>
          <w:rFonts w:hint="eastAsia" w:ascii="仿宋" w:hAnsi="仿宋" w:eastAsia="仿宋" w:cs="仿宋"/>
          <w:color w:val="auto"/>
          <w:sz w:val="24"/>
          <w:szCs w:val="24"/>
          <w:highlight w:val="none"/>
          <w:u w:val="single"/>
        </w:rPr>
        <w:t xml:space="preserve">                                                        </w:t>
      </w:r>
    </w:p>
    <w:p w14:paraId="200061EA">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    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性        别：</w:t>
      </w:r>
      <w:r>
        <w:rPr>
          <w:rFonts w:hint="eastAsia" w:ascii="仿宋" w:hAnsi="仿宋" w:eastAsia="仿宋" w:cs="仿宋"/>
          <w:color w:val="auto"/>
          <w:sz w:val="24"/>
          <w:szCs w:val="24"/>
          <w:highlight w:val="none"/>
          <w:u w:val="single"/>
        </w:rPr>
        <w:t xml:space="preserve">                </w:t>
      </w:r>
    </w:p>
    <w:p w14:paraId="303A610B">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职    务：</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（投标人名称）的法定代表人。</w:t>
      </w:r>
    </w:p>
    <w:p w14:paraId="3B7DC2D9">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特此证明。</w:t>
      </w:r>
    </w:p>
    <w:p w14:paraId="1ED96239">
      <w:pPr>
        <w:keepNext w:val="0"/>
        <w:keepLines w:val="0"/>
        <w:pageBreakBefore w:val="0"/>
        <w:kinsoku/>
        <w:wordWrap/>
        <w:overflowPunct/>
        <w:topLinePunct w:val="0"/>
        <w:autoSpaceDE/>
        <w:autoSpaceDN/>
        <w:bidi w:val="0"/>
        <w:spacing w:line="288" w:lineRule="auto"/>
        <w:ind w:firstLine="424" w:firstLineChars="177"/>
        <w:rPr>
          <w:rFonts w:hint="eastAsia" w:ascii="仿宋" w:hAnsi="仿宋" w:eastAsia="仿宋" w:cs="仿宋"/>
          <w:color w:val="auto"/>
          <w:sz w:val="24"/>
          <w:szCs w:val="24"/>
          <w:highlight w:val="none"/>
        </w:rPr>
      </w:pPr>
    </w:p>
    <w:p w14:paraId="1E26B334">
      <w:pPr>
        <w:keepNext w:val="0"/>
        <w:keepLines w:val="0"/>
        <w:pageBreakBefore w:val="0"/>
        <w:kinsoku/>
        <w:wordWrap/>
        <w:overflowPunct/>
        <w:topLinePunct w:val="0"/>
        <w:autoSpaceDE/>
        <w:autoSpaceDN/>
        <w:bidi w:val="0"/>
        <w:spacing w:line="288" w:lineRule="auto"/>
        <w:jc w:val="right"/>
        <w:rPr>
          <w:rFonts w:hint="eastAsia" w:ascii="仿宋" w:hAnsi="仿宋" w:eastAsia="仿宋" w:cs="仿宋"/>
          <w:color w:val="auto"/>
          <w:sz w:val="24"/>
          <w:szCs w:val="24"/>
          <w:highlight w:val="none"/>
        </w:rPr>
      </w:pPr>
    </w:p>
    <w:p w14:paraId="5707CF71">
      <w:pPr>
        <w:keepNext w:val="0"/>
        <w:keepLines w:val="0"/>
        <w:pageBreakBefore w:val="0"/>
        <w:kinsoku/>
        <w:wordWrap/>
        <w:overflowPunct/>
        <w:topLinePunct w:val="0"/>
        <w:autoSpaceDE/>
        <w:autoSpaceDN/>
        <w:bidi w:val="0"/>
        <w:spacing w:line="288" w:lineRule="auto"/>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（盖单位章）</w:t>
      </w:r>
    </w:p>
    <w:p w14:paraId="15E32C4A">
      <w:pPr>
        <w:keepNext w:val="0"/>
        <w:keepLines w:val="0"/>
        <w:pageBreakBefore w:val="0"/>
        <w:kinsoku/>
        <w:wordWrap/>
        <w:overflowPunct/>
        <w:topLinePunct w:val="0"/>
        <w:autoSpaceDE/>
        <w:autoSpaceDN/>
        <w:bidi w:val="0"/>
        <w:spacing w:line="288" w:lineRule="auto"/>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 </w:t>
      </w:r>
    </w:p>
    <w:p w14:paraId="21B3E44E">
      <w:pPr>
        <w:pStyle w:val="617"/>
        <w:keepNext w:val="0"/>
        <w:keepLines w:val="0"/>
        <w:pageBreakBefore w:val="0"/>
        <w:kinsoku/>
        <w:wordWrap/>
        <w:overflowPunct/>
        <w:topLinePunct w:val="0"/>
        <w:autoSpaceDE/>
        <w:autoSpaceDN/>
        <w:bidi w:val="0"/>
        <w:spacing w:line="288" w:lineRule="auto"/>
        <w:rPr>
          <w:rFonts w:hint="eastAsia" w:ascii="仿宋" w:hAnsi="仿宋" w:eastAsia="仿宋" w:cs="仿宋"/>
          <w:color w:val="auto"/>
          <w:sz w:val="24"/>
          <w:szCs w:val="24"/>
          <w:highlight w:val="none"/>
        </w:rPr>
      </w:pPr>
    </w:p>
    <w:p w14:paraId="55C3EA4C">
      <w:pPr>
        <w:pStyle w:val="617"/>
        <w:keepNext w:val="0"/>
        <w:keepLines w:val="0"/>
        <w:pageBreakBefore w:val="0"/>
        <w:kinsoku/>
        <w:wordWrap/>
        <w:overflowPunct/>
        <w:topLinePunct w:val="0"/>
        <w:autoSpaceDE/>
        <w:autoSpaceDN/>
        <w:bidi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附：法定代表人身份证扫描件</w:t>
      </w:r>
    </w:p>
    <w:tbl>
      <w:tblPr>
        <w:tblStyle w:val="88"/>
        <w:tblW w:w="8980" w:type="dxa"/>
        <w:tblInd w:w="0" w:type="dxa"/>
        <w:tblLayout w:type="fixed"/>
        <w:tblCellMar>
          <w:top w:w="0" w:type="dxa"/>
          <w:left w:w="108" w:type="dxa"/>
          <w:bottom w:w="0" w:type="dxa"/>
          <w:right w:w="108" w:type="dxa"/>
        </w:tblCellMar>
      </w:tblPr>
      <w:tblGrid>
        <w:gridCol w:w="4210"/>
        <w:gridCol w:w="4770"/>
      </w:tblGrid>
      <w:tr w14:paraId="6F46D223">
        <w:tblPrEx>
          <w:tblCellMar>
            <w:top w:w="0" w:type="dxa"/>
            <w:left w:w="108" w:type="dxa"/>
            <w:bottom w:w="0" w:type="dxa"/>
            <w:right w:w="108" w:type="dxa"/>
          </w:tblCellMar>
        </w:tblPrEx>
        <w:trPr>
          <w:trHeight w:val="2423" w:hRule="atLeast"/>
        </w:trPr>
        <w:tc>
          <w:tcPr>
            <w:tcW w:w="4210" w:type="dxa"/>
            <w:tcBorders>
              <w:top w:val="single" w:color="auto" w:sz="4" w:space="0"/>
              <w:left w:val="single" w:color="auto" w:sz="4" w:space="0"/>
              <w:bottom w:val="single" w:color="auto" w:sz="4" w:space="0"/>
              <w:right w:val="single" w:color="auto" w:sz="4" w:space="0"/>
            </w:tcBorders>
          </w:tcPr>
          <w:p w14:paraId="7DEA5330">
            <w:pPr>
              <w:keepNext w:val="0"/>
              <w:keepLines w:val="0"/>
              <w:pageBreakBefore w:val="0"/>
              <w:widowControl/>
              <w:tabs>
                <w:tab w:val="right" w:leader="dot" w:pos="8295"/>
              </w:tabs>
              <w:kinsoku/>
              <w:wordWrap/>
              <w:overflowPunct/>
              <w:topLinePunct w:val="0"/>
              <w:autoSpaceDE/>
              <w:autoSpaceDN/>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000D39C5">
            <w:pPr>
              <w:keepNext w:val="0"/>
              <w:keepLines w:val="0"/>
              <w:pageBreakBefore w:val="0"/>
              <w:widowControl/>
              <w:tabs>
                <w:tab w:val="right" w:leader="dot" w:pos="8295"/>
              </w:tabs>
              <w:kinsoku/>
              <w:wordWrap/>
              <w:overflowPunct/>
              <w:topLinePunct w:val="0"/>
              <w:autoSpaceDE/>
              <w:autoSpaceDN/>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法定代表人身份证扫描件</w:t>
            </w:r>
          </w:p>
          <w:p w14:paraId="34CA0EC9">
            <w:pPr>
              <w:pStyle w:val="617"/>
              <w:keepNext w:val="0"/>
              <w:keepLines w:val="0"/>
              <w:pageBreakBefore w:val="0"/>
              <w:kinsoku/>
              <w:wordWrap/>
              <w:overflowPunct/>
              <w:topLinePunct w:val="0"/>
              <w:autoSpaceDE/>
              <w:autoSpaceDN/>
              <w:bidi w:val="0"/>
              <w:spacing w:line="288"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（国徽面）</w:t>
            </w:r>
          </w:p>
          <w:p w14:paraId="088808FD">
            <w:pPr>
              <w:keepNext w:val="0"/>
              <w:keepLines w:val="0"/>
              <w:pageBreakBefore w:val="0"/>
              <w:widowControl/>
              <w:tabs>
                <w:tab w:val="right" w:leader="dot" w:pos="8295"/>
              </w:tabs>
              <w:kinsoku/>
              <w:wordWrap/>
              <w:overflowPunct/>
              <w:topLinePunct w:val="0"/>
              <w:autoSpaceDE/>
              <w:autoSpaceDN/>
              <w:bidi w:val="0"/>
              <w:snapToGrid w:val="0"/>
              <w:spacing w:line="288" w:lineRule="auto"/>
              <w:ind w:left="5250" w:firstLine="480"/>
              <w:jc w:val="center"/>
              <w:rPr>
                <w:rFonts w:hint="eastAsia" w:ascii="仿宋" w:hAnsi="仿宋" w:eastAsia="仿宋" w:cs="仿宋"/>
                <w:color w:val="auto"/>
                <w:kern w:val="0"/>
                <w:sz w:val="24"/>
                <w:szCs w:val="24"/>
                <w:highlight w:val="none"/>
              </w:rPr>
            </w:pPr>
          </w:p>
        </w:tc>
        <w:tc>
          <w:tcPr>
            <w:tcW w:w="4770" w:type="dxa"/>
            <w:tcBorders>
              <w:top w:val="single" w:color="auto" w:sz="4" w:space="0"/>
              <w:left w:val="single" w:color="auto" w:sz="4" w:space="0"/>
              <w:bottom w:val="single" w:color="auto" w:sz="4" w:space="0"/>
              <w:right w:val="single" w:color="auto" w:sz="4" w:space="0"/>
            </w:tcBorders>
          </w:tcPr>
          <w:p w14:paraId="3058A344">
            <w:pPr>
              <w:keepNext w:val="0"/>
              <w:keepLines w:val="0"/>
              <w:pageBreakBefore w:val="0"/>
              <w:widowControl/>
              <w:tabs>
                <w:tab w:val="right" w:leader="dot" w:pos="8295"/>
              </w:tabs>
              <w:kinsoku/>
              <w:wordWrap/>
              <w:overflowPunct/>
              <w:topLinePunct w:val="0"/>
              <w:autoSpaceDE/>
              <w:autoSpaceDN/>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428B628D">
            <w:pPr>
              <w:keepNext w:val="0"/>
              <w:keepLines w:val="0"/>
              <w:pageBreakBefore w:val="0"/>
              <w:widowControl/>
              <w:tabs>
                <w:tab w:val="right" w:leader="dot" w:pos="8295"/>
              </w:tabs>
              <w:kinsoku/>
              <w:wordWrap/>
              <w:overflowPunct/>
              <w:topLinePunct w:val="0"/>
              <w:autoSpaceDE/>
              <w:autoSpaceDN/>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法定代表人身份证扫描件</w:t>
            </w:r>
          </w:p>
          <w:p w14:paraId="782CE855">
            <w:pPr>
              <w:pStyle w:val="617"/>
              <w:keepNext w:val="0"/>
              <w:keepLines w:val="0"/>
              <w:pageBreakBefore w:val="0"/>
              <w:kinsoku/>
              <w:wordWrap/>
              <w:overflowPunct/>
              <w:topLinePunct w:val="0"/>
              <w:autoSpaceDE/>
              <w:autoSpaceDN/>
              <w:bidi w:val="0"/>
              <w:spacing w:line="288"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（头像面）</w:t>
            </w:r>
          </w:p>
          <w:p w14:paraId="27A4D50A">
            <w:pPr>
              <w:keepNext w:val="0"/>
              <w:keepLines w:val="0"/>
              <w:pageBreakBefore w:val="0"/>
              <w:widowControl/>
              <w:tabs>
                <w:tab w:val="right" w:leader="dot" w:pos="8295"/>
              </w:tabs>
              <w:kinsoku/>
              <w:wordWrap/>
              <w:overflowPunct/>
              <w:topLinePunct w:val="0"/>
              <w:autoSpaceDE/>
              <w:autoSpaceDN/>
              <w:bidi w:val="0"/>
              <w:snapToGrid w:val="0"/>
              <w:spacing w:line="288" w:lineRule="auto"/>
              <w:ind w:left="5250" w:firstLine="480"/>
              <w:rPr>
                <w:rFonts w:hint="eastAsia" w:ascii="仿宋" w:hAnsi="仿宋" w:eastAsia="仿宋" w:cs="仿宋"/>
                <w:color w:val="auto"/>
                <w:kern w:val="0"/>
                <w:sz w:val="24"/>
                <w:szCs w:val="24"/>
                <w:highlight w:val="none"/>
              </w:rPr>
            </w:pPr>
          </w:p>
        </w:tc>
      </w:tr>
    </w:tbl>
    <w:p w14:paraId="5969C095">
      <w:pPr>
        <w:keepNext w:val="0"/>
        <w:keepLines w:val="0"/>
        <w:pageBreakBefore w:val="0"/>
        <w:kinsoku/>
        <w:wordWrap/>
        <w:overflowPunct/>
        <w:topLinePunct w:val="0"/>
        <w:autoSpaceDE/>
        <w:autoSpaceDN/>
        <w:bidi w:val="0"/>
        <w:spacing w:line="288" w:lineRule="auto"/>
        <w:rPr>
          <w:rFonts w:hint="eastAsia" w:ascii="仿宋" w:hAnsi="仿宋" w:eastAsia="仿宋" w:cs="仿宋"/>
          <w:color w:val="auto"/>
          <w:sz w:val="24"/>
          <w:szCs w:val="24"/>
          <w:highlight w:val="none"/>
        </w:rPr>
      </w:pPr>
    </w:p>
    <w:p w14:paraId="3B2FB8E1">
      <w:pPr>
        <w:pStyle w:val="617"/>
        <w:rPr>
          <w:rFonts w:hint="eastAsia" w:ascii="仿宋" w:hAnsi="仿宋" w:eastAsia="仿宋" w:cs="仿宋"/>
          <w:color w:val="auto"/>
          <w:highlight w:val="none"/>
        </w:rPr>
      </w:pPr>
    </w:p>
    <w:p w14:paraId="689635F6">
      <w:pPr>
        <w:pageBreakBefore/>
        <w:adjustRightInd w:val="0"/>
        <w:spacing w:line="500" w:lineRule="exact"/>
        <w:jc w:val="center"/>
        <w:textAlignment w:val="baseline"/>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法定代表人授权书</w:t>
      </w:r>
    </w:p>
    <w:p w14:paraId="29B68892">
      <w:pPr>
        <w:keepNext w:val="0"/>
        <w:keepLines w:val="0"/>
        <w:pageBreakBefore w:val="0"/>
        <w:kinsoku/>
        <w:wordWrap/>
        <w:overflowPunct/>
        <w:topLinePunct w:val="0"/>
        <w:autoSpaceDE w:val="0"/>
        <w:autoSpaceDN w:val="0"/>
        <w:bidi w:val="0"/>
        <w:adjustRightInd w:val="0"/>
        <w:spacing w:line="288"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衢州智慧新城管理委员会：</w:t>
      </w:r>
    </w:p>
    <w:p w14:paraId="53988FC3">
      <w:pPr>
        <w:keepNext w:val="0"/>
        <w:keepLines w:val="0"/>
        <w:pageBreakBefore w:val="0"/>
        <w:kinsoku/>
        <w:wordWrap/>
        <w:overflowPunct/>
        <w:topLinePunct w:val="0"/>
        <w:autoSpaceDE w:val="0"/>
        <w:autoSpaceDN w:val="0"/>
        <w:bidi w:val="0"/>
        <w:adjustRightInd w:val="0"/>
        <w:spacing w:line="288" w:lineRule="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lang w:eastAsia="zh-CN"/>
        </w:rPr>
        <w:t>科信联合工程咨询有限公司</w:t>
      </w:r>
      <w:r>
        <w:rPr>
          <w:rFonts w:hint="eastAsia" w:ascii="仿宋" w:hAnsi="仿宋" w:eastAsia="仿宋" w:cs="仿宋"/>
          <w:color w:val="auto"/>
          <w:sz w:val="24"/>
          <w:szCs w:val="24"/>
          <w:highlight w:val="none"/>
          <w:u w:val="single"/>
        </w:rPr>
        <w:t xml:space="preserve">： </w:t>
      </w:r>
    </w:p>
    <w:p w14:paraId="183E7CA5">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本授权委托书声明：我</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zh-CN"/>
        </w:rPr>
        <w:t>（法定代表人姓名）</w:t>
      </w:r>
      <w:r>
        <w:rPr>
          <w:rFonts w:hint="eastAsia" w:ascii="仿宋" w:hAnsi="仿宋" w:eastAsia="仿宋" w:cs="仿宋"/>
          <w:color w:val="auto"/>
          <w:sz w:val="24"/>
          <w:szCs w:val="24"/>
          <w:highlight w:val="none"/>
          <w:lang w:val="zh-CN"/>
        </w:rPr>
        <w:t>系</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zh-CN"/>
        </w:rPr>
        <w:t>（投标人名称）</w:t>
      </w:r>
      <w:r>
        <w:rPr>
          <w:rFonts w:hint="eastAsia" w:ascii="仿宋" w:hAnsi="仿宋" w:eastAsia="仿宋" w:cs="仿宋"/>
          <w:color w:val="auto"/>
          <w:sz w:val="24"/>
          <w:szCs w:val="24"/>
          <w:highlight w:val="none"/>
          <w:lang w:val="zh-CN"/>
        </w:rPr>
        <w:t>的法定代表人，现授权委托</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zh-CN"/>
        </w:rPr>
        <w:t>（单位名称）</w:t>
      </w:r>
      <w:r>
        <w:rPr>
          <w:rFonts w:hint="eastAsia" w:ascii="仿宋" w:hAnsi="仿宋" w:eastAsia="仿宋" w:cs="仿宋"/>
          <w:color w:val="auto"/>
          <w:sz w:val="24"/>
          <w:szCs w:val="24"/>
          <w:highlight w:val="none"/>
          <w:lang w:val="zh-CN"/>
        </w:rPr>
        <w:t>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zh-CN"/>
        </w:rPr>
        <w:t>（授权代表姓名）</w:t>
      </w:r>
      <w:r>
        <w:rPr>
          <w:rFonts w:hint="eastAsia" w:ascii="仿宋" w:hAnsi="仿宋" w:eastAsia="仿宋" w:cs="仿宋"/>
          <w:color w:val="auto"/>
          <w:sz w:val="24"/>
          <w:szCs w:val="24"/>
          <w:highlight w:val="none"/>
          <w:lang w:val="zh-CN"/>
        </w:rPr>
        <w:t>为我公司法定代表人授权代表，参加贵单位组织的</w:t>
      </w:r>
      <w:r>
        <w:rPr>
          <w:rFonts w:hint="eastAsia" w:ascii="仿宋" w:hAnsi="仿宋" w:eastAsia="仿宋" w:cs="仿宋"/>
          <w:color w:val="auto"/>
          <w:sz w:val="24"/>
          <w:szCs w:val="24"/>
          <w:highlight w:val="none"/>
          <w:u w:val="single"/>
          <w:lang w:val="zh-CN"/>
        </w:rPr>
        <w:t xml:space="preserve"> 2025年度衢州智慧新城地下综合管廊与隧道运维服务项目（项目名称）（项目编号:kxqz2024108）</w:t>
      </w:r>
      <w:r>
        <w:rPr>
          <w:rFonts w:hint="eastAsia" w:ascii="仿宋" w:hAnsi="仿宋" w:eastAsia="仿宋" w:cs="仿宋"/>
          <w:color w:val="auto"/>
          <w:sz w:val="24"/>
          <w:szCs w:val="24"/>
          <w:highlight w:val="none"/>
          <w:lang w:val="zh-CN"/>
        </w:rPr>
        <w:t>项目采购，并代表我方全权处理本次采购活动中的一切事宜，并签署相关文件，我方对被授权人的签名事项负全部责任。</w:t>
      </w:r>
    </w:p>
    <w:p w14:paraId="30B8C8B6">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在撤销授权的书面通知以前，本授权书一直有效。被授权人在授权书有效期内签署的所有文件不因授权的撤销而失效。</w:t>
      </w:r>
    </w:p>
    <w:p w14:paraId="6404DB65">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授权代表无转授权，特此授权。</w:t>
      </w:r>
    </w:p>
    <w:p w14:paraId="34672F5F">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附：</w:t>
      </w:r>
    </w:p>
    <w:p w14:paraId="18F6C14A">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法定代表人</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授权代表人身份证扫描件</w:t>
      </w:r>
    </w:p>
    <w:p w14:paraId="36BC3C44">
      <w:pPr>
        <w:keepNext w:val="0"/>
        <w:keepLines w:val="0"/>
        <w:pageBreakBefore w:val="0"/>
        <w:kinsoku/>
        <w:wordWrap/>
        <w:overflowPunct/>
        <w:topLinePunct w:val="0"/>
        <w:autoSpaceDE w:val="0"/>
        <w:autoSpaceDN w:val="0"/>
        <w:bidi w:val="0"/>
        <w:adjustRightInd w:val="0"/>
        <w:spacing w:line="288" w:lineRule="auto"/>
        <w:ind w:firstLine="436" w:firstLineChars="200"/>
        <w:rPr>
          <w:rFonts w:hint="eastAsia" w:ascii="仿宋" w:hAnsi="仿宋" w:eastAsia="仿宋" w:cs="仿宋"/>
          <w:color w:val="auto"/>
          <w:spacing w:val="-11"/>
          <w:sz w:val="24"/>
          <w:szCs w:val="24"/>
          <w:highlight w:val="none"/>
          <w:lang w:val="zh-CN"/>
        </w:rPr>
      </w:pPr>
      <w:r>
        <w:rPr>
          <w:rFonts w:hint="eastAsia" w:ascii="仿宋" w:hAnsi="仿宋" w:eastAsia="仿宋" w:cs="仿宋"/>
          <w:color w:val="auto"/>
          <w:spacing w:val="-11"/>
          <w:sz w:val="24"/>
          <w:szCs w:val="24"/>
          <w:highlight w:val="none"/>
          <w:lang w:val="zh-CN"/>
        </w:rPr>
        <w:t>2.授权代表为投标人在职员工的证明文件（投标人为其缴纳的社保记录或劳务合同等）。</w:t>
      </w:r>
    </w:p>
    <w:p w14:paraId="3D48E8BD">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lang w:val="zh-CN"/>
        </w:rPr>
      </w:pPr>
    </w:p>
    <w:p w14:paraId="68795565">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sz w:val="24"/>
          <w:szCs w:val="24"/>
          <w:highlight w:val="none"/>
          <w:lang w:val="zh-CN"/>
        </w:rPr>
        <w:t>授权代表（签字或盖章）：</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 xml:space="preserve">  性别：</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年龄：</w:t>
      </w:r>
      <w:r>
        <w:rPr>
          <w:rFonts w:hint="eastAsia" w:ascii="仿宋" w:hAnsi="仿宋" w:eastAsia="仿宋" w:cs="仿宋"/>
          <w:color w:val="auto"/>
          <w:sz w:val="24"/>
          <w:szCs w:val="24"/>
          <w:highlight w:val="none"/>
          <w:u w:val="single"/>
          <w:lang w:val="zh-CN"/>
        </w:rPr>
        <w:t xml:space="preserve">            </w:t>
      </w:r>
    </w:p>
    <w:p w14:paraId="5860810F">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sz w:val="24"/>
          <w:szCs w:val="24"/>
          <w:highlight w:val="none"/>
          <w:lang w:val="zh-CN"/>
        </w:rPr>
        <w:t>身份证号码：</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 xml:space="preserve">  职务：</w:t>
      </w:r>
      <w:r>
        <w:rPr>
          <w:rFonts w:hint="eastAsia" w:ascii="仿宋" w:hAnsi="仿宋" w:eastAsia="仿宋" w:cs="仿宋"/>
          <w:color w:val="auto"/>
          <w:sz w:val="24"/>
          <w:szCs w:val="24"/>
          <w:highlight w:val="none"/>
          <w:u w:val="single"/>
          <w:lang w:val="zh-CN"/>
        </w:rPr>
        <w:t xml:space="preserve">                        </w:t>
      </w:r>
    </w:p>
    <w:p w14:paraId="766BC3C1">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sz w:val="24"/>
          <w:szCs w:val="24"/>
          <w:highlight w:val="none"/>
          <w:lang w:val="zh-CN"/>
        </w:rPr>
        <w:t>详细通讯地址：</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 xml:space="preserve">  邮政编码：</w:t>
      </w:r>
      <w:r>
        <w:rPr>
          <w:rFonts w:hint="eastAsia" w:ascii="仿宋" w:hAnsi="仿宋" w:eastAsia="仿宋" w:cs="仿宋"/>
          <w:color w:val="auto"/>
          <w:sz w:val="24"/>
          <w:szCs w:val="24"/>
          <w:highlight w:val="none"/>
          <w:u w:val="single"/>
          <w:lang w:val="zh-CN"/>
        </w:rPr>
        <w:t xml:space="preserve">                    </w:t>
      </w:r>
    </w:p>
    <w:p w14:paraId="55C451ED">
      <w:pPr>
        <w:keepNext w:val="0"/>
        <w:keepLines w:val="0"/>
        <w:pageBreakBefore w:val="0"/>
        <w:kinsoku/>
        <w:wordWrap/>
        <w:overflowPunct/>
        <w:topLinePunct w:val="0"/>
        <w:autoSpaceDE w:val="0"/>
        <w:autoSpaceDN w:val="0"/>
        <w:bidi w:val="0"/>
        <w:adjustRightInd w:val="0"/>
        <w:spacing w:line="288" w:lineRule="auto"/>
        <w:ind w:firstLine="480" w:firstLineChars="200"/>
        <w:rPr>
          <w:rFonts w:hint="eastAsia" w:ascii="仿宋" w:hAnsi="仿宋" w:eastAsia="仿宋" w:cs="仿宋"/>
          <w:color w:val="auto"/>
          <w:sz w:val="24"/>
          <w:szCs w:val="24"/>
          <w:highlight w:val="none"/>
          <w:u w:val="single"/>
          <w:lang w:val="zh-CN"/>
        </w:rPr>
      </w:pPr>
      <w:r>
        <w:rPr>
          <w:rFonts w:hint="eastAsia" w:ascii="仿宋" w:hAnsi="仿宋" w:eastAsia="仿宋" w:cs="仿宋"/>
          <w:color w:val="auto"/>
          <w:sz w:val="24"/>
          <w:szCs w:val="24"/>
          <w:highlight w:val="none"/>
          <w:lang w:val="zh-CN"/>
        </w:rPr>
        <w:t>联系电话：</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 xml:space="preserve">  传真： </w:t>
      </w:r>
      <w:r>
        <w:rPr>
          <w:rFonts w:hint="eastAsia" w:ascii="仿宋" w:hAnsi="仿宋" w:eastAsia="仿宋" w:cs="仿宋"/>
          <w:color w:val="auto"/>
          <w:sz w:val="24"/>
          <w:szCs w:val="24"/>
          <w:highlight w:val="none"/>
          <w:u w:val="single"/>
          <w:lang w:val="zh-CN"/>
        </w:rPr>
        <w:t xml:space="preserve">                          </w:t>
      </w:r>
    </w:p>
    <w:p w14:paraId="7F88992F">
      <w:pPr>
        <w:keepNext w:val="0"/>
        <w:keepLines w:val="0"/>
        <w:pageBreakBefore w:val="0"/>
        <w:kinsoku/>
        <w:wordWrap/>
        <w:overflowPunct/>
        <w:topLinePunct w:val="0"/>
        <w:bidi w:val="0"/>
        <w:spacing w:line="240" w:lineRule="auto"/>
        <w:ind w:firstLine="4800" w:firstLineChars="2000"/>
        <w:textAlignment w:val="baseline"/>
        <w:rPr>
          <w:rFonts w:hint="eastAsia" w:ascii="仿宋" w:hAnsi="仿宋" w:eastAsia="仿宋" w:cs="仿宋"/>
          <w:color w:val="auto"/>
          <w:sz w:val="24"/>
          <w:szCs w:val="24"/>
          <w:highlight w:val="none"/>
        </w:rPr>
      </w:pPr>
    </w:p>
    <w:p w14:paraId="5B3F9AC8">
      <w:pPr>
        <w:keepNext w:val="0"/>
        <w:keepLines w:val="0"/>
        <w:pageBreakBefore w:val="0"/>
        <w:kinsoku/>
        <w:wordWrap/>
        <w:overflowPunct/>
        <w:topLinePunct w:val="0"/>
        <w:bidi w:val="0"/>
        <w:spacing w:line="288" w:lineRule="auto"/>
        <w:ind w:firstLine="4800" w:firstLineChars="200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投标人全称（盖章）：</w:t>
      </w:r>
    </w:p>
    <w:p w14:paraId="52921449">
      <w:pPr>
        <w:keepNext w:val="0"/>
        <w:keepLines w:val="0"/>
        <w:pageBreakBefore w:val="0"/>
        <w:kinsoku/>
        <w:wordWrap/>
        <w:overflowPunct/>
        <w:topLinePunct w:val="0"/>
        <w:bidi w:val="0"/>
        <w:spacing w:line="288" w:lineRule="auto"/>
        <w:ind w:firstLine="4800" w:firstLineChars="2000"/>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法定代表人（盖章或签字）：</w:t>
      </w:r>
    </w:p>
    <w:p w14:paraId="203FB17B">
      <w:pPr>
        <w:keepNext w:val="0"/>
        <w:keepLines w:val="0"/>
        <w:pageBreakBefore w:val="0"/>
        <w:kinsoku/>
        <w:wordWrap/>
        <w:overflowPunct/>
        <w:topLinePunct w:val="0"/>
        <w:bidi w:val="0"/>
        <w:spacing w:line="288" w:lineRule="auto"/>
        <w:ind w:firstLine="4800" w:firstLineChars="2000"/>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日    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年   月  日   </w:t>
      </w:r>
    </w:p>
    <w:p w14:paraId="34BE0416">
      <w:pPr>
        <w:pStyle w:val="617"/>
        <w:keepNext w:val="0"/>
        <w:keepLines w:val="0"/>
        <w:pageBreakBefore w:val="0"/>
        <w:kinsoku/>
        <w:wordWrap/>
        <w:overflowPunct/>
        <w:topLinePunct w:val="0"/>
        <w:bidi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附：法定代表人身份证扫描件</w:t>
      </w:r>
    </w:p>
    <w:tbl>
      <w:tblPr>
        <w:tblStyle w:val="88"/>
        <w:tblW w:w="8330" w:type="dxa"/>
        <w:tblInd w:w="0" w:type="dxa"/>
        <w:tblLayout w:type="fixed"/>
        <w:tblCellMar>
          <w:top w:w="0" w:type="dxa"/>
          <w:left w:w="108" w:type="dxa"/>
          <w:bottom w:w="0" w:type="dxa"/>
          <w:right w:w="108" w:type="dxa"/>
        </w:tblCellMar>
      </w:tblPr>
      <w:tblGrid>
        <w:gridCol w:w="4077"/>
        <w:gridCol w:w="4253"/>
      </w:tblGrid>
      <w:tr w14:paraId="2C14556B">
        <w:tblPrEx>
          <w:tblCellMar>
            <w:top w:w="0" w:type="dxa"/>
            <w:left w:w="108" w:type="dxa"/>
            <w:bottom w:w="0" w:type="dxa"/>
            <w:right w:w="108" w:type="dxa"/>
          </w:tblCellMar>
        </w:tblPrEx>
        <w:trPr>
          <w:trHeight w:val="1749" w:hRule="atLeast"/>
        </w:trPr>
        <w:tc>
          <w:tcPr>
            <w:tcW w:w="4077" w:type="dxa"/>
            <w:tcBorders>
              <w:top w:val="single" w:color="auto" w:sz="4" w:space="0"/>
              <w:left w:val="single" w:color="auto" w:sz="4" w:space="0"/>
              <w:bottom w:val="single" w:color="auto" w:sz="4" w:space="0"/>
              <w:right w:val="single" w:color="auto" w:sz="4" w:space="0"/>
            </w:tcBorders>
          </w:tcPr>
          <w:p w14:paraId="5AE2959F">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457B777A">
            <w:pPr>
              <w:keepNext w:val="0"/>
              <w:keepLines w:val="0"/>
              <w:pageBreakBefore w:val="0"/>
              <w:widowControl/>
              <w:tabs>
                <w:tab w:val="right" w:leader="dot" w:pos="8295"/>
              </w:tabs>
              <w:kinsoku/>
              <w:wordWrap/>
              <w:overflowPunct/>
              <w:topLinePunct w:val="0"/>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法定代表人身份证扫描件</w:t>
            </w:r>
          </w:p>
          <w:p w14:paraId="6438A410">
            <w:pPr>
              <w:pStyle w:val="617"/>
              <w:keepNext w:val="0"/>
              <w:keepLines w:val="0"/>
              <w:pageBreakBefore w:val="0"/>
              <w:kinsoku/>
              <w:wordWrap/>
              <w:overflowPunct/>
              <w:topLinePunct w:val="0"/>
              <w:bidi w:val="0"/>
              <w:spacing w:line="288"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（国徽面）</w:t>
            </w:r>
          </w:p>
          <w:p w14:paraId="6008AFF5">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tc>
        <w:tc>
          <w:tcPr>
            <w:tcW w:w="4253" w:type="dxa"/>
            <w:tcBorders>
              <w:top w:val="single" w:color="auto" w:sz="4" w:space="0"/>
              <w:left w:val="single" w:color="auto" w:sz="4" w:space="0"/>
              <w:bottom w:val="single" w:color="auto" w:sz="4" w:space="0"/>
              <w:right w:val="single" w:color="auto" w:sz="4" w:space="0"/>
            </w:tcBorders>
          </w:tcPr>
          <w:p w14:paraId="4E08D663">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3CACB7AD">
            <w:pPr>
              <w:keepNext w:val="0"/>
              <w:keepLines w:val="0"/>
              <w:pageBreakBefore w:val="0"/>
              <w:widowControl/>
              <w:tabs>
                <w:tab w:val="right" w:leader="dot" w:pos="8295"/>
              </w:tabs>
              <w:kinsoku/>
              <w:wordWrap/>
              <w:overflowPunct/>
              <w:topLinePunct w:val="0"/>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法定代表人身份证扫描件</w:t>
            </w:r>
          </w:p>
          <w:p w14:paraId="5C1E846E">
            <w:pPr>
              <w:pStyle w:val="617"/>
              <w:keepNext w:val="0"/>
              <w:keepLines w:val="0"/>
              <w:pageBreakBefore w:val="0"/>
              <w:kinsoku/>
              <w:wordWrap/>
              <w:overflowPunct/>
              <w:topLinePunct w:val="0"/>
              <w:bidi w:val="0"/>
              <w:spacing w:line="288"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（头像面）</w:t>
            </w:r>
          </w:p>
          <w:p w14:paraId="46542FE1">
            <w:pPr>
              <w:keepNext w:val="0"/>
              <w:keepLines w:val="0"/>
              <w:pageBreakBefore w:val="0"/>
              <w:widowControl/>
              <w:tabs>
                <w:tab w:val="right" w:leader="dot" w:pos="8295"/>
              </w:tabs>
              <w:kinsoku/>
              <w:wordWrap/>
              <w:overflowPunct/>
              <w:topLinePunct w:val="0"/>
              <w:bidi w:val="0"/>
              <w:snapToGrid w:val="0"/>
              <w:spacing w:line="288" w:lineRule="auto"/>
              <w:ind w:left="5250" w:firstLine="480"/>
              <w:rPr>
                <w:rFonts w:hint="eastAsia" w:ascii="仿宋" w:hAnsi="仿宋" w:eastAsia="仿宋" w:cs="仿宋"/>
                <w:color w:val="auto"/>
                <w:kern w:val="0"/>
                <w:sz w:val="24"/>
                <w:szCs w:val="24"/>
                <w:highlight w:val="none"/>
              </w:rPr>
            </w:pPr>
          </w:p>
        </w:tc>
      </w:tr>
    </w:tbl>
    <w:p w14:paraId="0DFFED92">
      <w:pPr>
        <w:pStyle w:val="617"/>
        <w:keepNext w:val="0"/>
        <w:keepLines w:val="0"/>
        <w:pageBreakBefore w:val="0"/>
        <w:kinsoku/>
        <w:wordWrap/>
        <w:overflowPunct/>
        <w:topLinePunct w:val="0"/>
        <w:bidi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附：授权代表人身份证扫描件</w:t>
      </w:r>
    </w:p>
    <w:tbl>
      <w:tblPr>
        <w:tblStyle w:val="88"/>
        <w:tblW w:w="8330" w:type="dxa"/>
        <w:tblInd w:w="0" w:type="dxa"/>
        <w:tblLayout w:type="fixed"/>
        <w:tblCellMar>
          <w:top w:w="0" w:type="dxa"/>
          <w:left w:w="108" w:type="dxa"/>
          <w:bottom w:w="0" w:type="dxa"/>
          <w:right w:w="108" w:type="dxa"/>
        </w:tblCellMar>
      </w:tblPr>
      <w:tblGrid>
        <w:gridCol w:w="4077"/>
        <w:gridCol w:w="4253"/>
      </w:tblGrid>
      <w:tr w14:paraId="3C010C8D">
        <w:tblPrEx>
          <w:tblCellMar>
            <w:top w:w="0" w:type="dxa"/>
            <w:left w:w="108" w:type="dxa"/>
            <w:bottom w:w="0" w:type="dxa"/>
            <w:right w:w="108" w:type="dxa"/>
          </w:tblCellMar>
        </w:tblPrEx>
        <w:trPr>
          <w:trHeight w:val="2317" w:hRule="atLeast"/>
        </w:trPr>
        <w:tc>
          <w:tcPr>
            <w:tcW w:w="4077" w:type="dxa"/>
            <w:tcBorders>
              <w:top w:val="single" w:color="auto" w:sz="4" w:space="0"/>
              <w:left w:val="single" w:color="auto" w:sz="4" w:space="0"/>
              <w:bottom w:val="single" w:color="auto" w:sz="4" w:space="0"/>
              <w:right w:val="single" w:color="auto" w:sz="4" w:space="0"/>
            </w:tcBorders>
          </w:tcPr>
          <w:p w14:paraId="6189069D">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67567738">
            <w:pPr>
              <w:keepNext w:val="0"/>
              <w:keepLines w:val="0"/>
              <w:pageBreakBefore w:val="0"/>
              <w:widowControl/>
              <w:tabs>
                <w:tab w:val="right" w:leader="dot" w:pos="8295"/>
              </w:tabs>
              <w:kinsoku/>
              <w:wordWrap/>
              <w:overflowPunct/>
              <w:topLinePunct w:val="0"/>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授权代表人身份证扫描件</w:t>
            </w:r>
          </w:p>
          <w:p w14:paraId="3CE9D90B">
            <w:pPr>
              <w:pStyle w:val="617"/>
              <w:keepNext w:val="0"/>
              <w:keepLines w:val="0"/>
              <w:pageBreakBefore w:val="0"/>
              <w:kinsoku/>
              <w:wordWrap/>
              <w:overflowPunct/>
              <w:topLinePunct w:val="0"/>
              <w:bidi w:val="0"/>
              <w:spacing w:line="288" w:lineRule="auto"/>
              <w:ind w:firstLine="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（国徽面）</w:t>
            </w:r>
          </w:p>
          <w:p w14:paraId="7A31648D">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tc>
        <w:tc>
          <w:tcPr>
            <w:tcW w:w="4253" w:type="dxa"/>
            <w:tcBorders>
              <w:top w:val="single" w:color="auto" w:sz="4" w:space="0"/>
              <w:left w:val="single" w:color="auto" w:sz="4" w:space="0"/>
              <w:bottom w:val="single" w:color="auto" w:sz="4" w:space="0"/>
              <w:right w:val="single" w:color="auto" w:sz="4" w:space="0"/>
            </w:tcBorders>
          </w:tcPr>
          <w:p w14:paraId="60647E37">
            <w:pPr>
              <w:keepNext w:val="0"/>
              <w:keepLines w:val="0"/>
              <w:pageBreakBefore w:val="0"/>
              <w:widowControl/>
              <w:tabs>
                <w:tab w:val="right" w:leader="dot" w:pos="8295"/>
              </w:tabs>
              <w:kinsoku/>
              <w:wordWrap/>
              <w:overflowPunct/>
              <w:topLinePunct w:val="0"/>
              <w:bidi w:val="0"/>
              <w:snapToGrid w:val="0"/>
              <w:spacing w:line="288" w:lineRule="auto"/>
              <w:ind w:left="5250" w:firstLine="480"/>
              <w:jc w:val="center"/>
              <w:rPr>
                <w:rFonts w:hint="eastAsia" w:ascii="仿宋" w:hAnsi="仿宋" w:eastAsia="仿宋" w:cs="仿宋"/>
                <w:color w:val="auto"/>
                <w:kern w:val="0"/>
                <w:sz w:val="24"/>
                <w:szCs w:val="24"/>
                <w:highlight w:val="none"/>
              </w:rPr>
            </w:pPr>
          </w:p>
          <w:p w14:paraId="361C21AA">
            <w:pPr>
              <w:keepNext w:val="0"/>
              <w:keepLines w:val="0"/>
              <w:pageBreakBefore w:val="0"/>
              <w:widowControl/>
              <w:tabs>
                <w:tab w:val="right" w:leader="dot" w:pos="8295"/>
              </w:tabs>
              <w:kinsoku/>
              <w:wordWrap/>
              <w:overflowPunct/>
              <w:topLinePunct w:val="0"/>
              <w:bidi w:val="0"/>
              <w:snapToGrid w:val="0"/>
              <w:spacing w:line="288"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授权代表人身份证扫描件</w:t>
            </w:r>
          </w:p>
          <w:p w14:paraId="5A9DAE14">
            <w:pPr>
              <w:pStyle w:val="617"/>
              <w:keepNext w:val="0"/>
              <w:keepLines w:val="0"/>
              <w:pageBreakBefore w:val="0"/>
              <w:kinsoku/>
              <w:wordWrap/>
              <w:overflowPunct/>
              <w:topLinePunct w:val="0"/>
              <w:bidi w:val="0"/>
              <w:spacing w:line="288" w:lineRule="auto"/>
              <w:ind w:firstLine="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（头像面）</w:t>
            </w:r>
          </w:p>
          <w:p w14:paraId="181C9BDC">
            <w:pPr>
              <w:keepNext w:val="0"/>
              <w:keepLines w:val="0"/>
              <w:pageBreakBefore w:val="0"/>
              <w:widowControl/>
              <w:tabs>
                <w:tab w:val="right" w:leader="dot" w:pos="8295"/>
              </w:tabs>
              <w:kinsoku/>
              <w:wordWrap/>
              <w:overflowPunct/>
              <w:topLinePunct w:val="0"/>
              <w:bidi w:val="0"/>
              <w:snapToGrid w:val="0"/>
              <w:spacing w:line="288" w:lineRule="auto"/>
              <w:ind w:left="5250" w:firstLine="480"/>
              <w:rPr>
                <w:rFonts w:hint="eastAsia" w:ascii="仿宋" w:hAnsi="仿宋" w:eastAsia="仿宋" w:cs="仿宋"/>
                <w:color w:val="auto"/>
                <w:kern w:val="0"/>
                <w:sz w:val="24"/>
                <w:szCs w:val="24"/>
                <w:highlight w:val="none"/>
              </w:rPr>
            </w:pPr>
          </w:p>
        </w:tc>
      </w:tr>
    </w:tbl>
    <w:p w14:paraId="7D17D9C1">
      <w:pPr>
        <w:keepNext w:val="0"/>
        <w:keepLines w:val="0"/>
        <w:pageBreakBefore w:val="0"/>
        <w:widowControl w:val="0"/>
        <w:kinsoku/>
        <w:wordWrap/>
        <w:overflowPunct/>
        <w:topLinePunct w:val="0"/>
        <w:bidi w:val="0"/>
        <w:snapToGrid/>
        <w:spacing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偏离表</w:t>
      </w:r>
    </w:p>
    <w:p w14:paraId="2F7F7E6F">
      <w:pPr>
        <w:keepNext w:val="0"/>
        <w:keepLines w:val="0"/>
        <w:pageBreakBefore w:val="0"/>
        <w:widowControl w:val="0"/>
        <w:kinsoku/>
        <w:wordWrap/>
        <w:overflowPunct/>
        <w:topLinePunct w:val="0"/>
        <w:bidi w:val="0"/>
        <w:snapToGrid/>
        <w:spacing w:line="6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2025年度衢州智慧新城地下综合管廊与隧道运维服务项目</w:t>
      </w:r>
    </w:p>
    <w:tbl>
      <w:tblPr>
        <w:tblStyle w:val="88"/>
        <w:tblW w:w="9083"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03"/>
        <w:gridCol w:w="1914"/>
        <w:gridCol w:w="1491"/>
        <w:gridCol w:w="1491"/>
        <w:gridCol w:w="1492"/>
        <w:gridCol w:w="1492"/>
      </w:tblGrid>
      <w:tr w14:paraId="1A327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4643BF23">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914" w:type="dxa"/>
            <w:tcBorders>
              <w:top w:val="single" w:color="auto" w:sz="4" w:space="0"/>
              <w:left w:val="single" w:color="auto" w:sz="4" w:space="0"/>
              <w:bottom w:val="single" w:color="auto" w:sz="4" w:space="0"/>
              <w:right w:val="single" w:color="auto" w:sz="4" w:space="0"/>
            </w:tcBorders>
            <w:noWrap w:val="0"/>
            <w:vAlign w:val="center"/>
          </w:tcPr>
          <w:p w14:paraId="4E9C11CA">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类别</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073DD85A">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招标要求</w:t>
            </w:r>
          </w:p>
        </w:tc>
        <w:tc>
          <w:tcPr>
            <w:tcW w:w="1491" w:type="dxa"/>
            <w:tcBorders>
              <w:top w:val="single" w:color="auto" w:sz="4" w:space="0"/>
              <w:left w:val="single" w:color="auto" w:sz="4" w:space="0"/>
              <w:bottom w:val="single" w:color="auto" w:sz="4" w:space="0"/>
              <w:right w:val="single" w:color="auto" w:sz="4" w:space="0"/>
            </w:tcBorders>
            <w:noWrap w:val="0"/>
            <w:vAlign w:val="center"/>
          </w:tcPr>
          <w:p w14:paraId="6FA9A846">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投标响应</w:t>
            </w:r>
          </w:p>
        </w:tc>
        <w:tc>
          <w:tcPr>
            <w:tcW w:w="1492" w:type="dxa"/>
            <w:tcBorders>
              <w:top w:val="single" w:color="auto" w:sz="4" w:space="0"/>
              <w:left w:val="single" w:color="auto" w:sz="4" w:space="0"/>
              <w:bottom w:val="single" w:color="auto" w:sz="4" w:space="0"/>
              <w:right w:val="single" w:color="auto" w:sz="4" w:space="0"/>
            </w:tcBorders>
            <w:noWrap w:val="0"/>
            <w:vAlign w:val="center"/>
          </w:tcPr>
          <w:p w14:paraId="507BE3D4">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是否偏离</w:t>
            </w:r>
          </w:p>
        </w:tc>
        <w:tc>
          <w:tcPr>
            <w:tcW w:w="1492" w:type="dxa"/>
            <w:tcBorders>
              <w:top w:val="single" w:color="auto" w:sz="4" w:space="0"/>
              <w:left w:val="single" w:color="auto" w:sz="4" w:space="0"/>
              <w:bottom w:val="single" w:color="auto" w:sz="4" w:space="0"/>
              <w:right w:val="single" w:color="auto" w:sz="4" w:space="0"/>
            </w:tcBorders>
            <w:noWrap w:val="0"/>
            <w:vAlign w:val="center"/>
          </w:tcPr>
          <w:p w14:paraId="6257B128">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说明</w:t>
            </w:r>
          </w:p>
        </w:tc>
      </w:tr>
      <w:tr w14:paraId="5BC76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0C1C2E5C">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restart"/>
            <w:tcBorders>
              <w:top w:val="single" w:color="auto" w:sz="4" w:space="0"/>
              <w:left w:val="single" w:color="auto" w:sz="4" w:space="0"/>
              <w:right w:val="single" w:color="auto" w:sz="4" w:space="0"/>
            </w:tcBorders>
            <w:noWrap w:val="0"/>
            <w:vAlign w:val="center"/>
          </w:tcPr>
          <w:p w14:paraId="7251BE9A">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w:t>
            </w:r>
          </w:p>
          <w:p w14:paraId="7FD8F0EC">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w:t>
            </w:r>
          </w:p>
        </w:tc>
        <w:tc>
          <w:tcPr>
            <w:tcW w:w="1491" w:type="dxa"/>
            <w:tcBorders>
              <w:top w:val="single" w:color="auto" w:sz="4" w:space="0"/>
              <w:left w:val="single" w:color="auto" w:sz="4" w:space="0"/>
              <w:bottom w:val="single" w:color="auto" w:sz="4" w:space="0"/>
              <w:right w:val="single" w:color="auto" w:sz="4" w:space="0"/>
            </w:tcBorders>
            <w:noWrap w:val="0"/>
            <w:vAlign w:val="top"/>
          </w:tcPr>
          <w:p w14:paraId="53DE6E82">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2A4434B8">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1AE36329">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18D3E1FE">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r w14:paraId="6E0A2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466770C9">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continue"/>
            <w:tcBorders>
              <w:left w:val="single" w:color="auto" w:sz="4" w:space="0"/>
              <w:right w:val="single" w:color="auto" w:sz="4" w:space="0"/>
            </w:tcBorders>
            <w:noWrap w:val="0"/>
            <w:vAlign w:val="center"/>
          </w:tcPr>
          <w:p w14:paraId="39A3CD1F">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5D49AF65">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58979AA0">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2F4F87C7">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3A28F6DB">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r w14:paraId="21D2E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35C37577">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continue"/>
            <w:tcBorders>
              <w:left w:val="single" w:color="auto" w:sz="4" w:space="0"/>
              <w:bottom w:val="single" w:color="auto" w:sz="4" w:space="0"/>
              <w:right w:val="single" w:color="auto" w:sz="4" w:space="0"/>
            </w:tcBorders>
            <w:noWrap w:val="0"/>
            <w:vAlign w:val="center"/>
          </w:tcPr>
          <w:p w14:paraId="66A2D12E">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57936161">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053AEC86">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41E55EA8">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5764E9AC">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r w14:paraId="69852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7900BA80">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restart"/>
            <w:tcBorders>
              <w:top w:val="single" w:color="auto" w:sz="4" w:space="0"/>
              <w:left w:val="single" w:color="auto" w:sz="4" w:space="0"/>
              <w:right w:val="single" w:color="auto" w:sz="4" w:space="0"/>
            </w:tcBorders>
            <w:noWrap w:val="0"/>
            <w:vAlign w:val="center"/>
          </w:tcPr>
          <w:p w14:paraId="1C0416E3">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w:t>
            </w:r>
          </w:p>
          <w:p w14:paraId="12776598">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偏离</w:t>
            </w:r>
          </w:p>
        </w:tc>
        <w:tc>
          <w:tcPr>
            <w:tcW w:w="1491" w:type="dxa"/>
            <w:tcBorders>
              <w:top w:val="single" w:color="auto" w:sz="4" w:space="0"/>
              <w:left w:val="single" w:color="auto" w:sz="4" w:space="0"/>
              <w:bottom w:val="single" w:color="auto" w:sz="4" w:space="0"/>
              <w:right w:val="single" w:color="auto" w:sz="4" w:space="0"/>
            </w:tcBorders>
            <w:noWrap w:val="0"/>
            <w:vAlign w:val="top"/>
          </w:tcPr>
          <w:p w14:paraId="60C816A3">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70DA3DB7">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40739B5F">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54C2AE77">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r w14:paraId="5CE2D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1012F0B3">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continue"/>
            <w:tcBorders>
              <w:left w:val="single" w:color="auto" w:sz="4" w:space="0"/>
              <w:right w:val="single" w:color="auto" w:sz="4" w:space="0"/>
            </w:tcBorders>
            <w:noWrap w:val="0"/>
            <w:vAlign w:val="top"/>
          </w:tcPr>
          <w:p w14:paraId="55DA9493">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0BB9CC50">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0970B52E">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4219FBB4">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02BCFB17">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r w14:paraId="6A985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trPr>
        <w:tc>
          <w:tcPr>
            <w:tcW w:w="1203" w:type="dxa"/>
            <w:tcBorders>
              <w:top w:val="single" w:color="auto" w:sz="4" w:space="0"/>
              <w:left w:val="single" w:color="auto" w:sz="4" w:space="0"/>
              <w:bottom w:val="single" w:color="auto" w:sz="4" w:space="0"/>
              <w:right w:val="single" w:color="auto" w:sz="4" w:space="0"/>
            </w:tcBorders>
            <w:noWrap w:val="0"/>
            <w:vAlign w:val="center"/>
          </w:tcPr>
          <w:p w14:paraId="3A89AEEE">
            <w:pPr>
              <w:keepNext w:val="0"/>
              <w:keepLines w:val="0"/>
              <w:pageBreakBefore w:val="0"/>
              <w:widowControl w:val="0"/>
              <w:kinsoku/>
              <w:wordWrap/>
              <w:overflowPunct/>
              <w:topLinePunct w:val="0"/>
              <w:bidi w:val="0"/>
              <w:snapToGrid/>
              <w:spacing w:before="156" w:line="600" w:lineRule="exact"/>
              <w:jc w:val="center"/>
              <w:textAlignment w:val="auto"/>
              <w:rPr>
                <w:rFonts w:hint="eastAsia" w:ascii="仿宋" w:hAnsi="仿宋" w:eastAsia="仿宋" w:cs="仿宋"/>
                <w:color w:val="auto"/>
                <w:sz w:val="24"/>
                <w:szCs w:val="24"/>
                <w:highlight w:val="none"/>
              </w:rPr>
            </w:pPr>
          </w:p>
        </w:tc>
        <w:tc>
          <w:tcPr>
            <w:tcW w:w="1914" w:type="dxa"/>
            <w:vMerge w:val="continue"/>
            <w:tcBorders>
              <w:left w:val="single" w:color="auto" w:sz="4" w:space="0"/>
              <w:bottom w:val="single" w:color="auto" w:sz="4" w:space="0"/>
              <w:right w:val="single" w:color="auto" w:sz="4" w:space="0"/>
            </w:tcBorders>
            <w:noWrap w:val="0"/>
            <w:vAlign w:val="top"/>
          </w:tcPr>
          <w:p w14:paraId="7E6FCEBA">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2591746C">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1" w:type="dxa"/>
            <w:tcBorders>
              <w:top w:val="single" w:color="auto" w:sz="4" w:space="0"/>
              <w:left w:val="single" w:color="auto" w:sz="4" w:space="0"/>
              <w:bottom w:val="single" w:color="auto" w:sz="4" w:space="0"/>
              <w:right w:val="single" w:color="auto" w:sz="4" w:space="0"/>
            </w:tcBorders>
            <w:noWrap w:val="0"/>
            <w:vAlign w:val="top"/>
          </w:tcPr>
          <w:p w14:paraId="39C25592">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1DF107AC">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c>
          <w:tcPr>
            <w:tcW w:w="1492" w:type="dxa"/>
            <w:tcBorders>
              <w:top w:val="single" w:color="auto" w:sz="4" w:space="0"/>
              <w:left w:val="single" w:color="auto" w:sz="4" w:space="0"/>
              <w:bottom w:val="single" w:color="auto" w:sz="4" w:space="0"/>
              <w:right w:val="single" w:color="auto" w:sz="4" w:space="0"/>
            </w:tcBorders>
            <w:noWrap w:val="0"/>
            <w:vAlign w:val="top"/>
          </w:tcPr>
          <w:p w14:paraId="7CD3A9D5">
            <w:pPr>
              <w:keepNext w:val="0"/>
              <w:keepLines w:val="0"/>
              <w:pageBreakBefore w:val="0"/>
              <w:widowControl w:val="0"/>
              <w:kinsoku/>
              <w:wordWrap/>
              <w:overflowPunct/>
              <w:topLinePunct w:val="0"/>
              <w:bidi w:val="0"/>
              <w:snapToGrid/>
              <w:spacing w:before="156" w:line="600" w:lineRule="exact"/>
              <w:ind w:firstLine="480" w:firstLineChars="200"/>
              <w:textAlignment w:val="auto"/>
              <w:rPr>
                <w:rFonts w:hint="eastAsia" w:ascii="仿宋" w:hAnsi="仿宋" w:eastAsia="仿宋" w:cs="仿宋"/>
                <w:color w:val="auto"/>
                <w:sz w:val="24"/>
                <w:szCs w:val="24"/>
                <w:highlight w:val="none"/>
              </w:rPr>
            </w:pPr>
          </w:p>
        </w:tc>
      </w:tr>
    </w:tbl>
    <w:p w14:paraId="330B0F45">
      <w:pPr>
        <w:keepNext w:val="0"/>
        <w:keepLines w:val="0"/>
        <w:pageBreakBefore w:val="0"/>
        <w:widowControl w:val="0"/>
        <w:kinsoku/>
        <w:wordWrap/>
        <w:overflowPunct/>
        <w:topLinePunct w:val="0"/>
        <w:bidi w:val="0"/>
        <w:snapToGrid/>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27DD7087">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对采购文件有任何偏离（包括正偏离及负偏离）均应汇总并填写在此表中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若不填写或只填写“无”视作完全响应采购文件的要求。</w:t>
      </w:r>
    </w:p>
    <w:p w14:paraId="54C3980D">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此表可在不改变格式的情况下自行制作。</w:t>
      </w:r>
    </w:p>
    <w:p w14:paraId="1A1AC2D2">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不填写此表视作完全响应本采购文件要求。</w:t>
      </w:r>
    </w:p>
    <w:p w14:paraId="60086684">
      <w:pPr>
        <w:keepNext w:val="0"/>
        <w:keepLines w:val="0"/>
        <w:pageBreakBefore w:val="0"/>
        <w:widowControl w:val="0"/>
        <w:kinsoku/>
        <w:wordWrap/>
        <w:overflowPunct/>
        <w:topLinePunct w:val="0"/>
        <w:bidi w:val="0"/>
        <w:snapToGrid/>
        <w:spacing w:line="600" w:lineRule="exact"/>
        <w:textAlignment w:val="auto"/>
        <w:rPr>
          <w:rFonts w:hint="eastAsia" w:ascii="仿宋" w:hAnsi="仿宋" w:eastAsia="仿宋" w:cs="仿宋"/>
          <w:color w:val="auto"/>
          <w:sz w:val="24"/>
          <w:szCs w:val="24"/>
          <w:highlight w:val="none"/>
        </w:rPr>
      </w:pPr>
    </w:p>
    <w:p w14:paraId="2719478D">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供应商名称（盖章或电子签章）</w:t>
      </w:r>
      <w:r>
        <w:rPr>
          <w:rFonts w:hint="eastAsia" w:ascii="仿宋" w:hAnsi="仿宋" w:eastAsia="仿宋" w:cs="仿宋"/>
          <w:color w:val="auto"/>
          <w:sz w:val="24"/>
          <w:szCs w:val="24"/>
          <w:highlight w:val="none"/>
          <w:u w:val="single"/>
        </w:rPr>
        <w:t xml:space="preserve">                  </w:t>
      </w:r>
    </w:p>
    <w:p w14:paraId="0E3AFE52">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法定代表人或其授权代表（签字或盖章或电子签章）：</w:t>
      </w:r>
      <w:r>
        <w:rPr>
          <w:rFonts w:hint="eastAsia" w:ascii="仿宋" w:hAnsi="仿宋" w:eastAsia="仿宋" w:cs="仿宋"/>
          <w:color w:val="auto"/>
          <w:sz w:val="24"/>
          <w:szCs w:val="24"/>
          <w:highlight w:val="none"/>
          <w:u w:val="single"/>
        </w:rPr>
        <w:t xml:space="preserve">                   </w:t>
      </w:r>
    </w:p>
    <w:p w14:paraId="42D94B4D">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日    期</w:t>
      </w:r>
      <w:r>
        <w:rPr>
          <w:rFonts w:hint="eastAsia" w:ascii="仿宋" w:hAnsi="仿宋" w:eastAsia="仿宋" w:cs="仿宋"/>
          <w:color w:val="auto"/>
          <w:sz w:val="24"/>
          <w:szCs w:val="24"/>
          <w:highlight w:val="none"/>
          <w:u w:val="single"/>
        </w:rPr>
        <w:t xml:space="preserve">          </w:t>
      </w:r>
    </w:p>
    <w:p w14:paraId="77C8F749">
      <w:pPr>
        <w:spacing w:line="460" w:lineRule="exact"/>
        <w:rPr>
          <w:rFonts w:hint="eastAsia" w:ascii="仿宋" w:hAnsi="仿宋" w:eastAsia="仿宋" w:cs="仿宋"/>
          <w:b/>
          <w:bCs/>
          <w:color w:val="auto"/>
          <w:sz w:val="28"/>
          <w:szCs w:val="28"/>
          <w:highlight w:val="none"/>
          <w:lang w:val="en-US" w:eastAsia="zh-CN"/>
        </w:rPr>
      </w:pPr>
    </w:p>
    <w:p w14:paraId="5ABBCBFE">
      <w:pPr>
        <w:bidi w:val="0"/>
        <w:rPr>
          <w:rFonts w:hint="eastAsia" w:ascii="仿宋" w:hAnsi="仿宋" w:eastAsia="仿宋" w:cs="仿宋"/>
          <w:color w:val="auto"/>
          <w:highlight w:val="none"/>
          <w:lang w:val="en-US" w:eastAsia="zh-CN"/>
        </w:rPr>
      </w:pPr>
    </w:p>
    <w:p w14:paraId="0B49EEC7">
      <w:pPr>
        <w:spacing w:line="380" w:lineRule="exact"/>
        <w:rPr>
          <w:rFonts w:hint="eastAsia" w:ascii="仿宋" w:hAnsi="仿宋" w:eastAsia="仿宋" w:cs="仿宋"/>
          <w:b/>
          <w:bCs/>
          <w:color w:val="auto"/>
          <w:sz w:val="24"/>
          <w:szCs w:val="24"/>
          <w:highlight w:val="none"/>
        </w:rPr>
      </w:pPr>
    </w:p>
    <w:p w14:paraId="43F4EC12">
      <w:pPr>
        <w:pStyle w:val="3"/>
        <w:rPr>
          <w:rFonts w:hint="eastAsia" w:ascii="仿宋" w:hAnsi="仿宋" w:eastAsia="仿宋" w:cs="仿宋"/>
          <w:b/>
          <w:bCs/>
          <w:color w:val="auto"/>
          <w:sz w:val="24"/>
          <w:szCs w:val="24"/>
          <w:highlight w:val="none"/>
        </w:rPr>
      </w:pPr>
    </w:p>
    <w:p w14:paraId="3FFC190B">
      <w:pPr>
        <w:rPr>
          <w:rFonts w:hint="eastAsia" w:ascii="仿宋" w:hAnsi="仿宋" w:eastAsia="仿宋" w:cs="仿宋"/>
          <w:color w:val="auto"/>
          <w:highlight w:val="none"/>
        </w:rPr>
      </w:pPr>
    </w:p>
    <w:p w14:paraId="5CCC889F">
      <w:pPr>
        <w:pStyle w:val="47"/>
        <w:tabs>
          <w:tab w:val="right" w:leader="dot" w:pos="9061"/>
        </w:tabs>
        <w:spacing w:line="360" w:lineRule="auto"/>
        <w:ind w:left="0" w:leftChars="0"/>
        <w:jc w:val="center"/>
        <w:outlineLvl w:val="0"/>
        <w:rPr>
          <w:rFonts w:hint="eastAsia" w:ascii="仿宋" w:hAnsi="仿宋" w:eastAsia="仿宋" w:cs="仿宋"/>
          <w:b/>
          <w:bCs/>
          <w:i w:val="0"/>
          <w:iCs/>
          <w:color w:val="auto"/>
          <w:kern w:val="0"/>
          <w:sz w:val="28"/>
          <w:szCs w:val="28"/>
          <w:highlight w:val="none"/>
        </w:rPr>
      </w:pPr>
      <w:r>
        <w:rPr>
          <w:rFonts w:hint="eastAsia" w:ascii="仿宋" w:hAnsi="仿宋" w:eastAsia="仿宋" w:cs="仿宋"/>
          <w:b/>
          <w:bCs/>
          <w:i w:val="0"/>
          <w:iCs/>
          <w:color w:val="auto"/>
          <w:kern w:val="0"/>
          <w:sz w:val="28"/>
          <w:szCs w:val="28"/>
          <w:highlight w:val="none"/>
          <w:lang w:eastAsia="zh-CN"/>
        </w:rPr>
        <w:t>业绩情况表</w:t>
      </w:r>
    </w:p>
    <w:p w14:paraId="41780DF1">
      <w:pPr>
        <w:keepNext w:val="0"/>
        <w:keepLines w:val="0"/>
        <w:pageBreakBefore w:val="0"/>
        <w:widowControl w:val="0"/>
        <w:kinsoku/>
        <w:wordWrap/>
        <w:overflowPunct/>
        <w:topLinePunct w:val="0"/>
        <w:bidi w:val="0"/>
        <w:snapToGrid/>
        <w:spacing w:line="288"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项目名称:2025年度衢州智慧新城地下综合管廊与隧道运维服务项目    </w:t>
      </w:r>
      <w:r>
        <w:rPr>
          <w:rFonts w:hint="eastAsia" w:ascii="仿宋" w:hAnsi="仿宋" w:eastAsia="仿宋" w:cs="仿宋"/>
          <w:color w:val="auto"/>
          <w:sz w:val="24"/>
          <w:szCs w:val="24"/>
          <w:highlight w:val="none"/>
          <w:lang w:val="en-US" w:eastAsia="zh-CN"/>
        </w:rPr>
        <w:t xml:space="preserve"> </w:t>
      </w:r>
    </w:p>
    <w:p w14:paraId="5A7DE4E0">
      <w:pPr>
        <w:keepNext w:val="0"/>
        <w:keepLines w:val="0"/>
        <w:pageBreakBefore w:val="0"/>
        <w:widowControl w:val="0"/>
        <w:kinsoku/>
        <w:wordWrap/>
        <w:overflowPunct/>
        <w:topLinePunct w:val="0"/>
        <w:bidi w:val="0"/>
        <w:snapToGrid/>
        <w:spacing w:line="288"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项目编号：kxqz2024108     </w:t>
      </w:r>
    </w:p>
    <w:tbl>
      <w:tblPr>
        <w:tblStyle w:val="88"/>
        <w:tblW w:w="96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673"/>
        <w:gridCol w:w="3151"/>
        <w:gridCol w:w="1292"/>
        <w:gridCol w:w="1194"/>
        <w:gridCol w:w="1741"/>
      </w:tblGrid>
      <w:tr w14:paraId="631F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629" w:type="dxa"/>
            <w:noWrap w:val="0"/>
            <w:vAlign w:val="center"/>
          </w:tcPr>
          <w:p w14:paraId="52F93B42">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49" w:name="_Toc8079"/>
            <w:r>
              <w:rPr>
                <w:rFonts w:hint="eastAsia" w:ascii="仿宋" w:hAnsi="仿宋" w:eastAsia="仿宋" w:cs="仿宋"/>
                <w:color w:val="auto"/>
                <w:sz w:val="24"/>
                <w:szCs w:val="24"/>
                <w:highlight w:val="none"/>
                <w:lang w:eastAsia="zh-CN"/>
              </w:rPr>
              <w:t>序号</w:t>
            </w:r>
            <w:bookmarkEnd w:id="249"/>
          </w:p>
        </w:tc>
        <w:tc>
          <w:tcPr>
            <w:tcW w:w="1673" w:type="dxa"/>
            <w:noWrap w:val="0"/>
            <w:vAlign w:val="center"/>
          </w:tcPr>
          <w:p w14:paraId="60A73A02">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0" w:name="_Toc32703"/>
            <w:r>
              <w:rPr>
                <w:rFonts w:hint="eastAsia" w:ascii="仿宋" w:hAnsi="仿宋" w:eastAsia="仿宋" w:cs="仿宋"/>
                <w:color w:val="auto"/>
                <w:sz w:val="24"/>
                <w:szCs w:val="24"/>
                <w:highlight w:val="none"/>
                <w:lang w:eastAsia="zh-CN"/>
              </w:rPr>
              <w:t>采购单位名称</w:t>
            </w:r>
            <w:bookmarkEnd w:id="250"/>
          </w:p>
        </w:tc>
        <w:tc>
          <w:tcPr>
            <w:tcW w:w="3151" w:type="dxa"/>
            <w:noWrap w:val="0"/>
            <w:vAlign w:val="center"/>
          </w:tcPr>
          <w:p w14:paraId="2D661587">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1" w:name="_Toc22025"/>
            <w:r>
              <w:rPr>
                <w:rFonts w:hint="eastAsia" w:ascii="仿宋" w:hAnsi="仿宋" w:eastAsia="仿宋" w:cs="仿宋"/>
                <w:color w:val="auto"/>
                <w:sz w:val="24"/>
                <w:szCs w:val="24"/>
                <w:highlight w:val="none"/>
                <w:lang w:eastAsia="zh-CN"/>
              </w:rPr>
              <w:t>项目名称</w:t>
            </w:r>
            <w:bookmarkEnd w:id="251"/>
          </w:p>
        </w:tc>
        <w:tc>
          <w:tcPr>
            <w:tcW w:w="1292" w:type="dxa"/>
            <w:noWrap w:val="0"/>
            <w:vAlign w:val="center"/>
          </w:tcPr>
          <w:p w14:paraId="1B42FAA4">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合同签订时间</w:t>
            </w:r>
          </w:p>
        </w:tc>
        <w:tc>
          <w:tcPr>
            <w:tcW w:w="1194" w:type="dxa"/>
            <w:noWrap w:val="0"/>
            <w:vAlign w:val="center"/>
          </w:tcPr>
          <w:p w14:paraId="198EA3DF">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2" w:name="_Toc28957"/>
            <w:r>
              <w:rPr>
                <w:rFonts w:hint="eastAsia" w:ascii="仿宋" w:hAnsi="仿宋" w:eastAsia="仿宋" w:cs="仿宋"/>
                <w:color w:val="auto"/>
                <w:sz w:val="24"/>
                <w:szCs w:val="24"/>
                <w:highlight w:val="none"/>
                <w:lang w:eastAsia="zh-CN"/>
              </w:rPr>
              <w:t>合同金额（万元）</w:t>
            </w:r>
            <w:bookmarkEnd w:id="252"/>
          </w:p>
        </w:tc>
        <w:tc>
          <w:tcPr>
            <w:tcW w:w="1741" w:type="dxa"/>
            <w:noWrap w:val="0"/>
            <w:vAlign w:val="center"/>
          </w:tcPr>
          <w:p w14:paraId="18132A6F">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3" w:name="_Toc24083"/>
            <w:r>
              <w:rPr>
                <w:rFonts w:hint="eastAsia" w:ascii="仿宋" w:hAnsi="仿宋" w:eastAsia="仿宋" w:cs="仿宋"/>
                <w:color w:val="auto"/>
                <w:sz w:val="24"/>
                <w:szCs w:val="24"/>
                <w:highlight w:val="none"/>
                <w:lang w:eastAsia="zh-CN"/>
              </w:rPr>
              <w:t>采购单位联系人及联系电话</w:t>
            </w:r>
            <w:bookmarkEnd w:id="253"/>
          </w:p>
        </w:tc>
      </w:tr>
      <w:tr w14:paraId="2DB32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29" w:type="dxa"/>
            <w:noWrap w:val="0"/>
            <w:vAlign w:val="center"/>
          </w:tcPr>
          <w:p w14:paraId="0E5C4020">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4" w:name="_Toc28243"/>
            <w:r>
              <w:rPr>
                <w:rFonts w:hint="eastAsia" w:ascii="仿宋" w:hAnsi="仿宋" w:eastAsia="仿宋" w:cs="仿宋"/>
                <w:color w:val="auto"/>
                <w:sz w:val="24"/>
                <w:szCs w:val="24"/>
                <w:highlight w:val="none"/>
                <w:lang w:eastAsia="zh-CN"/>
              </w:rPr>
              <w:t>1</w:t>
            </w:r>
            <w:bookmarkEnd w:id="254"/>
          </w:p>
        </w:tc>
        <w:tc>
          <w:tcPr>
            <w:tcW w:w="1673" w:type="dxa"/>
            <w:noWrap w:val="0"/>
            <w:vAlign w:val="center"/>
          </w:tcPr>
          <w:p w14:paraId="1E0778D5">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10CB4175">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6AC5AE5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748BBB2F">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07C64CFF">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7DDC6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629" w:type="dxa"/>
            <w:noWrap w:val="0"/>
            <w:vAlign w:val="center"/>
          </w:tcPr>
          <w:p w14:paraId="3BAA048C">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5" w:name="_Toc11099"/>
            <w:r>
              <w:rPr>
                <w:rFonts w:hint="eastAsia" w:ascii="仿宋" w:hAnsi="仿宋" w:eastAsia="仿宋" w:cs="仿宋"/>
                <w:color w:val="auto"/>
                <w:sz w:val="24"/>
                <w:szCs w:val="24"/>
                <w:highlight w:val="none"/>
                <w:lang w:eastAsia="zh-CN"/>
              </w:rPr>
              <w:t>2</w:t>
            </w:r>
            <w:bookmarkEnd w:id="255"/>
          </w:p>
        </w:tc>
        <w:tc>
          <w:tcPr>
            <w:tcW w:w="1673" w:type="dxa"/>
            <w:noWrap w:val="0"/>
            <w:vAlign w:val="center"/>
          </w:tcPr>
          <w:p w14:paraId="7ACAE844">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31B4E2CE">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577E3B38">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3B78CD62">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2653F36A">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79DF7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29" w:type="dxa"/>
            <w:noWrap w:val="0"/>
            <w:vAlign w:val="center"/>
          </w:tcPr>
          <w:p w14:paraId="76857FC3">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6" w:name="_Toc4447"/>
            <w:r>
              <w:rPr>
                <w:rFonts w:hint="eastAsia" w:ascii="仿宋" w:hAnsi="仿宋" w:eastAsia="仿宋" w:cs="仿宋"/>
                <w:color w:val="auto"/>
                <w:sz w:val="24"/>
                <w:szCs w:val="24"/>
                <w:highlight w:val="none"/>
                <w:lang w:eastAsia="zh-CN"/>
              </w:rPr>
              <w:t>3</w:t>
            </w:r>
            <w:bookmarkEnd w:id="256"/>
          </w:p>
        </w:tc>
        <w:tc>
          <w:tcPr>
            <w:tcW w:w="1673" w:type="dxa"/>
            <w:noWrap w:val="0"/>
            <w:vAlign w:val="center"/>
          </w:tcPr>
          <w:p w14:paraId="48DE4FAF">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256B3226">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31F2A8E5">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46367ACF">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31E52CB0">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56817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629" w:type="dxa"/>
            <w:noWrap w:val="0"/>
            <w:vAlign w:val="center"/>
          </w:tcPr>
          <w:p w14:paraId="011344CE">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7" w:name="_Toc5297"/>
            <w:r>
              <w:rPr>
                <w:rFonts w:hint="eastAsia" w:ascii="仿宋" w:hAnsi="仿宋" w:eastAsia="仿宋" w:cs="仿宋"/>
                <w:color w:val="auto"/>
                <w:sz w:val="24"/>
                <w:szCs w:val="24"/>
                <w:highlight w:val="none"/>
                <w:lang w:eastAsia="zh-CN"/>
              </w:rPr>
              <w:t>4</w:t>
            </w:r>
            <w:bookmarkEnd w:id="257"/>
          </w:p>
        </w:tc>
        <w:tc>
          <w:tcPr>
            <w:tcW w:w="1673" w:type="dxa"/>
            <w:noWrap w:val="0"/>
            <w:vAlign w:val="center"/>
          </w:tcPr>
          <w:p w14:paraId="7F9DAA71">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5711F075">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5F4AC72F">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755CA949">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60E1592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49106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29" w:type="dxa"/>
            <w:noWrap w:val="0"/>
            <w:vAlign w:val="center"/>
          </w:tcPr>
          <w:p w14:paraId="3C7A047C">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8" w:name="_Toc1169"/>
            <w:r>
              <w:rPr>
                <w:rFonts w:hint="eastAsia" w:ascii="仿宋" w:hAnsi="仿宋" w:eastAsia="仿宋" w:cs="仿宋"/>
                <w:color w:val="auto"/>
                <w:sz w:val="24"/>
                <w:szCs w:val="24"/>
                <w:highlight w:val="none"/>
                <w:lang w:eastAsia="zh-CN"/>
              </w:rPr>
              <w:t>5</w:t>
            </w:r>
            <w:bookmarkEnd w:id="258"/>
          </w:p>
        </w:tc>
        <w:tc>
          <w:tcPr>
            <w:tcW w:w="1673" w:type="dxa"/>
            <w:noWrap w:val="0"/>
            <w:vAlign w:val="center"/>
          </w:tcPr>
          <w:p w14:paraId="6BECE0B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139AFF56">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72633768">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4CD1D40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32C00ED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1A9DF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629" w:type="dxa"/>
            <w:noWrap w:val="0"/>
            <w:vAlign w:val="center"/>
          </w:tcPr>
          <w:p w14:paraId="10EDE2BB">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59" w:name="_Toc14747"/>
            <w:r>
              <w:rPr>
                <w:rFonts w:hint="eastAsia" w:ascii="仿宋" w:hAnsi="仿宋" w:eastAsia="仿宋" w:cs="仿宋"/>
                <w:color w:val="auto"/>
                <w:sz w:val="24"/>
                <w:szCs w:val="24"/>
                <w:highlight w:val="none"/>
                <w:lang w:eastAsia="zh-CN"/>
              </w:rPr>
              <w:t>6</w:t>
            </w:r>
            <w:bookmarkEnd w:id="259"/>
          </w:p>
        </w:tc>
        <w:tc>
          <w:tcPr>
            <w:tcW w:w="1673" w:type="dxa"/>
            <w:noWrap w:val="0"/>
            <w:vAlign w:val="center"/>
          </w:tcPr>
          <w:p w14:paraId="625BA37E">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72BB171D">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4DCE1F1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0ACB56FB">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5BE17202">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r w14:paraId="2EE93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29" w:type="dxa"/>
            <w:noWrap w:val="0"/>
            <w:vAlign w:val="center"/>
          </w:tcPr>
          <w:p w14:paraId="54F9090B">
            <w:pPr>
              <w:keepNext w:val="0"/>
              <w:keepLines w:val="0"/>
              <w:pageBreakBefore w:val="0"/>
              <w:widowControl w:val="0"/>
              <w:kinsoku/>
              <w:wordWrap/>
              <w:overflowPunct/>
              <w:topLinePunct w:val="0"/>
              <w:bidi w:val="0"/>
              <w:snapToGrid/>
              <w:spacing w:line="288" w:lineRule="auto"/>
              <w:jc w:val="center"/>
              <w:textAlignment w:val="auto"/>
              <w:outlineLvl w:val="2"/>
              <w:rPr>
                <w:rFonts w:hint="eastAsia" w:ascii="仿宋" w:hAnsi="仿宋" w:eastAsia="仿宋" w:cs="仿宋"/>
                <w:color w:val="auto"/>
                <w:sz w:val="24"/>
                <w:szCs w:val="24"/>
                <w:highlight w:val="none"/>
                <w:lang w:eastAsia="zh-CN"/>
              </w:rPr>
            </w:pPr>
            <w:bookmarkStart w:id="260" w:name="_Toc30187"/>
            <w:r>
              <w:rPr>
                <w:rFonts w:hint="eastAsia" w:ascii="仿宋" w:hAnsi="仿宋" w:eastAsia="仿宋" w:cs="仿宋"/>
                <w:color w:val="auto"/>
                <w:sz w:val="24"/>
                <w:szCs w:val="24"/>
                <w:highlight w:val="none"/>
                <w:lang w:eastAsia="zh-CN"/>
              </w:rPr>
              <w:t>…</w:t>
            </w:r>
            <w:bookmarkEnd w:id="260"/>
          </w:p>
        </w:tc>
        <w:tc>
          <w:tcPr>
            <w:tcW w:w="1673" w:type="dxa"/>
            <w:noWrap w:val="0"/>
            <w:vAlign w:val="center"/>
          </w:tcPr>
          <w:p w14:paraId="6388FD0A">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3151" w:type="dxa"/>
            <w:noWrap w:val="0"/>
            <w:vAlign w:val="center"/>
          </w:tcPr>
          <w:p w14:paraId="182AEAAE">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292" w:type="dxa"/>
            <w:noWrap w:val="0"/>
            <w:vAlign w:val="center"/>
          </w:tcPr>
          <w:p w14:paraId="4841B92E">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194" w:type="dxa"/>
            <w:noWrap w:val="0"/>
            <w:vAlign w:val="center"/>
          </w:tcPr>
          <w:p w14:paraId="51B8CD71">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c>
          <w:tcPr>
            <w:tcW w:w="1741" w:type="dxa"/>
            <w:noWrap w:val="0"/>
            <w:vAlign w:val="center"/>
          </w:tcPr>
          <w:p w14:paraId="302A21A1">
            <w:pPr>
              <w:keepNext w:val="0"/>
              <w:keepLines w:val="0"/>
              <w:pageBreakBefore w:val="0"/>
              <w:widowControl w:val="0"/>
              <w:kinsoku/>
              <w:wordWrap/>
              <w:overflowPunct/>
              <w:topLinePunct w:val="0"/>
              <w:bidi w:val="0"/>
              <w:snapToGrid/>
              <w:spacing w:line="288" w:lineRule="auto"/>
              <w:jc w:val="center"/>
              <w:textAlignment w:val="auto"/>
              <w:outlineLvl w:val="9"/>
              <w:rPr>
                <w:rFonts w:hint="eastAsia" w:ascii="仿宋" w:hAnsi="仿宋" w:eastAsia="仿宋" w:cs="仿宋"/>
                <w:color w:val="auto"/>
                <w:sz w:val="24"/>
                <w:szCs w:val="24"/>
                <w:highlight w:val="none"/>
                <w:lang w:eastAsia="zh-CN"/>
              </w:rPr>
            </w:pPr>
          </w:p>
        </w:tc>
      </w:tr>
    </w:tbl>
    <w:p w14:paraId="4F6CE132">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注：1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eastAsia="zh-CN"/>
        </w:rPr>
        <w:t>提供证明材料详见评分标准表，否则不得分；</w:t>
      </w:r>
    </w:p>
    <w:p w14:paraId="0A6ACE52">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eastAsia="zh-CN"/>
        </w:rPr>
        <w:t xml:space="preserve">在填写时，如本表格不适合投标人的实际情况，可根据本表格式自行划表填写。 </w:t>
      </w:r>
    </w:p>
    <w:p w14:paraId="21ED608C">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textAlignment w:val="auto"/>
        <w:rPr>
          <w:rFonts w:hint="eastAsia" w:ascii="仿宋" w:hAnsi="仿宋" w:eastAsia="仿宋" w:cs="仿宋"/>
          <w:color w:val="auto"/>
          <w:sz w:val="24"/>
          <w:szCs w:val="24"/>
          <w:highlight w:val="none"/>
          <w:lang w:val="zh-CN"/>
        </w:rPr>
      </w:pPr>
    </w:p>
    <w:p w14:paraId="0599C394">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供应商全称（盖章或电子签章）：</w:t>
      </w:r>
    </w:p>
    <w:p w14:paraId="44CF0BC2">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法定代表人或其授权代表（签字或盖章或电子签章）：</w:t>
      </w:r>
    </w:p>
    <w:p w14:paraId="5B9BA0B1">
      <w:pPr>
        <w:keepNext w:val="0"/>
        <w:keepLines w:val="0"/>
        <w:pageBreakBefore w:val="0"/>
        <w:widowControl w:val="0"/>
        <w:kinsoku/>
        <w:wordWrap/>
        <w:overflowPunct/>
        <w:topLinePunct w:val="0"/>
        <w:autoSpaceDE w:val="0"/>
        <w:autoSpaceDN w:val="0"/>
        <w:bidi w:val="0"/>
        <w:adjustRightInd w:val="0"/>
        <w:snapToGrid/>
        <w:spacing w:line="288" w:lineRule="auto"/>
        <w:ind w:firstLine="480" w:firstLineChars="200"/>
        <w:jc w:val="both"/>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 xml:space="preserve">日 期：  </w:t>
      </w:r>
      <w:bookmarkStart w:id="261" w:name="OLE_LINK6"/>
      <w:r>
        <w:rPr>
          <w:rFonts w:hint="eastAsia" w:ascii="仿宋" w:hAnsi="仿宋" w:eastAsia="仿宋" w:cs="仿宋"/>
          <w:color w:val="auto"/>
          <w:sz w:val="24"/>
          <w:szCs w:val="24"/>
          <w:highlight w:val="none"/>
        </w:rPr>
        <w:t>年  月  日</w:t>
      </w:r>
      <w:r>
        <w:rPr>
          <w:rFonts w:hint="eastAsia" w:ascii="仿宋" w:hAnsi="仿宋" w:eastAsia="仿宋" w:cs="仿宋"/>
          <w:color w:val="auto"/>
          <w:sz w:val="24"/>
          <w:szCs w:val="24"/>
          <w:highlight w:val="none"/>
          <w:lang w:val="zh-CN"/>
        </w:rPr>
        <w:t xml:space="preserve">      </w:t>
      </w:r>
    </w:p>
    <w:bookmarkEnd w:id="261"/>
    <w:p w14:paraId="653BE52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color w:val="auto"/>
          <w:kern w:val="0"/>
          <w:sz w:val="24"/>
          <w:szCs w:val="24"/>
          <w:highlight w:val="none"/>
          <w:lang w:val="en-US" w:eastAsia="zh-CN" w:bidi="ar-SA"/>
        </w:rPr>
      </w:pPr>
    </w:p>
    <w:p w14:paraId="1805D1CF">
      <w:pPr>
        <w:pStyle w:val="100"/>
        <w:rPr>
          <w:rFonts w:hint="eastAsia" w:ascii="仿宋" w:hAnsi="仿宋" w:eastAsia="仿宋" w:cs="仿宋"/>
          <w:b/>
          <w:bCs/>
          <w:color w:val="auto"/>
          <w:kern w:val="0"/>
          <w:sz w:val="24"/>
          <w:szCs w:val="24"/>
          <w:highlight w:val="none"/>
          <w:lang w:val="en-US" w:eastAsia="zh-CN" w:bidi="ar-SA"/>
        </w:rPr>
      </w:pPr>
    </w:p>
    <w:p w14:paraId="30A88BFA">
      <w:pPr>
        <w:pStyle w:val="100"/>
        <w:rPr>
          <w:rFonts w:hint="eastAsia" w:ascii="仿宋" w:hAnsi="仿宋" w:eastAsia="仿宋" w:cs="仿宋"/>
          <w:b/>
          <w:bCs/>
          <w:color w:val="auto"/>
          <w:kern w:val="0"/>
          <w:sz w:val="24"/>
          <w:szCs w:val="24"/>
          <w:highlight w:val="none"/>
          <w:lang w:val="en-US" w:eastAsia="zh-CN" w:bidi="ar-SA"/>
        </w:rPr>
      </w:pPr>
    </w:p>
    <w:p w14:paraId="5A015909">
      <w:pPr>
        <w:pStyle w:val="100"/>
        <w:rPr>
          <w:rFonts w:hint="eastAsia" w:ascii="仿宋" w:hAnsi="仿宋" w:eastAsia="仿宋" w:cs="仿宋"/>
          <w:b/>
          <w:bCs/>
          <w:color w:val="auto"/>
          <w:kern w:val="0"/>
          <w:sz w:val="24"/>
          <w:szCs w:val="24"/>
          <w:highlight w:val="none"/>
          <w:lang w:val="en-US" w:eastAsia="zh-CN" w:bidi="ar-SA"/>
        </w:rPr>
      </w:pPr>
    </w:p>
    <w:p w14:paraId="2BDD03D4">
      <w:pPr>
        <w:pStyle w:val="100"/>
        <w:rPr>
          <w:rFonts w:hint="eastAsia" w:ascii="仿宋" w:hAnsi="仿宋" w:eastAsia="仿宋" w:cs="仿宋"/>
          <w:b/>
          <w:bCs/>
          <w:color w:val="auto"/>
          <w:kern w:val="0"/>
          <w:sz w:val="24"/>
          <w:szCs w:val="24"/>
          <w:highlight w:val="none"/>
          <w:lang w:val="en-US" w:eastAsia="zh-CN" w:bidi="ar-SA"/>
        </w:rPr>
      </w:pPr>
    </w:p>
    <w:p w14:paraId="077652B2">
      <w:pPr>
        <w:pStyle w:val="100"/>
        <w:rPr>
          <w:rFonts w:hint="eastAsia" w:ascii="仿宋" w:hAnsi="仿宋" w:eastAsia="仿宋" w:cs="仿宋"/>
          <w:b/>
          <w:bCs/>
          <w:color w:val="auto"/>
          <w:kern w:val="0"/>
          <w:sz w:val="24"/>
          <w:szCs w:val="24"/>
          <w:highlight w:val="none"/>
          <w:lang w:val="en-US" w:eastAsia="zh-CN" w:bidi="ar-SA"/>
        </w:rPr>
      </w:pPr>
    </w:p>
    <w:p w14:paraId="64D3CC58">
      <w:pPr>
        <w:pStyle w:val="100"/>
        <w:rPr>
          <w:rFonts w:hint="eastAsia" w:ascii="仿宋" w:hAnsi="仿宋" w:eastAsia="仿宋" w:cs="仿宋"/>
          <w:b/>
          <w:bCs/>
          <w:color w:val="auto"/>
          <w:kern w:val="0"/>
          <w:sz w:val="24"/>
          <w:szCs w:val="24"/>
          <w:highlight w:val="none"/>
          <w:lang w:val="en-US" w:eastAsia="zh-CN" w:bidi="ar-SA"/>
        </w:rPr>
      </w:pPr>
    </w:p>
    <w:p w14:paraId="6967A366">
      <w:pPr>
        <w:pStyle w:val="100"/>
        <w:rPr>
          <w:rFonts w:hint="eastAsia" w:ascii="仿宋" w:hAnsi="仿宋" w:eastAsia="仿宋" w:cs="仿宋"/>
          <w:b/>
          <w:bCs/>
          <w:color w:val="auto"/>
          <w:kern w:val="0"/>
          <w:sz w:val="24"/>
          <w:szCs w:val="24"/>
          <w:highlight w:val="none"/>
          <w:lang w:val="en-US" w:eastAsia="zh-CN" w:bidi="ar-SA"/>
        </w:rPr>
      </w:pPr>
    </w:p>
    <w:p w14:paraId="1C382068">
      <w:pPr>
        <w:pStyle w:val="100"/>
        <w:rPr>
          <w:rFonts w:hint="eastAsia" w:ascii="仿宋" w:hAnsi="仿宋" w:eastAsia="仿宋" w:cs="仿宋"/>
          <w:b/>
          <w:bCs/>
          <w:color w:val="auto"/>
          <w:kern w:val="0"/>
          <w:sz w:val="24"/>
          <w:szCs w:val="24"/>
          <w:highlight w:val="none"/>
          <w:lang w:val="en-US" w:eastAsia="zh-CN" w:bidi="ar-SA"/>
        </w:rPr>
      </w:pPr>
    </w:p>
    <w:p w14:paraId="736F5902">
      <w:pPr>
        <w:pStyle w:val="100"/>
        <w:rPr>
          <w:rFonts w:hint="eastAsia" w:ascii="仿宋" w:hAnsi="仿宋" w:eastAsia="仿宋" w:cs="仿宋"/>
          <w:b/>
          <w:bCs/>
          <w:color w:val="auto"/>
          <w:kern w:val="0"/>
          <w:sz w:val="24"/>
          <w:szCs w:val="24"/>
          <w:highlight w:val="none"/>
          <w:lang w:val="en-US" w:eastAsia="zh-CN" w:bidi="ar-SA"/>
        </w:rPr>
      </w:pPr>
    </w:p>
    <w:p w14:paraId="14BA2AB7">
      <w:pPr>
        <w:pStyle w:val="100"/>
        <w:rPr>
          <w:rFonts w:hint="eastAsia" w:ascii="仿宋" w:hAnsi="仿宋" w:eastAsia="仿宋" w:cs="仿宋"/>
          <w:b/>
          <w:bCs/>
          <w:color w:val="auto"/>
          <w:kern w:val="0"/>
          <w:sz w:val="24"/>
          <w:szCs w:val="24"/>
          <w:highlight w:val="none"/>
          <w:lang w:val="en-US" w:eastAsia="zh-CN" w:bidi="ar-SA"/>
        </w:rPr>
      </w:pPr>
    </w:p>
    <w:p w14:paraId="46595F66">
      <w:pPr>
        <w:pStyle w:val="100"/>
        <w:rPr>
          <w:rFonts w:hint="eastAsia" w:ascii="仿宋" w:hAnsi="仿宋" w:eastAsia="仿宋" w:cs="仿宋"/>
          <w:b/>
          <w:bCs/>
          <w:color w:val="auto"/>
          <w:kern w:val="0"/>
          <w:sz w:val="24"/>
          <w:szCs w:val="24"/>
          <w:highlight w:val="none"/>
          <w:lang w:val="en-US" w:eastAsia="zh-CN" w:bidi="ar-SA"/>
        </w:rPr>
      </w:pPr>
    </w:p>
    <w:p w14:paraId="0B4C9B76">
      <w:pPr>
        <w:rPr>
          <w:rFonts w:hint="eastAsia" w:ascii="仿宋" w:hAnsi="仿宋" w:eastAsia="仿宋" w:cs="仿宋"/>
          <w:color w:val="auto"/>
          <w:highlight w:val="none"/>
          <w:lang w:val="en-US" w:eastAsia="zh-CN"/>
        </w:rPr>
      </w:pPr>
    </w:p>
    <w:p w14:paraId="29F5F434">
      <w:pPr>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项目组成员</w:t>
      </w:r>
      <w:r>
        <w:rPr>
          <w:rFonts w:hint="eastAsia" w:ascii="仿宋" w:hAnsi="仿宋" w:eastAsia="仿宋" w:cs="仿宋"/>
          <w:b/>
          <w:color w:val="auto"/>
          <w:sz w:val="28"/>
          <w:szCs w:val="28"/>
          <w:highlight w:val="none"/>
          <w:lang w:eastAsia="zh-CN"/>
        </w:rPr>
        <w:t>情况表</w:t>
      </w:r>
    </w:p>
    <w:p w14:paraId="46CDF220">
      <w:pPr>
        <w:pStyle w:val="37"/>
        <w:rPr>
          <w:rFonts w:hint="eastAsia" w:ascii="仿宋" w:hAnsi="仿宋" w:eastAsia="仿宋" w:cs="仿宋"/>
          <w:color w:val="auto"/>
          <w:highlight w:val="none"/>
        </w:rPr>
      </w:pPr>
    </w:p>
    <w:p w14:paraId="568BE4EE">
      <w:pPr>
        <w:keepNext w:val="0"/>
        <w:keepLines w:val="0"/>
        <w:pageBreakBefore w:val="0"/>
        <w:widowControl w:val="0"/>
        <w:tabs>
          <w:tab w:val="left" w:pos="3165"/>
        </w:tabs>
        <w:kinsoku/>
        <w:wordWrap/>
        <w:overflowPunct/>
        <w:topLinePunct w:val="0"/>
        <w:bidi w:val="0"/>
        <w:spacing w:line="288"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 xml:space="preserve">项目名称:2025年度衢州智慧新城地下综合管廊与隧道运维服务项目    </w:t>
      </w:r>
    </w:p>
    <w:p w14:paraId="68C2ABAD">
      <w:pPr>
        <w:keepNext w:val="0"/>
        <w:keepLines w:val="0"/>
        <w:pageBreakBefore w:val="0"/>
        <w:widowControl w:val="0"/>
        <w:tabs>
          <w:tab w:val="left" w:pos="3165"/>
        </w:tabs>
        <w:kinsoku/>
        <w:wordWrap/>
        <w:overflowPunct/>
        <w:topLinePunct w:val="0"/>
        <w:bidi w:val="0"/>
        <w:spacing w:line="288" w:lineRule="auto"/>
        <w:textAlignment w:val="auto"/>
        <w:rPr>
          <w:rFonts w:hint="eastAsia" w:ascii="仿宋" w:hAnsi="仿宋" w:eastAsia="仿宋" w:cs="仿宋"/>
          <w:bCs/>
          <w:color w:val="auto"/>
          <w:szCs w:val="21"/>
          <w:highlight w:val="none"/>
        </w:rPr>
      </w:pPr>
      <w:r>
        <w:rPr>
          <w:rFonts w:hint="eastAsia" w:ascii="仿宋" w:hAnsi="仿宋" w:eastAsia="仿宋" w:cs="仿宋"/>
          <w:color w:val="auto"/>
          <w:sz w:val="24"/>
          <w:szCs w:val="24"/>
          <w:highlight w:val="none"/>
          <w:lang w:eastAsia="zh-CN"/>
        </w:rPr>
        <w:t>项目编号：kxqz2024108</w:t>
      </w:r>
    </w:p>
    <w:tbl>
      <w:tblPr>
        <w:tblStyle w:val="88"/>
        <w:tblW w:w="95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802"/>
        <w:gridCol w:w="802"/>
        <w:gridCol w:w="803"/>
        <w:gridCol w:w="1489"/>
        <w:gridCol w:w="1470"/>
        <w:gridCol w:w="1215"/>
        <w:gridCol w:w="1280"/>
        <w:gridCol w:w="773"/>
      </w:tblGrid>
      <w:tr w14:paraId="18B9F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25" w:type="dxa"/>
            <w:noWrap w:val="0"/>
            <w:vAlign w:val="center"/>
          </w:tcPr>
          <w:p w14:paraId="4288E3D1">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802" w:type="dxa"/>
            <w:noWrap w:val="0"/>
            <w:vAlign w:val="center"/>
          </w:tcPr>
          <w:p w14:paraId="3B140F90">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姓名</w:t>
            </w:r>
          </w:p>
        </w:tc>
        <w:tc>
          <w:tcPr>
            <w:tcW w:w="802" w:type="dxa"/>
            <w:noWrap w:val="0"/>
            <w:vAlign w:val="center"/>
          </w:tcPr>
          <w:p w14:paraId="1B6D91E8">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年龄</w:t>
            </w:r>
          </w:p>
        </w:tc>
        <w:tc>
          <w:tcPr>
            <w:tcW w:w="803" w:type="dxa"/>
            <w:noWrap w:val="0"/>
            <w:vAlign w:val="center"/>
          </w:tcPr>
          <w:p w14:paraId="3249B67A">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学历</w:t>
            </w:r>
          </w:p>
        </w:tc>
        <w:tc>
          <w:tcPr>
            <w:tcW w:w="1489" w:type="dxa"/>
            <w:noWrap w:val="0"/>
            <w:vAlign w:val="center"/>
          </w:tcPr>
          <w:p w14:paraId="4805EFAA">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身份证号码</w:t>
            </w:r>
          </w:p>
        </w:tc>
        <w:tc>
          <w:tcPr>
            <w:tcW w:w="1470" w:type="dxa"/>
            <w:noWrap w:val="0"/>
            <w:vAlign w:val="center"/>
          </w:tcPr>
          <w:p w14:paraId="5D838602">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职称或职务</w:t>
            </w:r>
          </w:p>
        </w:tc>
        <w:tc>
          <w:tcPr>
            <w:tcW w:w="1215" w:type="dxa"/>
            <w:noWrap w:val="0"/>
            <w:vAlign w:val="center"/>
          </w:tcPr>
          <w:p w14:paraId="64FE815C">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资质证书</w:t>
            </w:r>
          </w:p>
        </w:tc>
        <w:tc>
          <w:tcPr>
            <w:tcW w:w="1280" w:type="dxa"/>
            <w:noWrap w:val="0"/>
            <w:vAlign w:val="center"/>
          </w:tcPr>
          <w:p w14:paraId="35C7B4EE">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工作资历</w:t>
            </w:r>
          </w:p>
        </w:tc>
        <w:tc>
          <w:tcPr>
            <w:tcW w:w="773" w:type="dxa"/>
            <w:noWrap w:val="0"/>
            <w:vAlign w:val="center"/>
          </w:tcPr>
          <w:p w14:paraId="44C7E378">
            <w:pPr>
              <w:keepNext w:val="0"/>
              <w:keepLines w:val="0"/>
              <w:pageBreakBefore w:val="0"/>
              <w:widowControl w:val="0"/>
              <w:kinsoku/>
              <w:wordWrap/>
              <w:overflowPunct/>
              <w:topLinePunct w:val="0"/>
              <w:bidi w:val="0"/>
              <w:spacing w:line="288"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备注</w:t>
            </w:r>
          </w:p>
        </w:tc>
      </w:tr>
      <w:tr w14:paraId="79208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7" w:hRule="atLeast"/>
        </w:trPr>
        <w:tc>
          <w:tcPr>
            <w:tcW w:w="925" w:type="dxa"/>
            <w:noWrap w:val="0"/>
            <w:vAlign w:val="top"/>
          </w:tcPr>
          <w:p w14:paraId="5C53060F">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5340A368">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364DCE3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579DBCA6">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0C4EC13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13069876">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73F03A6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4D9C143A">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4AAFB0CC">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29BD7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925" w:type="dxa"/>
            <w:noWrap w:val="0"/>
            <w:vAlign w:val="top"/>
          </w:tcPr>
          <w:p w14:paraId="279D858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6EE9845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74390FD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6C57F67F">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6E7ECC48">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1CAD715C">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lang w:val="en-US" w:eastAsia="zh-CN"/>
              </w:rPr>
            </w:pPr>
          </w:p>
        </w:tc>
        <w:tc>
          <w:tcPr>
            <w:tcW w:w="1215" w:type="dxa"/>
            <w:noWrap w:val="0"/>
            <w:vAlign w:val="top"/>
          </w:tcPr>
          <w:p w14:paraId="542857D1">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22826FD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0FFDA9E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4DF51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trPr>
        <w:tc>
          <w:tcPr>
            <w:tcW w:w="925" w:type="dxa"/>
            <w:noWrap w:val="0"/>
            <w:vAlign w:val="top"/>
          </w:tcPr>
          <w:p w14:paraId="16620FA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73FFBD2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398E596A">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37290F5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71C98061">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742AA81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037F2CC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6FD86F1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5C6C03C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3AECD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925" w:type="dxa"/>
            <w:noWrap w:val="0"/>
            <w:vAlign w:val="top"/>
          </w:tcPr>
          <w:p w14:paraId="584B10E4">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10133512">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0065AF2F">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519EF14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3511521E">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34EB994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455A68B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753B4CF4">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15B45826">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653B9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4" w:hRule="atLeast"/>
        </w:trPr>
        <w:tc>
          <w:tcPr>
            <w:tcW w:w="925" w:type="dxa"/>
            <w:noWrap w:val="0"/>
            <w:vAlign w:val="top"/>
          </w:tcPr>
          <w:p w14:paraId="7C444348">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28751043">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0E03BC0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6BA1C1EE">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6C1C18A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3B9E4B12">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35238E37">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75695D17">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0945BCFE">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622C1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trPr>
        <w:tc>
          <w:tcPr>
            <w:tcW w:w="925" w:type="dxa"/>
            <w:noWrap w:val="0"/>
            <w:vAlign w:val="top"/>
          </w:tcPr>
          <w:p w14:paraId="3584D71B">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488F4787">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7D392DCF">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35BCA051">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01F52DC6">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294C5332">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56A66A66">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19A1036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60C592A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30E94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trPr>
        <w:tc>
          <w:tcPr>
            <w:tcW w:w="925" w:type="dxa"/>
            <w:noWrap w:val="0"/>
            <w:vAlign w:val="top"/>
          </w:tcPr>
          <w:p w14:paraId="4D33A53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39DA213C">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3E7E1BB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4910D8D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64EBDD7E">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4AE6712A">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542AD7D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5216192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5B7482A4">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r w14:paraId="0CBB1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925" w:type="dxa"/>
            <w:noWrap w:val="0"/>
            <w:vAlign w:val="top"/>
          </w:tcPr>
          <w:p w14:paraId="0CF1464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228E1EF8">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2" w:type="dxa"/>
            <w:noWrap w:val="0"/>
            <w:vAlign w:val="top"/>
          </w:tcPr>
          <w:p w14:paraId="09F38650">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803" w:type="dxa"/>
            <w:noWrap w:val="0"/>
            <w:vAlign w:val="top"/>
          </w:tcPr>
          <w:p w14:paraId="4F0EA8B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89" w:type="dxa"/>
            <w:noWrap w:val="0"/>
            <w:vAlign w:val="top"/>
          </w:tcPr>
          <w:p w14:paraId="6A16F9A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470" w:type="dxa"/>
            <w:noWrap w:val="0"/>
            <w:vAlign w:val="top"/>
          </w:tcPr>
          <w:p w14:paraId="054149D7">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15" w:type="dxa"/>
            <w:noWrap w:val="0"/>
            <w:vAlign w:val="top"/>
          </w:tcPr>
          <w:p w14:paraId="163EEDF5">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1280" w:type="dxa"/>
            <w:noWrap w:val="0"/>
            <w:vAlign w:val="top"/>
          </w:tcPr>
          <w:p w14:paraId="5074CC29">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c>
          <w:tcPr>
            <w:tcW w:w="773" w:type="dxa"/>
            <w:noWrap w:val="0"/>
            <w:vAlign w:val="top"/>
          </w:tcPr>
          <w:p w14:paraId="3019315D">
            <w:pPr>
              <w:keepNext w:val="0"/>
              <w:keepLines w:val="0"/>
              <w:pageBreakBefore w:val="0"/>
              <w:widowControl w:val="0"/>
              <w:kinsoku/>
              <w:wordWrap/>
              <w:overflowPunct/>
              <w:topLinePunct w:val="0"/>
              <w:bidi w:val="0"/>
              <w:spacing w:line="288" w:lineRule="auto"/>
              <w:textAlignment w:val="auto"/>
              <w:rPr>
                <w:rFonts w:hint="eastAsia" w:ascii="仿宋" w:hAnsi="仿宋" w:eastAsia="仿宋" w:cs="仿宋"/>
                <w:bCs/>
                <w:color w:val="auto"/>
                <w:szCs w:val="21"/>
                <w:highlight w:val="none"/>
              </w:rPr>
            </w:pPr>
          </w:p>
        </w:tc>
      </w:tr>
    </w:tbl>
    <w:p w14:paraId="0E319462">
      <w:pPr>
        <w:keepNext w:val="0"/>
        <w:keepLines w:val="0"/>
        <w:pageBreakBefore w:val="0"/>
        <w:widowControl w:val="0"/>
        <w:kinsoku/>
        <w:wordWrap/>
        <w:overflowPunct/>
        <w:topLinePunct w:val="0"/>
        <w:autoSpaceDE w:val="0"/>
        <w:autoSpaceDN w:val="0"/>
        <w:bidi w:val="0"/>
        <w:adjustRightInd w:val="0"/>
        <w:spacing w:line="288" w:lineRule="auto"/>
        <w:jc w:val="left"/>
        <w:textAlignment w:val="auto"/>
        <w:rPr>
          <w:rFonts w:hint="eastAsia" w:ascii="仿宋" w:hAnsi="仿宋" w:eastAsia="仿宋" w:cs="仿宋"/>
          <w:bCs/>
          <w:color w:val="auto"/>
          <w:szCs w:val="21"/>
          <w:highlight w:val="none"/>
        </w:rPr>
      </w:pPr>
    </w:p>
    <w:p w14:paraId="5B842104">
      <w:pPr>
        <w:keepNext w:val="0"/>
        <w:keepLines w:val="0"/>
        <w:pageBreakBefore w:val="0"/>
        <w:widowControl w:val="0"/>
        <w:kinsoku/>
        <w:wordWrap/>
        <w:overflowPunct/>
        <w:topLinePunct w:val="0"/>
        <w:autoSpaceDE w:val="0"/>
        <w:autoSpaceDN w:val="0"/>
        <w:bidi w:val="0"/>
        <w:adjustRightInd w:val="0"/>
        <w:snapToGrid/>
        <w:spacing w:line="288" w:lineRule="auto"/>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注：1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eastAsia="zh-CN"/>
        </w:rPr>
        <w:t>提供证明材料详见评分标准表。</w:t>
      </w:r>
    </w:p>
    <w:p w14:paraId="05BDCF30">
      <w:pPr>
        <w:keepNext w:val="0"/>
        <w:keepLines w:val="0"/>
        <w:pageBreakBefore w:val="0"/>
        <w:widowControl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表格不够用时可自行扩展。</w:t>
      </w:r>
    </w:p>
    <w:p w14:paraId="12487B21">
      <w:pPr>
        <w:keepNext w:val="0"/>
        <w:keepLines w:val="0"/>
        <w:pageBreakBefore w:val="0"/>
        <w:widowControl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以上内容必须是真实的，否则，一经查实，按相关规定处理。</w:t>
      </w:r>
    </w:p>
    <w:p w14:paraId="02D568AD">
      <w:pPr>
        <w:keepNext w:val="0"/>
        <w:keepLines w:val="0"/>
        <w:pageBreakBefore w:val="0"/>
        <w:widowControl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此表在不改变表式的情况下，可自行制作。</w:t>
      </w:r>
    </w:p>
    <w:p w14:paraId="315F5BD0">
      <w:pPr>
        <w:keepNext w:val="0"/>
        <w:keepLines w:val="0"/>
        <w:pageBreakBefore w:val="0"/>
        <w:widowControl w:val="0"/>
        <w:tabs>
          <w:tab w:val="left" w:pos="3165"/>
        </w:tabs>
        <w:kinsoku/>
        <w:wordWrap/>
        <w:overflowPunct/>
        <w:topLinePunct w:val="0"/>
        <w:bidi w:val="0"/>
        <w:spacing w:line="288" w:lineRule="auto"/>
        <w:textAlignment w:val="auto"/>
        <w:rPr>
          <w:rFonts w:hint="eastAsia" w:ascii="仿宋" w:hAnsi="仿宋" w:eastAsia="仿宋" w:cs="仿宋"/>
          <w:bCs/>
          <w:color w:val="auto"/>
          <w:sz w:val="24"/>
          <w:szCs w:val="24"/>
          <w:highlight w:val="none"/>
        </w:rPr>
      </w:pPr>
    </w:p>
    <w:p w14:paraId="4DA2099C">
      <w:pPr>
        <w:keepNext w:val="0"/>
        <w:keepLines w:val="0"/>
        <w:pageBreakBefore w:val="0"/>
        <w:widowControl w:val="0"/>
        <w:tabs>
          <w:tab w:val="left" w:pos="3165"/>
        </w:tabs>
        <w:kinsoku/>
        <w:wordWrap/>
        <w:overflowPunct/>
        <w:topLinePunct w:val="0"/>
        <w:bidi w:val="0"/>
        <w:spacing w:line="288" w:lineRule="auto"/>
        <w:textAlignment w:val="auto"/>
        <w:rPr>
          <w:rFonts w:hint="eastAsia" w:ascii="仿宋" w:hAnsi="仿宋" w:eastAsia="仿宋" w:cs="仿宋"/>
          <w:bCs/>
          <w:color w:val="auto"/>
          <w:sz w:val="24"/>
          <w:szCs w:val="24"/>
          <w:highlight w:val="none"/>
        </w:rPr>
      </w:pPr>
    </w:p>
    <w:p w14:paraId="32B07D6D">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供应商全称（盖章或电子签章）：</w:t>
      </w:r>
    </w:p>
    <w:p w14:paraId="31B5759C">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法定代表人或其授权代表（签字或盖章或电子签章）：</w:t>
      </w:r>
    </w:p>
    <w:p w14:paraId="3C078FE0">
      <w:pPr>
        <w:pStyle w:val="37"/>
        <w:keepNext w:val="0"/>
        <w:keepLines w:val="0"/>
        <w:pageBreakBefore w:val="0"/>
        <w:widowControl w:val="0"/>
        <w:kinsoku/>
        <w:wordWrap/>
        <w:overflowPunct/>
        <w:topLinePunct w:val="0"/>
        <w:bidi w:val="0"/>
        <w:spacing w:line="288" w:lineRule="auto"/>
        <w:jc w:val="lef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日 期：  年  月  日</w:t>
      </w:r>
    </w:p>
    <w:p w14:paraId="3CAC77D2">
      <w:pPr>
        <w:spacing w:line="600" w:lineRule="exact"/>
        <w:ind w:firstLine="480" w:firstLineChars="200"/>
        <w:rPr>
          <w:rFonts w:hint="eastAsia" w:ascii="仿宋" w:hAnsi="仿宋" w:eastAsia="仿宋" w:cs="仿宋"/>
          <w:color w:val="auto"/>
          <w:sz w:val="24"/>
          <w:szCs w:val="24"/>
          <w:highlight w:val="none"/>
        </w:rPr>
      </w:pPr>
    </w:p>
    <w:p w14:paraId="0204FA65">
      <w:pPr>
        <w:spacing w:line="600" w:lineRule="exact"/>
        <w:ind w:firstLine="480" w:firstLineChars="200"/>
        <w:rPr>
          <w:rFonts w:hint="eastAsia" w:ascii="仿宋" w:hAnsi="仿宋" w:eastAsia="仿宋" w:cs="仿宋"/>
          <w:color w:val="auto"/>
          <w:sz w:val="24"/>
          <w:szCs w:val="24"/>
          <w:highlight w:val="none"/>
        </w:rPr>
      </w:pPr>
    </w:p>
    <w:p w14:paraId="47BAE823">
      <w:pPr>
        <w:pStyle w:val="100"/>
        <w:rPr>
          <w:rFonts w:hint="eastAsia" w:ascii="仿宋" w:hAnsi="仿宋" w:eastAsia="仿宋" w:cs="仿宋"/>
          <w:color w:val="auto"/>
          <w:sz w:val="24"/>
          <w:szCs w:val="24"/>
          <w:highlight w:val="none"/>
        </w:rPr>
      </w:pPr>
    </w:p>
    <w:p w14:paraId="18DA84FF">
      <w:pPr>
        <w:pStyle w:val="100"/>
        <w:rPr>
          <w:rFonts w:hint="eastAsia" w:ascii="仿宋" w:hAnsi="仿宋" w:eastAsia="仿宋" w:cs="仿宋"/>
          <w:color w:val="auto"/>
          <w:sz w:val="24"/>
          <w:szCs w:val="24"/>
          <w:highlight w:val="none"/>
        </w:rPr>
      </w:pPr>
    </w:p>
    <w:p w14:paraId="6FD1E633">
      <w:pPr>
        <w:pStyle w:val="100"/>
        <w:rPr>
          <w:rFonts w:hint="eastAsia" w:ascii="仿宋" w:hAnsi="仿宋" w:eastAsia="仿宋" w:cs="仿宋"/>
          <w:color w:val="auto"/>
          <w:sz w:val="24"/>
          <w:szCs w:val="24"/>
          <w:highlight w:val="none"/>
        </w:rPr>
      </w:pPr>
    </w:p>
    <w:p w14:paraId="40FA7BF5">
      <w:pPr>
        <w:pStyle w:val="100"/>
        <w:rPr>
          <w:rFonts w:hint="eastAsia" w:ascii="仿宋" w:hAnsi="仿宋" w:eastAsia="仿宋" w:cs="仿宋"/>
          <w:color w:val="auto"/>
          <w:sz w:val="24"/>
          <w:szCs w:val="24"/>
          <w:highlight w:val="none"/>
        </w:rPr>
      </w:pPr>
    </w:p>
    <w:p w14:paraId="60B5060B">
      <w:pPr>
        <w:pStyle w:val="100"/>
        <w:rPr>
          <w:rFonts w:hint="eastAsia" w:ascii="仿宋" w:hAnsi="仿宋" w:eastAsia="仿宋" w:cs="仿宋"/>
          <w:color w:val="auto"/>
          <w:sz w:val="24"/>
          <w:szCs w:val="24"/>
          <w:highlight w:val="none"/>
        </w:rPr>
      </w:pPr>
    </w:p>
    <w:p w14:paraId="2B5B0D43">
      <w:pPr>
        <w:pStyle w:val="100"/>
        <w:rPr>
          <w:rFonts w:hint="eastAsia" w:ascii="仿宋" w:hAnsi="仿宋" w:eastAsia="仿宋" w:cs="仿宋"/>
          <w:color w:val="auto"/>
          <w:sz w:val="24"/>
          <w:szCs w:val="24"/>
          <w:highlight w:val="none"/>
        </w:rPr>
      </w:pPr>
    </w:p>
    <w:p w14:paraId="638C11A8">
      <w:pPr>
        <w:pStyle w:val="100"/>
        <w:rPr>
          <w:rFonts w:hint="eastAsia" w:ascii="仿宋" w:hAnsi="仿宋" w:eastAsia="仿宋" w:cs="仿宋"/>
          <w:color w:val="auto"/>
          <w:sz w:val="24"/>
          <w:szCs w:val="24"/>
          <w:highlight w:val="none"/>
        </w:rPr>
      </w:pPr>
    </w:p>
    <w:p w14:paraId="1EF81793">
      <w:pPr>
        <w:pStyle w:val="614"/>
        <w:keepNext w:val="0"/>
        <w:keepLines w:val="0"/>
        <w:pageBreakBefore w:val="0"/>
        <w:kinsoku/>
        <w:wordWrap/>
        <w:overflowPunct/>
        <w:topLinePunct w:val="0"/>
        <w:bidi w:val="0"/>
        <w:spacing w:line="420" w:lineRule="exact"/>
        <w:ind w:firstLine="0" w:firstLineChars="0"/>
        <w:jc w:val="center"/>
        <w:rPr>
          <w:rFonts w:hint="eastAsia" w:ascii="仿宋" w:hAnsi="仿宋" w:eastAsia="仿宋" w:cs="仿宋"/>
          <w:b/>
          <w:color w:val="auto"/>
          <w:kern w:val="2"/>
          <w:sz w:val="28"/>
          <w:szCs w:val="28"/>
          <w:highlight w:val="none"/>
          <w:lang w:val="zh-CN" w:eastAsia="zh-CN" w:bidi="ar-SA"/>
        </w:rPr>
      </w:pPr>
      <w:bookmarkStart w:id="262" w:name="_Toc22488_WPSOffice_Level2"/>
      <w:bookmarkStart w:id="263" w:name="_Toc2357_WPSOffice_Level2"/>
      <w:r>
        <w:rPr>
          <w:rFonts w:hint="eastAsia" w:ascii="仿宋" w:hAnsi="仿宋" w:eastAsia="仿宋" w:cs="仿宋"/>
          <w:b/>
          <w:color w:val="auto"/>
          <w:kern w:val="2"/>
          <w:sz w:val="28"/>
          <w:szCs w:val="28"/>
          <w:highlight w:val="none"/>
          <w:lang w:val="en-US" w:eastAsia="zh-CN" w:bidi="ar-SA"/>
        </w:rPr>
        <w:t>拟投入其他人员、车辆及机具设备承诺书</w:t>
      </w:r>
    </w:p>
    <w:p w14:paraId="3B064FC9">
      <w:pPr>
        <w:jc w:val="center"/>
        <w:rPr>
          <w:rFonts w:hint="eastAsia"/>
          <w:b/>
          <w:bCs/>
          <w:color w:val="auto"/>
          <w:sz w:val="32"/>
          <w:szCs w:val="40"/>
          <w:highlight w:val="none"/>
          <w:lang w:eastAsia="zh-CN"/>
        </w:rPr>
      </w:pPr>
    </w:p>
    <w:p w14:paraId="7090EB9D">
      <w:pPr>
        <w:pStyle w:val="87"/>
        <w:keepNext w:val="0"/>
        <w:keepLines w:val="0"/>
        <w:pageBreakBefore w:val="0"/>
        <w:widowControl w:val="0"/>
        <w:kinsoku/>
        <w:wordWrap/>
        <w:overflowPunct/>
        <w:topLinePunct w:val="0"/>
        <w:autoSpaceDE/>
        <w:autoSpaceDN/>
        <w:bidi w:val="0"/>
        <w:adjustRightInd/>
        <w:snapToGrid/>
        <w:spacing w:after="0" w:line="500" w:lineRule="exact"/>
        <w:ind w:left="0" w:leftChars="0" w:firstLine="0" w:firstLineChars="0"/>
        <w:textAlignment w:val="auto"/>
        <w:rPr>
          <w:rFonts w:hint="eastAsia" w:ascii="仿宋" w:hAnsi="仿宋" w:eastAsia="仿宋" w:cs="仿宋"/>
          <w:color w:val="auto"/>
          <w:kern w:val="0"/>
          <w:sz w:val="24"/>
          <w:szCs w:val="24"/>
          <w:highlight w:val="none"/>
          <w:u w:val="single"/>
          <w:lang w:bidi="ar"/>
        </w:rPr>
      </w:pPr>
      <w:r>
        <w:rPr>
          <w:rFonts w:hint="eastAsia" w:ascii="仿宋" w:hAnsi="仿宋" w:eastAsia="仿宋" w:cs="仿宋"/>
          <w:color w:val="auto"/>
          <w:kern w:val="0"/>
          <w:sz w:val="24"/>
          <w:szCs w:val="24"/>
          <w:highlight w:val="none"/>
          <w:u w:val="single"/>
          <w:lang w:eastAsia="zh-CN" w:bidi="ar"/>
        </w:rPr>
        <w:t>衢州智慧新城管理委员会</w:t>
      </w:r>
      <w:r>
        <w:rPr>
          <w:rFonts w:hint="eastAsia" w:ascii="仿宋" w:hAnsi="仿宋" w:eastAsia="仿宋" w:cs="仿宋"/>
          <w:color w:val="auto"/>
          <w:kern w:val="0"/>
          <w:sz w:val="24"/>
          <w:szCs w:val="24"/>
          <w:highlight w:val="none"/>
          <w:u w:val="single"/>
          <w:lang w:bidi="ar"/>
        </w:rPr>
        <w:t>：</w:t>
      </w:r>
    </w:p>
    <w:p w14:paraId="43D6E9D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u w:val="single"/>
          <w:lang w:eastAsia="zh-CN" w:bidi="ar"/>
        </w:rPr>
        <w:t>科信联合工程咨询有限公司</w:t>
      </w:r>
      <w:r>
        <w:rPr>
          <w:rFonts w:hint="eastAsia" w:ascii="仿宋" w:hAnsi="仿宋" w:eastAsia="仿宋" w:cs="仿宋"/>
          <w:color w:val="auto"/>
          <w:kern w:val="0"/>
          <w:sz w:val="24"/>
          <w:szCs w:val="24"/>
          <w:highlight w:val="none"/>
          <w:u w:val="single"/>
          <w:lang w:bidi="ar"/>
        </w:rPr>
        <w:t>：</w:t>
      </w:r>
    </w:p>
    <w:p w14:paraId="62F27CE6">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lang w:eastAsia="zh-CN"/>
        </w:rPr>
      </w:pPr>
    </w:p>
    <w:p w14:paraId="5DC9200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我公司郑重承诺，我公司完全响应招标文件全部要求，中标后</w:t>
      </w:r>
      <w:r>
        <w:rPr>
          <w:rFonts w:hint="eastAsia" w:ascii="仿宋" w:hAnsi="仿宋" w:eastAsia="仿宋" w:cs="仿宋"/>
          <w:color w:val="auto"/>
          <w:sz w:val="24"/>
          <w:szCs w:val="24"/>
          <w:highlight w:val="none"/>
          <w:lang w:val="en-US" w:eastAsia="zh-CN"/>
        </w:rPr>
        <w:t>15日历天内</w:t>
      </w:r>
      <w:r>
        <w:rPr>
          <w:rFonts w:hint="eastAsia" w:ascii="仿宋" w:hAnsi="仿宋" w:eastAsia="仿宋" w:cs="仿宋"/>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在项目计划的运维期</w:t>
      </w:r>
      <w:r>
        <w:rPr>
          <w:rFonts w:hint="eastAsia" w:ascii="仿宋" w:hAnsi="仿宋" w:eastAsia="仿宋" w:cs="仿宋"/>
          <w:color w:val="auto"/>
          <w:sz w:val="24"/>
          <w:szCs w:val="24"/>
          <w:highlight w:val="none"/>
          <w:lang w:eastAsia="zh-CN"/>
        </w:rPr>
        <w:t>按招标文件采购内容及要求，配齐人员、</w:t>
      </w:r>
      <w:r>
        <w:rPr>
          <w:rFonts w:hint="eastAsia" w:ascii="仿宋" w:hAnsi="仿宋" w:eastAsia="仿宋" w:cs="仿宋"/>
          <w:color w:val="auto"/>
          <w:sz w:val="24"/>
          <w:szCs w:val="24"/>
          <w:highlight w:val="none"/>
          <w:lang w:val="en-US" w:eastAsia="zh-CN"/>
        </w:rPr>
        <w:t>车辆及机具</w:t>
      </w:r>
      <w:r>
        <w:rPr>
          <w:rFonts w:hint="eastAsia" w:ascii="仿宋" w:hAnsi="仿宋" w:eastAsia="仿宋" w:cs="仿宋"/>
          <w:color w:val="auto"/>
          <w:sz w:val="24"/>
          <w:szCs w:val="24"/>
          <w:highlight w:val="none"/>
          <w:lang w:eastAsia="zh-CN"/>
        </w:rPr>
        <w:t>设备，特此承诺！</w:t>
      </w:r>
    </w:p>
    <w:p w14:paraId="0E3A3BA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lang w:eastAsia="zh-CN"/>
        </w:rPr>
      </w:pPr>
    </w:p>
    <w:p w14:paraId="631F0F46">
      <w:pPr>
        <w:pStyle w:val="614"/>
        <w:keepNext w:val="0"/>
        <w:keepLines w:val="0"/>
        <w:pageBreakBefore w:val="0"/>
        <w:widowControl w:val="0"/>
        <w:kinsoku/>
        <w:wordWrap/>
        <w:overflowPunct/>
        <w:topLinePunct w:val="0"/>
        <w:autoSpaceDE/>
        <w:autoSpaceDN/>
        <w:bidi w:val="0"/>
        <w:adjustRightInd/>
        <w:snapToGrid/>
        <w:spacing w:line="500" w:lineRule="exact"/>
        <w:ind w:firstLine="0" w:firstLineChars="0"/>
        <w:jc w:val="center"/>
        <w:textAlignment w:val="auto"/>
        <w:rPr>
          <w:rFonts w:hint="eastAsia" w:ascii="仿宋" w:hAnsi="仿宋" w:eastAsia="仿宋" w:cs="仿宋"/>
          <w:color w:val="auto"/>
          <w:sz w:val="24"/>
          <w:szCs w:val="24"/>
          <w:highlight w:val="none"/>
        </w:rPr>
      </w:pPr>
    </w:p>
    <w:bookmarkEnd w:id="262"/>
    <w:bookmarkEnd w:id="263"/>
    <w:p w14:paraId="13EEECDA">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供应商全称（盖章或电子签章）：</w:t>
      </w:r>
    </w:p>
    <w:p w14:paraId="484C7CBC">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法定代表人或其授权代表（签字或盖章或电子签章）：</w:t>
      </w:r>
    </w:p>
    <w:p w14:paraId="7910B29F">
      <w:pPr>
        <w:pStyle w:val="100"/>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p w14:paraId="51253300">
      <w:pPr>
        <w:pStyle w:val="100"/>
        <w:rPr>
          <w:rFonts w:hint="eastAsia" w:ascii="仿宋" w:hAnsi="仿宋" w:eastAsia="仿宋" w:cs="仿宋"/>
          <w:color w:val="auto"/>
          <w:sz w:val="24"/>
          <w:szCs w:val="24"/>
          <w:highlight w:val="none"/>
        </w:rPr>
      </w:pPr>
    </w:p>
    <w:p w14:paraId="17B69B4B">
      <w:pPr>
        <w:pStyle w:val="100"/>
        <w:rPr>
          <w:rFonts w:hint="eastAsia" w:ascii="仿宋" w:hAnsi="仿宋" w:eastAsia="仿宋" w:cs="仿宋"/>
          <w:color w:val="auto"/>
          <w:sz w:val="24"/>
          <w:szCs w:val="24"/>
          <w:highlight w:val="none"/>
        </w:rPr>
      </w:pPr>
    </w:p>
    <w:p w14:paraId="7FD12DAD">
      <w:pPr>
        <w:pStyle w:val="100"/>
        <w:rPr>
          <w:rFonts w:hint="eastAsia" w:ascii="仿宋" w:hAnsi="仿宋" w:eastAsia="仿宋" w:cs="仿宋"/>
          <w:color w:val="auto"/>
          <w:sz w:val="24"/>
          <w:szCs w:val="24"/>
          <w:highlight w:val="none"/>
        </w:rPr>
      </w:pPr>
    </w:p>
    <w:p w14:paraId="375FD7EF">
      <w:pPr>
        <w:pStyle w:val="100"/>
        <w:rPr>
          <w:rFonts w:hint="eastAsia" w:ascii="仿宋" w:hAnsi="仿宋" w:eastAsia="仿宋" w:cs="仿宋"/>
          <w:color w:val="auto"/>
          <w:sz w:val="24"/>
          <w:szCs w:val="24"/>
          <w:highlight w:val="none"/>
        </w:rPr>
      </w:pPr>
    </w:p>
    <w:p w14:paraId="29AFB7E1">
      <w:pPr>
        <w:pStyle w:val="100"/>
        <w:rPr>
          <w:rFonts w:hint="eastAsia" w:ascii="仿宋" w:hAnsi="仿宋" w:eastAsia="仿宋" w:cs="仿宋"/>
          <w:color w:val="auto"/>
          <w:sz w:val="24"/>
          <w:szCs w:val="24"/>
          <w:highlight w:val="none"/>
        </w:rPr>
      </w:pPr>
    </w:p>
    <w:p w14:paraId="382CD2F6">
      <w:pPr>
        <w:pStyle w:val="100"/>
        <w:rPr>
          <w:rFonts w:hint="eastAsia" w:ascii="仿宋" w:hAnsi="仿宋" w:eastAsia="仿宋" w:cs="仿宋"/>
          <w:color w:val="auto"/>
          <w:sz w:val="24"/>
          <w:szCs w:val="24"/>
          <w:highlight w:val="none"/>
        </w:rPr>
      </w:pPr>
    </w:p>
    <w:p w14:paraId="165BB776">
      <w:pPr>
        <w:pStyle w:val="100"/>
        <w:rPr>
          <w:rFonts w:hint="eastAsia" w:ascii="仿宋" w:hAnsi="仿宋" w:eastAsia="仿宋" w:cs="仿宋"/>
          <w:color w:val="auto"/>
          <w:sz w:val="24"/>
          <w:szCs w:val="24"/>
          <w:highlight w:val="none"/>
        </w:rPr>
      </w:pPr>
    </w:p>
    <w:p w14:paraId="118A0502">
      <w:pPr>
        <w:pStyle w:val="100"/>
        <w:rPr>
          <w:rFonts w:hint="eastAsia" w:ascii="仿宋" w:hAnsi="仿宋" w:eastAsia="仿宋" w:cs="仿宋"/>
          <w:color w:val="auto"/>
          <w:sz w:val="24"/>
          <w:szCs w:val="24"/>
          <w:highlight w:val="none"/>
        </w:rPr>
      </w:pPr>
    </w:p>
    <w:p w14:paraId="36DD9305">
      <w:pPr>
        <w:pStyle w:val="100"/>
        <w:rPr>
          <w:rFonts w:hint="eastAsia" w:ascii="仿宋" w:hAnsi="仿宋" w:eastAsia="仿宋" w:cs="仿宋"/>
          <w:color w:val="auto"/>
          <w:sz w:val="24"/>
          <w:szCs w:val="24"/>
          <w:highlight w:val="none"/>
        </w:rPr>
      </w:pPr>
    </w:p>
    <w:p w14:paraId="31408FB4">
      <w:pPr>
        <w:pStyle w:val="100"/>
        <w:rPr>
          <w:rFonts w:hint="eastAsia" w:ascii="仿宋" w:hAnsi="仿宋" w:eastAsia="仿宋" w:cs="仿宋"/>
          <w:color w:val="auto"/>
          <w:sz w:val="24"/>
          <w:szCs w:val="24"/>
          <w:highlight w:val="none"/>
        </w:rPr>
      </w:pPr>
    </w:p>
    <w:p w14:paraId="20AE2FD7">
      <w:pPr>
        <w:pStyle w:val="100"/>
        <w:rPr>
          <w:rFonts w:hint="eastAsia" w:ascii="仿宋" w:hAnsi="仿宋" w:eastAsia="仿宋" w:cs="仿宋"/>
          <w:color w:val="auto"/>
          <w:sz w:val="24"/>
          <w:szCs w:val="24"/>
          <w:highlight w:val="none"/>
        </w:rPr>
      </w:pPr>
    </w:p>
    <w:p w14:paraId="65BB5AA5">
      <w:pPr>
        <w:pStyle w:val="100"/>
        <w:rPr>
          <w:rFonts w:hint="eastAsia" w:ascii="仿宋" w:hAnsi="仿宋" w:eastAsia="仿宋" w:cs="仿宋"/>
          <w:color w:val="auto"/>
          <w:sz w:val="24"/>
          <w:szCs w:val="24"/>
          <w:highlight w:val="none"/>
        </w:rPr>
      </w:pPr>
    </w:p>
    <w:p w14:paraId="7E62719F">
      <w:pPr>
        <w:pStyle w:val="100"/>
        <w:rPr>
          <w:rFonts w:hint="eastAsia" w:ascii="仿宋" w:hAnsi="仿宋" w:eastAsia="仿宋" w:cs="仿宋"/>
          <w:color w:val="auto"/>
          <w:sz w:val="24"/>
          <w:szCs w:val="24"/>
          <w:highlight w:val="none"/>
        </w:rPr>
      </w:pPr>
    </w:p>
    <w:p w14:paraId="464F0103">
      <w:pPr>
        <w:pStyle w:val="100"/>
        <w:rPr>
          <w:rFonts w:hint="eastAsia" w:ascii="仿宋" w:hAnsi="仿宋" w:eastAsia="仿宋" w:cs="仿宋"/>
          <w:color w:val="auto"/>
          <w:sz w:val="24"/>
          <w:szCs w:val="24"/>
          <w:highlight w:val="none"/>
        </w:rPr>
      </w:pPr>
    </w:p>
    <w:p w14:paraId="1DC514A4">
      <w:pPr>
        <w:pStyle w:val="100"/>
        <w:rPr>
          <w:rFonts w:hint="eastAsia" w:ascii="仿宋" w:hAnsi="仿宋" w:eastAsia="仿宋" w:cs="仿宋"/>
          <w:color w:val="auto"/>
          <w:sz w:val="24"/>
          <w:szCs w:val="24"/>
          <w:highlight w:val="none"/>
        </w:rPr>
      </w:pPr>
    </w:p>
    <w:p w14:paraId="2D975BFF">
      <w:pPr>
        <w:pStyle w:val="100"/>
        <w:rPr>
          <w:rFonts w:hint="eastAsia" w:ascii="仿宋" w:hAnsi="仿宋" w:eastAsia="仿宋" w:cs="仿宋"/>
          <w:color w:val="auto"/>
          <w:sz w:val="24"/>
          <w:szCs w:val="24"/>
          <w:highlight w:val="none"/>
        </w:rPr>
      </w:pPr>
    </w:p>
    <w:p w14:paraId="0CF305FB">
      <w:pPr>
        <w:pStyle w:val="100"/>
        <w:rPr>
          <w:rFonts w:hint="eastAsia" w:ascii="仿宋" w:hAnsi="仿宋" w:eastAsia="仿宋" w:cs="仿宋"/>
          <w:color w:val="auto"/>
          <w:sz w:val="24"/>
          <w:szCs w:val="24"/>
          <w:highlight w:val="none"/>
        </w:rPr>
      </w:pPr>
    </w:p>
    <w:p w14:paraId="11611F26">
      <w:pPr>
        <w:pStyle w:val="100"/>
        <w:rPr>
          <w:rFonts w:hint="eastAsia" w:ascii="仿宋" w:hAnsi="仿宋" w:eastAsia="仿宋" w:cs="仿宋"/>
          <w:color w:val="auto"/>
          <w:sz w:val="24"/>
          <w:szCs w:val="24"/>
          <w:highlight w:val="none"/>
        </w:rPr>
      </w:pPr>
    </w:p>
    <w:p w14:paraId="61BD9C11">
      <w:pPr>
        <w:pStyle w:val="100"/>
        <w:rPr>
          <w:rFonts w:hint="eastAsia" w:ascii="仿宋" w:hAnsi="仿宋" w:eastAsia="仿宋" w:cs="仿宋"/>
          <w:color w:val="auto"/>
          <w:sz w:val="24"/>
          <w:szCs w:val="24"/>
          <w:highlight w:val="none"/>
        </w:rPr>
      </w:pPr>
    </w:p>
    <w:p w14:paraId="626BB044">
      <w:pPr>
        <w:pStyle w:val="100"/>
        <w:rPr>
          <w:rFonts w:hint="eastAsia" w:ascii="仿宋" w:hAnsi="仿宋" w:eastAsia="仿宋" w:cs="仿宋"/>
          <w:color w:val="auto"/>
          <w:sz w:val="24"/>
          <w:szCs w:val="24"/>
          <w:highlight w:val="none"/>
        </w:rPr>
      </w:pPr>
    </w:p>
    <w:p w14:paraId="78622A0F">
      <w:pPr>
        <w:pStyle w:val="100"/>
        <w:rPr>
          <w:rFonts w:hint="eastAsia" w:ascii="仿宋" w:hAnsi="仿宋" w:eastAsia="仿宋" w:cs="仿宋"/>
          <w:color w:val="auto"/>
          <w:sz w:val="24"/>
          <w:szCs w:val="24"/>
          <w:highlight w:val="none"/>
        </w:rPr>
      </w:pPr>
    </w:p>
    <w:p w14:paraId="3C40C8DF">
      <w:pPr>
        <w:pStyle w:val="100"/>
        <w:rPr>
          <w:rFonts w:hint="eastAsia" w:ascii="仿宋" w:hAnsi="仿宋" w:eastAsia="仿宋" w:cs="仿宋"/>
          <w:color w:val="auto"/>
          <w:sz w:val="24"/>
          <w:szCs w:val="24"/>
          <w:highlight w:val="none"/>
        </w:rPr>
      </w:pPr>
    </w:p>
    <w:p w14:paraId="0B2CA9FF">
      <w:pPr>
        <w:pStyle w:val="100"/>
        <w:rPr>
          <w:rFonts w:hint="eastAsia" w:ascii="仿宋" w:hAnsi="仿宋" w:eastAsia="仿宋" w:cs="仿宋"/>
          <w:color w:val="auto"/>
          <w:sz w:val="24"/>
          <w:szCs w:val="24"/>
          <w:highlight w:val="none"/>
        </w:rPr>
      </w:pPr>
    </w:p>
    <w:p w14:paraId="4A62A40D">
      <w:pPr>
        <w:pStyle w:val="100"/>
        <w:rPr>
          <w:rFonts w:hint="eastAsia" w:ascii="仿宋" w:hAnsi="仿宋" w:eastAsia="仿宋" w:cs="仿宋"/>
          <w:color w:val="auto"/>
          <w:sz w:val="24"/>
          <w:szCs w:val="24"/>
          <w:highlight w:val="none"/>
        </w:rPr>
      </w:pPr>
    </w:p>
    <w:p w14:paraId="6AD45F3D">
      <w:pPr>
        <w:pStyle w:val="100"/>
        <w:rPr>
          <w:rFonts w:hint="eastAsia" w:ascii="仿宋" w:hAnsi="仿宋" w:eastAsia="仿宋" w:cs="仿宋"/>
          <w:color w:val="auto"/>
          <w:sz w:val="24"/>
          <w:szCs w:val="24"/>
          <w:highlight w:val="none"/>
        </w:rPr>
      </w:pPr>
    </w:p>
    <w:p w14:paraId="392BE6FA">
      <w:pPr>
        <w:pStyle w:val="100"/>
        <w:rPr>
          <w:rFonts w:hint="eastAsia" w:ascii="仿宋" w:hAnsi="仿宋" w:eastAsia="仿宋" w:cs="仿宋"/>
          <w:color w:val="auto"/>
          <w:sz w:val="24"/>
          <w:szCs w:val="24"/>
          <w:highlight w:val="none"/>
        </w:rPr>
      </w:pPr>
    </w:p>
    <w:p w14:paraId="55D16584">
      <w:pPr>
        <w:pStyle w:val="100"/>
        <w:rPr>
          <w:rFonts w:hint="eastAsia" w:ascii="仿宋" w:hAnsi="仿宋" w:eastAsia="仿宋" w:cs="仿宋"/>
          <w:color w:val="auto"/>
          <w:sz w:val="24"/>
          <w:szCs w:val="24"/>
          <w:highlight w:val="none"/>
        </w:rPr>
      </w:pPr>
    </w:p>
    <w:p w14:paraId="7A68E2C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kern w:val="0"/>
          <w:sz w:val="28"/>
          <w:szCs w:val="28"/>
          <w:highlight w:val="none"/>
          <w:lang w:val="en-US" w:eastAsia="zh-CN" w:bidi="ar-SA"/>
        </w:rPr>
        <w:t>其他材料</w:t>
      </w:r>
    </w:p>
    <w:p w14:paraId="2D44CF1F">
      <w:pPr>
        <w:spacing w:line="6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根据招标文件的要求及评分内容要求，本部分未提供格式的内容，供应商自行编制</w:t>
      </w:r>
    </w:p>
    <w:p w14:paraId="701EA192">
      <w:pPr>
        <w:spacing w:line="600" w:lineRule="exact"/>
        <w:rPr>
          <w:rFonts w:hint="eastAsia" w:ascii="仿宋" w:hAnsi="仿宋" w:eastAsia="仿宋" w:cs="仿宋"/>
          <w:color w:val="auto"/>
          <w:sz w:val="24"/>
          <w:szCs w:val="24"/>
          <w:highlight w:val="none"/>
        </w:rPr>
      </w:pPr>
    </w:p>
    <w:p w14:paraId="1C561FB7">
      <w:pPr>
        <w:pStyle w:val="87"/>
        <w:ind w:firstLine="0" w:firstLineChars="0"/>
        <w:rPr>
          <w:rFonts w:hint="eastAsia" w:ascii="仿宋" w:hAnsi="仿宋" w:eastAsia="仿宋" w:cs="仿宋"/>
          <w:color w:val="auto"/>
          <w:sz w:val="28"/>
          <w:szCs w:val="28"/>
          <w:highlight w:val="none"/>
        </w:rPr>
      </w:pPr>
    </w:p>
    <w:p w14:paraId="4D28B1B3">
      <w:pPr>
        <w:pStyle w:val="87"/>
        <w:ind w:firstLine="0" w:firstLineChars="0"/>
        <w:rPr>
          <w:rFonts w:hint="eastAsia" w:ascii="仿宋" w:hAnsi="仿宋" w:eastAsia="仿宋" w:cs="仿宋"/>
          <w:color w:val="auto"/>
          <w:sz w:val="28"/>
          <w:szCs w:val="28"/>
          <w:highlight w:val="none"/>
        </w:rPr>
      </w:pPr>
    </w:p>
    <w:p w14:paraId="6261136D">
      <w:pPr>
        <w:pStyle w:val="87"/>
        <w:ind w:firstLine="0" w:firstLineChars="0"/>
        <w:rPr>
          <w:rFonts w:hint="eastAsia" w:ascii="仿宋" w:hAnsi="仿宋" w:eastAsia="仿宋" w:cs="仿宋"/>
          <w:color w:val="auto"/>
          <w:sz w:val="28"/>
          <w:szCs w:val="28"/>
          <w:highlight w:val="none"/>
        </w:rPr>
      </w:pPr>
    </w:p>
    <w:p w14:paraId="673FF48C">
      <w:pPr>
        <w:pStyle w:val="87"/>
        <w:ind w:firstLine="0" w:firstLineChars="0"/>
        <w:rPr>
          <w:rFonts w:hint="eastAsia" w:ascii="仿宋" w:hAnsi="仿宋" w:eastAsia="仿宋" w:cs="仿宋"/>
          <w:color w:val="auto"/>
          <w:sz w:val="28"/>
          <w:szCs w:val="28"/>
          <w:highlight w:val="none"/>
        </w:rPr>
      </w:pPr>
    </w:p>
    <w:p w14:paraId="1770D89A">
      <w:pPr>
        <w:pStyle w:val="87"/>
        <w:ind w:firstLine="0" w:firstLineChars="0"/>
        <w:rPr>
          <w:rFonts w:hint="eastAsia" w:ascii="仿宋" w:hAnsi="仿宋" w:eastAsia="仿宋" w:cs="仿宋"/>
          <w:color w:val="auto"/>
          <w:sz w:val="28"/>
          <w:szCs w:val="28"/>
          <w:highlight w:val="none"/>
        </w:rPr>
      </w:pPr>
    </w:p>
    <w:p w14:paraId="1CA94BD4">
      <w:pPr>
        <w:pStyle w:val="87"/>
        <w:ind w:firstLine="0" w:firstLineChars="0"/>
        <w:rPr>
          <w:rFonts w:hint="eastAsia" w:ascii="仿宋" w:hAnsi="仿宋" w:eastAsia="仿宋" w:cs="仿宋"/>
          <w:color w:val="auto"/>
          <w:sz w:val="28"/>
          <w:szCs w:val="28"/>
          <w:highlight w:val="none"/>
        </w:rPr>
      </w:pPr>
    </w:p>
    <w:p w14:paraId="2706FEF3">
      <w:pPr>
        <w:pStyle w:val="87"/>
        <w:ind w:firstLine="0" w:firstLineChars="0"/>
        <w:rPr>
          <w:rFonts w:hint="eastAsia" w:ascii="仿宋" w:hAnsi="仿宋" w:eastAsia="仿宋" w:cs="仿宋"/>
          <w:color w:val="auto"/>
          <w:sz w:val="28"/>
          <w:szCs w:val="28"/>
          <w:highlight w:val="none"/>
        </w:rPr>
      </w:pPr>
    </w:p>
    <w:p w14:paraId="0E8A5999">
      <w:pPr>
        <w:pStyle w:val="87"/>
        <w:ind w:firstLine="0" w:firstLineChars="0"/>
        <w:rPr>
          <w:rFonts w:hint="eastAsia" w:ascii="仿宋" w:hAnsi="仿宋" w:eastAsia="仿宋" w:cs="仿宋"/>
          <w:color w:val="auto"/>
          <w:sz w:val="28"/>
          <w:szCs w:val="28"/>
          <w:highlight w:val="none"/>
        </w:rPr>
      </w:pPr>
    </w:p>
    <w:p w14:paraId="28F69FBE">
      <w:pPr>
        <w:pStyle w:val="87"/>
        <w:ind w:firstLine="0" w:firstLineChars="0"/>
        <w:rPr>
          <w:rFonts w:hint="eastAsia" w:ascii="仿宋" w:hAnsi="仿宋" w:eastAsia="仿宋" w:cs="仿宋"/>
          <w:color w:val="auto"/>
          <w:sz w:val="28"/>
          <w:szCs w:val="28"/>
          <w:highlight w:val="none"/>
        </w:rPr>
      </w:pPr>
    </w:p>
    <w:p w14:paraId="16976698">
      <w:pPr>
        <w:pStyle w:val="87"/>
        <w:ind w:firstLine="0" w:firstLineChars="0"/>
        <w:rPr>
          <w:rFonts w:hint="eastAsia" w:ascii="仿宋" w:hAnsi="仿宋" w:eastAsia="仿宋" w:cs="仿宋"/>
          <w:color w:val="auto"/>
          <w:sz w:val="28"/>
          <w:szCs w:val="28"/>
          <w:highlight w:val="none"/>
        </w:rPr>
      </w:pPr>
    </w:p>
    <w:p w14:paraId="309E4B61">
      <w:pPr>
        <w:pStyle w:val="87"/>
        <w:ind w:firstLine="0" w:firstLineChars="0"/>
        <w:rPr>
          <w:rFonts w:hint="eastAsia" w:ascii="仿宋" w:hAnsi="仿宋" w:eastAsia="仿宋" w:cs="仿宋"/>
          <w:color w:val="auto"/>
          <w:sz w:val="28"/>
          <w:szCs w:val="28"/>
          <w:highlight w:val="none"/>
        </w:rPr>
      </w:pPr>
    </w:p>
    <w:p w14:paraId="45985E8F">
      <w:pPr>
        <w:pStyle w:val="87"/>
        <w:ind w:firstLine="0" w:firstLineChars="0"/>
        <w:rPr>
          <w:rFonts w:hint="eastAsia" w:ascii="仿宋" w:hAnsi="仿宋" w:eastAsia="仿宋" w:cs="仿宋"/>
          <w:color w:val="auto"/>
          <w:sz w:val="28"/>
          <w:szCs w:val="28"/>
          <w:highlight w:val="none"/>
        </w:rPr>
      </w:pPr>
    </w:p>
    <w:p w14:paraId="3F78080A">
      <w:pPr>
        <w:pStyle w:val="87"/>
        <w:ind w:firstLine="0" w:firstLineChars="0"/>
        <w:rPr>
          <w:rFonts w:hint="eastAsia" w:ascii="仿宋" w:hAnsi="仿宋" w:eastAsia="仿宋" w:cs="仿宋"/>
          <w:color w:val="auto"/>
          <w:sz w:val="28"/>
          <w:szCs w:val="28"/>
          <w:highlight w:val="none"/>
        </w:rPr>
      </w:pPr>
    </w:p>
    <w:p w14:paraId="70E2E4C5">
      <w:pPr>
        <w:pStyle w:val="87"/>
        <w:ind w:firstLine="0" w:firstLineChars="0"/>
        <w:rPr>
          <w:rFonts w:hint="eastAsia" w:ascii="仿宋" w:hAnsi="仿宋" w:eastAsia="仿宋" w:cs="仿宋"/>
          <w:color w:val="auto"/>
          <w:sz w:val="28"/>
          <w:szCs w:val="28"/>
          <w:highlight w:val="none"/>
        </w:rPr>
      </w:pPr>
    </w:p>
    <w:p w14:paraId="604440D9">
      <w:pPr>
        <w:pStyle w:val="3"/>
        <w:ind w:firstLine="280"/>
        <w:rPr>
          <w:rFonts w:hint="eastAsia" w:ascii="仿宋" w:hAnsi="仿宋" w:eastAsia="仿宋" w:cs="仿宋"/>
          <w:color w:val="auto"/>
          <w:sz w:val="28"/>
          <w:szCs w:val="28"/>
          <w:highlight w:val="none"/>
        </w:rPr>
      </w:pPr>
    </w:p>
    <w:p w14:paraId="61DCADA9">
      <w:pPr>
        <w:rPr>
          <w:rFonts w:hint="eastAsia" w:ascii="仿宋" w:hAnsi="仿宋" w:eastAsia="仿宋" w:cs="仿宋"/>
          <w:color w:val="auto"/>
          <w:sz w:val="28"/>
          <w:szCs w:val="28"/>
          <w:highlight w:val="none"/>
        </w:rPr>
      </w:pPr>
    </w:p>
    <w:p w14:paraId="72C2C2FF">
      <w:pPr>
        <w:rPr>
          <w:rFonts w:hint="eastAsia" w:ascii="仿宋" w:hAnsi="仿宋" w:eastAsia="仿宋" w:cs="仿宋"/>
          <w:color w:val="auto"/>
          <w:highlight w:val="none"/>
        </w:rPr>
      </w:pPr>
    </w:p>
    <w:p w14:paraId="6786F5A4">
      <w:pPr>
        <w:pStyle w:val="87"/>
        <w:ind w:firstLine="0" w:firstLineChars="0"/>
        <w:rPr>
          <w:rFonts w:hint="eastAsia" w:ascii="仿宋" w:hAnsi="仿宋" w:eastAsia="仿宋" w:cs="仿宋"/>
          <w:b/>
          <w:color w:val="auto"/>
          <w:sz w:val="28"/>
          <w:szCs w:val="28"/>
          <w:highlight w:val="none"/>
        </w:rPr>
      </w:pPr>
      <w:bookmarkStart w:id="264" w:name="_Toc12318"/>
    </w:p>
    <w:p w14:paraId="2E9FAFFC">
      <w:pPr>
        <w:pStyle w:val="3"/>
        <w:ind w:firstLine="210"/>
        <w:rPr>
          <w:rFonts w:hint="eastAsia" w:ascii="仿宋" w:hAnsi="仿宋" w:eastAsia="仿宋" w:cs="仿宋"/>
          <w:color w:val="auto"/>
          <w:highlight w:val="none"/>
        </w:rPr>
      </w:pPr>
    </w:p>
    <w:p w14:paraId="2E58FF36">
      <w:pPr>
        <w:pStyle w:val="87"/>
        <w:ind w:firstLine="0" w:firstLineChars="0"/>
        <w:jc w:val="both"/>
        <w:rPr>
          <w:rFonts w:hint="eastAsia" w:ascii="仿宋" w:hAnsi="仿宋" w:eastAsia="仿宋" w:cs="仿宋"/>
          <w:b/>
          <w:color w:val="auto"/>
          <w:sz w:val="24"/>
          <w:highlight w:val="none"/>
        </w:rPr>
      </w:pPr>
    </w:p>
    <w:p w14:paraId="7C1EE0C1">
      <w:pPr>
        <w:pStyle w:val="87"/>
        <w:pageBreakBefore/>
        <w:numPr>
          <w:ilvl w:val="0"/>
          <w:numId w:val="6"/>
        </w:numPr>
        <w:spacing w:line="600" w:lineRule="exact"/>
        <w:ind w:firstLine="0" w:firstLineChars="0"/>
        <w:jc w:val="center"/>
        <w:rPr>
          <w:rFonts w:hint="eastAsia" w:ascii="仿宋" w:hAnsi="仿宋" w:eastAsia="仿宋" w:cs="仿宋"/>
          <w:b/>
          <w:bCs/>
          <w:color w:val="auto"/>
          <w:sz w:val="28"/>
          <w:szCs w:val="28"/>
          <w:highlight w:val="none"/>
        </w:rPr>
      </w:pPr>
      <w:bookmarkStart w:id="265" w:name="OLE_LINK8"/>
      <w:r>
        <w:rPr>
          <w:rFonts w:hint="eastAsia" w:ascii="仿宋" w:hAnsi="仿宋" w:eastAsia="仿宋" w:cs="仿宋"/>
          <w:b/>
          <w:bCs/>
          <w:color w:val="auto"/>
          <w:sz w:val="28"/>
          <w:szCs w:val="28"/>
          <w:highlight w:val="none"/>
        </w:rPr>
        <w:t>报价文件</w:t>
      </w:r>
      <w:bookmarkEnd w:id="264"/>
      <w:bookmarkEnd w:id="265"/>
    </w:p>
    <w:p w14:paraId="45714529">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285E2C16">
      <w:pPr>
        <w:autoSpaceDE w:val="0"/>
        <w:autoSpaceDN w:val="0"/>
        <w:adjustRightInd w:val="0"/>
        <w:spacing w:line="600" w:lineRule="exact"/>
        <w:rPr>
          <w:rFonts w:hint="eastAsia" w:ascii="仿宋" w:hAnsi="仿宋" w:eastAsia="仿宋" w:cs="仿宋"/>
          <w:bCs/>
          <w:color w:val="auto"/>
          <w:sz w:val="30"/>
          <w:szCs w:val="30"/>
          <w:highlight w:val="none"/>
          <w:lang w:val="zh-CN"/>
        </w:rPr>
      </w:pPr>
    </w:p>
    <w:p w14:paraId="4E906FA9">
      <w:pPr>
        <w:autoSpaceDE w:val="0"/>
        <w:autoSpaceDN w:val="0"/>
        <w:adjustRightInd w:val="0"/>
        <w:spacing w:line="600" w:lineRule="exact"/>
        <w:jc w:val="center"/>
        <w:rPr>
          <w:rFonts w:hint="eastAsia" w:ascii="仿宋" w:hAnsi="仿宋" w:eastAsia="仿宋" w:cs="仿宋"/>
          <w:bCs/>
          <w:color w:val="auto"/>
          <w:sz w:val="52"/>
          <w:szCs w:val="52"/>
          <w:highlight w:val="none"/>
          <w:lang w:val="zh-CN"/>
        </w:rPr>
      </w:pPr>
      <w:r>
        <w:rPr>
          <w:rFonts w:hint="eastAsia" w:ascii="仿宋" w:hAnsi="仿宋" w:eastAsia="仿宋" w:cs="仿宋"/>
          <w:bCs/>
          <w:color w:val="auto"/>
          <w:sz w:val="52"/>
          <w:szCs w:val="52"/>
          <w:highlight w:val="none"/>
          <w:lang w:val="zh-CN"/>
        </w:rPr>
        <w:t>投标文件</w:t>
      </w:r>
    </w:p>
    <w:p w14:paraId="348FEC22">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0B1A825A">
      <w:pPr>
        <w:autoSpaceDE w:val="0"/>
        <w:autoSpaceDN w:val="0"/>
        <w:adjustRightInd w:val="0"/>
        <w:spacing w:line="600" w:lineRule="exact"/>
        <w:rPr>
          <w:rFonts w:hint="eastAsia" w:ascii="仿宋" w:hAnsi="仿宋" w:eastAsia="仿宋" w:cs="仿宋"/>
          <w:bCs/>
          <w:color w:val="auto"/>
          <w:sz w:val="24"/>
          <w:szCs w:val="24"/>
          <w:highlight w:val="none"/>
          <w:lang w:val="zh-CN"/>
        </w:rPr>
      </w:pPr>
    </w:p>
    <w:p w14:paraId="59F6DE34">
      <w:pPr>
        <w:snapToGrid w:val="0"/>
        <w:spacing w:line="600" w:lineRule="exact"/>
        <w:rPr>
          <w:rFonts w:hint="eastAsia" w:ascii="仿宋" w:hAnsi="仿宋" w:eastAsia="仿宋" w:cs="仿宋"/>
          <w:color w:val="auto"/>
          <w:sz w:val="24"/>
          <w:szCs w:val="24"/>
          <w:highlight w:val="none"/>
        </w:rPr>
      </w:pPr>
    </w:p>
    <w:p w14:paraId="6D566DBC">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eastAsia="zh-CN"/>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u w:val="single"/>
          <w:lang w:val="en-US" w:eastAsia="zh-CN"/>
        </w:rPr>
        <w:t xml:space="preserve">                                                 </w:t>
      </w:r>
    </w:p>
    <w:p w14:paraId="51B9F03D">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lang w:val="en-US" w:eastAsia="zh-CN"/>
        </w:rPr>
        <w:t xml:space="preserve">                                                 </w:t>
      </w:r>
    </w:p>
    <w:p w14:paraId="2AEC40F2">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u w:val="single"/>
          <w:lang w:val="en-US"/>
        </w:rPr>
      </w:pPr>
      <w:r>
        <w:rPr>
          <w:rFonts w:hint="eastAsia" w:ascii="仿宋" w:hAnsi="仿宋" w:eastAsia="仿宋" w:cs="仿宋"/>
          <w:color w:val="auto"/>
          <w:sz w:val="28"/>
          <w:szCs w:val="28"/>
          <w:highlight w:val="none"/>
        </w:rPr>
        <w:t>投标文件名称：</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u w:val="single"/>
        </w:rPr>
        <w:t>（报价文件）</w:t>
      </w:r>
      <w:r>
        <w:rPr>
          <w:rFonts w:hint="eastAsia" w:ascii="仿宋" w:hAnsi="仿宋" w:eastAsia="仿宋" w:cs="仿宋"/>
          <w:color w:val="auto"/>
          <w:sz w:val="28"/>
          <w:szCs w:val="28"/>
          <w:highlight w:val="none"/>
          <w:u w:val="single"/>
          <w:lang w:val="en-US" w:eastAsia="zh-CN"/>
        </w:rPr>
        <w:t xml:space="preserve">                   </w:t>
      </w:r>
    </w:p>
    <w:p w14:paraId="455EC0C3">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供应商名称（盖章或电子签章）</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u w:val="single"/>
          <w:lang w:val="en-US" w:eastAsia="zh-CN"/>
        </w:rPr>
        <w:t xml:space="preserve">                             </w:t>
      </w:r>
    </w:p>
    <w:p w14:paraId="58B8FAE2">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法定代表人或其授权代表（签字或盖章或电子签章）：</w:t>
      </w:r>
      <w:r>
        <w:rPr>
          <w:rFonts w:hint="eastAsia" w:ascii="仿宋" w:hAnsi="仿宋" w:eastAsia="仿宋" w:cs="仿宋"/>
          <w:color w:val="auto"/>
          <w:sz w:val="28"/>
          <w:szCs w:val="28"/>
          <w:highlight w:val="none"/>
          <w:u w:val="single"/>
          <w:lang w:val="en-US" w:eastAsia="zh-CN"/>
        </w:rPr>
        <w:t xml:space="preserve">           </w:t>
      </w:r>
    </w:p>
    <w:p w14:paraId="176151EB">
      <w:pPr>
        <w:keepNext w:val="0"/>
        <w:keepLines w:val="0"/>
        <w:pageBreakBefore w:val="0"/>
        <w:widowControl w:val="0"/>
        <w:kinsoku/>
        <w:wordWrap/>
        <w:overflowPunct/>
        <w:topLinePunct w:val="0"/>
        <w:autoSpaceDE/>
        <w:autoSpaceDN/>
        <w:bidi w:val="0"/>
        <w:snapToGrid w:val="0"/>
        <w:spacing w:line="80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投标人地址：</w:t>
      </w:r>
      <w:r>
        <w:rPr>
          <w:rFonts w:hint="eastAsia" w:ascii="仿宋" w:hAnsi="仿宋" w:eastAsia="仿宋" w:cs="仿宋"/>
          <w:color w:val="auto"/>
          <w:sz w:val="28"/>
          <w:szCs w:val="28"/>
          <w:highlight w:val="none"/>
          <w:u w:val="single"/>
          <w:lang w:val="en-US" w:eastAsia="zh-CN"/>
        </w:rPr>
        <w:t xml:space="preserve">                                               </w:t>
      </w:r>
    </w:p>
    <w:p w14:paraId="2DA8EEEB">
      <w:pPr>
        <w:keepNext w:val="0"/>
        <w:keepLines w:val="0"/>
        <w:pageBreakBefore w:val="0"/>
        <w:widowControl w:val="0"/>
        <w:kinsoku/>
        <w:wordWrap/>
        <w:overflowPunct/>
        <w:topLinePunct w:val="0"/>
        <w:autoSpaceDE/>
        <w:autoSpaceDN/>
        <w:bidi w:val="0"/>
        <w:adjustRightInd w:val="0"/>
        <w:spacing w:line="800" w:lineRule="exact"/>
        <w:textAlignment w:val="baseline"/>
        <w:rPr>
          <w:rFonts w:hint="eastAsia" w:ascii="仿宋" w:hAnsi="仿宋" w:eastAsia="仿宋" w:cs="仿宋"/>
          <w:color w:val="auto"/>
          <w:sz w:val="28"/>
          <w:szCs w:val="21"/>
          <w:highlight w:val="none"/>
        </w:rPr>
      </w:pPr>
      <w:r>
        <w:rPr>
          <w:rFonts w:hint="eastAsia" w:ascii="仿宋" w:hAnsi="仿宋" w:eastAsia="仿宋" w:cs="仿宋"/>
          <w:color w:val="auto"/>
          <w:kern w:val="0"/>
          <w:sz w:val="28"/>
          <w:szCs w:val="28"/>
          <w:highlight w:val="none"/>
        </w:rPr>
        <w:t xml:space="preserve">日期：     年  </w:t>
      </w:r>
      <w:r>
        <w:rPr>
          <w:rFonts w:hint="eastAsia" w:ascii="仿宋" w:hAnsi="仿宋" w:eastAsia="仿宋" w:cs="仿宋"/>
          <w:color w:val="auto"/>
          <w:kern w:val="0"/>
          <w:sz w:val="28"/>
          <w:szCs w:val="28"/>
          <w:highlight w:val="none"/>
          <w:lang w:val="en-US" w:eastAsia="zh-CN"/>
        </w:rPr>
        <w:t xml:space="preserve">  </w:t>
      </w:r>
      <w:r>
        <w:rPr>
          <w:rFonts w:hint="eastAsia" w:ascii="仿宋" w:hAnsi="仿宋" w:eastAsia="仿宋" w:cs="仿宋"/>
          <w:color w:val="auto"/>
          <w:kern w:val="0"/>
          <w:sz w:val="28"/>
          <w:szCs w:val="28"/>
          <w:highlight w:val="none"/>
        </w:rPr>
        <w:t xml:space="preserve">月 </w:t>
      </w:r>
      <w:r>
        <w:rPr>
          <w:rFonts w:hint="eastAsia" w:ascii="仿宋" w:hAnsi="仿宋" w:eastAsia="仿宋" w:cs="仿宋"/>
          <w:color w:val="auto"/>
          <w:kern w:val="0"/>
          <w:sz w:val="28"/>
          <w:szCs w:val="28"/>
          <w:highlight w:val="none"/>
          <w:lang w:val="en-US" w:eastAsia="zh-CN"/>
        </w:rPr>
        <w:t xml:space="preserve"> </w:t>
      </w:r>
      <w:r>
        <w:rPr>
          <w:rFonts w:hint="eastAsia" w:ascii="仿宋" w:hAnsi="仿宋" w:eastAsia="仿宋" w:cs="仿宋"/>
          <w:color w:val="auto"/>
          <w:kern w:val="0"/>
          <w:sz w:val="28"/>
          <w:szCs w:val="28"/>
          <w:highlight w:val="none"/>
        </w:rPr>
        <w:t xml:space="preserve"> 日</w:t>
      </w:r>
      <w:r>
        <w:rPr>
          <w:rFonts w:hint="eastAsia" w:ascii="仿宋" w:hAnsi="仿宋" w:eastAsia="仿宋" w:cs="仿宋"/>
          <w:color w:val="auto"/>
          <w:sz w:val="28"/>
          <w:szCs w:val="21"/>
          <w:highlight w:val="none"/>
        </w:rPr>
        <w:t xml:space="preserve">    </w:t>
      </w:r>
    </w:p>
    <w:p w14:paraId="23960CB7">
      <w:pPr>
        <w:autoSpaceDE w:val="0"/>
        <w:autoSpaceDN w:val="0"/>
        <w:adjustRightInd w:val="0"/>
        <w:spacing w:line="400" w:lineRule="exact"/>
        <w:jc w:val="center"/>
        <w:rPr>
          <w:rFonts w:hint="eastAsia" w:ascii="仿宋" w:hAnsi="仿宋" w:eastAsia="仿宋" w:cs="仿宋"/>
          <w:bCs/>
          <w:color w:val="auto"/>
          <w:sz w:val="30"/>
          <w:szCs w:val="30"/>
          <w:highlight w:val="none"/>
          <w:lang w:val="zh-CN"/>
        </w:rPr>
      </w:pPr>
    </w:p>
    <w:p w14:paraId="329AC954">
      <w:pPr>
        <w:pStyle w:val="2"/>
        <w:ind w:firstLine="210"/>
        <w:rPr>
          <w:rFonts w:hint="eastAsia" w:ascii="仿宋" w:hAnsi="仿宋" w:eastAsia="仿宋" w:cs="仿宋"/>
          <w:color w:val="auto"/>
          <w:highlight w:val="none"/>
        </w:rPr>
      </w:pPr>
    </w:p>
    <w:p w14:paraId="50E06EE8">
      <w:pPr>
        <w:rPr>
          <w:rFonts w:hint="eastAsia" w:ascii="仿宋" w:hAnsi="仿宋" w:eastAsia="仿宋" w:cs="仿宋"/>
          <w:color w:val="auto"/>
          <w:highlight w:val="none"/>
        </w:rPr>
      </w:pPr>
    </w:p>
    <w:p w14:paraId="0C972554">
      <w:pPr>
        <w:rPr>
          <w:rFonts w:hint="eastAsia" w:ascii="仿宋" w:hAnsi="仿宋" w:eastAsia="仿宋" w:cs="仿宋"/>
          <w:color w:val="auto"/>
          <w:highlight w:val="none"/>
        </w:rPr>
      </w:pPr>
    </w:p>
    <w:p w14:paraId="56569911">
      <w:pPr>
        <w:rPr>
          <w:rFonts w:hint="eastAsia" w:ascii="仿宋" w:hAnsi="仿宋" w:eastAsia="仿宋" w:cs="仿宋"/>
          <w:color w:val="auto"/>
          <w:highlight w:val="none"/>
        </w:rPr>
      </w:pPr>
    </w:p>
    <w:p w14:paraId="00BCFE9E">
      <w:pPr>
        <w:rPr>
          <w:rFonts w:hint="eastAsia" w:ascii="仿宋" w:hAnsi="仿宋" w:eastAsia="仿宋" w:cs="仿宋"/>
          <w:color w:val="auto"/>
          <w:highlight w:val="none"/>
        </w:rPr>
      </w:pPr>
    </w:p>
    <w:p w14:paraId="46464176">
      <w:pPr>
        <w:rPr>
          <w:rFonts w:hint="eastAsia" w:ascii="仿宋" w:hAnsi="仿宋" w:eastAsia="仿宋" w:cs="仿宋"/>
          <w:color w:val="auto"/>
          <w:highlight w:val="none"/>
        </w:rPr>
      </w:pPr>
    </w:p>
    <w:p w14:paraId="4BDF99D8">
      <w:pPr>
        <w:rPr>
          <w:rFonts w:hint="eastAsia" w:ascii="仿宋" w:hAnsi="仿宋" w:eastAsia="仿宋" w:cs="仿宋"/>
          <w:color w:val="auto"/>
          <w:highlight w:val="none"/>
        </w:rPr>
      </w:pPr>
    </w:p>
    <w:p w14:paraId="7C3F474E">
      <w:pPr>
        <w:rPr>
          <w:rFonts w:hint="eastAsia" w:ascii="仿宋" w:hAnsi="仿宋" w:eastAsia="仿宋" w:cs="仿宋"/>
          <w:color w:val="auto"/>
          <w:highlight w:val="none"/>
        </w:rPr>
      </w:pPr>
    </w:p>
    <w:p w14:paraId="1378310A">
      <w:pPr>
        <w:rPr>
          <w:rFonts w:hint="eastAsia" w:ascii="仿宋" w:hAnsi="仿宋" w:eastAsia="仿宋" w:cs="仿宋"/>
          <w:color w:val="auto"/>
          <w:highlight w:val="none"/>
        </w:rPr>
      </w:pPr>
    </w:p>
    <w:p w14:paraId="2FD01201">
      <w:pPr>
        <w:pageBreakBefore/>
        <w:spacing w:line="50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报价一览表</w:t>
      </w:r>
    </w:p>
    <w:p w14:paraId="38B13AA9">
      <w:pPr>
        <w:pageBreakBefore w:val="0"/>
        <w:kinsoku/>
        <w:overflowPunct/>
        <w:topLinePunct w:val="0"/>
        <w:bidi w:val="0"/>
        <w:adjustRightInd w:val="0"/>
        <w:snapToGrid w:val="0"/>
        <w:spacing w:line="288" w:lineRule="auto"/>
        <w:textAlignment w:val="auto"/>
        <w:rPr>
          <w:rFonts w:hint="eastAsia" w:ascii="仿宋" w:hAnsi="仿宋" w:eastAsia="仿宋" w:cs="仿宋"/>
          <w:color w:val="auto"/>
          <w:sz w:val="24"/>
          <w:szCs w:val="24"/>
          <w:highlight w:val="none"/>
          <w:lang w:eastAsia="zh-CN"/>
        </w:rPr>
      </w:pPr>
    </w:p>
    <w:p w14:paraId="060FF362">
      <w:pPr>
        <w:keepNext w:val="0"/>
        <w:keepLines w:val="0"/>
        <w:pageBreakBefore w:val="0"/>
        <w:widowControl w:val="0"/>
        <w:kinsoku/>
        <w:wordWrap/>
        <w:overflowPunct/>
        <w:topLinePunct w:val="0"/>
        <w:autoSpaceDE/>
        <w:autoSpaceDN/>
        <w:bidi w:val="0"/>
        <w:adjustRightInd w:val="0"/>
        <w:snapToGrid w:val="0"/>
        <w:spacing w:line="288" w:lineRule="auto"/>
        <w:ind w:right="480"/>
        <w:jc w:val="center"/>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 xml:space="preserve">                                              货币单位：人民币元</w:t>
      </w:r>
    </w:p>
    <w:tbl>
      <w:tblPr>
        <w:tblStyle w:val="88"/>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3300"/>
        <w:gridCol w:w="862"/>
        <w:gridCol w:w="994"/>
        <w:gridCol w:w="2006"/>
        <w:gridCol w:w="1284"/>
      </w:tblGrid>
      <w:tr w14:paraId="19810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852" w:type="dxa"/>
            <w:noWrap w:val="0"/>
            <w:vAlign w:val="center"/>
          </w:tcPr>
          <w:p w14:paraId="052FAF4C">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序号</w:t>
            </w:r>
          </w:p>
        </w:tc>
        <w:tc>
          <w:tcPr>
            <w:tcW w:w="3300" w:type="dxa"/>
            <w:noWrap w:val="0"/>
            <w:vAlign w:val="center"/>
          </w:tcPr>
          <w:p w14:paraId="5BB12AA5">
            <w:pPr>
              <w:keepNext w:val="0"/>
              <w:keepLines w:val="0"/>
              <w:pageBreakBefore w:val="0"/>
              <w:widowControl w:val="0"/>
              <w:kinsoku/>
              <w:wordWrap/>
              <w:overflowPunct/>
              <w:topLinePunct w:val="0"/>
              <w:autoSpaceDE/>
              <w:autoSpaceDN/>
              <w:bidi w:val="0"/>
              <w:snapToGrid w:val="0"/>
              <w:spacing w:line="288" w:lineRule="auto"/>
              <w:ind w:firstLine="480" w:firstLineChars="200"/>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标项名称</w:t>
            </w:r>
          </w:p>
        </w:tc>
        <w:tc>
          <w:tcPr>
            <w:tcW w:w="862" w:type="dxa"/>
            <w:noWrap w:val="0"/>
            <w:vAlign w:val="center"/>
          </w:tcPr>
          <w:p w14:paraId="7E9A042F">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数量</w:t>
            </w:r>
          </w:p>
        </w:tc>
        <w:tc>
          <w:tcPr>
            <w:tcW w:w="994" w:type="dxa"/>
            <w:noWrap w:val="0"/>
            <w:vAlign w:val="center"/>
          </w:tcPr>
          <w:p w14:paraId="57F87BAF">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单位</w:t>
            </w:r>
          </w:p>
        </w:tc>
        <w:tc>
          <w:tcPr>
            <w:tcW w:w="2006" w:type="dxa"/>
            <w:noWrap w:val="0"/>
            <w:vAlign w:val="center"/>
          </w:tcPr>
          <w:p w14:paraId="3E051DFB">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lang w:eastAsia="zh-CN"/>
              </w:rPr>
            </w:pPr>
            <w:r>
              <w:rPr>
                <w:rFonts w:hint="eastAsia" w:ascii="仿宋" w:hAnsi="仿宋" w:eastAsia="仿宋" w:cs="仿宋"/>
                <w:color w:val="auto"/>
                <w:kern w:val="56"/>
                <w:sz w:val="24"/>
                <w:szCs w:val="24"/>
                <w:highlight w:val="none"/>
                <w:shd w:val="clear" w:color="auto" w:fill="FFFFFF"/>
                <w:lang w:eastAsia="zh-CN"/>
              </w:rPr>
              <w:t>服务期</w:t>
            </w:r>
          </w:p>
        </w:tc>
        <w:tc>
          <w:tcPr>
            <w:tcW w:w="1284" w:type="dxa"/>
            <w:noWrap w:val="0"/>
            <w:vAlign w:val="center"/>
          </w:tcPr>
          <w:p w14:paraId="4285C0F0">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lang w:eastAsia="zh-CN"/>
              </w:rPr>
            </w:pPr>
            <w:r>
              <w:rPr>
                <w:rFonts w:hint="eastAsia" w:ascii="仿宋" w:hAnsi="仿宋" w:eastAsia="仿宋" w:cs="仿宋"/>
                <w:color w:val="auto"/>
                <w:kern w:val="56"/>
                <w:sz w:val="24"/>
                <w:szCs w:val="24"/>
                <w:highlight w:val="none"/>
                <w:shd w:val="clear" w:color="auto" w:fill="FFFFFF"/>
                <w:lang w:eastAsia="zh-CN"/>
              </w:rPr>
              <w:t>备注</w:t>
            </w:r>
          </w:p>
        </w:tc>
      </w:tr>
      <w:tr w14:paraId="312B4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852" w:type="dxa"/>
            <w:noWrap w:val="0"/>
            <w:vAlign w:val="center"/>
          </w:tcPr>
          <w:p w14:paraId="3D42CCCB">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1</w:t>
            </w:r>
          </w:p>
        </w:tc>
        <w:tc>
          <w:tcPr>
            <w:tcW w:w="3300" w:type="dxa"/>
            <w:noWrap w:val="0"/>
            <w:vAlign w:val="center"/>
          </w:tcPr>
          <w:p w14:paraId="189028B3">
            <w:pPr>
              <w:keepNext w:val="0"/>
              <w:keepLines w:val="0"/>
              <w:pageBreakBefore w:val="0"/>
              <w:widowControl w:val="0"/>
              <w:kinsoku/>
              <w:wordWrap/>
              <w:overflowPunct/>
              <w:topLinePunct w:val="0"/>
              <w:autoSpaceDE/>
              <w:autoSpaceDN/>
              <w:bidi w:val="0"/>
              <w:snapToGrid w:val="0"/>
              <w:spacing w:line="288" w:lineRule="auto"/>
              <w:textAlignment w:val="auto"/>
              <w:rPr>
                <w:rFonts w:hint="eastAsia" w:ascii="仿宋" w:hAnsi="仿宋" w:eastAsia="仿宋" w:cs="仿宋"/>
                <w:color w:val="auto"/>
                <w:kern w:val="56"/>
                <w:sz w:val="24"/>
                <w:szCs w:val="24"/>
                <w:highlight w:val="none"/>
                <w:shd w:val="clear" w:color="auto" w:fill="FFFFFF"/>
                <w:lang w:eastAsia="zh-CN"/>
              </w:rPr>
            </w:pPr>
            <w:r>
              <w:rPr>
                <w:rFonts w:hint="eastAsia" w:ascii="仿宋" w:hAnsi="仿宋" w:eastAsia="仿宋" w:cs="仿宋"/>
                <w:color w:val="auto"/>
                <w:kern w:val="56"/>
                <w:sz w:val="24"/>
                <w:szCs w:val="24"/>
                <w:highlight w:val="none"/>
                <w:shd w:val="clear" w:color="auto" w:fill="FFFFFF"/>
                <w:lang w:eastAsia="zh-CN"/>
              </w:rPr>
              <w:t>2025年度衢州智慧新城地下综合管廊与隧道运维服务项目</w:t>
            </w:r>
          </w:p>
        </w:tc>
        <w:tc>
          <w:tcPr>
            <w:tcW w:w="862" w:type="dxa"/>
            <w:noWrap w:val="0"/>
            <w:vAlign w:val="center"/>
          </w:tcPr>
          <w:p w14:paraId="0B6AC8D6">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r>
              <w:rPr>
                <w:rFonts w:hint="eastAsia" w:ascii="仿宋" w:hAnsi="仿宋" w:eastAsia="仿宋" w:cs="仿宋"/>
                <w:color w:val="auto"/>
                <w:kern w:val="56"/>
                <w:sz w:val="24"/>
                <w:szCs w:val="24"/>
                <w:highlight w:val="none"/>
                <w:shd w:val="clear" w:color="auto" w:fill="FFFFFF"/>
              </w:rPr>
              <w:t>1</w:t>
            </w:r>
          </w:p>
        </w:tc>
        <w:tc>
          <w:tcPr>
            <w:tcW w:w="994" w:type="dxa"/>
            <w:noWrap w:val="0"/>
            <w:vAlign w:val="center"/>
          </w:tcPr>
          <w:p w14:paraId="4F915E99">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lang w:eastAsia="zh-CN"/>
              </w:rPr>
            </w:pPr>
            <w:r>
              <w:rPr>
                <w:rFonts w:hint="eastAsia" w:ascii="仿宋" w:hAnsi="仿宋" w:eastAsia="仿宋" w:cs="仿宋"/>
                <w:color w:val="auto"/>
                <w:kern w:val="56"/>
                <w:sz w:val="24"/>
                <w:szCs w:val="24"/>
                <w:highlight w:val="none"/>
                <w:shd w:val="clear" w:color="auto" w:fill="FFFFFF"/>
                <w:lang w:val="en-US" w:eastAsia="zh-CN"/>
              </w:rPr>
              <w:t>项</w:t>
            </w:r>
          </w:p>
        </w:tc>
        <w:tc>
          <w:tcPr>
            <w:tcW w:w="2006" w:type="dxa"/>
            <w:noWrap w:val="0"/>
            <w:vAlign w:val="center"/>
          </w:tcPr>
          <w:p w14:paraId="7086F659">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lang w:val="en-US" w:eastAsia="zh-CN"/>
              </w:rPr>
            </w:pPr>
            <w:r>
              <w:rPr>
                <w:rFonts w:hint="eastAsia" w:ascii="仿宋" w:hAnsi="仿宋" w:eastAsia="仿宋" w:cs="仿宋"/>
                <w:color w:val="auto"/>
                <w:kern w:val="56"/>
                <w:sz w:val="24"/>
                <w:szCs w:val="24"/>
                <w:highlight w:val="none"/>
                <w:shd w:val="clear" w:color="auto" w:fill="FFFFFF"/>
                <w:lang w:val="en-US" w:eastAsia="zh-CN"/>
              </w:rPr>
              <w:t>一年（365天）</w:t>
            </w:r>
          </w:p>
        </w:tc>
        <w:tc>
          <w:tcPr>
            <w:tcW w:w="1284" w:type="dxa"/>
            <w:noWrap w:val="0"/>
            <w:vAlign w:val="center"/>
          </w:tcPr>
          <w:p w14:paraId="071D684E">
            <w:pPr>
              <w:keepNext w:val="0"/>
              <w:keepLines w:val="0"/>
              <w:pageBreakBefore w:val="0"/>
              <w:widowControl w:val="0"/>
              <w:kinsoku/>
              <w:wordWrap/>
              <w:overflowPunct/>
              <w:topLinePunct w:val="0"/>
              <w:autoSpaceDE/>
              <w:autoSpaceDN/>
              <w:bidi w:val="0"/>
              <w:snapToGrid w:val="0"/>
              <w:spacing w:line="288" w:lineRule="auto"/>
              <w:jc w:val="center"/>
              <w:textAlignment w:val="auto"/>
              <w:rPr>
                <w:rFonts w:hint="eastAsia" w:ascii="仿宋" w:hAnsi="仿宋" w:eastAsia="仿宋" w:cs="仿宋"/>
                <w:color w:val="auto"/>
                <w:kern w:val="56"/>
                <w:sz w:val="24"/>
                <w:szCs w:val="24"/>
                <w:highlight w:val="none"/>
                <w:shd w:val="clear" w:color="auto" w:fill="FFFFFF"/>
              </w:rPr>
            </w:pPr>
          </w:p>
        </w:tc>
      </w:tr>
      <w:tr w14:paraId="0907A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4152" w:type="dxa"/>
            <w:gridSpan w:val="2"/>
            <w:noWrap w:val="0"/>
            <w:vAlign w:val="center"/>
          </w:tcPr>
          <w:p w14:paraId="2CB97A73">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sz w:val="24"/>
                <w:szCs w:val="24"/>
                <w:highlight w:val="none"/>
                <w:lang w:val="en-GB"/>
              </w:rPr>
              <w:t>投标</w:t>
            </w:r>
            <w:r>
              <w:rPr>
                <w:rFonts w:hint="eastAsia" w:ascii="仿宋" w:hAnsi="仿宋" w:eastAsia="仿宋" w:cs="仿宋"/>
                <w:b/>
                <w:color w:val="auto"/>
                <w:sz w:val="24"/>
                <w:szCs w:val="24"/>
                <w:highlight w:val="none"/>
                <w:lang w:val="en-GB" w:eastAsia="zh-CN"/>
              </w:rPr>
              <w:t>总</w:t>
            </w:r>
            <w:r>
              <w:rPr>
                <w:rFonts w:hint="eastAsia" w:ascii="仿宋" w:hAnsi="仿宋" w:eastAsia="仿宋" w:cs="仿宋"/>
                <w:b/>
                <w:color w:val="auto"/>
                <w:sz w:val="24"/>
                <w:szCs w:val="24"/>
                <w:highlight w:val="none"/>
                <w:lang w:val="en-GB"/>
              </w:rPr>
              <w:t>价</w:t>
            </w:r>
          </w:p>
        </w:tc>
        <w:tc>
          <w:tcPr>
            <w:tcW w:w="5146" w:type="dxa"/>
            <w:gridSpan w:val="4"/>
            <w:noWrap w:val="0"/>
            <w:vAlign w:val="center"/>
          </w:tcPr>
          <w:p w14:paraId="20C588E9">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w:t>
            </w:r>
          </w:p>
          <w:p w14:paraId="1B301ED4">
            <w:pPr>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（大写）：</w:t>
            </w:r>
          </w:p>
        </w:tc>
      </w:tr>
      <w:tr w14:paraId="5F066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298" w:type="dxa"/>
            <w:gridSpan w:val="6"/>
            <w:noWrap w:val="0"/>
            <w:vAlign w:val="center"/>
          </w:tcPr>
          <w:p w14:paraId="735AFB23">
            <w:pPr>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 w:hAnsi="仿宋" w:eastAsia="仿宋" w:cs="仿宋"/>
                <w:b/>
                <w:bCs/>
                <w:color w:val="auto"/>
                <w:kern w:val="56"/>
                <w:sz w:val="24"/>
                <w:szCs w:val="24"/>
                <w:highlight w:val="none"/>
                <w:shd w:val="clear" w:color="auto" w:fill="FFFFFF"/>
              </w:rPr>
            </w:pPr>
            <w:r>
              <w:rPr>
                <w:rFonts w:hint="eastAsia" w:ascii="仿宋" w:hAnsi="仿宋" w:eastAsia="仿宋" w:cs="仿宋"/>
                <w:b/>
                <w:bCs/>
                <w:color w:val="auto"/>
                <w:kern w:val="56"/>
                <w:sz w:val="24"/>
                <w:szCs w:val="24"/>
                <w:highlight w:val="none"/>
                <w:shd w:val="clear" w:color="auto" w:fill="FFFFFF"/>
              </w:rPr>
              <w:t>填写说明：大写金额与小写金额不一致时，以大写金额为准。</w:t>
            </w:r>
          </w:p>
          <w:p w14:paraId="153891D4">
            <w:pPr>
              <w:pStyle w:val="61"/>
              <w:keepNext w:val="0"/>
              <w:keepLines w:val="0"/>
              <w:pageBreakBefore w:val="0"/>
              <w:widowControl w:val="0"/>
              <w:kinsoku/>
              <w:wordWrap/>
              <w:overflowPunct/>
              <w:topLinePunct w:val="0"/>
              <w:autoSpaceDE/>
              <w:autoSpaceDN/>
              <w:bidi w:val="0"/>
              <w:spacing w:line="288" w:lineRule="auto"/>
              <w:textAlignment w:val="auto"/>
              <w:rPr>
                <w:rFonts w:hint="eastAsia" w:ascii="仿宋" w:hAnsi="仿宋" w:eastAsia="仿宋" w:cs="仿宋"/>
                <w:color w:val="auto"/>
                <w:sz w:val="24"/>
                <w:szCs w:val="24"/>
                <w:highlight w:val="none"/>
              </w:rPr>
            </w:pPr>
            <w:r>
              <w:rPr>
                <w:rFonts w:hint="eastAsia" w:ascii="仿宋" w:hAnsi="仿宋" w:eastAsia="仿宋" w:cs="仿宋"/>
                <w:b/>
                <w:bCs/>
                <w:caps w:val="0"/>
                <w:color w:val="auto"/>
                <w:kern w:val="56"/>
                <w:sz w:val="24"/>
                <w:szCs w:val="24"/>
                <w:highlight w:val="none"/>
                <w:shd w:val="clear" w:color="auto" w:fill="FFFFFF"/>
                <w:lang w:val="en-US" w:eastAsia="zh-CN" w:bidi="ar-SA"/>
              </w:rPr>
              <w:t>本报价已包含招标文件“第二部分投标须知三、投标文件的编制13.投标报价”要求的全部内容。</w:t>
            </w:r>
          </w:p>
        </w:tc>
      </w:tr>
    </w:tbl>
    <w:p w14:paraId="57739577">
      <w:pPr>
        <w:keepNext w:val="0"/>
        <w:keepLines w:val="0"/>
        <w:pageBreakBefore w:val="0"/>
        <w:widowControl w:val="0"/>
        <w:kinsoku/>
        <w:wordWrap/>
        <w:topLinePunct w:val="0"/>
        <w:autoSpaceDE/>
        <w:autoSpaceDN/>
        <w:bidi w:val="0"/>
        <w:adjustRightInd/>
        <w:snapToGrid/>
        <w:spacing w:line="400" w:lineRule="exact"/>
        <w:ind w:left="534" w:leftChars="103" w:hanging="246" w:hangingChars="102"/>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说明：</w:t>
      </w:r>
    </w:p>
    <w:p w14:paraId="07DB381C">
      <w:pPr>
        <w:keepNext w:val="0"/>
        <w:keepLines w:val="0"/>
        <w:pageBreakBefore w:val="0"/>
        <w:widowControl w:val="0"/>
        <w:kinsoku/>
        <w:wordWrap/>
        <w:overflowPunct w:val="0"/>
        <w:topLinePunct w:val="0"/>
        <w:autoSpaceDE/>
        <w:autoSpaceDN/>
        <w:bidi w:val="0"/>
        <w:adjustRightInd/>
        <w:snapToGrid/>
        <w:spacing w:line="40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1.投标报价以元为单位，保留整数。</w:t>
      </w:r>
    </w:p>
    <w:p w14:paraId="5C1457D8">
      <w:pPr>
        <w:pStyle w:val="2"/>
        <w:keepNext w:val="0"/>
        <w:keepLines w:val="0"/>
        <w:pageBreakBefore w:val="0"/>
        <w:widowControl w:val="0"/>
        <w:kinsoku/>
        <w:wordWrap/>
        <w:topLinePunct w:val="0"/>
        <w:autoSpaceDE/>
        <w:autoSpaceDN/>
        <w:bidi w:val="0"/>
        <w:adjustRightInd/>
        <w:snapToGrid/>
        <w:spacing w:after="0" w:line="400" w:lineRule="exact"/>
        <w:ind w:left="0" w:leftChars="0" w:right="66" w:rightChars="0"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2.供应商投标报价是履行合同的最终报价，包含本项目招标内容及要求及合同约定所有运维服务所需的全部人工费、服装及工具配备、</w:t>
      </w:r>
      <w:r>
        <w:rPr>
          <w:rFonts w:hint="eastAsia" w:ascii="仿宋" w:hAnsi="仿宋" w:eastAsia="仿宋" w:cs="仿宋"/>
          <w:bCs/>
          <w:color w:val="auto"/>
          <w:sz w:val="24"/>
          <w:szCs w:val="24"/>
          <w:highlight w:val="none"/>
          <w:lang w:eastAsia="zh-CN"/>
        </w:rPr>
        <w:t>材料费、机械设备使用费、常规设备维修费</w:t>
      </w:r>
      <w:r>
        <w:rPr>
          <w:rFonts w:hint="eastAsia" w:ascii="仿宋" w:hAnsi="仿宋" w:eastAsia="仿宋" w:cs="仿宋"/>
          <w:bCs/>
          <w:color w:val="auto"/>
          <w:sz w:val="24"/>
          <w:szCs w:val="24"/>
          <w:highlight w:val="none"/>
        </w:rPr>
        <w:t>、检测与监测费、安全生产费用、保险费用、应急响应及演练、管理经费、</w:t>
      </w:r>
      <w:r>
        <w:rPr>
          <w:rFonts w:hint="eastAsia" w:ascii="仿宋" w:hAnsi="仿宋" w:eastAsia="仿宋" w:cs="仿宋"/>
          <w:bCs/>
          <w:color w:val="auto"/>
          <w:sz w:val="24"/>
          <w:szCs w:val="24"/>
          <w:highlight w:val="none"/>
          <w:lang w:eastAsia="zh-CN"/>
        </w:rPr>
        <w:t>无线电频率占用费</w:t>
      </w:r>
      <w:r>
        <w:rPr>
          <w:rFonts w:hint="eastAsia" w:ascii="仿宋" w:hAnsi="仿宋" w:eastAsia="仿宋" w:cs="仿宋"/>
          <w:bCs/>
          <w:color w:val="auto"/>
          <w:sz w:val="24"/>
          <w:szCs w:val="24"/>
          <w:highlight w:val="none"/>
        </w:rPr>
        <w:t>、税费、规费、利润等完成本项目的所有费用。在合同服务期间内不得违反国家相关政策规定。</w:t>
      </w:r>
    </w:p>
    <w:p w14:paraId="4566F79F">
      <w:pPr>
        <w:pStyle w:val="2"/>
        <w:keepNext w:val="0"/>
        <w:keepLines w:val="0"/>
        <w:pageBreakBefore w:val="0"/>
        <w:widowControl w:val="0"/>
        <w:kinsoku/>
        <w:wordWrap/>
        <w:topLinePunct w:val="0"/>
        <w:autoSpaceDE/>
        <w:autoSpaceDN/>
        <w:bidi w:val="0"/>
        <w:adjustRightInd/>
        <w:snapToGrid/>
        <w:spacing w:after="0" w:line="400" w:lineRule="exact"/>
        <w:ind w:left="0" w:leftChars="0" w:right="66" w:rightChars="0"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项目采用固定总价方式结算，有关本项目实施所涉及的一切费用均计入报价，今后不得以任何理由追加或调整。（说明：如发生不可抗力及突发性事件，中标供应商要无条件听从采购人指挥，配合采购人。费用已包括在投标报价内，采购人不再另行支付其他费用。）</w:t>
      </w:r>
    </w:p>
    <w:p w14:paraId="36F5A784">
      <w:pPr>
        <w:keepNext w:val="0"/>
        <w:keepLines w:val="0"/>
        <w:pageBreakBefore w:val="0"/>
        <w:widowControl w:val="0"/>
        <w:numPr>
          <w:ilvl w:val="0"/>
          <w:numId w:val="1"/>
        </w:numPr>
        <w:kinsoku/>
        <w:wordWrap/>
        <w:topLinePunct w:val="0"/>
        <w:autoSpaceDE/>
        <w:autoSpaceDN/>
        <w:bidi w:val="0"/>
        <w:adjustRightInd/>
        <w:snapToGrid/>
        <w:spacing w:line="400" w:lineRule="exact"/>
        <w:ind w:left="0" w:leftChars="0" w:firstLine="482" w:firstLineChars="0"/>
        <w:jc w:val="left"/>
        <w:textAlignment w:val="auto"/>
        <w:rPr>
          <w:rFonts w:hint="eastAsia" w:ascii="仿宋" w:hAnsi="仿宋" w:eastAsia="仿宋" w:cs="仿宋"/>
          <w:b/>
          <w:color w:val="auto"/>
          <w:sz w:val="24"/>
          <w:szCs w:val="24"/>
          <w:highlight w:val="none"/>
          <w:u w:val="single"/>
        </w:rPr>
      </w:pPr>
      <w:r>
        <w:rPr>
          <w:rFonts w:hint="eastAsia" w:ascii="仿宋" w:hAnsi="仿宋" w:eastAsia="仿宋" w:cs="仿宋"/>
          <w:b/>
          <w:color w:val="auto"/>
          <w:sz w:val="24"/>
          <w:szCs w:val="24"/>
          <w:highlight w:val="none"/>
          <w:u w:val="single"/>
        </w:rPr>
        <w:t>▲不提供报价一览表的投标文件将被视为未实质性响应投标文件。</w:t>
      </w:r>
    </w:p>
    <w:p w14:paraId="0C30F7DD">
      <w:pPr>
        <w:keepNext w:val="0"/>
        <w:keepLines w:val="0"/>
        <w:pageBreakBefore w:val="0"/>
        <w:widowControl w:val="0"/>
        <w:numPr>
          <w:ilvl w:val="0"/>
          <w:numId w:val="1"/>
        </w:numPr>
        <w:kinsoku/>
        <w:wordWrap/>
        <w:topLinePunct w:val="0"/>
        <w:autoSpaceDE/>
        <w:autoSpaceDN/>
        <w:bidi w:val="0"/>
        <w:adjustRightInd/>
        <w:snapToGrid/>
        <w:spacing w:line="400" w:lineRule="exact"/>
        <w:ind w:left="0" w:leftChars="0" w:firstLine="482" w:firstLineChars="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采购人将以合同形式有偿取得货物或服务，不接受供应商给予的赠品、回扣或者与采购无关的其他商品、服务，不得出现“0元”“免费赠送”等形式的无偿报价，否则视为投标文件含有采购人不能接受的附加条件，投标无效。</w:t>
      </w:r>
    </w:p>
    <w:p w14:paraId="5425F745">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p>
    <w:p w14:paraId="7E5BA30B">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供应商全称（盖章或电子签章）：</w:t>
      </w:r>
    </w:p>
    <w:p w14:paraId="472E9A23">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法定代表人或其授权代表（签字或盖章或电子签章）：</w:t>
      </w:r>
    </w:p>
    <w:p w14:paraId="14521A0F">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p w14:paraId="411BF331">
      <w:pPr>
        <w:keepNext w:val="0"/>
        <w:keepLines w:val="0"/>
        <w:pageBreakBefore w:val="0"/>
        <w:widowControl w:val="0"/>
        <w:kinsoku/>
        <w:wordWrap/>
        <w:topLinePunct w:val="0"/>
        <w:autoSpaceDE/>
        <w:autoSpaceDN/>
        <w:bidi w:val="0"/>
        <w:adjustRightInd/>
        <w:snapToGrid/>
        <w:spacing w:line="400" w:lineRule="exact"/>
        <w:ind w:left="20" w:leftChars="7" w:firstLine="482" w:firstLineChars="200"/>
        <w:jc w:val="left"/>
        <w:textAlignment w:val="auto"/>
        <w:rPr>
          <w:rFonts w:hint="eastAsia" w:ascii="仿宋" w:hAnsi="仿宋" w:eastAsia="仿宋" w:cs="仿宋"/>
          <w:b/>
          <w:bCs/>
          <w:color w:val="auto"/>
          <w:kern w:val="0"/>
          <w:sz w:val="24"/>
          <w:szCs w:val="24"/>
          <w:highlight w:val="none"/>
        </w:rPr>
      </w:pPr>
    </w:p>
    <w:p w14:paraId="15AC7D5E">
      <w:pPr>
        <w:keepNext w:val="0"/>
        <w:keepLines w:val="0"/>
        <w:pageBreakBefore w:val="0"/>
        <w:widowControl w:val="0"/>
        <w:kinsoku/>
        <w:wordWrap/>
        <w:topLinePunct w:val="0"/>
        <w:autoSpaceDE/>
        <w:autoSpaceDN/>
        <w:bidi w:val="0"/>
        <w:adjustRightInd/>
        <w:snapToGrid/>
        <w:spacing w:line="400" w:lineRule="exact"/>
        <w:ind w:left="20" w:leftChars="7" w:firstLine="482" w:firstLineChars="200"/>
        <w:jc w:val="left"/>
        <w:textAlignment w:val="auto"/>
        <w:rPr>
          <w:rFonts w:hint="eastAsia" w:ascii="仿宋" w:hAnsi="仿宋" w:eastAsia="仿宋" w:cs="仿宋"/>
          <w:b/>
          <w:bCs/>
          <w:color w:val="auto"/>
          <w:kern w:val="0"/>
          <w:sz w:val="24"/>
          <w:szCs w:val="24"/>
          <w:highlight w:val="none"/>
        </w:rPr>
      </w:pPr>
    </w:p>
    <w:p w14:paraId="2F2D5619">
      <w:pPr>
        <w:keepNext w:val="0"/>
        <w:keepLines w:val="0"/>
        <w:pageBreakBefore w:val="0"/>
        <w:widowControl w:val="0"/>
        <w:kinsoku/>
        <w:wordWrap/>
        <w:topLinePunct w:val="0"/>
        <w:autoSpaceDE/>
        <w:autoSpaceDN/>
        <w:bidi w:val="0"/>
        <w:adjustRightInd/>
        <w:snapToGrid/>
        <w:spacing w:line="400" w:lineRule="exact"/>
        <w:ind w:left="20" w:leftChars="7" w:firstLine="562" w:firstLineChars="200"/>
        <w:jc w:val="center"/>
        <w:textAlignment w:val="auto"/>
        <w:rPr>
          <w:rFonts w:hint="eastAsia" w:ascii="仿宋" w:hAnsi="仿宋" w:eastAsia="仿宋" w:cs="仿宋"/>
          <w:b/>
          <w:bCs/>
          <w:color w:val="auto"/>
          <w:sz w:val="28"/>
          <w:szCs w:val="28"/>
          <w:highlight w:val="none"/>
        </w:rPr>
      </w:pPr>
    </w:p>
    <w:p w14:paraId="345FB36D">
      <w:pPr>
        <w:keepNext w:val="0"/>
        <w:keepLines w:val="0"/>
        <w:pageBreakBefore w:val="0"/>
        <w:widowControl w:val="0"/>
        <w:kinsoku/>
        <w:wordWrap/>
        <w:topLinePunct w:val="0"/>
        <w:autoSpaceDE/>
        <w:autoSpaceDN/>
        <w:bidi w:val="0"/>
        <w:adjustRightInd/>
        <w:snapToGrid/>
        <w:spacing w:line="400" w:lineRule="exact"/>
        <w:ind w:left="20" w:leftChars="7" w:firstLine="562" w:firstLineChars="20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8"/>
          <w:szCs w:val="28"/>
          <w:highlight w:val="none"/>
        </w:rPr>
        <w:t>报价</w:t>
      </w:r>
      <w:r>
        <w:rPr>
          <w:rFonts w:hint="eastAsia" w:ascii="仿宋" w:hAnsi="仿宋" w:eastAsia="仿宋" w:cs="仿宋"/>
          <w:b/>
          <w:bCs/>
          <w:color w:val="auto"/>
          <w:sz w:val="28"/>
          <w:szCs w:val="28"/>
          <w:highlight w:val="none"/>
          <w:lang w:val="en-US" w:eastAsia="zh-CN"/>
        </w:rPr>
        <w:t>明细</w:t>
      </w:r>
      <w:r>
        <w:rPr>
          <w:rFonts w:hint="eastAsia" w:ascii="仿宋" w:hAnsi="仿宋" w:eastAsia="仿宋" w:cs="仿宋"/>
          <w:b/>
          <w:bCs/>
          <w:color w:val="auto"/>
          <w:sz w:val="28"/>
          <w:szCs w:val="28"/>
          <w:highlight w:val="none"/>
        </w:rPr>
        <w:t>表</w:t>
      </w:r>
    </w:p>
    <w:p w14:paraId="35F0F184">
      <w:pPr>
        <w:keepNext w:val="0"/>
        <w:keepLines w:val="0"/>
        <w:pageBreakBefore w:val="0"/>
        <w:widowControl w:val="0"/>
        <w:kinsoku/>
        <w:wordWrap/>
        <w:overflowPunct/>
        <w:topLinePunct w:val="0"/>
        <w:autoSpaceDE/>
        <w:autoSpaceDN/>
        <w:bidi w:val="0"/>
        <w:adjustRightInd w:val="0"/>
        <w:snapToGrid w:val="0"/>
        <w:spacing w:line="288" w:lineRule="auto"/>
        <w:ind w:right="480"/>
        <w:jc w:val="center"/>
        <w:textAlignment w:val="auto"/>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 xml:space="preserve">                                              货币单位：人民币元</w:t>
      </w:r>
    </w:p>
    <w:tbl>
      <w:tblPr>
        <w:tblStyle w:val="88"/>
        <w:tblW w:w="94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3288"/>
        <w:gridCol w:w="5"/>
        <w:gridCol w:w="1536"/>
        <w:gridCol w:w="4"/>
        <w:gridCol w:w="1255"/>
        <w:gridCol w:w="20"/>
        <w:gridCol w:w="1117"/>
        <w:gridCol w:w="53"/>
        <w:gridCol w:w="1455"/>
      </w:tblGrid>
      <w:tr w14:paraId="2996A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5" w:hRule="atLeast"/>
          <w:jc w:val="center"/>
        </w:trPr>
        <w:tc>
          <w:tcPr>
            <w:tcW w:w="733" w:type="dxa"/>
            <w:tcBorders>
              <w:top w:val="single" w:color="auto" w:sz="4" w:space="0"/>
              <w:left w:val="single" w:color="auto" w:sz="4" w:space="0"/>
              <w:bottom w:val="single" w:color="auto" w:sz="4" w:space="0"/>
              <w:right w:val="single" w:color="auto" w:sz="4" w:space="0"/>
            </w:tcBorders>
            <w:noWrap w:val="0"/>
            <w:vAlign w:val="center"/>
          </w:tcPr>
          <w:p w14:paraId="3BE34DB5">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3288" w:type="dxa"/>
            <w:tcBorders>
              <w:top w:val="single" w:color="auto" w:sz="4" w:space="0"/>
              <w:left w:val="nil"/>
              <w:bottom w:val="single" w:color="auto" w:sz="4" w:space="0"/>
              <w:right w:val="single" w:color="auto" w:sz="4" w:space="0"/>
            </w:tcBorders>
            <w:noWrap w:val="0"/>
            <w:vAlign w:val="center"/>
          </w:tcPr>
          <w:p w14:paraId="041AB0B4">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采购内容</w:t>
            </w:r>
          </w:p>
        </w:tc>
        <w:tc>
          <w:tcPr>
            <w:tcW w:w="1541" w:type="dxa"/>
            <w:gridSpan w:val="2"/>
            <w:tcBorders>
              <w:top w:val="single" w:color="auto" w:sz="4" w:space="0"/>
              <w:left w:val="nil"/>
              <w:bottom w:val="single" w:color="auto" w:sz="4" w:space="0"/>
              <w:right w:val="single" w:color="auto" w:sz="4" w:space="0"/>
            </w:tcBorders>
            <w:noWrap w:val="0"/>
            <w:vAlign w:val="center"/>
          </w:tcPr>
          <w:p w14:paraId="11912ABD">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单价     （元/</w:t>
            </w:r>
            <w:r>
              <w:rPr>
                <w:rFonts w:hint="eastAsia" w:ascii="仿宋" w:hAnsi="仿宋" w:eastAsia="仿宋" w:cs="仿宋"/>
                <w:b/>
                <w:bCs/>
                <w:color w:val="auto"/>
                <w:sz w:val="24"/>
                <w:szCs w:val="24"/>
                <w:highlight w:val="none"/>
                <w:lang w:eastAsia="zh-CN"/>
              </w:rPr>
              <w:t>月</w:t>
            </w:r>
            <w:r>
              <w:rPr>
                <w:rFonts w:hint="eastAsia" w:ascii="仿宋" w:hAnsi="仿宋" w:eastAsia="仿宋" w:cs="仿宋"/>
                <w:b/>
                <w:bCs/>
                <w:color w:val="auto"/>
                <w:sz w:val="24"/>
                <w:szCs w:val="24"/>
                <w:highlight w:val="none"/>
              </w:rPr>
              <w:t>）</w:t>
            </w:r>
          </w:p>
        </w:tc>
        <w:tc>
          <w:tcPr>
            <w:tcW w:w="1259" w:type="dxa"/>
            <w:gridSpan w:val="2"/>
            <w:tcBorders>
              <w:top w:val="single" w:color="auto" w:sz="4" w:space="0"/>
              <w:left w:val="nil"/>
              <w:bottom w:val="single" w:color="auto" w:sz="4" w:space="0"/>
              <w:right w:val="single" w:color="auto" w:sz="4" w:space="0"/>
            </w:tcBorders>
            <w:noWrap w:val="0"/>
            <w:vAlign w:val="center"/>
          </w:tcPr>
          <w:p w14:paraId="087B2B31">
            <w:pPr>
              <w:widowControl/>
              <w:jc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sz w:val="24"/>
                <w:szCs w:val="24"/>
                <w:highlight w:val="none"/>
              </w:rPr>
              <w:t>服务期限</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个</w:t>
            </w:r>
            <w:r>
              <w:rPr>
                <w:rFonts w:hint="eastAsia" w:ascii="仿宋" w:hAnsi="仿宋" w:eastAsia="仿宋" w:cs="仿宋"/>
                <w:b/>
                <w:bCs/>
                <w:color w:val="auto"/>
                <w:sz w:val="24"/>
                <w:szCs w:val="24"/>
                <w:highlight w:val="none"/>
                <w:lang w:eastAsia="zh-CN"/>
              </w:rPr>
              <w:t>月）</w:t>
            </w:r>
          </w:p>
        </w:tc>
        <w:tc>
          <w:tcPr>
            <w:tcW w:w="1137" w:type="dxa"/>
            <w:gridSpan w:val="2"/>
            <w:tcBorders>
              <w:top w:val="single" w:color="auto" w:sz="4" w:space="0"/>
              <w:left w:val="nil"/>
              <w:bottom w:val="single" w:color="auto" w:sz="4" w:space="0"/>
              <w:right w:val="single" w:color="auto" w:sz="4" w:space="0"/>
            </w:tcBorders>
            <w:noWrap w:val="0"/>
            <w:vAlign w:val="center"/>
          </w:tcPr>
          <w:p w14:paraId="5C825DF3">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合价</w:t>
            </w:r>
            <w:r>
              <w:rPr>
                <w:rFonts w:hint="eastAsia" w:ascii="仿宋" w:hAnsi="仿宋" w:eastAsia="仿宋" w:cs="仿宋"/>
                <w:b/>
                <w:bCs/>
                <w:color w:val="auto"/>
                <w:kern w:val="0"/>
                <w:sz w:val="24"/>
                <w:szCs w:val="24"/>
                <w:highlight w:val="none"/>
              </w:rPr>
              <w:t>（元）</w:t>
            </w:r>
          </w:p>
        </w:tc>
        <w:tc>
          <w:tcPr>
            <w:tcW w:w="1508" w:type="dxa"/>
            <w:gridSpan w:val="2"/>
            <w:tcBorders>
              <w:top w:val="single" w:color="auto" w:sz="4" w:space="0"/>
              <w:left w:val="nil"/>
              <w:bottom w:val="single" w:color="auto" w:sz="4" w:space="0"/>
              <w:right w:val="single" w:color="auto" w:sz="4" w:space="0"/>
            </w:tcBorders>
            <w:noWrap w:val="0"/>
            <w:vAlign w:val="center"/>
          </w:tcPr>
          <w:p w14:paraId="08B558B9">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0C307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9466" w:type="dxa"/>
            <w:gridSpan w:val="10"/>
            <w:tcBorders>
              <w:top w:val="nil"/>
              <w:left w:val="single" w:color="auto" w:sz="4" w:space="0"/>
              <w:bottom w:val="single" w:color="auto" w:sz="4" w:space="0"/>
              <w:right w:val="single" w:color="auto" w:sz="4" w:space="0"/>
            </w:tcBorders>
            <w:noWrap w:val="0"/>
            <w:vAlign w:val="center"/>
          </w:tcPr>
          <w:p w14:paraId="73D308E1">
            <w:pPr>
              <w:widowControl/>
              <w:jc w:val="both"/>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2025年度衢州智慧新城地下综合管廊运维服务</w:t>
            </w:r>
          </w:p>
        </w:tc>
      </w:tr>
      <w:tr w14:paraId="0ABBA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noWrap w:val="0"/>
            <w:vAlign w:val="center"/>
          </w:tcPr>
          <w:p w14:paraId="6830831E">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3288" w:type="dxa"/>
            <w:tcBorders>
              <w:top w:val="nil"/>
              <w:left w:val="nil"/>
              <w:bottom w:val="single" w:color="auto" w:sz="4" w:space="0"/>
              <w:right w:val="single" w:color="auto" w:sz="4" w:space="0"/>
            </w:tcBorders>
            <w:noWrap w:val="0"/>
            <w:vAlign w:val="center"/>
          </w:tcPr>
          <w:p w14:paraId="01CBF9A8">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闽江大道综合管廊</w:t>
            </w:r>
          </w:p>
        </w:tc>
        <w:tc>
          <w:tcPr>
            <w:tcW w:w="1541" w:type="dxa"/>
            <w:gridSpan w:val="2"/>
            <w:vMerge w:val="restart"/>
            <w:tcBorders>
              <w:top w:val="nil"/>
              <w:left w:val="nil"/>
              <w:right w:val="single" w:color="auto" w:sz="4" w:space="0"/>
            </w:tcBorders>
            <w:noWrap w:val="0"/>
            <w:vAlign w:val="center"/>
          </w:tcPr>
          <w:p w14:paraId="11F33FA9">
            <w:pPr>
              <w:widowControl/>
              <w:jc w:val="center"/>
              <w:rPr>
                <w:rFonts w:hint="eastAsia" w:ascii="仿宋" w:hAnsi="仿宋" w:eastAsia="仿宋" w:cs="仿宋"/>
                <w:color w:val="auto"/>
                <w:kern w:val="0"/>
                <w:sz w:val="24"/>
                <w:szCs w:val="24"/>
                <w:highlight w:val="none"/>
              </w:rPr>
            </w:pPr>
          </w:p>
        </w:tc>
        <w:tc>
          <w:tcPr>
            <w:tcW w:w="1259" w:type="dxa"/>
            <w:gridSpan w:val="2"/>
            <w:tcBorders>
              <w:top w:val="nil"/>
              <w:left w:val="nil"/>
              <w:right w:val="single" w:color="auto" w:sz="4" w:space="0"/>
            </w:tcBorders>
            <w:noWrap w:val="0"/>
            <w:vAlign w:val="center"/>
          </w:tcPr>
          <w:p w14:paraId="7348C43F">
            <w:pPr>
              <w:keepNext w:val="0"/>
              <w:keepLines w:val="0"/>
              <w:widowControl/>
              <w:suppressLineNumbers w:val="0"/>
              <w:jc w:val="center"/>
              <w:textAlignment w:val="center"/>
              <w:rPr>
                <w:rFonts w:hint="default" w:ascii="仿宋" w:hAnsi="仿宋" w:eastAsia="仿宋" w:cs="仿宋"/>
                <w:color w:val="auto"/>
                <w:kern w:val="0"/>
                <w:sz w:val="24"/>
                <w:szCs w:val="24"/>
                <w:highlight w:val="none"/>
                <w:lang w:val="en-US"/>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restart"/>
            <w:tcBorders>
              <w:top w:val="nil"/>
              <w:left w:val="nil"/>
              <w:right w:val="single" w:color="auto" w:sz="4" w:space="0"/>
            </w:tcBorders>
            <w:noWrap w:val="0"/>
            <w:vAlign w:val="center"/>
          </w:tcPr>
          <w:p w14:paraId="3E19B827">
            <w:pPr>
              <w:widowControl/>
              <w:jc w:val="center"/>
              <w:rPr>
                <w:rFonts w:hint="eastAsia" w:ascii="仿宋" w:hAnsi="仿宋" w:eastAsia="仿宋" w:cs="仿宋"/>
                <w:color w:val="auto"/>
                <w:kern w:val="0"/>
                <w:sz w:val="24"/>
                <w:szCs w:val="24"/>
                <w:highlight w:val="none"/>
              </w:rPr>
            </w:pPr>
          </w:p>
        </w:tc>
        <w:tc>
          <w:tcPr>
            <w:tcW w:w="1508" w:type="dxa"/>
            <w:gridSpan w:val="2"/>
            <w:vMerge w:val="restart"/>
            <w:tcBorders>
              <w:top w:val="nil"/>
              <w:left w:val="nil"/>
              <w:right w:val="single" w:color="auto" w:sz="4" w:space="0"/>
            </w:tcBorders>
            <w:noWrap w:val="0"/>
            <w:vAlign w:val="center"/>
          </w:tcPr>
          <w:p w14:paraId="149B6E77">
            <w:pPr>
              <w:widowControl/>
              <w:jc w:val="center"/>
              <w:rPr>
                <w:rFonts w:hint="eastAsia" w:ascii="仿宋" w:hAnsi="仿宋" w:eastAsia="仿宋" w:cs="仿宋"/>
                <w:color w:val="auto"/>
                <w:kern w:val="0"/>
                <w:sz w:val="24"/>
                <w:szCs w:val="24"/>
                <w:highlight w:val="none"/>
                <w:lang w:eastAsia="zh-CN"/>
              </w:rPr>
            </w:pPr>
          </w:p>
        </w:tc>
      </w:tr>
      <w:tr w14:paraId="7E373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noWrap w:val="0"/>
            <w:vAlign w:val="center"/>
          </w:tcPr>
          <w:p w14:paraId="5B2C4C79">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2</w:t>
            </w:r>
          </w:p>
        </w:tc>
        <w:tc>
          <w:tcPr>
            <w:tcW w:w="3288" w:type="dxa"/>
            <w:tcBorders>
              <w:top w:val="nil"/>
              <w:left w:val="nil"/>
              <w:bottom w:val="single" w:color="auto" w:sz="4" w:space="0"/>
              <w:right w:val="single" w:color="auto" w:sz="4" w:space="0"/>
            </w:tcBorders>
            <w:noWrap w:val="0"/>
            <w:vAlign w:val="center"/>
          </w:tcPr>
          <w:p w14:paraId="17247651">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钱江大道综合管廊</w:t>
            </w:r>
          </w:p>
        </w:tc>
        <w:tc>
          <w:tcPr>
            <w:tcW w:w="1541" w:type="dxa"/>
            <w:gridSpan w:val="2"/>
            <w:vMerge w:val="continue"/>
            <w:tcBorders>
              <w:left w:val="nil"/>
              <w:right w:val="single" w:color="auto" w:sz="4" w:space="0"/>
            </w:tcBorders>
            <w:noWrap w:val="0"/>
            <w:vAlign w:val="center"/>
          </w:tcPr>
          <w:p w14:paraId="53E42580">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28000699">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30FFAD87">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5B17E49E">
            <w:pPr>
              <w:widowControl/>
              <w:jc w:val="center"/>
              <w:rPr>
                <w:rFonts w:hint="eastAsia" w:ascii="仿宋" w:hAnsi="仿宋" w:eastAsia="仿宋" w:cs="仿宋"/>
                <w:color w:val="auto"/>
                <w:kern w:val="0"/>
                <w:sz w:val="24"/>
                <w:szCs w:val="24"/>
                <w:highlight w:val="none"/>
              </w:rPr>
            </w:pPr>
          </w:p>
        </w:tc>
      </w:tr>
      <w:tr w14:paraId="01A54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shd w:val="clear" w:color="auto" w:fill="auto"/>
            <w:noWrap w:val="0"/>
            <w:vAlign w:val="center"/>
          </w:tcPr>
          <w:p w14:paraId="3034F8D2">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3288" w:type="dxa"/>
            <w:tcBorders>
              <w:top w:val="nil"/>
              <w:left w:val="nil"/>
              <w:bottom w:val="single" w:color="auto" w:sz="4" w:space="0"/>
              <w:right w:val="single" w:color="auto" w:sz="4" w:space="0"/>
            </w:tcBorders>
            <w:noWrap w:val="0"/>
            <w:vAlign w:val="center"/>
          </w:tcPr>
          <w:p w14:paraId="30B05C79">
            <w:pPr>
              <w:keepNext w:val="0"/>
              <w:keepLines w:val="0"/>
              <w:widowControl/>
              <w:suppressLineNumbers w:val="0"/>
              <w:jc w:val="left"/>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创智路综合管廊</w:t>
            </w:r>
          </w:p>
        </w:tc>
        <w:tc>
          <w:tcPr>
            <w:tcW w:w="1541" w:type="dxa"/>
            <w:gridSpan w:val="2"/>
            <w:vMerge w:val="continue"/>
            <w:tcBorders>
              <w:left w:val="nil"/>
              <w:right w:val="single" w:color="auto" w:sz="4" w:space="0"/>
            </w:tcBorders>
            <w:noWrap w:val="0"/>
            <w:vAlign w:val="center"/>
          </w:tcPr>
          <w:p w14:paraId="4C577909">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0C32E0F4">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2AEFEFE4">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1AB77DD0">
            <w:pPr>
              <w:widowControl/>
              <w:jc w:val="center"/>
              <w:rPr>
                <w:rFonts w:hint="eastAsia" w:ascii="仿宋" w:hAnsi="仿宋" w:eastAsia="仿宋" w:cs="仿宋"/>
                <w:color w:val="auto"/>
                <w:kern w:val="0"/>
                <w:sz w:val="24"/>
                <w:szCs w:val="24"/>
                <w:highlight w:val="none"/>
              </w:rPr>
            </w:pPr>
          </w:p>
        </w:tc>
      </w:tr>
      <w:tr w14:paraId="15827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shd w:val="clear" w:color="auto" w:fill="auto"/>
            <w:noWrap w:val="0"/>
            <w:vAlign w:val="center"/>
          </w:tcPr>
          <w:p w14:paraId="0EC447F5">
            <w:pPr>
              <w:keepNext w:val="0"/>
              <w:keepLines w:val="0"/>
              <w:widowControl/>
              <w:suppressLineNumbers w:val="0"/>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 w:val="0"/>
                <w:iCs w:val="0"/>
                <w:color w:val="auto"/>
                <w:kern w:val="0"/>
                <w:sz w:val="24"/>
                <w:szCs w:val="24"/>
                <w:highlight w:val="none"/>
                <w:u w:val="none"/>
                <w:lang w:val="en-US" w:eastAsia="zh-CN" w:bidi="ar"/>
              </w:rPr>
              <w:t>4</w:t>
            </w:r>
          </w:p>
        </w:tc>
        <w:tc>
          <w:tcPr>
            <w:tcW w:w="3288" w:type="dxa"/>
            <w:tcBorders>
              <w:top w:val="nil"/>
              <w:left w:val="nil"/>
              <w:bottom w:val="single" w:color="auto" w:sz="4" w:space="0"/>
              <w:right w:val="single" w:color="auto" w:sz="4" w:space="0"/>
            </w:tcBorders>
            <w:noWrap w:val="0"/>
            <w:vAlign w:val="center"/>
          </w:tcPr>
          <w:p w14:paraId="5046593A">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芹江西路综合管廊</w:t>
            </w:r>
          </w:p>
        </w:tc>
        <w:tc>
          <w:tcPr>
            <w:tcW w:w="1541" w:type="dxa"/>
            <w:gridSpan w:val="2"/>
            <w:vMerge w:val="continue"/>
            <w:tcBorders>
              <w:left w:val="nil"/>
              <w:right w:val="single" w:color="auto" w:sz="4" w:space="0"/>
            </w:tcBorders>
            <w:noWrap w:val="0"/>
            <w:vAlign w:val="center"/>
          </w:tcPr>
          <w:p w14:paraId="3E049875">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29B5B57D">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2D2D474B">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192B59EC">
            <w:pPr>
              <w:widowControl/>
              <w:jc w:val="center"/>
              <w:rPr>
                <w:rFonts w:hint="eastAsia" w:ascii="仿宋" w:hAnsi="仿宋" w:eastAsia="仿宋" w:cs="仿宋"/>
                <w:color w:val="auto"/>
                <w:kern w:val="0"/>
                <w:sz w:val="24"/>
                <w:szCs w:val="24"/>
                <w:highlight w:val="none"/>
              </w:rPr>
            </w:pPr>
          </w:p>
        </w:tc>
      </w:tr>
      <w:tr w14:paraId="10DE7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noWrap w:val="0"/>
            <w:vAlign w:val="center"/>
          </w:tcPr>
          <w:p w14:paraId="6666E932">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5</w:t>
            </w:r>
          </w:p>
        </w:tc>
        <w:tc>
          <w:tcPr>
            <w:tcW w:w="3288" w:type="dxa"/>
            <w:tcBorders>
              <w:top w:val="nil"/>
              <w:left w:val="nil"/>
              <w:bottom w:val="single" w:color="auto" w:sz="4" w:space="0"/>
              <w:right w:val="single" w:color="auto" w:sz="4" w:space="0"/>
            </w:tcBorders>
            <w:noWrap w:val="0"/>
            <w:vAlign w:val="center"/>
          </w:tcPr>
          <w:p w14:paraId="21BFA574">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三清山大道综合管廊</w:t>
            </w:r>
          </w:p>
        </w:tc>
        <w:tc>
          <w:tcPr>
            <w:tcW w:w="1541" w:type="dxa"/>
            <w:gridSpan w:val="2"/>
            <w:vMerge w:val="continue"/>
            <w:tcBorders>
              <w:left w:val="nil"/>
              <w:right w:val="single" w:color="auto" w:sz="4" w:space="0"/>
            </w:tcBorders>
            <w:noWrap w:val="0"/>
            <w:vAlign w:val="center"/>
          </w:tcPr>
          <w:p w14:paraId="2B6DFBD1">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793F4AF8">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08886C51">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101D7BCC">
            <w:pPr>
              <w:widowControl/>
              <w:jc w:val="center"/>
              <w:rPr>
                <w:rFonts w:hint="eastAsia" w:ascii="仿宋" w:hAnsi="仿宋" w:eastAsia="仿宋" w:cs="仿宋"/>
                <w:color w:val="auto"/>
                <w:kern w:val="0"/>
                <w:sz w:val="24"/>
                <w:szCs w:val="24"/>
                <w:highlight w:val="none"/>
              </w:rPr>
            </w:pPr>
          </w:p>
        </w:tc>
      </w:tr>
      <w:tr w14:paraId="43ACD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noWrap w:val="0"/>
            <w:vAlign w:val="center"/>
          </w:tcPr>
          <w:p w14:paraId="66C12F67">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6</w:t>
            </w:r>
          </w:p>
        </w:tc>
        <w:tc>
          <w:tcPr>
            <w:tcW w:w="3288" w:type="dxa"/>
            <w:tcBorders>
              <w:top w:val="nil"/>
              <w:left w:val="nil"/>
              <w:bottom w:val="single" w:color="auto" w:sz="4" w:space="0"/>
              <w:right w:val="single" w:color="auto" w:sz="4" w:space="0"/>
            </w:tcBorders>
            <w:noWrap w:val="0"/>
            <w:vAlign w:val="center"/>
          </w:tcPr>
          <w:p w14:paraId="6EAC013D">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武夷山大道综合管廊</w:t>
            </w:r>
          </w:p>
        </w:tc>
        <w:tc>
          <w:tcPr>
            <w:tcW w:w="1541" w:type="dxa"/>
            <w:gridSpan w:val="2"/>
            <w:vMerge w:val="continue"/>
            <w:tcBorders>
              <w:left w:val="nil"/>
              <w:right w:val="single" w:color="auto" w:sz="4" w:space="0"/>
            </w:tcBorders>
            <w:noWrap w:val="0"/>
            <w:vAlign w:val="center"/>
          </w:tcPr>
          <w:p w14:paraId="68DE661D">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109DCF72">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147B42FD">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6FFB56AA">
            <w:pPr>
              <w:widowControl/>
              <w:jc w:val="center"/>
              <w:rPr>
                <w:rFonts w:hint="eastAsia" w:ascii="仿宋" w:hAnsi="仿宋" w:eastAsia="仿宋" w:cs="仿宋"/>
                <w:color w:val="auto"/>
                <w:kern w:val="0"/>
                <w:sz w:val="24"/>
                <w:szCs w:val="24"/>
                <w:highlight w:val="none"/>
              </w:rPr>
            </w:pPr>
          </w:p>
        </w:tc>
      </w:tr>
      <w:tr w14:paraId="27B93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733" w:type="dxa"/>
            <w:tcBorders>
              <w:top w:val="nil"/>
              <w:left w:val="single" w:color="auto" w:sz="4" w:space="0"/>
              <w:bottom w:val="single" w:color="auto" w:sz="4" w:space="0"/>
              <w:right w:val="single" w:color="auto" w:sz="4" w:space="0"/>
            </w:tcBorders>
            <w:noWrap w:val="0"/>
            <w:vAlign w:val="center"/>
          </w:tcPr>
          <w:p w14:paraId="064A6C96">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7</w:t>
            </w:r>
          </w:p>
        </w:tc>
        <w:tc>
          <w:tcPr>
            <w:tcW w:w="3288" w:type="dxa"/>
            <w:tcBorders>
              <w:top w:val="nil"/>
              <w:left w:val="nil"/>
              <w:bottom w:val="single" w:color="auto" w:sz="4" w:space="0"/>
              <w:right w:val="single" w:color="auto" w:sz="4" w:space="0"/>
            </w:tcBorders>
            <w:noWrap w:val="0"/>
            <w:vAlign w:val="center"/>
          </w:tcPr>
          <w:p w14:paraId="7F865AF1">
            <w:pPr>
              <w:keepNext w:val="0"/>
              <w:keepLines w:val="0"/>
              <w:widowControl/>
              <w:suppressLineNumbers w:val="0"/>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闽江大道综合管廊</w:t>
            </w:r>
          </w:p>
        </w:tc>
        <w:tc>
          <w:tcPr>
            <w:tcW w:w="1541" w:type="dxa"/>
            <w:gridSpan w:val="2"/>
            <w:vMerge w:val="continue"/>
            <w:tcBorders>
              <w:left w:val="nil"/>
              <w:right w:val="single" w:color="auto" w:sz="4" w:space="0"/>
            </w:tcBorders>
            <w:noWrap w:val="0"/>
            <w:vAlign w:val="center"/>
          </w:tcPr>
          <w:p w14:paraId="1E143E04">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041F4DFC">
            <w:pPr>
              <w:keepNext w:val="0"/>
              <w:keepLines w:val="0"/>
              <w:widowControl/>
              <w:suppressLineNumbers w:val="0"/>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2236A9D8">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056F2AF2">
            <w:pPr>
              <w:widowControl/>
              <w:jc w:val="center"/>
              <w:rPr>
                <w:rFonts w:hint="eastAsia" w:ascii="仿宋" w:hAnsi="仿宋" w:eastAsia="仿宋" w:cs="仿宋"/>
                <w:color w:val="auto"/>
                <w:kern w:val="0"/>
                <w:sz w:val="24"/>
                <w:szCs w:val="24"/>
                <w:highlight w:val="none"/>
              </w:rPr>
            </w:pPr>
          </w:p>
        </w:tc>
      </w:tr>
      <w:tr w14:paraId="5BC15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4021" w:type="dxa"/>
            <w:gridSpan w:val="2"/>
            <w:tcBorders>
              <w:top w:val="nil"/>
              <w:left w:val="single" w:color="auto" w:sz="4" w:space="0"/>
              <w:bottom w:val="single" w:color="auto" w:sz="4" w:space="0"/>
              <w:right w:val="single" w:color="auto" w:sz="4" w:space="0"/>
            </w:tcBorders>
            <w:noWrap w:val="0"/>
            <w:vAlign w:val="center"/>
          </w:tcPr>
          <w:p w14:paraId="7BB2B7CE">
            <w:pPr>
              <w:widowControl/>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一</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小</w:t>
            </w:r>
            <w:r>
              <w:rPr>
                <w:rFonts w:hint="eastAsia" w:ascii="仿宋" w:hAnsi="仿宋" w:eastAsia="仿宋" w:cs="仿宋"/>
                <w:color w:val="auto"/>
                <w:kern w:val="0"/>
                <w:sz w:val="24"/>
                <w:szCs w:val="24"/>
                <w:highlight w:val="none"/>
                <w:lang w:eastAsia="zh-CN"/>
              </w:rPr>
              <w:t>计：</w:t>
            </w:r>
          </w:p>
        </w:tc>
        <w:tc>
          <w:tcPr>
            <w:tcW w:w="5445" w:type="dxa"/>
            <w:gridSpan w:val="8"/>
            <w:tcBorders>
              <w:top w:val="nil"/>
              <w:left w:val="nil"/>
              <w:bottom w:val="single" w:color="auto" w:sz="4" w:space="0"/>
              <w:right w:val="single" w:color="auto" w:sz="4" w:space="0"/>
            </w:tcBorders>
            <w:noWrap w:val="0"/>
            <w:vAlign w:val="center"/>
          </w:tcPr>
          <w:p w14:paraId="3B7668D6">
            <w:pPr>
              <w:widowControl/>
              <w:jc w:val="both"/>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 xml:space="preserve">元（大写：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元整）</w:t>
            </w:r>
          </w:p>
        </w:tc>
      </w:tr>
      <w:tr w14:paraId="16570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9466" w:type="dxa"/>
            <w:gridSpan w:val="10"/>
            <w:tcBorders>
              <w:top w:val="nil"/>
              <w:left w:val="single" w:color="auto" w:sz="4" w:space="0"/>
              <w:bottom w:val="single" w:color="auto" w:sz="4" w:space="0"/>
              <w:right w:val="single" w:color="auto" w:sz="4" w:space="0"/>
            </w:tcBorders>
            <w:noWrap w:val="0"/>
            <w:vAlign w:val="center"/>
          </w:tcPr>
          <w:p w14:paraId="7A99DBBB">
            <w:pPr>
              <w:widowControl/>
              <w:jc w:val="both"/>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eastAsia="zh-CN"/>
              </w:rPr>
              <w:t>2025年度衢州智慧新城隧道运维服务</w:t>
            </w:r>
          </w:p>
        </w:tc>
      </w:tr>
      <w:tr w14:paraId="5F53F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733" w:type="dxa"/>
            <w:tcBorders>
              <w:top w:val="nil"/>
              <w:left w:val="single" w:color="auto" w:sz="4" w:space="0"/>
              <w:bottom w:val="single" w:color="auto" w:sz="4" w:space="0"/>
              <w:right w:val="single" w:color="auto" w:sz="4" w:space="0"/>
            </w:tcBorders>
            <w:noWrap w:val="0"/>
            <w:vAlign w:val="center"/>
          </w:tcPr>
          <w:p w14:paraId="3380FD6F">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3288" w:type="dxa"/>
            <w:tcBorders>
              <w:top w:val="nil"/>
              <w:left w:val="nil"/>
              <w:bottom w:val="single" w:color="auto" w:sz="4" w:space="0"/>
              <w:right w:val="single" w:color="auto" w:sz="4" w:space="0"/>
            </w:tcBorders>
            <w:noWrap w:val="0"/>
            <w:vAlign w:val="center"/>
          </w:tcPr>
          <w:p w14:paraId="2D6EE829">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荷一路过江隧道</w:t>
            </w:r>
          </w:p>
        </w:tc>
        <w:tc>
          <w:tcPr>
            <w:tcW w:w="1541" w:type="dxa"/>
            <w:gridSpan w:val="2"/>
            <w:vMerge w:val="restart"/>
            <w:tcBorders>
              <w:top w:val="nil"/>
              <w:left w:val="nil"/>
              <w:right w:val="single" w:color="auto" w:sz="4" w:space="0"/>
            </w:tcBorders>
            <w:noWrap w:val="0"/>
            <w:vAlign w:val="center"/>
          </w:tcPr>
          <w:p w14:paraId="79F1949B">
            <w:pPr>
              <w:widowControl/>
              <w:jc w:val="center"/>
              <w:rPr>
                <w:rFonts w:hint="eastAsia" w:ascii="仿宋" w:hAnsi="仿宋" w:eastAsia="仿宋" w:cs="仿宋"/>
                <w:color w:val="auto"/>
                <w:kern w:val="0"/>
                <w:sz w:val="24"/>
                <w:szCs w:val="24"/>
                <w:highlight w:val="none"/>
              </w:rPr>
            </w:pPr>
          </w:p>
        </w:tc>
        <w:tc>
          <w:tcPr>
            <w:tcW w:w="1259" w:type="dxa"/>
            <w:gridSpan w:val="2"/>
            <w:tcBorders>
              <w:top w:val="nil"/>
              <w:left w:val="nil"/>
              <w:right w:val="single" w:color="auto" w:sz="4" w:space="0"/>
            </w:tcBorders>
            <w:noWrap w:val="0"/>
            <w:vAlign w:val="center"/>
          </w:tcPr>
          <w:p w14:paraId="3056ED3D">
            <w:pPr>
              <w:keepNext w:val="0"/>
              <w:keepLines w:val="0"/>
              <w:pageBreakBefore w:val="0"/>
              <w:kinsoku/>
              <w:wordWrap/>
              <w:overflowPunct/>
              <w:topLinePunct w:val="0"/>
              <w:bidi w:val="0"/>
              <w:adjustRightInd/>
              <w:snapToGrid/>
              <w:spacing w:beforeLines="0" w:line="360" w:lineRule="auto"/>
              <w:jc w:val="center"/>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restart"/>
            <w:tcBorders>
              <w:top w:val="nil"/>
              <w:left w:val="nil"/>
              <w:right w:val="single" w:color="auto" w:sz="4" w:space="0"/>
            </w:tcBorders>
            <w:noWrap w:val="0"/>
            <w:vAlign w:val="center"/>
          </w:tcPr>
          <w:p w14:paraId="31D3D1FA">
            <w:pPr>
              <w:widowControl/>
              <w:jc w:val="center"/>
              <w:rPr>
                <w:rFonts w:hint="eastAsia" w:ascii="仿宋" w:hAnsi="仿宋" w:eastAsia="仿宋" w:cs="仿宋"/>
                <w:color w:val="auto"/>
                <w:kern w:val="0"/>
                <w:sz w:val="24"/>
                <w:szCs w:val="24"/>
                <w:highlight w:val="none"/>
              </w:rPr>
            </w:pPr>
          </w:p>
        </w:tc>
        <w:tc>
          <w:tcPr>
            <w:tcW w:w="1508" w:type="dxa"/>
            <w:gridSpan w:val="2"/>
            <w:vMerge w:val="restart"/>
            <w:tcBorders>
              <w:top w:val="nil"/>
              <w:left w:val="nil"/>
              <w:right w:val="single" w:color="auto" w:sz="4" w:space="0"/>
            </w:tcBorders>
            <w:noWrap w:val="0"/>
            <w:vAlign w:val="center"/>
          </w:tcPr>
          <w:p w14:paraId="770CD53A">
            <w:pPr>
              <w:widowControl/>
              <w:jc w:val="center"/>
              <w:rPr>
                <w:rFonts w:hint="eastAsia" w:ascii="仿宋" w:hAnsi="仿宋" w:eastAsia="仿宋" w:cs="仿宋"/>
                <w:color w:val="auto"/>
                <w:kern w:val="0"/>
                <w:sz w:val="24"/>
                <w:szCs w:val="24"/>
                <w:highlight w:val="none"/>
              </w:rPr>
            </w:pPr>
          </w:p>
        </w:tc>
      </w:tr>
      <w:tr w14:paraId="2FBCC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33" w:type="dxa"/>
            <w:tcBorders>
              <w:top w:val="nil"/>
              <w:left w:val="single" w:color="auto" w:sz="4" w:space="0"/>
              <w:bottom w:val="single" w:color="auto" w:sz="4" w:space="0"/>
              <w:right w:val="single" w:color="auto" w:sz="4" w:space="0"/>
            </w:tcBorders>
            <w:noWrap w:val="0"/>
            <w:vAlign w:val="center"/>
          </w:tcPr>
          <w:p w14:paraId="3F52BF12">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3288" w:type="dxa"/>
            <w:tcBorders>
              <w:top w:val="nil"/>
              <w:left w:val="nil"/>
              <w:bottom w:val="single" w:color="auto" w:sz="4" w:space="0"/>
              <w:right w:val="single" w:color="auto" w:sz="4" w:space="0"/>
            </w:tcBorders>
            <w:noWrap w:val="0"/>
            <w:vAlign w:val="center"/>
          </w:tcPr>
          <w:p w14:paraId="546498BF">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三江隧道</w:t>
            </w:r>
          </w:p>
        </w:tc>
        <w:tc>
          <w:tcPr>
            <w:tcW w:w="1541" w:type="dxa"/>
            <w:gridSpan w:val="2"/>
            <w:vMerge w:val="continue"/>
            <w:tcBorders>
              <w:left w:val="nil"/>
              <w:right w:val="single" w:color="auto" w:sz="4" w:space="0"/>
            </w:tcBorders>
            <w:noWrap w:val="0"/>
            <w:vAlign w:val="center"/>
          </w:tcPr>
          <w:p w14:paraId="2245223A">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616B1DB4">
            <w:pPr>
              <w:keepNext w:val="0"/>
              <w:keepLines w:val="0"/>
              <w:pageBreakBefore w:val="0"/>
              <w:kinsoku/>
              <w:wordWrap/>
              <w:overflowPunct/>
              <w:topLinePunct w:val="0"/>
              <w:bidi w:val="0"/>
              <w:adjustRightInd/>
              <w:snapToGrid/>
              <w:spacing w:beforeLines="0" w:line="360" w:lineRule="auto"/>
              <w:jc w:val="center"/>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504C2130">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2B84F415">
            <w:pPr>
              <w:widowControl/>
              <w:jc w:val="center"/>
              <w:rPr>
                <w:rFonts w:hint="eastAsia" w:ascii="仿宋" w:hAnsi="仿宋" w:eastAsia="仿宋" w:cs="仿宋"/>
                <w:color w:val="auto"/>
                <w:kern w:val="0"/>
                <w:sz w:val="24"/>
                <w:szCs w:val="24"/>
                <w:highlight w:val="none"/>
              </w:rPr>
            </w:pPr>
          </w:p>
        </w:tc>
      </w:tr>
      <w:tr w14:paraId="325A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33" w:type="dxa"/>
            <w:tcBorders>
              <w:top w:val="nil"/>
              <w:left w:val="single" w:color="auto" w:sz="4" w:space="0"/>
              <w:bottom w:val="single" w:color="auto" w:sz="4" w:space="0"/>
              <w:right w:val="single" w:color="auto" w:sz="4" w:space="0"/>
            </w:tcBorders>
            <w:noWrap w:val="0"/>
            <w:vAlign w:val="center"/>
          </w:tcPr>
          <w:p w14:paraId="05EF8359">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c>
          <w:tcPr>
            <w:tcW w:w="3288" w:type="dxa"/>
            <w:tcBorders>
              <w:top w:val="nil"/>
              <w:left w:val="nil"/>
              <w:bottom w:val="single" w:color="auto" w:sz="4" w:space="0"/>
              <w:right w:val="single" w:color="auto" w:sz="4" w:space="0"/>
            </w:tcBorders>
            <w:noWrap w:val="0"/>
            <w:vAlign w:val="center"/>
          </w:tcPr>
          <w:p w14:paraId="119FBC5D">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九华大道隧道</w:t>
            </w:r>
          </w:p>
        </w:tc>
        <w:tc>
          <w:tcPr>
            <w:tcW w:w="1541" w:type="dxa"/>
            <w:gridSpan w:val="2"/>
            <w:vMerge w:val="continue"/>
            <w:tcBorders>
              <w:left w:val="nil"/>
              <w:right w:val="single" w:color="auto" w:sz="4" w:space="0"/>
            </w:tcBorders>
            <w:noWrap w:val="0"/>
            <w:vAlign w:val="center"/>
          </w:tcPr>
          <w:p w14:paraId="38CECBD5">
            <w:pPr>
              <w:widowControl/>
              <w:jc w:val="center"/>
              <w:rPr>
                <w:rFonts w:hint="eastAsia" w:ascii="仿宋" w:hAnsi="仿宋" w:eastAsia="仿宋" w:cs="仿宋"/>
                <w:color w:val="auto"/>
                <w:kern w:val="0"/>
                <w:sz w:val="24"/>
                <w:szCs w:val="24"/>
                <w:highlight w:val="none"/>
              </w:rPr>
            </w:pPr>
          </w:p>
        </w:tc>
        <w:tc>
          <w:tcPr>
            <w:tcW w:w="1259" w:type="dxa"/>
            <w:gridSpan w:val="2"/>
            <w:tcBorders>
              <w:left w:val="nil"/>
              <w:right w:val="single" w:color="auto" w:sz="4" w:space="0"/>
            </w:tcBorders>
            <w:noWrap w:val="0"/>
            <w:vAlign w:val="center"/>
          </w:tcPr>
          <w:p w14:paraId="72BE7168">
            <w:pPr>
              <w:keepNext w:val="0"/>
              <w:keepLines w:val="0"/>
              <w:pageBreakBefore w:val="0"/>
              <w:kinsoku/>
              <w:wordWrap/>
              <w:overflowPunct/>
              <w:topLinePunct w:val="0"/>
              <w:bidi w:val="0"/>
              <w:adjustRightInd/>
              <w:snapToGrid/>
              <w:spacing w:beforeLines="0" w:line="360" w:lineRule="auto"/>
              <w:jc w:val="center"/>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731DB4B4">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15A1256C">
            <w:pPr>
              <w:widowControl/>
              <w:jc w:val="center"/>
              <w:rPr>
                <w:rFonts w:hint="eastAsia" w:ascii="仿宋" w:hAnsi="仿宋" w:eastAsia="仿宋" w:cs="仿宋"/>
                <w:color w:val="auto"/>
                <w:kern w:val="0"/>
                <w:sz w:val="24"/>
                <w:szCs w:val="24"/>
                <w:highlight w:val="none"/>
              </w:rPr>
            </w:pPr>
          </w:p>
        </w:tc>
      </w:tr>
      <w:tr w14:paraId="6EA97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33" w:type="dxa"/>
            <w:tcBorders>
              <w:top w:val="nil"/>
              <w:left w:val="single" w:color="auto" w:sz="4" w:space="0"/>
              <w:bottom w:val="single" w:color="auto" w:sz="4" w:space="0"/>
              <w:right w:val="single" w:color="auto" w:sz="4" w:space="0"/>
            </w:tcBorders>
            <w:noWrap w:val="0"/>
            <w:vAlign w:val="center"/>
          </w:tcPr>
          <w:p w14:paraId="73A0449B">
            <w:pPr>
              <w:widowControl/>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3288" w:type="dxa"/>
            <w:tcBorders>
              <w:top w:val="nil"/>
              <w:left w:val="nil"/>
              <w:bottom w:val="single" w:color="auto" w:sz="4" w:space="0"/>
              <w:right w:val="single" w:color="auto" w:sz="4" w:space="0"/>
            </w:tcBorders>
            <w:noWrap w:val="0"/>
            <w:vAlign w:val="center"/>
          </w:tcPr>
          <w:p w14:paraId="70E7A7B3">
            <w:pPr>
              <w:keepNext w:val="0"/>
              <w:keepLines w:val="0"/>
              <w:pageBreakBefore w:val="0"/>
              <w:kinsoku/>
              <w:wordWrap/>
              <w:overflowPunct/>
              <w:topLinePunct w:val="0"/>
              <w:bidi w:val="0"/>
              <w:adjustRightInd/>
              <w:snapToGrid/>
              <w:spacing w:beforeLines="0" w:line="360" w:lineRule="auto"/>
              <w:textAlignment w:val="auto"/>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紫薇隧道</w:t>
            </w:r>
          </w:p>
        </w:tc>
        <w:tc>
          <w:tcPr>
            <w:tcW w:w="1541" w:type="dxa"/>
            <w:gridSpan w:val="2"/>
            <w:vMerge w:val="continue"/>
            <w:tcBorders>
              <w:left w:val="nil"/>
              <w:right w:val="single" w:color="auto" w:sz="4" w:space="0"/>
            </w:tcBorders>
            <w:noWrap w:val="0"/>
            <w:vAlign w:val="center"/>
          </w:tcPr>
          <w:p w14:paraId="5EF16F7B">
            <w:pPr>
              <w:widowControl/>
              <w:jc w:val="center"/>
              <w:rPr>
                <w:rFonts w:hint="eastAsia" w:ascii="仿宋" w:hAnsi="仿宋" w:eastAsia="仿宋" w:cs="仿宋"/>
                <w:color w:val="auto"/>
                <w:kern w:val="0"/>
                <w:sz w:val="24"/>
                <w:szCs w:val="24"/>
                <w:highlight w:val="none"/>
              </w:rPr>
            </w:pPr>
          </w:p>
        </w:tc>
        <w:tc>
          <w:tcPr>
            <w:tcW w:w="1259" w:type="dxa"/>
            <w:gridSpan w:val="2"/>
            <w:tcBorders>
              <w:left w:val="nil"/>
              <w:bottom w:val="single" w:color="auto" w:sz="4" w:space="0"/>
              <w:right w:val="single" w:color="auto" w:sz="4" w:space="0"/>
            </w:tcBorders>
            <w:noWrap w:val="0"/>
            <w:vAlign w:val="center"/>
          </w:tcPr>
          <w:p w14:paraId="24D642A0">
            <w:pPr>
              <w:keepNext w:val="0"/>
              <w:keepLines w:val="0"/>
              <w:pageBreakBefore w:val="0"/>
              <w:kinsoku/>
              <w:wordWrap/>
              <w:overflowPunct/>
              <w:topLinePunct w:val="0"/>
              <w:bidi w:val="0"/>
              <w:adjustRightInd/>
              <w:snapToGrid/>
              <w:spacing w:beforeLines="0" w:line="360" w:lineRule="auto"/>
              <w:jc w:val="center"/>
              <w:textAlignment w:val="auto"/>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i w:val="0"/>
                <w:iCs w:val="0"/>
                <w:color w:val="auto"/>
                <w:kern w:val="0"/>
                <w:sz w:val="24"/>
                <w:szCs w:val="24"/>
                <w:highlight w:val="none"/>
                <w:u w:val="none"/>
                <w:lang w:val="en-US" w:eastAsia="zh-CN" w:bidi="ar"/>
              </w:rPr>
              <w:t>12</w:t>
            </w:r>
          </w:p>
        </w:tc>
        <w:tc>
          <w:tcPr>
            <w:tcW w:w="1137" w:type="dxa"/>
            <w:gridSpan w:val="2"/>
            <w:vMerge w:val="continue"/>
            <w:tcBorders>
              <w:left w:val="nil"/>
              <w:right w:val="single" w:color="auto" w:sz="4" w:space="0"/>
            </w:tcBorders>
            <w:noWrap w:val="0"/>
            <w:vAlign w:val="center"/>
          </w:tcPr>
          <w:p w14:paraId="6A24D174">
            <w:pPr>
              <w:widowControl/>
              <w:jc w:val="center"/>
              <w:rPr>
                <w:rFonts w:hint="eastAsia" w:ascii="仿宋" w:hAnsi="仿宋" w:eastAsia="仿宋" w:cs="仿宋"/>
                <w:color w:val="auto"/>
                <w:kern w:val="0"/>
                <w:sz w:val="24"/>
                <w:szCs w:val="24"/>
                <w:highlight w:val="none"/>
              </w:rPr>
            </w:pPr>
          </w:p>
        </w:tc>
        <w:tc>
          <w:tcPr>
            <w:tcW w:w="1508" w:type="dxa"/>
            <w:gridSpan w:val="2"/>
            <w:vMerge w:val="continue"/>
            <w:tcBorders>
              <w:left w:val="nil"/>
              <w:right w:val="single" w:color="auto" w:sz="4" w:space="0"/>
            </w:tcBorders>
            <w:noWrap w:val="0"/>
            <w:vAlign w:val="center"/>
          </w:tcPr>
          <w:p w14:paraId="268234FB">
            <w:pPr>
              <w:widowControl/>
              <w:jc w:val="center"/>
              <w:rPr>
                <w:rFonts w:hint="eastAsia" w:ascii="仿宋" w:hAnsi="仿宋" w:eastAsia="仿宋" w:cs="仿宋"/>
                <w:color w:val="auto"/>
                <w:kern w:val="0"/>
                <w:sz w:val="24"/>
                <w:szCs w:val="24"/>
                <w:highlight w:val="none"/>
              </w:rPr>
            </w:pPr>
          </w:p>
        </w:tc>
      </w:tr>
      <w:tr w14:paraId="29E16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4021" w:type="dxa"/>
            <w:gridSpan w:val="2"/>
            <w:tcBorders>
              <w:top w:val="nil"/>
              <w:left w:val="single" w:color="auto" w:sz="4" w:space="0"/>
              <w:bottom w:val="single" w:color="auto" w:sz="4" w:space="0"/>
              <w:right w:val="single" w:color="auto" w:sz="4" w:space="0"/>
            </w:tcBorders>
            <w:noWrap w:val="0"/>
            <w:vAlign w:val="center"/>
          </w:tcPr>
          <w:p w14:paraId="25E1851D">
            <w:pPr>
              <w:widowControl/>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二</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小</w:t>
            </w:r>
            <w:r>
              <w:rPr>
                <w:rFonts w:hint="eastAsia" w:ascii="仿宋" w:hAnsi="仿宋" w:eastAsia="仿宋" w:cs="仿宋"/>
                <w:color w:val="auto"/>
                <w:kern w:val="0"/>
                <w:sz w:val="24"/>
                <w:szCs w:val="24"/>
                <w:highlight w:val="none"/>
                <w:lang w:eastAsia="zh-CN"/>
              </w:rPr>
              <w:t>计：</w:t>
            </w:r>
          </w:p>
        </w:tc>
        <w:tc>
          <w:tcPr>
            <w:tcW w:w="5445" w:type="dxa"/>
            <w:gridSpan w:val="8"/>
            <w:tcBorders>
              <w:top w:val="nil"/>
              <w:left w:val="single" w:color="auto" w:sz="4" w:space="0"/>
              <w:bottom w:val="single" w:color="auto" w:sz="4" w:space="0"/>
              <w:right w:val="single" w:color="auto" w:sz="4" w:space="0"/>
            </w:tcBorders>
            <w:noWrap w:val="0"/>
            <w:vAlign w:val="center"/>
          </w:tcPr>
          <w:p w14:paraId="722B72E0">
            <w:pPr>
              <w:widowControl/>
              <w:jc w:val="both"/>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 xml:space="preserve">元（大写：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元整）</w:t>
            </w:r>
          </w:p>
        </w:tc>
      </w:tr>
      <w:tr w14:paraId="5E911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4021" w:type="dxa"/>
            <w:gridSpan w:val="2"/>
            <w:tcBorders>
              <w:top w:val="nil"/>
              <w:left w:val="single" w:color="auto" w:sz="4" w:space="0"/>
              <w:bottom w:val="single" w:color="auto" w:sz="4" w:space="0"/>
              <w:right w:val="single" w:color="auto" w:sz="4" w:space="0"/>
            </w:tcBorders>
            <w:noWrap w:val="0"/>
            <w:vAlign w:val="center"/>
          </w:tcPr>
          <w:p w14:paraId="7ADE13BA">
            <w:pPr>
              <w:widowControl/>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i w:val="0"/>
                <w:iCs w:val="0"/>
                <w:color w:val="auto"/>
                <w:kern w:val="0"/>
                <w:sz w:val="24"/>
                <w:szCs w:val="24"/>
                <w:highlight w:val="none"/>
                <w:u w:val="none"/>
                <w:lang w:val="en-US" w:eastAsia="zh-CN" w:bidi="ar"/>
              </w:rPr>
              <w:t>控制中心</w:t>
            </w:r>
          </w:p>
        </w:tc>
        <w:tc>
          <w:tcPr>
            <w:tcW w:w="1545" w:type="dxa"/>
            <w:gridSpan w:val="3"/>
            <w:tcBorders>
              <w:top w:val="nil"/>
              <w:left w:val="single" w:color="auto" w:sz="4" w:space="0"/>
              <w:bottom w:val="single" w:color="auto" w:sz="4" w:space="0"/>
              <w:right w:val="single" w:color="auto" w:sz="4" w:space="0"/>
            </w:tcBorders>
            <w:noWrap w:val="0"/>
            <w:vAlign w:val="center"/>
          </w:tcPr>
          <w:p w14:paraId="19036139">
            <w:pPr>
              <w:widowControl/>
              <w:jc w:val="both"/>
              <w:rPr>
                <w:rFonts w:hint="eastAsia" w:ascii="仿宋" w:hAnsi="仿宋" w:eastAsia="仿宋" w:cs="仿宋"/>
                <w:color w:val="auto"/>
                <w:sz w:val="24"/>
                <w:szCs w:val="24"/>
                <w:highlight w:val="none"/>
                <w:lang w:val="zh-CN"/>
              </w:rPr>
            </w:pPr>
          </w:p>
        </w:tc>
        <w:tc>
          <w:tcPr>
            <w:tcW w:w="1275" w:type="dxa"/>
            <w:gridSpan w:val="2"/>
            <w:tcBorders>
              <w:top w:val="nil"/>
              <w:left w:val="single" w:color="auto" w:sz="4" w:space="0"/>
              <w:bottom w:val="single" w:color="auto" w:sz="4" w:space="0"/>
              <w:right w:val="single" w:color="auto" w:sz="4" w:space="0"/>
            </w:tcBorders>
            <w:noWrap w:val="0"/>
            <w:vAlign w:val="center"/>
          </w:tcPr>
          <w:p w14:paraId="5159847C">
            <w:pPr>
              <w:widowControl/>
              <w:jc w:val="center"/>
              <w:rPr>
                <w:rFonts w:hint="default" w:ascii="仿宋" w:hAnsi="仿宋" w:eastAsia="仿宋" w:cs="仿宋"/>
                <w:color w:val="auto"/>
                <w:sz w:val="24"/>
                <w:szCs w:val="24"/>
                <w:highlight w:val="none"/>
                <w:lang w:val="en-US"/>
              </w:rPr>
            </w:pPr>
            <w:r>
              <w:rPr>
                <w:rFonts w:hint="eastAsia" w:ascii="仿宋" w:hAnsi="仿宋" w:eastAsia="仿宋" w:cs="仿宋"/>
                <w:color w:val="auto"/>
                <w:kern w:val="0"/>
                <w:sz w:val="24"/>
                <w:szCs w:val="24"/>
                <w:highlight w:val="none"/>
                <w:lang w:val="en-US" w:eastAsia="zh-CN"/>
              </w:rPr>
              <w:t>12</w:t>
            </w:r>
          </w:p>
        </w:tc>
        <w:tc>
          <w:tcPr>
            <w:tcW w:w="1170" w:type="dxa"/>
            <w:gridSpan w:val="2"/>
            <w:tcBorders>
              <w:top w:val="nil"/>
              <w:left w:val="single" w:color="auto" w:sz="4" w:space="0"/>
              <w:bottom w:val="single" w:color="auto" w:sz="4" w:space="0"/>
              <w:right w:val="single" w:color="auto" w:sz="4" w:space="0"/>
            </w:tcBorders>
            <w:noWrap w:val="0"/>
            <w:vAlign w:val="center"/>
          </w:tcPr>
          <w:p w14:paraId="65855A7D">
            <w:pPr>
              <w:widowControl/>
              <w:jc w:val="both"/>
              <w:rPr>
                <w:rFonts w:hint="eastAsia" w:ascii="仿宋" w:hAnsi="仿宋" w:eastAsia="仿宋" w:cs="仿宋"/>
                <w:color w:val="auto"/>
                <w:sz w:val="24"/>
                <w:szCs w:val="24"/>
                <w:highlight w:val="none"/>
                <w:lang w:val="zh-CN"/>
              </w:rPr>
            </w:pPr>
          </w:p>
        </w:tc>
        <w:tc>
          <w:tcPr>
            <w:tcW w:w="1455" w:type="dxa"/>
            <w:tcBorders>
              <w:top w:val="nil"/>
              <w:left w:val="single" w:color="auto" w:sz="4" w:space="0"/>
              <w:bottom w:val="single" w:color="auto" w:sz="4" w:space="0"/>
              <w:right w:val="single" w:color="auto" w:sz="4" w:space="0"/>
            </w:tcBorders>
            <w:noWrap w:val="0"/>
            <w:vAlign w:val="center"/>
          </w:tcPr>
          <w:p w14:paraId="6755D62E">
            <w:pPr>
              <w:widowControl/>
              <w:jc w:val="both"/>
              <w:rPr>
                <w:rFonts w:hint="eastAsia" w:ascii="仿宋" w:hAnsi="仿宋" w:eastAsia="仿宋" w:cs="仿宋"/>
                <w:color w:val="auto"/>
                <w:sz w:val="24"/>
                <w:szCs w:val="24"/>
                <w:highlight w:val="none"/>
                <w:lang w:val="zh-CN"/>
              </w:rPr>
            </w:pPr>
          </w:p>
        </w:tc>
      </w:tr>
      <w:tr w14:paraId="24483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4021" w:type="dxa"/>
            <w:gridSpan w:val="2"/>
            <w:tcBorders>
              <w:top w:val="nil"/>
              <w:left w:val="single" w:color="auto" w:sz="4" w:space="0"/>
              <w:bottom w:val="single" w:color="auto" w:sz="4" w:space="0"/>
              <w:right w:val="single" w:color="auto" w:sz="4" w:space="0"/>
            </w:tcBorders>
            <w:shd w:val="clear" w:color="auto" w:fill="auto"/>
            <w:noWrap w:val="0"/>
            <w:vAlign w:val="center"/>
          </w:tcPr>
          <w:p w14:paraId="4838335B">
            <w:pPr>
              <w:widowControl/>
              <w:ind w:firstLine="1200" w:firstLineChars="5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小计：</w:t>
            </w:r>
          </w:p>
        </w:tc>
        <w:tc>
          <w:tcPr>
            <w:tcW w:w="5445" w:type="dxa"/>
            <w:gridSpan w:val="8"/>
            <w:tcBorders>
              <w:top w:val="nil"/>
              <w:left w:val="single" w:color="auto" w:sz="4" w:space="0"/>
              <w:bottom w:val="single" w:color="auto" w:sz="4" w:space="0"/>
              <w:right w:val="single" w:color="auto" w:sz="4" w:space="0"/>
            </w:tcBorders>
            <w:shd w:val="clear" w:color="auto" w:fill="auto"/>
            <w:noWrap w:val="0"/>
            <w:vAlign w:val="center"/>
          </w:tcPr>
          <w:p w14:paraId="63431316">
            <w:pPr>
              <w:widowControl/>
              <w:rPr>
                <w:rFonts w:hint="eastAsia" w:ascii="仿宋" w:hAnsi="仿宋" w:eastAsia="仿宋" w:cs="仿宋"/>
                <w:color w:val="auto"/>
                <w:kern w:val="2"/>
                <w:sz w:val="24"/>
                <w:szCs w:val="24"/>
                <w:highlight w:val="none"/>
                <w:lang w:val="zh-CN"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元（大写：</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zh-CN"/>
              </w:rPr>
              <w:t>元整）</w:t>
            </w:r>
          </w:p>
        </w:tc>
      </w:tr>
      <w:tr w14:paraId="314C3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9466" w:type="dxa"/>
            <w:gridSpan w:val="10"/>
            <w:noWrap w:val="0"/>
            <w:vAlign w:val="center"/>
          </w:tcPr>
          <w:p w14:paraId="321612CD">
            <w:pPr>
              <w:widowControl/>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保险费用（运维期内的保险，须含财产一切险、公众责任险、机器损坏险）</w:t>
            </w:r>
          </w:p>
        </w:tc>
      </w:tr>
      <w:tr w14:paraId="196C3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4026" w:type="dxa"/>
            <w:gridSpan w:val="3"/>
            <w:noWrap w:val="0"/>
            <w:vAlign w:val="center"/>
          </w:tcPr>
          <w:p w14:paraId="0CF06D31">
            <w:pPr>
              <w:widowControl/>
              <w:ind w:firstLine="1200" w:firstLineChars="5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小计：</w:t>
            </w:r>
          </w:p>
        </w:tc>
        <w:tc>
          <w:tcPr>
            <w:tcW w:w="5440" w:type="dxa"/>
            <w:gridSpan w:val="7"/>
            <w:noWrap w:val="0"/>
            <w:vAlign w:val="center"/>
          </w:tcPr>
          <w:p w14:paraId="7D82835D">
            <w:pPr>
              <w:widowControl/>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Cs/>
                <w:color w:val="auto"/>
                <w:kern w:val="2"/>
                <w:sz w:val="24"/>
                <w:szCs w:val="24"/>
                <w:highlight w:val="none"/>
                <w:u w:val="single"/>
                <w:lang w:val="en-US" w:eastAsia="zh-CN" w:bidi="ar-SA"/>
              </w:rPr>
              <w:t>490500</w:t>
            </w:r>
            <w:r>
              <w:rPr>
                <w:rFonts w:hint="eastAsia" w:ascii="仿宋" w:hAnsi="仿宋" w:eastAsia="仿宋" w:cs="仿宋"/>
                <w:color w:val="auto"/>
                <w:sz w:val="24"/>
                <w:szCs w:val="24"/>
                <w:highlight w:val="none"/>
                <w:lang w:val="zh-CN"/>
              </w:rPr>
              <w:t>元（大写：</w:t>
            </w:r>
            <w:r>
              <w:rPr>
                <w:rFonts w:hint="eastAsia" w:ascii="仿宋" w:hAnsi="仿宋" w:eastAsia="仿宋" w:cs="仿宋"/>
                <w:color w:val="auto"/>
                <w:sz w:val="24"/>
                <w:szCs w:val="24"/>
                <w:highlight w:val="none"/>
                <w:lang w:val="en-US" w:eastAsia="zh-CN"/>
              </w:rPr>
              <w:t>肆拾玖万零伍佰</w:t>
            </w:r>
            <w:r>
              <w:rPr>
                <w:rFonts w:hint="eastAsia" w:ascii="仿宋" w:hAnsi="仿宋" w:eastAsia="仿宋" w:cs="仿宋"/>
                <w:color w:val="auto"/>
                <w:sz w:val="24"/>
                <w:szCs w:val="24"/>
                <w:highlight w:val="none"/>
                <w:lang w:val="zh-CN"/>
              </w:rPr>
              <w:t>元整）</w:t>
            </w:r>
          </w:p>
        </w:tc>
      </w:tr>
      <w:tr w14:paraId="74CD5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9466" w:type="dxa"/>
            <w:gridSpan w:val="10"/>
            <w:noWrap w:val="0"/>
            <w:vAlign w:val="center"/>
          </w:tcPr>
          <w:p w14:paraId="3AB12CD3">
            <w:pPr>
              <w:widowControl/>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pacing w:val="4"/>
                <w:kern w:val="0"/>
                <w:sz w:val="24"/>
                <w:szCs w:val="24"/>
                <w:highlight w:val="none"/>
                <w:u w:val="single"/>
                <w:lang w:val="en-US" w:eastAsia="zh-CN"/>
              </w:rPr>
              <w:t>应急响应费（含应急演练费）</w:t>
            </w:r>
          </w:p>
        </w:tc>
      </w:tr>
      <w:tr w14:paraId="03A96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4026" w:type="dxa"/>
            <w:gridSpan w:val="3"/>
            <w:noWrap w:val="0"/>
            <w:vAlign w:val="center"/>
          </w:tcPr>
          <w:p w14:paraId="4C01708F">
            <w:pPr>
              <w:widowControl/>
              <w:ind w:firstLine="1200" w:firstLineChars="500"/>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五</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小</w:t>
            </w:r>
            <w:r>
              <w:rPr>
                <w:rFonts w:hint="eastAsia" w:ascii="仿宋" w:hAnsi="仿宋" w:eastAsia="仿宋" w:cs="仿宋"/>
                <w:color w:val="auto"/>
                <w:kern w:val="0"/>
                <w:sz w:val="24"/>
                <w:szCs w:val="24"/>
                <w:highlight w:val="none"/>
                <w:lang w:eastAsia="zh-CN"/>
              </w:rPr>
              <w:t>计：</w:t>
            </w:r>
          </w:p>
        </w:tc>
        <w:tc>
          <w:tcPr>
            <w:tcW w:w="5440" w:type="dxa"/>
            <w:gridSpan w:val="7"/>
            <w:noWrap w:val="0"/>
            <w:vAlign w:val="center"/>
          </w:tcPr>
          <w:p w14:paraId="10214283">
            <w:pPr>
              <w:widowControl/>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highlight w:val="none"/>
                <w:u w:val="single"/>
                <w:lang w:val="en-US" w:eastAsia="zh-CN" w:bidi="ar-SA"/>
              </w:rPr>
              <w:t>168950</w:t>
            </w:r>
            <w:r>
              <w:rPr>
                <w:rFonts w:hint="eastAsia" w:ascii="仿宋" w:hAnsi="仿宋" w:eastAsia="仿宋" w:cs="仿宋"/>
                <w:color w:val="auto"/>
                <w:sz w:val="24"/>
                <w:szCs w:val="24"/>
                <w:highlight w:val="none"/>
                <w:lang w:val="zh-CN"/>
              </w:rPr>
              <w:t>元（大写：</w:t>
            </w:r>
            <w:r>
              <w:rPr>
                <w:rFonts w:hint="eastAsia" w:ascii="仿宋" w:hAnsi="仿宋" w:eastAsia="仿宋" w:cs="仿宋"/>
                <w:color w:val="auto"/>
                <w:sz w:val="24"/>
                <w:szCs w:val="24"/>
                <w:highlight w:val="none"/>
                <w:lang w:val="en-US" w:eastAsia="zh-CN"/>
              </w:rPr>
              <w:t>壹拾陆万捌仟玖佰伍拾</w:t>
            </w:r>
            <w:bookmarkStart w:id="295" w:name="_GoBack"/>
            <w:bookmarkEnd w:id="295"/>
            <w:r>
              <w:rPr>
                <w:rFonts w:hint="eastAsia" w:ascii="仿宋" w:hAnsi="仿宋" w:eastAsia="仿宋" w:cs="仿宋"/>
                <w:color w:val="auto"/>
                <w:sz w:val="24"/>
                <w:szCs w:val="24"/>
                <w:highlight w:val="none"/>
                <w:lang w:val="zh-CN"/>
              </w:rPr>
              <w:t>元整）</w:t>
            </w:r>
          </w:p>
        </w:tc>
      </w:tr>
      <w:tr w14:paraId="249AD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466" w:type="dxa"/>
            <w:gridSpan w:val="10"/>
            <w:noWrap w:val="0"/>
            <w:vAlign w:val="center"/>
          </w:tcPr>
          <w:p w14:paraId="605A5587">
            <w:pPr>
              <w:widowControl/>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总报价</w:t>
            </w:r>
            <w:r>
              <w:rPr>
                <w:rFonts w:hint="eastAsia" w:ascii="仿宋" w:hAnsi="仿宋" w:eastAsia="仿宋" w:cs="仿宋"/>
                <w:color w:val="auto"/>
                <w:sz w:val="24"/>
                <w:szCs w:val="24"/>
                <w:highlight w:val="none"/>
                <w:lang w:val="en-US" w:eastAsia="zh-CN"/>
              </w:rPr>
              <w:t>合计</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+（二）+（三）+</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 xml:space="preserve">元（大写：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 xml:space="preserve"> 元整）</w:t>
            </w:r>
          </w:p>
        </w:tc>
      </w:tr>
    </w:tbl>
    <w:p w14:paraId="198E7B8D">
      <w:pPr>
        <w:widowControl/>
        <w:rPr>
          <w:rFonts w:hint="eastAsia" w:ascii="仿宋" w:hAnsi="仿宋" w:eastAsia="仿宋" w:cs="仿宋"/>
          <w:bCs/>
          <w:color w:val="auto"/>
          <w:kern w:val="2"/>
          <w:sz w:val="24"/>
          <w:szCs w:val="24"/>
          <w:highlight w:val="none"/>
          <w:lang w:val="zh-CN" w:eastAsia="zh-CN" w:bidi="ar-SA"/>
        </w:rPr>
      </w:pPr>
      <w:r>
        <w:rPr>
          <w:rFonts w:hint="eastAsia" w:ascii="仿宋" w:hAnsi="仿宋" w:eastAsia="仿宋" w:cs="仿宋"/>
          <w:bCs/>
          <w:color w:val="auto"/>
          <w:kern w:val="2"/>
          <w:sz w:val="24"/>
          <w:szCs w:val="24"/>
          <w:highlight w:val="none"/>
          <w:lang w:val="zh-CN" w:eastAsia="zh-CN" w:bidi="ar-SA"/>
        </w:rPr>
        <w:t>说明：</w:t>
      </w:r>
    </w:p>
    <w:p w14:paraId="0B6DBA8E">
      <w:pPr>
        <w:widowControl/>
        <w:ind w:firstLine="480" w:firstLineChars="200"/>
        <w:rPr>
          <w:rFonts w:hint="eastAsia" w:ascii="仿宋" w:hAnsi="仿宋" w:eastAsia="仿宋" w:cs="仿宋"/>
          <w:bCs/>
          <w:color w:val="auto"/>
          <w:kern w:val="2"/>
          <w:sz w:val="24"/>
          <w:szCs w:val="24"/>
          <w:highlight w:val="none"/>
          <w:lang w:val="zh-CN" w:eastAsia="zh-CN" w:bidi="ar-SA"/>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kern w:val="2"/>
          <w:sz w:val="24"/>
          <w:szCs w:val="24"/>
          <w:highlight w:val="none"/>
          <w:lang w:val="zh-CN" w:eastAsia="zh-CN" w:bidi="ar-SA"/>
        </w:rPr>
        <w:t>管廊与隧道运维产生的水电费，主体结构检测费，设施设备大中修及设备更新改造、控制中心系统升级更新等费用不在报价范围内。除上述费用外，投标人的报价中应包括人工费、服装及工具配备、材料费、机械设备使用费、常规设备维修费、检测与监测费、安全生产费用、保险费用、应急响应及演练、管理经费、</w:t>
      </w:r>
      <w:r>
        <w:rPr>
          <w:rFonts w:hint="eastAsia" w:ascii="仿宋" w:hAnsi="仿宋" w:eastAsia="仿宋" w:cs="仿宋"/>
          <w:bCs/>
          <w:color w:val="auto"/>
          <w:kern w:val="2"/>
          <w:sz w:val="24"/>
          <w:szCs w:val="24"/>
          <w:highlight w:val="none"/>
          <w:lang w:val="en-US" w:eastAsia="zh-CN" w:bidi="ar-SA"/>
        </w:rPr>
        <w:t>无线电频率占用费、</w:t>
      </w:r>
      <w:r>
        <w:rPr>
          <w:rFonts w:hint="eastAsia" w:ascii="仿宋" w:hAnsi="仿宋" w:eastAsia="仿宋" w:cs="仿宋"/>
          <w:bCs/>
          <w:color w:val="auto"/>
          <w:kern w:val="2"/>
          <w:sz w:val="24"/>
          <w:szCs w:val="24"/>
          <w:highlight w:val="none"/>
          <w:lang w:val="zh-CN" w:eastAsia="zh-CN" w:bidi="ar-SA"/>
        </w:rPr>
        <w:t>税费、规费、利润等完成本项目的所有费用。如有漏项，由投标人自行承担；上述单价不因市场价格因素的变化而调整。</w:t>
      </w:r>
    </w:p>
    <w:p w14:paraId="6576D6F5">
      <w:pPr>
        <w:widowControl/>
        <w:ind w:firstLine="480" w:firstLineChars="200"/>
        <w:rPr>
          <w:rFonts w:hint="eastAsia" w:ascii="仿宋" w:hAnsi="仿宋" w:eastAsia="仿宋" w:cs="仿宋"/>
          <w:bCs/>
          <w:color w:val="auto"/>
          <w:kern w:val="2"/>
          <w:sz w:val="24"/>
          <w:szCs w:val="24"/>
          <w:highlight w:val="none"/>
          <w:lang w:val="zh-CN" w:eastAsia="zh-CN" w:bidi="ar-SA"/>
        </w:rPr>
      </w:pPr>
      <w:r>
        <w:rPr>
          <w:rFonts w:hint="eastAsia" w:ascii="仿宋" w:hAnsi="仿宋" w:eastAsia="仿宋" w:cs="仿宋"/>
          <w:bCs/>
          <w:color w:val="auto"/>
          <w:kern w:val="2"/>
          <w:sz w:val="24"/>
          <w:szCs w:val="24"/>
          <w:highlight w:val="none"/>
          <w:lang w:val="zh-CN" w:eastAsia="zh-CN" w:bidi="ar-SA"/>
        </w:rPr>
        <w:t>2.保险费用的投标报价（</w:t>
      </w:r>
      <w:r>
        <w:rPr>
          <w:rFonts w:hint="eastAsia" w:ascii="仿宋" w:hAnsi="仿宋" w:eastAsia="仿宋" w:cs="仿宋"/>
          <w:bCs/>
          <w:color w:val="auto"/>
          <w:kern w:val="2"/>
          <w:sz w:val="24"/>
          <w:szCs w:val="24"/>
          <w:highlight w:val="none"/>
          <w:u w:val="single"/>
          <w:lang w:val="en-US" w:eastAsia="zh-CN" w:bidi="ar-SA"/>
        </w:rPr>
        <w:t xml:space="preserve"> 490500 </w:t>
      </w:r>
      <w:r>
        <w:rPr>
          <w:rFonts w:hint="eastAsia" w:ascii="仿宋" w:hAnsi="仿宋" w:eastAsia="仿宋" w:cs="仿宋"/>
          <w:bCs/>
          <w:color w:val="auto"/>
          <w:kern w:val="2"/>
          <w:sz w:val="24"/>
          <w:szCs w:val="24"/>
          <w:highlight w:val="none"/>
          <w:lang w:val="zh-CN" w:eastAsia="zh-CN" w:bidi="ar-SA"/>
        </w:rPr>
        <w:t>元）为暂定价格，不列入竞争报价，投标人填写时不得修改，否则做无效报价处理。保险须包含财产一切险、公众责任险、机器损坏险等。保险费的方案须经采购人审核同意后方可实施，费用按实结算。否则由投标人自行承担全部费用。</w:t>
      </w:r>
    </w:p>
    <w:p w14:paraId="1FBB47C2">
      <w:pPr>
        <w:widowControl/>
        <w:ind w:firstLine="480" w:firstLineChars="200"/>
        <w:rPr>
          <w:rFonts w:hint="eastAsia" w:ascii="仿宋" w:hAnsi="仿宋" w:eastAsia="仿宋" w:cs="仿宋"/>
          <w:bCs/>
          <w:color w:val="auto"/>
          <w:kern w:val="2"/>
          <w:sz w:val="24"/>
          <w:szCs w:val="24"/>
          <w:highlight w:val="none"/>
          <w:lang w:val="zh-CN" w:eastAsia="zh-CN" w:bidi="ar-SA"/>
        </w:rPr>
      </w:pPr>
      <w:r>
        <w:rPr>
          <w:rFonts w:hint="eastAsia" w:ascii="仿宋" w:hAnsi="仿宋" w:eastAsia="仿宋" w:cs="仿宋"/>
          <w:bCs/>
          <w:color w:val="auto"/>
          <w:kern w:val="2"/>
          <w:sz w:val="24"/>
          <w:szCs w:val="24"/>
          <w:highlight w:val="none"/>
          <w:lang w:val="en-US" w:eastAsia="zh-CN" w:bidi="ar-SA"/>
        </w:rPr>
        <w:t>3.</w:t>
      </w:r>
      <w:r>
        <w:rPr>
          <w:rFonts w:hint="eastAsia" w:ascii="仿宋" w:hAnsi="仿宋" w:eastAsia="仿宋" w:cs="仿宋"/>
          <w:bCs/>
          <w:color w:val="auto"/>
          <w:kern w:val="2"/>
          <w:sz w:val="24"/>
          <w:szCs w:val="24"/>
          <w:highlight w:val="none"/>
          <w:lang w:val="zh-CN" w:eastAsia="zh-CN" w:bidi="ar-SA"/>
        </w:rPr>
        <w:t>▲若发生不可抗力的自然灾害，以政府及相关主管部门发文的等级为准，应急响应在Ⅰ级以下的应急响应费已含于运维服务费中；发生等级为Ⅰ级的，应急响应费（</w:t>
      </w:r>
      <w:r>
        <w:rPr>
          <w:rFonts w:hint="eastAsia" w:ascii="仿宋" w:hAnsi="仿宋" w:eastAsia="仿宋" w:cs="仿宋"/>
          <w:bCs/>
          <w:color w:val="auto"/>
          <w:kern w:val="2"/>
          <w:sz w:val="24"/>
          <w:szCs w:val="24"/>
          <w:highlight w:val="none"/>
          <w:u w:val="single"/>
          <w:lang w:val="en-US" w:eastAsia="zh-CN" w:bidi="ar-SA"/>
        </w:rPr>
        <w:t xml:space="preserve"> 168950 </w:t>
      </w:r>
      <w:r>
        <w:rPr>
          <w:rFonts w:hint="eastAsia" w:ascii="仿宋" w:hAnsi="仿宋" w:eastAsia="仿宋" w:cs="仿宋"/>
          <w:bCs/>
          <w:color w:val="auto"/>
          <w:kern w:val="2"/>
          <w:sz w:val="24"/>
          <w:szCs w:val="24"/>
          <w:highlight w:val="none"/>
          <w:lang w:val="en-US" w:eastAsia="zh-CN" w:bidi="ar-SA"/>
        </w:rPr>
        <w:t>元</w:t>
      </w:r>
      <w:r>
        <w:rPr>
          <w:rFonts w:hint="eastAsia" w:ascii="仿宋" w:hAnsi="仿宋" w:eastAsia="仿宋" w:cs="仿宋"/>
          <w:bCs/>
          <w:color w:val="auto"/>
          <w:kern w:val="2"/>
          <w:sz w:val="24"/>
          <w:szCs w:val="24"/>
          <w:highlight w:val="none"/>
          <w:lang w:val="zh-CN" w:eastAsia="zh-CN" w:bidi="ar-SA"/>
        </w:rPr>
        <w:t>）为暂定价格，不列入竞争报价，投标人填写时不得修改，否则做无效报价处理。后续实施方案经采购人审核同意后方可实施，费用按实结算。否则由投标人自行承担全部费用。</w:t>
      </w:r>
    </w:p>
    <w:p w14:paraId="5554CE8E">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p>
    <w:p w14:paraId="3CD2CB6E">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供应商全称（盖章或电子签章）：</w:t>
      </w:r>
    </w:p>
    <w:p w14:paraId="49E3F083">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法定代表人或其授权代表（签字或盖章或电子签章）：</w:t>
      </w:r>
    </w:p>
    <w:p w14:paraId="26FC293B">
      <w:pPr>
        <w:keepNext w:val="0"/>
        <w:keepLines w:val="0"/>
        <w:pageBreakBefore w:val="0"/>
        <w:widowControl w:val="0"/>
        <w:kinsoku/>
        <w:wordWrap/>
        <w:topLinePunct w:val="0"/>
        <w:autoSpaceDE/>
        <w:autoSpaceDN/>
        <w:bidi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p w14:paraId="6B35FB3E">
      <w:pPr>
        <w:keepNext w:val="0"/>
        <w:keepLines w:val="0"/>
        <w:pageBreakBefore w:val="0"/>
        <w:kinsoku/>
        <w:wordWrap/>
        <w:overflowPunct/>
        <w:topLinePunct w:val="0"/>
        <w:autoSpaceDE/>
        <w:autoSpaceDN/>
        <w:bidi w:val="0"/>
        <w:spacing w:line="288" w:lineRule="auto"/>
        <w:rPr>
          <w:rFonts w:hint="eastAsia" w:ascii="仿宋" w:hAnsi="仿宋" w:eastAsia="仿宋" w:cs="仿宋"/>
          <w:color w:val="auto"/>
          <w:sz w:val="24"/>
          <w:szCs w:val="24"/>
          <w:highlight w:val="none"/>
        </w:rPr>
      </w:pPr>
    </w:p>
    <w:p w14:paraId="2F991E77">
      <w:pPr>
        <w:keepNext w:val="0"/>
        <w:keepLines w:val="0"/>
        <w:pageBreakBefore w:val="0"/>
        <w:kinsoku/>
        <w:wordWrap/>
        <w:overflowPunct/>
        <w:topLinePunct w:val="0"/>
        <w:autoSpaceDE/>
        <w:autoSpaceDN/>
        <w:bidi w:val="0"/>
        <w:spacing w:line="288" w:lineRule="auto"/>
        <w:rPr>
          <w:rFonts w:hint="eastAsia" w:ascii="仿宋" w:hAnsi="仿宋" w:eastAsia="仿宋" w:cs="仿宋"/>
          <w:color w:val="auto"/>
          <w:sz w:val="24"/>
          <w:szCs w:val="24"/>
          <w:highlight w:val="none"/>
        </w:rPr>
      </w:pPr>
    </w:p>
    <w:p w14:paraId="62BDC135">
      <w:pPr>
        <w:pStyle w:val="9"/>
        <w:rPr>
          <w:rFonts w:hint="eastAsia" w:ascii="仿宋" w:hAnsi="仿宋" w:eastAsia="仿宋" w:cs="仿宋"/>
          <w:color w:val="auto"/>
          <w:sz w:val="24"/>
          <w:szCs w:val="24"/>
          <w:highlight w:val="none"/>
        </w:rPr>
      </w:pPr>
    </w:p>
    <w:p w14:paraId="54226C73">
      <w:pPr>
        <w:rPr>
          <w:rFonts w:hint="eastAsia" w:ascii="仿宋" w:hAnsi="仿宋" w:eastAsia="仿宋" w:cs="仿宋"/>
          <w:color w:val="auto"/>
          <w:sz w:val="24"/>
          <w:szCs w:val="24"/>
          <w:highlight w:val="none"/>
        </w:rPr>
      </w:pPr>
    </w:p>
    <w:p w14:paraId="2B98C5B8">
      <w:pPr>
        <w:pStyle w:val="9"/>
        <w:rPr>
          <w:rFonts w:hint="eastAsia" w:ascii="仿宋" w:hAnsi="仿宋" w:eastAsia="仿宋" w:cs="仿宋"/>
          <w:color w:val="auto"/>
          <w:sz w:val="24"/>
          <w:szCs w:val="24"/>
          <w:highlight w:val="none"/>
        </w:rPr>
      </w:pPr>
    </w:p>
    <w:p w14:paraId="5D52C3AC">
      <w:pPr>
        <w:rPr>
          <w:rFonts w:hint="eastAsia" w:ascii="仿宋" w:hAnsi="仿宋" w:eastAsia="仿宋" w:cs="仿宋"/>
          <w:color w:val="auto"/>
          <w:sz w:val="24"/>
          <w:szCs w:val="24"/>
          <w:highlight w:val="none"/>
        </w:rPr>
      </w:pPr>
    </w:p>
    <w:p w14:paraId="68F8149D">
      <w:pPr>
        <w:pStyle w:val="9"/>
        <w:rPr>
          <w:rFonts w:hint="eastAsia" w:ascii="仿宋" w:hAnsi="仿宋" w:eastAsia="仿宋" w:cs="仿宋"/>
          <w:color w:val="auto"/>
          <w:sz w:val="24"/>
          <w:szCs w:val="24"/>
          <w:highlight w:val="none"/>
        </w:rPr>
      </w:pPr>
    </w:p>
    <w:p w14:paraId="079DC12D">
      <w:pPr>
        <w:pStyle w:val="6"/>
        <w:pageBreakBefore/>
        <w:kinsoku/>
        <w:wordWrap/>
        <w:overflowPunct/>
        <w:topLinePunct w:val="0"/>
        <w:autoSpaceDE/>
        <w:autoSpaceDN/>
        <w:bidi w:val="0"/>
        <w:adjustRightInd/>
        <w:spacing w:line="288" w:lineRule="auto"/>
        <w:jc w:val="center"/>
        <w:textAlignment w:val="auto"/>
        <w:rPr>
          <w:rFonts w:hint="eastAsia" w:ascii="仿宋" w:hAnsi="仿宋" w:eastAsia="仿宋" w:cs="仿宋"/>
          <w:color w:val="auto"/>
          <w:sz w:val="28"/>
          <w:szCs w:val="28"/>
          <w:highlight w:val="none"/>
          <w:lang w:val="zh-CN"/>
        </w:rPr>
      </w:pPr>
      <w:bookmarkStart w:id="266" w:name="_Toc4749"/>
      <w:bookmarkStart w:id="267" w:name="_Toc16262"/>
      <w:bookmarkStart w:id="268" w:name="_Toc2416"/>
      <w:bookmarkStart w:id="269" w:name="_Toc13915"/>
      <w:r>
        <w:rPr>
          <w:rFonts w:hint="eastAsia" w:ascii="仿宋" w:hAnsi="仿宋" w:eastAsia="仿宋" w:cs="仿宋"/>
          <w:color w:val="auto"/>
          <w:sz w:val="28"/>
          <w:szCs w:val="28"/>
          <w:highlight w:val="none"/>
          <w:lang w:val="zh-CN"/>
        </w:rPr>
        <w:t>第六章</w:t>
      </w:r>
      <w:r>
        <w:rPr>
          <w:rFonts w:hint="eastAsia" w:ascii="仿宋" w:hAnsi="仿宋" w:eastAsia="仿宋" w:cs="仿宋"/>
          <w:color w:val="auto"/>
          <w:sz w:val="28"/>
          <w:szCs w:val="28"/>
          <w:highlight w:val="none"/>
        </w:rPr>
        <w:t xml:space="preserve">  </w:t>
      </w:r>
      <w:r>
        <w:rPr>
          <w:rFonts w:hint="eastAsia" w:ascii="仿宋" w:hAnsi="仿宋" w:eastAsia="仿宋" w:cs="仿宋"/>
          <w:color w:val="auto"/>
          <w:sz w:val="28"/>
          <w:szCs w:val="28"/>
          <w:highlight w:val="none"/>
          <w:lang w:val="zh-CN"/>
        </w:rPr>
        <w:t>评标办法及开标程序</w:t>
      </w:r>
      <w:bookmarkEnd w:id="266"/>
      <w:bookmarkEnd w:id="267"/>
      <w:bookmarkEnd w:id="268"/>
      <w:bookmarkEnd w:id="269"/>
      <w:bookmarkStart w:id="270" w:name="_Toc27912"/>
      <w:bookmarkStart w:id="271" w:name="_Toc185"/>
      <w:bookmarkStart w:id="272" w:name="_Toc9554"/>
      <w:bookmarkStart w:id="273" w:name="_Toc476644268"/>
    </w:p>
    <w:p w14:paraId="6DD96E3C">
      <w:pPr>
        <w:rPr>
          <w:rFonts w:hint="eastAsia" w:ascii="仿宋" w:hAnsi="仿宋" w:eastAsia="仿宋" w:cs="仿宋"/>
          <w:color w:val="auto"/>
          <w:highlight w:val="none"/>
        </w:rPr>
      </w:pPr>
    </w:p>
    <w:p w14:paraId="19D446B8">
      <w:pPr>
        <w:keepNext w:val="0"/>
        <w:keepLines w:val="0"/>
        <w:pageBreakBefore w:val="0"/>
        <w:widowControl/>
        <w:kinsoku/>
        <w:wordWrap/>
        <w:overflowPunct/>
        <w:topLinePunct w:val="0"/>
        <w:autoSpaceDE/>
        <w:autoSpaceDN/>
        <w:bidi w:val="0"/>
        <w:adjustRightInd/>
        <w:snapToGrid w:val="0"/>
        <w:spacing w:before="156" w:beforeLines="50" w:after="156" w:afterLines="50" w:line="288" w:lineRule="auto"/>
        <w:ind w:firstLine="480" w:firstLineChars="200"/>
        <w:textAlignment w:val="auto"/>
        <w:outlineLvl w:val="1"/>
        <w:rPr>
          <w:rFonts w:hint="eastAsia" w:ascii="仿宋" w:hAnsi="仿宋" w:eastAsia="仿宋" w:cs="仿宋"/>
          <w:color w:val="auto"/>
          <w:sz w:val="24"/>
          <w:szCs w:val="24"/>
          <w:highlight w:val="none"/>
        </w:rPr>
      </w:pPr>
      <w:bookmarkStart w:id="274" w:name="_Toc26885"/>
      <w:r>
        <w:rPr>
          <w:rFonts w:hint="eastAsia" w:ascii="仿宋" w:hAnsi="仿宋" w:eastAsia="仿宋" w:cs="仿宋"/>
          <w:color w:val="auto"/>
          <w:sz w:val="24"/>
          <w:szCs w:val="24"/>
          <w:highlight w:val="none"/>
        </w:rPr>
        <w:t>一、评标原则</w:t>
      </w:r>
      <w:bookmarkEnd w:id="270"/>
      <w:bookmarkEnd w:id="271"/>
      <w:bookmarkEnd w:id="272"/>
      <w:bookmarkEnd w:id="274"/>
    </w:p>
    <w:p w14:paraId="0F1E7F7A">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工作遵循公平、公正、科学、择优原则和诚实、信誉、效率的服务原则。本着科学、严谨的态度，认真进行评标。择优选用，推进技术进步，确保服务质量、交货按期，节约投资，最大限度的保护当事人权益。严格按照招标文件的资格审查文件、商务技术文件、报价文件要求，对投标文件进行综合评定，提出优选方案，编写评标报告。对落标单位，评委会不做任何落标解释。投标人不得以任何方式干扰招投标工作的进行，一经发现，其投标文件将被拒绝。</w:t>
      </w:r>
      <w:bookmarkStart w:id="275" w:name="_Toc7988"/>
      <w:bookmarkStart w:id="276" w:name="_Toc21777"/>
      <w:bookmarkStart w:id="277" w:name="_Toc15574"/>
      <w:bookmarkStart w:id="278" w:name="_Toc17048"/>
    </w:p>
    <w:p w14:paraId="0ED73DD7">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二、评标组织</w:t>
      </w:r>
      <w:bookmarkEnd w:id="275"/>
      <w:bookmarkEnd w:id="276"/>
      <w:bookmarkEnd w:id="277"/>
      <w:bookmarkEnd w:id="278"/>
    </w:p>
    <w:p w14:paraId="1E7E38C6">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1.评标工作由招标代理机构负责组织，具体评标事务由评标委员会负责。评标委员会由有关技术等方面的</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名专家组成。其中采购人代表不得超过</w:t>
      </w:r>
      <w:r>
        <w:rPr>
          <w:rFonts w:hint="eastAsia" w:ascii="仿宋" w:hAnsi="仿宋" w:eastAsia="仿宋" w:cs="仿宋"/>
          <w:color w:val="auto"/>
          <w:sz w:val="24"/>
          <w:szCs w:val="24"/>
          <w:highlight w:val="none"/>
          <w:lang w:val="en-US" w:eastAsia="zh-CN"/>
        </w:rPr>
        <w:t>2名</w:t>
      </w:r>
      <w:r>
        <w:rPr>
          <w:rFonts w:hint="eastAsia" w:ascii="仿宋" w:hAnsi="仿宋" w:eastAsia="仿宋" w:cs="仿宋"/>
          <w:color w:val="auto"/>
          <w:sz w:val="24"/>
          <w:szCs w:val="24"/>
          <w:highlight w:val="none"/>
        </w:rPr>
        <w:t>且不能担任评标委员会组长，相关专家不少于成员总数的2/3。</w:t>
      </w:r>
    </w:p>
    <w:p w14:paraId="33887C37">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2.询标期间，投标人法人代表或法人授权代理人必须在场，负责解答有关事宜。如不在场，则事后不得对招标过程及结果提出异议。</w:t>
      </w:r>
    </w:p>
    <w:p w14:paraId="19A44DEC">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outlineLvl w:val="1"/>
        <w:rPr>
          <w:rFonts w:hint="eastAsia" w:ascii="仿宋" w:hAnsi="仿宋" w:eastAsia="仿宋" w:cs="仿宋"/>
          <w:color w:val="auto"/>
          <w:sz w:val="24"/>
          <w:szCs w:val="24"/>
          <w:highlight w:val="none"/>
        </w:rPr>
      </w:pPr>
      <w:bookmarkStart w:id="279" w:name="_Toc32336"/>
      <w:bookmarkStart w:id="280" w:name="_Toc11138"/>
      <w:bookmarkStart w:id="281" w:name="_Toc10583"/>
      <w:bookmarkStart w:id="282" w:name="_Toc25931"/>
      <w:r>
        <w:rPr>
          <w:rFonts w:hint="eastAsia" w:ascii="仿宋" w:hAnsi="仿宋" w:eastAsia="仿宋" w:cs="仿宋"/>
          <w:color w:val="auto"/>
          <w:sz w:val="24"/>
          <w:szCs w:val="24"/>
          <w:highlight w:val="none"/>
        </w:rPr>
        <w:t>三、评标程序</w:t>
      </w:r>
      <w:bookmarkEnd w:id="279"/>
      <w:bookmarkEnd w:id="280"/>
      <w:bookmarkEnd w:id="281"/>
      <w:bookmarkEnd w:id="282"/>
    </w:p>
    <w:p w14:paraId="0D3E19EC">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对各投标人的投标资格审查文件进行审查；然后对合格投标人的商务技术文件进行评审；商务技术文件评审结束后即公布投标人商务技术得分情况，之后开报价文件；对报价文件评审后，根据综合评审结果，提交评审报告。</w:t>
      </w:r>
    </w:p>
    <w:p w14:paraId="321AC352">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outlineLvl w:val="1"/>
        <w:rPr>
          <w:rFonts w:hint="eastAsia" w:ascii="仿宋" w:hAnsi="仿宋" w:eastAsia="仿宋" w:cs="仿宋"/>
          <w:color w:val="auto"/>
          <w:sz w:val="24"/>
          <w:szCs w:val="24"/>
          <w:highlight w:val="none"/>
        </w:rPr>
      </w:pPr>
      <w:bookmarkStart w:id="283" w:name="_Toc1990"/>
      <w:bookmarkStart w:id="284" w:name="_Toc22388"/>
      <w:bookmarkStart w:id="285" w:name="_Toc2637"/>
      <w:bookmarkStart w:id="286" w:name="_Toc10496"/>
      <w:r>
        <w:rPr>
          <w:rFonts w:hint="eastAsia" w:ascii="仿宋" w:hAnsi="仿宋" w:eastAsia="仿宋" w:cs="仿宋"/>
          <w:color w:val="auto"/>
          <w:sz w:val="24"/>
          <w:szCs w:val="24"/>
          <w:highlight w:val="none"/>
        </w:rPr>
        <w:t>四、评标办法</w:t>
      </w:r>
      <w:bookmarkEnd w:id="283"/>
      <w:bookmarkEnd w:id="284"/>
      <w:bookmarkEnd w:id="285"/>
      <w:bookmarkEnd w:id="286"/>
    </w:p>
    <w:p w14:paraId="0E35F047">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本次招标的评标办法采用百分制综合评分法。根据本项目招标文件的要求，按照本办法规定的内容和分值设置，资格审查采用合格制，商务技术分为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分，价格分为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分，对投标人的投标文件中的商务技术、报价等内容进行评分，最终得出综合得分。</w:t>
      </w:r>
    </w:p>
    <w:p w14:paraId="5CF15575">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outlineLvl w:val="1"/>
        <w:rPr>
          <w:rFonts w:hint="eastAsia" w:ascii="仿宋" w:hAnsi="仿宋" w:eastAsia="仿宋" w:cs="仿宋"/>
          <w:color w:val="auto"/>
          <w:sz w:val="24"/>
          <w:szCs w:val="24"/>
          <w:highlight w:val="none"/>
        </w:rPr>
      </w:pPr>
      <w:bookmarkStart w:id="287" w:name="_Toc22657"/>
      <w:bookmarkStart w:id="288" w:name="_Toc6549"/>
      <w:bookmarkStart w:id="289" w:name="_Toc28686"/>
      <w:bookmarkStart w:id="290" w:name="_Toc13906"/>
      <w:r>
        <w:rPr>
          <w:rFonts w:hint="eastAsia" w:ascii="仿宋" w:hAnsi="仿宋" w:eastAsia="仿宋" w:cs="仿宋"/>
          <w:color w:val="auto"/>
          <w:sz w:val="24"/>
          <w:szCs w:val="24"/>
          <w:highlight w:val="none"/>
        </w:rPr>
        <w:t>五、评分原则</w:t>
      </w:r>
      <w:bookmarkEnd w:id="287"/>
      <w:bookmarkEnd w:id="288"/>
      <w:bookmarkEnd w:id="289"/>
      <w:bookmarkEnd w:id="290"/>
    </w:p>
    <w:p w14:paraId="672C0162">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（一）商务技术评分（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80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分）</w:t>
      </w:r>
    </w:p>
    <w:p w14:paraId="4963870A">
      <w:pPr>
        <w:keepNext w:val="0"/>
        <w:keepLines w:val="0"/>
        <w:pageBreakBefore w:val="0"/>
        <w:widowControl/>
        <w:kinsoku/>
        <w:wordWrap/>
        <w:overflowPunct/>
        <w:topLinePunct w:val="0"/>
        <w:autoSpaceDE/>
        <w:autoSpaceDN/>
        <w:bidi w:val="0"/>
        <w:adjustRightInd/>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商务技术文件评分的评定由各评委成员按评分细则进行评审打分，每人一张评分计算表，并记名。投标文件各项评分内容由评标委员会成员各自独立评分，如某张表的一个因素项目超过规定的分值范围，则该张表无效。各评标委员会成员对各投标人的各项评分内容评分合计的算术平均值为各投标人最终商务技术文件得分（计算过程中小数点后按四舍五入保留2位）。</w:t>
      </w:r>
    </w:p>
    <w:p w14:paraId="44AA060A">
      <w:pPr>
        <w:pStyle w:val="87"/>
        <w:keepNext w:val="0"/>
        <w:keepLines w:val="0"/>
        <w:pageBreakBefore w:val="0"/>
        <w:kinsoku/>
        <w:wordWrap/>
        <w:overflowPunct/>
        <w:topLinePunct w:val="0"/>
        <w:bidi w:val="0"/>
        <w:spacing w:line="288" w:lineRule="auto"/>
        <w:ind w:left="560" w:leftChars="20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）评分细则</w:t>
      </w:r>
    </w:p>
    <w:bookmarkEnd w:id="273"/>
    <w:tbl>
      <w:tblPr>
        <w:tblStyle w:val="88"/>
        <w:tblW w:w="9417" w:type="dxa"/>
        <w:tblInd w:w="0" w:type="dxa"/>
        <w:tblLayout w:type="fixed"/>
        <w:tblCellMar>
          <w:top w:w="0" w:type="dxa"/>
          <w:left w:w="108" w:type="dxa"/>
          <w:bottom w:w="0" w:type="dxa"/>
          <w:right w:w="108" w:type="dxa"/>
        </w:tblCellMar>
      </w:tblPr>
      <w:tblGrid>
        <w:gridCol w:w="873"/>
        <w:gridCol w:w="1623"/>
        <w:gridCol w:w="5869"/>
        <w:gridCol w:w="1052"/>
      </w:tblGrid>
      <w:tr w14:paraId="2CD02D85">
        <w:tblPrEx>
          <w:tblCellMar>
            <w:top w:w="0" w:type="dxa"/>
            <w:left w:w="108" w:type="dxa"/>
            <w:bottom w:w="0" w:type="dxa"/>
            <w:right w:w="108" w:type="dxa"/>
          </w:tblCellMar>
        </w:tblPrEx>
        <w:trPr>
          <w:trHeight w:val="454" w:hRule="atLeast"/>
        </w:trPr>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14:paraId="38CF5DF9">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b/>
                <w:bCs/>
                <w:color w:val="auto"/>
                <w:kern w:val="0"/>
                <w:sz w:val="24"/>
                <w:szCs w:val="24"/>
                <w:highlight w:val="none"/>
              </w:rPr>
            </w:pPr>
            <w:bookmarkStart w:id="291" w:name="_Toc3034"/>
            <w:bookmarkStart w:id="292" w:name="_Toc8190"/>
            <w:bookmarkStart w:id="293" w:name="_Toc12749"/>
            <w:bookmarkStart w:id="294" w:name="_Toc20996"/>
            <w:r>
              <w:rPr>
                <w:rFonts w:hint="eastAsia" w:ascii="仿宋" w:hAnsi="仿宋" w:eastAsia="仿宋" w:cs="仿宋"/>
                <w:b/>
                <w:bCs/>
                <w:color w:val="auto"/>
                <w:kern w:val="0"/>
                <w:sz w:val="24"/>
                <w:szCs w:val="24"/>
                <w:highlight w:val="none"/>
              </w:rPr>
              <w:t>项目</w:t>
            </w:r>
          </w:p>
        </w:tc>
        <w:tc>
          <w:tcPr>
            <w:tcW w:w="1623" w:type="dxa"/>
            <w:tcBorders>
              <w:top w:val="single" w:color="auto" w:sz="4" w:space="0"/>
              <w:left w:val="nil"/>
              <w:bottom w:val="single" w:color="auto" w:sz="4" w:space="0"/>
              <w:right w:val="single" w:color="auto" w:sz="4" w:space="0"/>
            </w:tcBorders>
            <w:shd w:val="clear" w:color="auto" w:fill="auto"/>
            <w:vAlign w:val="center"/>
          </w:tcPr>
          <w:p w14:paraId="0D084C68">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评分分项</w:t>
            </w:r>
          </w:p>
        </w:tc>
        <w:tc>
          <w:tcPr>
            <w:tcW w:w="5869" w:type="dxa"/>
            <w:tcBorders>
              <w:top w:val="single" w:color="auto" w:sz="4" w:space="0"/>
              <w:left w:val="nil"/>
              <w:bottom w:val="single" w:color="auto" w:sz="4" w:space="0"/>
              <w:right w:val="single" w:color="auto" w:sz="4" w:space="0"/>
            </w:tcBorders>
            <w:shd w:val="clear" w:color="auto" w:fill="auto"/>
            <w:vAlign w:val="center"/>
          </w:tcPr>
          <w:p w14:paraId="4DCB5804">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评细则内容</w:t>
            </w:r>
          </w:p>
        </w:tc>
        <w:tc>
          <w:tcPr>
            <w:tcW w:w="1052" w:type="dxa"/>
            <w:tcBorders>
              <w:top w:val="single" w:color="auto" w:sz="4" w:space="0"/>
              <w:left w:val="nil"/>
              <w:bottom w:val="single" w:color="auto" w:sz="4" w:space="0"/>
              <w:right w:val="single" w:color="auto" w:sz="4" w:space="0"/>
            </w:tcBorders>
            <w:shd w:val="clear" w:color="auto" w:fill="auto"/>
            <w:vAlign w:val="center"/>
          </w:tcPr>
          <w:p w14:paraId="3FE428BE">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分值</w:t>
            </w:r>
          </w:p>
        </w:tc>
      </w:tr>
      <w:tr w14:paraId="4879710D">
        <w:tblPrEx>
          <w:tblCellMar>
            <w:top w:w="0" w:type="dxa"/>
            <w:left w:w="108" w:type="dxa"/>
            <w:bottom w:w="0" w:type="dxa"/>
            <w:right w:w="108" w:type="dxa"/>
          </w:tblCellMar>
        </w:tblPrEx>
        <w:trPr>
          <w:trHeight w:val="454" w:hRule="atLeast"/>
        </w:trPr>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14:paraId="0203AD87">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w:t>
            </w:r>
          </w:p>
        </w:tc>
        <w:tc>
          <w:tcPr>
            <w:tcW w:w="1623" w:type="dxa"/>
            <w:tcBorders>
              <w:top w:val="single" w:color="auto" w:sz="4" w:space="0"/>
              <w:left w:val="single" w:color="auto" w:sz="4" w:space="0"/>
              <w:bottom w:val="single" w:color="auto" w:sz="4" w:space="0"/>
              <w:right w:val="single" w:color="auto" w:sz="4" w:space="0"/>
            </w:tcBorders>
            <w:shd w:val="clear" w:color="auto" w:fill="auto"/>
            <w:vAlign w:val="center"/>
          </w:tcPr>
          <w:p w14:paraId="73014AF7">
            <w:pPr>
              <w:keepNext w:val="0"/>
              <w:keepLines w:val="0"/>
              <w:pageBreakBefore w:val="0"/>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 w:val="0"/>
                <w:i w:val="0"/>
                <w:caps w:val="0"/>
                <w:color w:val="auto"/>
                <w:spacing w:val="0"/>
                <w:w w:val="100"/>
                <w:sz w:val="24"/>
                <w:szCs w:val="24"/>
                <w:highlight w:val="none"/>
                <w:lang w:val="en-US" w:eastAsia="zh-CN"/>
              </w:rPr>
            </w:pPr>
            <w:r>
              <w:rPr>
                <w:rFonts w:hint="eastAsia" w:ascii="仿宋" w:hAnsi="仿宋" w:eastAsia="仿宋" w:cs="仿宋"/>
                <w:b w:val="0"/>
                <w:i w:val="0"/>
                <w:caps w:val="0"/>
                <w:color w:val="auto"/>
                <w:spacing w:val="0"/>
                <w:w w:val="100"/>
                <w:sz w:val="24"/>
                <w:szCs w:val="24"/>
                <w:highlight w:val="none"/>
                <w:lang w:val="en-US" w:eastAsia="zh-CN"/>
              </w:rPr>
              <w:t>项目负责人情况</w:t>
            </w:r>
          </w:p>
          <w:p w14:paraId="62E5DA2D">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【客观分】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11CF6CDF">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投标人拟派至本项目的项目负责具有市政类专业工程师及以上技术职称的得2分，本项最高得2分；</w:t>
            </w:r>
          </w:p>
          <w:p w14:paraId="45DD2405">
            <w:pPr>
              <w:keepNext w:val="0"/>
              <w:keepLines w:val="0"/>
              <w:pageBreakBefore w:val="0"/>
              <w:kinsoku/>
              <w:wordWrap/>
              <w:overflowPunct/>
              <w:topLinePunct w:val="0"/>
              <w:autoSpaceDE/>
              <w:autoSpaceDN/>
              <w:bidi w:val="0"/>
              <w:adjustRightInd/>
              <w:snapToGrid/>
              <w:spacing w:line="360" w:lineRule="exact"/>
              <w:ind w:firstLine="482" w:firstLineChars="200"/>
              <w:textAlignment w:val="auto"/>
              <w:rPr>
                <w:rFonts w:hint="eastAsia" w:ascii="仿宋" w:hAnsi="仿宋" w:eastAsia="仿宋" w:cs="仿宋"/>
                <w:b/>
                <w:bCs/>
                <w:color w:val="auto"/>
                <w:sz w:val="24"/>
                <w:szCs w:val="24"/>
                <w:highlight w:val="none"/>
                <w:lang w:val="en-US" w:eastAsia="zh-CN" w:bidi="ar"/>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1.提供项目负责人</w:t>
            </w:r>
            <w:r>
              <w:rPr>
                <w:rFonts w:hint="eastAsia" w:ascii="仿宋" w:hAnsi="仿宋" w:eastAsia="仿宋" w:cs="仿宋"/>
                <w:b/>
                <w:bCs/>
                <w:color w:val="auto"/>
                <w:sz w:val="24"/>
                <w:szCs w:val="24"/>
                <w:highlight w:val="none"/>
                <w:lang w:val="en-US" w:eastAsia="zh-CN" w:bidi="ar"/>
              </w:rPr>
              <w:t>相关证书以及在该投标单位近六个月（指2024年5月至投标截止时间）</w:t>
            </w:r>
            <w:r>
              <w:rPr>
                <w:rFonts w:hint="eastAsia" w:ascii="仿宋" w:hAnsi="仿宋" w:eastAsia="仿宋" w:cs="仿宋"/>
                <w:b/>
                <w:bCs/>
                <w:color w:val="auto"/>
                <w:sz w:val="24"/>
                <w:szCs w:val="24"/>
                <w:highlight w:val="none"/>
                <w:lang w:eastAsia="zh-CN" w:bidi="ar"/>
              </w:rPr>
              <w:t>中</w:t>
            </w:r>
            <w:r>
              <w:rPr>
                <w:rFonts w:hint="eastAsia" w:ascii="仿宋" w:hAnsi="仿宋" w:eastAsia="仿宋" w:cs="仿宋"/>
                <w:b/>
                <w:bCs/>
                <w:color w:val="auto"/>
                <w:sz w:val="24"/>
                <w:szCs w:val="24"/>
                <w:highlight w:val="none"/>
                <w:lang w:val="en-US" w:eastAsia="zh-CN" w:bidi="ar"/>
              </w:rPr>
              <w:t>任意一月的养老保险缴纳凭证或由社保部门出具的其在该投标单位参保的证明扫材料。上述材料扫描件加盖投标人公章（或电子章）编入商务技术文件，否则不得分。</w:t>
            </w:r>
          </w:p>
          <w:p w14:paraId="7EBC5B12">
            <w:pPr>
              <w:ind w:firstLine="482" w:firstLineChars="200"/>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sz w:val="24"/>
                <w:szCs w:val="24"/>
                <w:highlight w:val="none"/>
                <w:lang w:val="en-US" w:eastAsia="zh-CN"/>
              </w:rPr>
              <w:t>2采购需求中</w:t>
            </w:r>
            <w:r>
              <w:rPr>
                <w:rFonts w:hint="eastAsia" w:ascii="仿宋" w:hAnsi="仿宋" w:eastAsia="仿宋" w:cs="仿宋"/>
                <w:b/>
                <w:bCs/>
                <w:color w:val="auto"/>
                <w:sz w:val="24"/>
                <w:szCs w:val="24"/>
                <w:highlight w:val="none"/>
              </w:rPr>
              <w:t>项目管理层</w:t>
            </w:r>
            <w:r>
              <w:rPr>
                <w:rFonts w:hint="eastAsia" w:ascii="仿宋" w:hAnsi="仿宋" w:eastAsia="仿宋" w:cs="仿宋"/>
                <w:b/>
                <w:bCs/>
                <w:color w:val="auto"/>
                <w:sz w:val="24"/>
                <w:szCs w:val="24"/>
                <w:highlight w:val="none"/>
                <w:lang w:val="en-US" w:eastAsia="zh-CN"/>
              </w:rPr>
              <w:t>人员（项目负责人、</w:t>
            </w:r>
            <w:r>
              <w:rPr>
                <w:rFonts w:hint="eastAsia" w:ascii="仿宋" w:hAnsi="仿宋" w:eastAsia="仿宋" w:cs="仿宋"/>
                <w:b/>
                <w:bCs/>
                <w:color w:val="auto"/>
                <w:kern w:val="0"/>
                <w:sz w:val="24"/>
                <w:szCs w:val="24"/>
                <w:highlight w:val="none"/>
                <w:lang w:eastAsia="zh-CN"/>
              </w:rPr>
              <w:t>技术负责人、安全负责人</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lang w:val="en-US" w:eastAsia="zh-CN" w:bidi="ar"/>
              </w:rPr>
              <w:t>相关证书以及在该投标单位近六个月（指2024年5月至投标截止时间）</w:t>
            </w:r>
            <w:r>
              <w:rPr>
                <w:rFonts w:hint="eastAsia" w:ascii="仿宋" w:hAnsi="仿宋" w:eastAsia="仿宋" w:cs="仿宋"/>
                <w:b/>
                <w:bCs/>
                <w:color w:val="auto"/>
                <w:sz w:val="24"/>
                <w:szCs w:val="24"/>
                <w:highlight w:val="none"/>
                <w:lang w:eastAsia="zh-CN" w:bidi="ar"/>
              </w:rPr>
              <w:t>中</w:t>
            </w:r>
            <w:r>
              <w:rPr>
                <w:rFonts w:hint="eastAsia" w:ascii="仿宋" w:hAnsi="仿宋" w:eastAsia="仿宋" w:cs="仿宋"/>
                <w:b/>
                <w:bCs/>
                <w:color w:val="auto"/>
                <w:sz w:val="24"/>
                <w:szCs w:val="24"/>
                <w:highlight w:val="none"/>
                <w:lang w:val="en-US" w:eastAsia="zh-CN" w:bidi="ar"/>
              </w:rPr>
              <w:t>任意一月的养老保险缴纳凭证或由社保部门出具的其在该投标单位参保的证明扫材料。上述材料扫描件加盖投标人公章（或电子章）编入商务技术文件</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否则</w:t>
            </w:r>
            <w:r>
              <w:rPr>
                <w:rFonts w:hint="eastAsia" w:ascii="仿宋" w:hAnsi="仿宋" w:eastAsia="仿宋" w:cs="仿宋"/>
                <w:b/>
                <w:bCs/>
                <w:color w:val="auto"/>
                <w:kern w:val="0"/>
                <w:sz w:val="24"/>
                <w:szCs w:val="24"/>
                <w:highlight w:val="none"/>
                <w:lang w:val="en-US" w:eastAsia="zh-CN"/>
              </w:rPr>
              <w:t>作无效标处理</w:t>
            </w:r>
            <w:r>
              <w:rPr>
                <w:rFonts w:hint="eastAsia" w:ascii="仿宋" w:hAnsi="仿宋" w:eastAsia="仿宋" w:cs="仿宋"/>
                <w:b/>
                <w:bCs/>
                <w:color w:val="auto"/>
                <w:kern w:val="0"/>
                <w:sz w:val="24"/>
                <w:szCs w:val="24"/>
                <w:highlight w:val="none"/>
                <w:lang w:eastAsia="zh-CN"/>
              </w:rPr>
              <w:t>。</w:t>
            </w:r>
          </w:p>
          <w:p w14:paraId="306BEE94">
            <w:pPr>
              <w:pStyle w:val="3"/>
              <w:numPr>
                <w:ilvl w:val="0"/>
                <w:numId w:val="0"/>
              </w:numPr>
              <w:ind w:firstLine="482" w:firstLineChars="200"/>
              <w:rPr>
                <w:rFonts w:hint="default"/>
                <w:color w:val="auto"/>
                <w:highlight w:val="none"/>
                <w:lang w:val="en-US" w:eastAsia="zh-CN"/>
              </w:rPr>
            </w:pPr>
            <w:r>
              <w:rPr>
                <w:rFonts w:hint="eastAsia" w:ascii="仿宋" w:hAnsi="仿宋" w:eastAsia="仿宋" w:cs="仿宋"/>
                <w:b/>
                <w:bCs/>
                <w:color w:val="auto"/>
                <w:kern w:val="0"/>
                <w:sz w:val="24"/>
                <w:szCs w:val="24"/>
                <w:highlight w:val="none"/>
                <w:lang w:val="en-US" w:eastAsia="zh-CN"/>
              </w:rPr>
              <w:t>3.</w:t>
            </w:r>
            <w:r>
              <w:rPr>
                <w:rFonts w:hint="eastAsia" w:ascii="仿宋" w:hAnsi="仿宋" w:eastAsia="仿宋" w:cs="仿宋"/>
                <w:b/>
                <w:bCs/>
                <w:color w:val="auto"/>
                <w:sz w:val="24"/>
                <w:szCs w:val="24"/>
                <w:highlight w:val="none"/>
                <w:lang w:val="en-US" w:eastAsia="zh-CN"/>
              </w:rPr>
              <w:t>采购需求中</w:t>
            </w:r>
            <w:r>
              <w:rPr>
                <w:rFonts w:hint="eastAsia" w:ascii="仿宋" w:hAnsi="仿宋" w:eastAsia="仿宋" w:cs="仿宋"/>
                <w:b/>
                <w:bCs/>
                <w:color w:val="auto"/>
                <w:kern w:val="0"/>
                <w:sz w:val="24"/>
                <w:szCs w:val="24"/>
                <w:highlight w:val="none"/>
                <w:lang w:val="en-US" w:eastAsia="zh-CN"/>
              </w:rPr>
              <w:t>其他人员（隧道运维养护团队、管廊运维养护团队），投标人在投标文件中提供中标后按照项目计划的运维期配齐以上人员的承诺书（格式见 第五章）</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否则</w:t>
            </w:r>
            <w:r>
              <w:rPr>
                <w:rFonts w:hint="eastAsia" w:ascii="仿宋" w:hAnsi="仿宋" w:eastAsia="仿宋" w:cs="仿宋"/>
                <w:b/>
                <w:bCs/>
                <w:color w:val="auto"/>
                <w:kern w:val="0"/>
                <w:sz w:val="24"/>
                <w:szCs w:val="24"/>
                <w:highlight w:val="none"/>
                <w:lang w:val="en-US" w:eastAsia="zh-CN"/>
              </w:rPr>
              <w:t>作无效标处理</w:t>
            </w:r>
            <w:r>
              <w:rPr>
                <w:rFonts w:hint="eastAsia" w:ascii="仿宋" w:hAnsi="仿宋" w:eastAsia="仿宋" w:cs="仿宋"/>
                <w:b/>
                <w:bCs/>
                <w:color w:val="auto"/>
                <w:kern w:val="0"/>
                <w:sz w:val="24"/>
                <w:szCs w:val="24"/>
                <w:highlight w:val="none"/>
                <w:lang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297A303E">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b w:val="0"/>
                <w:i w:val="0"/>
                <w:caps w:val="0"/>
                <w:color w:val="auto"/>
                <w:spacing w:val="0"/>
                <w:w w:val="100"/>
                <w:sz w:val="24"/>
                <w:szCs w:val="24"/>
                <w:highlight w:val="none"/>
                <w:lang w:val="en-US" w:eastAsia="zh-CN"/>
              </w:rPr>
            </w:pPr>
            <w:r>
              <w:rPr>
                <w:rFonts w:hint="eastAsia" w:ascii="仿宋" w:hAnsi="仿宋" w:eastAsia="仿宋" w:cs="仿宋"/>
                <w:color w:val="auto"/>
                <w:sz w:val="24"/>
                <w:szCs w:val="24"/>
                <w:highlight w:val="none"/>
                <w:lang w:val="en-US" w:eastAsia="zh-CN"/>
              </w:rPr>
              <w:t>0-2分</w:t>
            </w:r>
          </w:p>
        </w:tc>
      </w:tr>
      <w:tr w14:paraId="3359101E">
        <w:tblPrEx>
          <w:tblCellMar>
            <w:top w:w="0" w:type="dxa"/>
            <w:left w:w="108" w:type="dxa"/>
            <w:bottom w:w="0" w:type="dxa"/>
            <w:right w:w="108" w:type="dxa"/>
          </w:tblCellMar>
        </w:tblPrEx>
        <w:trPr>
          <w:trHeight w:val="145" w:hRule="atLeast"/>
        </w:trPr>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14:paraId="28F7D43E">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1623" w:type="dxa"/>
            <w:tcBorders>
              <w:top w:val="single" w:color="auto" w:sz="4" w:space="0"/>
              <w:left w:val="single" w:color="auto" w:sz="4" w:space="0"/>
              <w:bottom w:val="single" w:color="auto" w:sz="4" w:space="0"/>
              <w:right w:val="single" w:color="auto" w:sz="4" w:space="0"/>
            </w:tcBorders>
            <w:shd w:val="clear" w:color="auto" w:fill="auto"/>
            <w:vAlign w:val="center"/>
          </w:tcPr>
          <w:p w14:paraId="258934DE">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运维服务机械设备配备情况</w:t>
            </w:r>
          </w:p>
          <w:p w14:paraId="25DC318F">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【客观分】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30340362">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满足采购需求中隧道运维服务车辆设备基本配备要求后：</w:t>
            </w:r>
          </w:p>
          <w:p w14:paraId="26D68EEB">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（1）</w:t>
            </w:r>
            <w:r>
              <w:rPr>
                <w:rFonts w:hint="eastAsia" w:ascii="仿宋" w:hAnsi="仿宋" w:eastAsia="仿宋" w:cs="仿宋"/>
                <w:b w:val="0"/>
                <w:bCs w:val="0"/>
                <w:color w:val="auto"/>
                <w:sz w:val="24"/>
                <w:szCs w:val="24"/>
                <w:highlight w:val="none"/>
                <w:lang w:val="en-US" w:eastAsia="zh-CN"/>
              </w:rPr>
              <w:t>增加配置1</w:t>
            </w:r>
            <w:r>
              <w:rPr>
                <w:rFonts w:hint="eastAsia" w:ascii="仿宋" w:hAnsi="仿宋" w:eastAsia="仿宋" w:cs="仿宋"/>
                <w:b w:val="0"/>
                <w:bCs w:val="0"/>
                <w:color w:val="auto"/>
                <w:sz w:val="24"/>
                <w:szCs w:val="24"/>
                <w:highlight w:val="none"/>
                <w:lang w:val="en-GB" w:eastAsia="zh-CN"/>
              </w:rPr>
              <w:t>辆高空作业车（最大</w:t>
            </w:r>
            <w:r>
              <w:rPr>
                <w:rFonts w:hint="eastAsia" w:ascii="仿宋" w:hAnsi="仿宋" w:eastAsia="仿宋" w:cs="仿宋"/>
                <w:b w:val="0"/>
                <w:bCs w:val="0"/>
                <w:color w:val="auto"/>
                <w:sz w:val="24"/>
                <w:szCs w:val="24"/>
                <w:highlight w:val="none"/>
                <w:lang w:val="en-US" w:eastAsia="zh-CN"/>
              </w:rPr>
              <w:t>高度5米及以上</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1EAD5227">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（2）</w:t>
            </w:r>
            <w:r>
              <w:rPr>
                <w:rFonts w:hint="eastAsia" w:ascii="仿宋" w:hAnsi="仿宋" w:eastAsia="仿宋" w:cs="仿宋"/>
                <w:b w:val="0"/>
                <w:bCs w:val="0"/>
                <w:color w:val="auto"/>
                <w:sz w:val="24"/>
                <w:szCs w:val="24"/>
                <w:highlight w:val="none"/>
                <w:lang w:val="en-US" w:eastAsia="zh-CN"/>
              </w:rPr>
              <w:t>配置1</w:t>
            </w:r>
            <w:r>
              <w:rPr>
                <w:rFonts w:hint="eastAsia" w:ascii="仿宋" w:hAnsi="仿宋" w:eastAsia="仿宋" w:cs="仿宋"/>
                <w:b w:val="0"/>
                <w:bCs w:val="0"/>
                <w:color w:val="auto"/>
                <w:sz w:val="24"/>
                <w:szCs w:val="24"/>
                <w:highlight w:val="none"/>
                <w:lang w:val="en-GB" w:eastAsia="zh-CN"/>
              </w:rPr>
              <w:t>辆</w:t>
            </w:r>
            <w:r>
              <w:rPr>
                <w:rFonts w:hint="eastAsia" w:ascii="仿宋" w:hAnsi="仿宋" w:eastAsia="仿宋" w:cs="仿宋"/>
                <w:b w:val="0"/>
                <w:bCs w:val="0"/>
                <w:color w:val="auto"/>
                <w:sz w:val="24"/>
                <w:szCs w:val="24"/>
                <w:highlight w:val="none"/>
                <w:lang w:val="en-US" w:eastAsia="zh-CN"/>
              </w:rPr>
              <w:t>铣刨机（铣刨宽度300mm及以上）</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19A9F054">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（3）配置1</w:t>
            </w:r>
            <w:r>
              <w:rPr>
                <w:rFonts w:hint="eastAsia" w:ascii="仿宋" w:hAnsi="仿宋" w:eastAsia="仿宋" w:cs="仿宋"/>
                <w:b w:val="0"/>
                <w:bCs w:val="0"/>
                <w:color w:val="auto"/>
                <w:sz w:val="24"/>
                <w:szCs w:val="24"/>
                <w:highlight w:val="none"/>
                <w:lang w:val="en-GB" w:eastAsia="zh-CN"/>
              </w:rPr>
              <w:t>辆</w:t>
            </w:r>
            <w:r>
              <w:rPr>
                <w:rFonts w:hint="eastAsia" w:ascii="仿宋" w:hAnsi="仿宋" w:eastAsia="仿宋" w:cs="仿宋"/>
                <w:b w:val="0"/>
                <w:bCs w:val="0"/>
                <w:color w:val="auto"/>
                <w:sz w:val="24"/>
                <w:szCs w:val="24"/>
                <w:highlight w:val="none"/>
                <w:lang w:val="en-US" w:eastAsia="zh-CN"/>
              </w:rPr>
              <w:t>摊铺机（摊铺宽度3m及以上）</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646ED076">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（4）配置1</w:t>
            </w:r>
            <w:r>
              <w:rPr>
                <w:rFonts w:hint="eastAsia" w:ascii="仿宋" w:hAnsi="仿宋" w:eastAsia="仿宋" w:cs="仿宋"/>
                <w:b w:val="0"/>
                <w:bCs w:val="0"/>
                <w:color w:val="auto"/>
                <w:sz w:val="24"/>
                <w:szCs w:val="24"/>
                <w:highlight w:val="none"/>
                <w:lang w:val="en-GB" w:eastAsia="zh-CN"/>
              </w:rPr>
              <w:t>辆</w:t>
            </w:r>
            <w:r>
              <w:rPr>
                <w:rFonts w:hint="eastAsia" w:ascii="仿宋" w:hAnsi="仿宋" w:eastAsia="仿宋" w:cs="仿宋"/>
                <w:b w:val="0"/>
                <w:bCs w:val="0"/>
                <w:color w:val="auto"/>
                <w:sz w:val="24"/>
                <w:szCs w:val="24"/>
                <w:highlight w:val="none"/>
                <w:lang w:val="en-US" w:eastAsia="zh-CN"/>
              </w:rPr>
              <w:t>压路机（最大工作质量不小于3t，滚动宽度不小于1m）</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792D851D">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（5）配置1</w:t>
            </w:r>
            <w:r>
              <w:rPr>
                <w:rFonts w:hint="eastAsia" w:ascii="仿宋" w:hAnsi="仿宋" w:eastAsia="仿宋" w:cs="仿宋"/>
                <w:b w:val="0"/>
                <w:bCs w:val="0"/>
                <w:color w:val="auto"/>
                <w:sz w:val="24"/>
                <w:szCs w:val="24"/>
                <w:highlight w:val="none"/>
                <w:lang w:val="en-GB" w:eastAsia="zh-CN"/>
              </w:rPr>
              <w:t>辆路面养护车</w:t>
            </w:r>
            <w:r>
              <w:rPr>
                <w:rFonts w:hint="eastAsia" w:ascii="仿宋" w:hAnsi="仿宋" w:eastAsia="仿宋" w:cs="仿宋"/>
                <w:b w:val="0"/>
                <w:bCs w:val="0"/>
                <w:color w:val="auto"/>
                <w:sz w:val="24"/>
                <w:szCs w:val="24"/>
                <w:highlight w:val="none"/>
                <w:lang w:val="en-US" w:eastAsia="zh-CN"/>
              </w:rPr>
              <w:t>（沥青热再生产量不低于2吨/小时）</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25AB6AB0">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（6）配置1</w:t>
            </w:r>
            <w:r>
              <w:rPr>
                <w:rFonts w:hint="eastAsia" w:ascii="仿宋" w:hAnsi="仿宋" w:eastAsia="仿宋" w:cs="仿宋"/>
                <w:b w:val="0"/>
                <w:bCs w:val="0"/>
                <w:color w:val="auto"/>
                <w:sz w:val="24"/>
                <w:szCs w:val="24"/>
                <w:highlight w:val="none"/>
                <w:lang w:val="en-GB" w:eastAsia="zh-CN"/>
              </w:rPr>
              <w:t>辆防撞缓冲车</w:t>
            </w:r>
            <w:r>
              <w:rPr>
                <w:rFonts w:hint="eastAsia" w:ascii="仿宋" w:hAnsi="仿宋" w:eastAsia="仿宋" w:cs="仿宋"/>
                <w:b w:val="0"/>
                <w:bCs w:val="0"/>
                <w:color w:val="auto"/>
                <w:sz w:val="24"/>
                <w:szCs w:val="24"/>
                <w:highlight w:val="none"/>
                <w:lang w:val="en-US" w:eastAsia="zh-CN"/>
              </w:rPr>
              <w:t>（防撞等级2000kg-70km/h及以上）</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54CD20D9">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240" w:firstLineChars="100"/>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（7）增加配置1</w:t>
            </w:r>
            <w:r>
              <w:rPr>
                <w:rFonts w:hint="eastAsia" w:ascii="仿宋" w:hAnsi="仿宋" w:eastAsia="仿宋" w:cs="仿宋"/>
                <w:b w:val="0"/>
                <w:bCs w:val="0"/>
                <w:color w:val="auto"/>
                <w:sz w:val="24"/>
                <w:szCs w:val="24"/>
                <w:highlight w:val="none"/>
                <w:lang w:val="en-GB" w:eastAsia="zh-CN"/>
              </w:rPr>
              <w:t>辆洗扫车</w:t>
            </w:r>
            <w:r>
              <w:rPr>
                <w:rFonts w:hint="eastAsia" w:ascii="仿宋" w:hAnsi="仿宋" w:eastAsia="仿宋" w:cs="仿宋"/>
                <w:b w:val="0"/>
                <w:bCs w:val="0"/>
                <w:color w:val="auto"/>
                <w:sz w:val="24"/>
                <w:szCs w:val="24"/>
                <w:highlight w:val="none"/>
                <w:lang w:val="en-US" w:eastAsia="zh-CN"/>
              </w:rPr>
              <w:t>（总质量18t及以上）</w:t>
            </w:r>
            <w:r>
              <w:rPr>
                <w:rFonts w:hint="eastAsia" w:ascii="仿宋" w:hAnsi="仿宋" w:eastAsia="仿宋" w:cs="仿宋"/>
                <w:b w:val="0"/>
                <w:bCs w:val="0"/>
                <w:color w:val="auto"/>
                <w:sz w:val="24"/>
                <w:szCs w:val="24"/>
                <w:highlight w:val="none"/>
                <w:lang w:val="en-GB" w:eastAsia="zh-CN"/>
              </w:rPr>
              <w:t>的得</w:t>
            </w:r>
            <w:r>
              <w:rPr>
                <w:rFonts w:hint="eastAsia" w:ascii="仿宋" w:hAnsi="仿宋" w:eastAsia="仿宋" w:cs="仿宋"/>
                <w:b w:val="0"/>
                <w:bCs w:val="0"/>
                <w:color w:val="auto"/>
                <w:sz w:val="24"/>
                <w:szCs w:val="24"/>
                <w:highlight w:val="none"/>
                <w:lang w:val="en-US" w:eastAsia="zh-CN"/>
              </w:rPr>
              <w:t>1分，本小项最高得1分；</w:t>
            </w:r>
          </w:p>
          <w:p w14:paraId="11CEE088">
            <w:pPr>
              <w:pStyle w:val="2"/>
              <w:ind w:firstLine="240" w:firstLineChars="1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（8）配置1</w:t>
            </w:r>
            <w:r>
              <w:rPr>
                <w:rFonts w:hint="eastAsia" w:ascii="仿宋" w:hAnsi="仿宋" w:eastAsia="仿宋" w:cs="仿宋"/>
                <w:b w:val="0"/>
                <w:bCs w:val="0"/>
                <w:color w:val="auto"/>
                <w:sz w:val="24"/>
                <w:szCs w:val="24"/>
                <w:highlight w:val="none"/>
                <w:lang w:val="en-GB" w:eastAsia="zh-CN"/>
              </w:rPr>
              <w:t>辆墙</w:t>
            </w:r>
            <w:r>
              <w:rPr>
                <w:rFonts w:hint="eastAsia" w:ascii="仿宋" w:hAnsi="仿宋" w:eastAsia="仿宋" w:cs="仿宋"/>
                <w:b w:val="0"/>
                <w:bCs w:val="0"/>
                <w:color w:val="auto"/>
                <w:kern w:val="2"/>
                <w:sz w:val="24"/>
                <w:szCs w:val="24"/>
                <w:highlight w:val="none"/>
                <w:lang w:val="en-GB" w:eastAsia="zh-CN" w:bidi="ar-SA"/>
              </w:rPr>
              <w:t>面清洗车(侧壁)</w:t>
            </w:r>
            <w:r>
              <w:rPr>
                <w:rFonts w:hint="eastAsia" w:ascii="仿宋" w:hAnsi="仿宋" w:eastAsia="仿宋" w:cs="仿宋"/>
                <w:b w:val="0"/>
                <w:bCs w:val="0"/>
                <w:color w:val="auto"/>
                <w:kern w:val="2"/>
                <w:sz w:val="24"/>
                <w:szCs w:val="24"/>
                <w:highlight w:val="none"/>
                <w:lang w:val="en-US" w:eastAsia="zh-CN" w:bidi="ar-SA"/>
              </w:rPr>
              <w:t>（最高清洗高度不小于5m、清洗速度不低于1km/h）</w:t>
            </w:r>
            <w:r>
              <w:rPr>
                <w:rFonts w:hint="eastAsia" w:ascii="仿宋" w:hAnsi="仿宋" w:eastAsia="仿宋" w:cs="仿宋"/>
                <w:b w:val="0"/>
                <w:bCs w:val="0"/>
                <w:color w:val="auto"/>
                <w:kern w:val="2"/>
                <w:sz w:val="24"/>
                <w:szCs w:val="24"/>
                <w:highlight w:val="none"/>
                <w:lang w:val="en-GB" w:eastAsia="zh-CN" w:bidi="ar-SA"/>
              </w:rPr>
              <w:t>的得</w:t>
            </w:r>
            <w:r>
              <w:rPr>
                <w:rFonts w:hint="eastAsia" w:ascii="仿宋" w:hAnsi="仿宋" w:eastAsia="仿宋" w:cs="仿宋"/>
                <w:b w:val="0"/>
                <w:bCs w:val="0"/>
                <w:color w:val="auto"/>
                <w:kern w:val="2"/>
                <w:sz w:val="24"/>
                <w:szCs w:val="24"/>
                <w:highlight w:val="none"/>
                <w:lang w:val="en-US" w:eastAsia="zh-CN" w:bidi="ar-SA"/>
              </w:rPr>
              <w:t>1分，本小项最高得1分；</w:t>
            </w:r>
          </w:p>
          <w:p w14:paraId="544DAE66">
            <w:pPr>
              <w:pStyle w:val="2"/>
              <w:ind w:firstLine="240" w:firstLineChars="1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（9）配置1</w:t>
            </w:r>
            <w:r>
              <w:rPr>
                <w:rFonts w:hint="eastAsia" w:ascii="仿宋" w:hAnsi="仿宋" w:eastAsia="仿宋" w:cs="仿宋"/>
                <w:b w:val="0"/>
                <w:bCs w:val="0"/>
                <w:color w:val="auto"/>
                <w:kern w:val="2"/>
                <w:sz w:val="24"/>
                <w:szCs w:val="24"/>
                <w:highlight w:val="none"/>
                <w:lang w:val="en-GB" w:eastAsia="zh-CN" w:bidi="ar-SA"/>
              </w:rPr>
              <w:t>辆除雪车</w:t>
            </w:r>
            <w:r>
              <w:rPr>
                <w:rFonts w:hint="eastAsia" w:ascii="仿宋" w:hAnsi="仿宋" w:eastAsia="仿宋" w:cs="仿宋"/>
                <w:b w:val="0"/>
                <w:bCs w:val="0"/>
                <w:color w:val="auto"/>
                <w:kern w:val="2"/>
                <w:sz w:val="24"/>
                <w:szCs w:val="24"/>
                <w:highlight w:val="none"/>
                <w:lang w:val="en-US" w:eastAsia="zh-CN" w:bidi="ar-SA"/>
              </w:rPr>
              <w:t>（总质量18t及以上，配备2.2m以上的滚刷）</w:t>
            </w:r>
            <w:r>
              <w:rPr>
                <w:rFonts w:hint="eastAsia" w:ascii="仿宋" w:hAnsi="仿宋" w:eastAsia="仿宋" w:cs="仿宋"/>
                <w:b w:val="0"/>
                <w:bCs w:val="0"/>
                <w:color w:val="auto"/>
                <w:kern w:val="2"/>
                <w:sz w:val="24"/>
                <w:szCs w:val="24"/>
                <w:highlight w:val="none"/>
                <w:lang w:val="en-GB" w:eastAsia="zh-CN" w:bidi="ar-SA"/>
              </w:rPr>
              <w:t>的得</w:t>
            </w:r>
            <w:r>
              <w:rPr>
                <w:rFonts w:hint="eastAsia" w:ascii="仿宋" w:hAnsi="仿宋" w:eastAsia="仿宋" w:cs="仿宋"/>
                <w:b w:val="0"/>
                <w:bCs w:val="0"/>
                <w:color w:val="auto"/>
                <w:kern w:val="2"/>
                <w:sz w:val="24"/>
                <w:szCs w:val="24"/>
                <w:highlight w:val="none"/>
                <w:lang w:val="en-US" w:eastAsia="zh-CN" w:bidi="ar-SA"/>
              </w:rPr>
              <w:t>1分，本小项最高得2分；</w:t>
            </w:r>
          </w:p>
          <w:p w14:paraId="186B29F9">
            <w:pPr>
              <w:pStyle w:val="4"/>
              <w:ind w:left="0" w:leftChars="0" w:firstLine="240" w:firstLineChars="100"/>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（10）配置1</w:t>
            </w:r>
            <w:r>
              <w:rPr>
                <w:rFonts w:hint="eastAsia" w:ascii="仿宋" w:hAnsi="仿宋" w:eastAsia="仿宋" w:cs="仿宋"/>
                <w:b w:val="0"/>
                <w:bCs w:val="0"/>
                <w:color w:val="auto"/>
                <w:kern w:val="2"/>
                <w:sz w:val="24"/>
                <w:szCs w:val="24"/>
                <w:highlight w:val="none"/>
                <w:lang w:val="en-GB" w:eastAsia="zh-CN" w:bidi="ar-SA"/>
              </w:rPr>
              <w:t>辆排水救险车</w:t>
            </w:r>
            <w:r>
              <w:rPr>
                <w:rFonts w:hint="eastAsia" w:ascii="仿宋" w:hAnsi="仿宋" w:eastAsia="仿宋" w:cs="仿宋"/>
                <w:b w:val="0"/>
                <w:bCs w:val="0"/>
                <w:color w:val="auto"/>
                <w:kern w:val="2"/>
                <w:sz w:val="24"/>
                <w:szCs w:val="24"/>
                <w:highlight w:val="none"/>
                <w:lang w:val="en-US" w:eastAsia="zh-CN" w:bidi="ar-SA"/>
              </w:rPr>
              <w:t>（排水量1500m³/h及以上）</w:t>
            </w:r>
            <w:r>
              <w:rPr>
                <w:rFonts w:hint="eastAsia" w:ascii="仿宋" w:hAnsi="仿宋" w:eastAsia="仿宋" w:cs="仿宋"/>
                <w:b w:val="0"/>
                <w:bCs w:val="0"/>
                <w:color w:val="auto"/>
                <w:kern w:val="2"/>
                <w:sz w:val="24"/>
                <w:szCs w:val="24"/>
                <w:highlight w:val="none"/>
                <w:lang w:val="en-GB" w:eastAsia="zh-CN" w:bidi="ar-SA"/>
              </w:rPr>
              <w:t>的得</w:t>
            </w:r>
            <w:r>
              <w:rPr>
                <w:rFonts w:hint="eastAsia" w:ascii="仿宋" w:hAnsi="仿宋" w:eastAsia="仿宋" w:cs="仿宋"/>
                <w:b w:val="0"/>
                <w:bCs w:val="0"/>
                <w:color w:val="auto"/>
                <w:kern w:val="2"/>
                <w:sz w:val="24"/>
                <w:szCs w:val="24"/>
                <w:highlight w:val="none"/>
                <w:lang w:val="en-US" w:eastAsia="zh-CN" w:bidi="ar-SA"/>
              </w:rPr>
              <w:t>1分，本小项最高得1分。</w:t>
            </w:r>
          </w:p>
          <w:p w14:paraId="3BD8C2E6">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注：1.本项最高得11分。以上车辆</w:t>
            </w:r>
            <w:r>
              <w:rPr>
                <w:rFonts w:hint="eastAsia" w:ascii="仿宋" w:hAnsi="仿宋" w:eastAsia="仿宋" w:cs="仿宋"/>
                <w:b/>
                <w:bCs/>
                <w:color w:val="auto"/>
                <w:sz w:val="24"/>
                <w:szCs w:val="24"/>
                <w:highlight w:val="none"/>
                <w:lang w:val="en-GB" w:eastAsia="zh-CN"/>
              </w:rPr>
              <w:t>如投标人自有的须提供</w:t>
            </w:r>
            <w:r>
              <w:rPr>
                <w:rFonts w:hint="eastAsia" w:ascii="仿宋" w:hAnsi="仿宋" w:eastAsia="仿宋" w:cs="仿宋"/>
                <w:b/>
                <w:bCs/>
                <w:color w:val="auto"/>
                <w:sz w:val="24"/>
                <w:szCs w:val="24"/>
                <w:highlight w:val="none"/>
                <w:lang w:val="en-US" w:eastAsia="zh-CN"/>
              </w:rPr>
              <w:t>车辆行驶证扫描件、车辆照片；车辆</w:t>
            </w:r>
            <w:r>
              <w:rPr>
                <w:rFonts w:hint="eastAsia" w:ascii="仿宋" w:hAnsi="仿宋" w:eastAsia="仿宋" w:cs="仿宋"/>
                <w:b/>
                <w:bCs/>
                <w:color w:val="auto"/>
                <w:sz w:val="24"/>
                <w:szCs w:val="24"/>
                <w:highlight w:val="none"/>
                <w:lang w:val="en-GB" w:eastAsia="zh-CN"/>
              </w:rPr>
              <w:t>如为投标人租赁的须提供</w:t>
            </w:r>
            <w:r>
              <w:rPr>
                <w:rFonts w:hint="eastAsia" w:ascii="仿宋" w:hAnsi="仿宋" w:eastAsia="仿宋" w:cs="仿宋"/>
                <w:b/>
                <w:bCs/>
                <w:color w:val="auto"/>
                <w:sz w:val="24"/>
                <w:szCs w:val="24"/>
                <w:highlight w:val="none"/>
                <w:lang w:val="en-US" w:eastAsia="zh-CN"/>
              </w:rPr>
              <w:t>租赁合同扫描</w:t>
            </w:r>
            <w:r>
              <w:rPr>
                <w:rFonts w:hint="eastAsia" w:ascii="仿宋" w:hAnsi="仿宋" w:eastAsia="仿宋" w:cs="仿宋"/>
                <w:b/>
                <w:bCs/>
                <w:color w:val="auto"/>
                <w:sz w:val="24"/>
                <w:szCs w:val="24"/>
                <w:highlight w:val="none"/>
                <w:lang w:val="en-GB" w:eastAsia="zh-CN"/>
              </w:rPr>
              <w:t>件</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color w:val="auto"/>
                <w:sz w:val="24"/>
                <w:szCs w:val="24"/>
                <w:highlight w:val="none"/>
                <w:lang w:val="en-GB" w:eastAsia="zh-CN"/>
              </w:rPr>
              <w:t>车辆行驶证</w:t>
            </w:r>
            <w:r>
              <w:rPr>
                <w:rFonts w:hint="eastAsia" w:ascii="仿宋" w:hAnsi="仿宋" w:eastAsia="仿宋" w:cs="仿宋"/>
                <w:b/>
                <w:bCs/>
                <w:color w:val="auto"/>
                <w:sz w:val="24"/>
                <w:szCs w:val="24"/>
                <w:highlight w:val="none"/>
                <w:lang w:val="en-US" w:eastAsia="zh-CN"/>
              </w:rPr>
              <w:t>扫描</w:t>
            </w:r>
            <w:r>
              <w:rPr>
                <w:rFonts w:hint="eastAsia" w:ascii="仿宋" w:hAnsi="仿宋" w:eastAsia="仿宋" w:cs="仿宋"/>
                <w:b/>
                <w:bCs/>
                <w:color w:val="auto"/>
                <w:sz w:val="24"/>
                <w:szCs w:val="24"/>
                <w:highlight w:val="none"/>
                <w:lang w:val="en-GB" w:eastAsia="zh-CN"/>
              </w:rPr>
              <w:t>件、</w:t>
            </w:r>
            <w:r>
              <w:rPr>
                <w:rFonts w:hint="eastAsia" w:ascii="仿宋" w:hAnsi="仿宋" w:eastAsia="仿宋" w:cs="仿宋"/>
                <w:b/>
                <w:bCs/>
                <w:color w:val="auto"/>
                <w:sz w:val="24"/>
                <w:szCs w:val="24"/>
                <w:highlight w:val="none"/>
                <w:lang w:val="en-US" w:eastAsia="zh-CN"/>
              </w:rPr>
              <w:t>车辆照片</w:t>
            </w:r>
            <w:r>
              <w:rPr>
                <w:rFonts w:hint="eastAsia" w:ascii="仿宋" w:hAnsi="仿宋" w:eastAsia="仿宋" w:cs="仿宋"/>
                <w:b/>
                <w:bCs/>
                <w:color w:val="auto"/>
                <w:sz w:val="24"/>
                <w:szCs w:val="24"/>
                <w:highlight w:val="none"/>
                <w:lang w:val="en-GB" w:eastAsia="zh-CN"/>
              </w:rPr>
              <w:t>。</w:t>
            </w:r>
            <w:r>
              <w:rPr>
                <w:rFonts w:hint="eastAsia" w:ascii="仿宋" w:hAnsi="仿宋" w:eastAsia="仿宋" w:cs="仿宋"/>
                <w:b/>
                <w:bCs/>
                <w:color w:val="auto"/>
                <w:sz w:val="24"/>
                <w:szCs w:val="24"/>
                <w:highlight w:val="none"/>
                <w:lang w:val="en-US" w:eastAsia="zh-CN"/>
              </w:rPr>
              <w:t>上述</w:t>
            </w:r>
            <w:r>
              <w:rPr>
                <w:rFonts w:hint="eastAsia" w:ascii="仿宋" w:hAnsi="仿宋" w:eastAsia="仿宋" w:cs="仿宋"/>
                <w:b/>
                <w:bCs/>
                <w:color w:val="auto"/>
                <w:sz w:val="24"/>
                <w:szCs w:val="24"/>
                <w:highlight w:val="none"/>
              </w:rPr>
              <w:t>材料扫描件加盖投标人公章（或电子章）编入商务技术文件，</w:t>
            </w:r>
            <w:r>
              <w:rPr>
                <w:rFonts w:hint="eastAsia" w:ascii="仿宋" w:hAnsi="仿宋" w:eastAsia="仿宋" w:cs="仿宋"/>
                <w:b/>
                <w:bCs/>
                <w:color w:val="auto"/>
                <w:sz w:val="24"/>
                <w:szCs w:val="24"/>
                <w:highlight w:val="none"/>
                <w:lang w:val="en-US" w:eastAsia="zh-CN"/>
              </w:rPr>
              <w:t>否则</w:t>
            </w:r>
            <w:r>
              <w:rPr>
                <w:rFonts w:hint="eastAsia" w:ascii="仿宋" w:hAnsi="仿宋" w:eastAsia="仿宋" w:cs="仿宋"/>
                <w:b/>
                <w:bCs/>
                <w:color w:val="auto"/>
                <w:sz w:val="24"/>
                <w:szCs w:val="24"/>
                <w:highlight w:val="none"/>
              </w:rPr>
              <w:t>不得分。</w:t>
            </w:r>
          </w:p>
          <w:p w14:paraId="328BB192">
            <w:pPr>
              <w:keepNext w:val="0"/>
              <w:keepLines w:val="0"/>
              <w:pageBreakBefore w:val="0"/>
              <w:widowControl w:val="0"/>
              <w:numPr>
                <w:ilvl w:val="0"/>
                <w:numId w:val="0"/>
              </w:numPr>
              <w:kinsoku/>
              <w:wordWrap/>
              <w:overflowPunct/>
              <w:topLinePunct w:val="0"/>
              <w:autoSpaceDE/>
              <w:autoSpaceDN/>
              <w:bidi w:val="0"/>
              <w:adjustRightInd/>
              <w:snapToGrid/>
              <w:spacing w:beforeLines="0" w:line="360" w:lineRule="exact"/>
              <w:ind w:firstLine="482" w:firstLineChars="20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2.采购需求中隧道运维服务车辆设备基本配备车辆提供材料同上，扫描件加盖投标人公章（或电子章）编入商务技术文件,否则作无效标处理</w:t>
            </w:r>
            <w:r>
              <w:rPr>
                <w:rFonts w:hint="eastAsia" w:ascii="仿宋" w:hAnsi="仿宋" w:eastAsia="仿宋" w:cs="仿宋"/>
                <w:b/>
                <w:bCs/>
                <w:color w:val="auto"/>
                <w:sz w:val="24"/>
                <w:szCs w:val="24"/>
                <w:highlight w:val="none"/>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01BED80A">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0-11分</w:t>
            </w:r>
          </w:p>
        </w:tc>
      </w:tr>
      <w:tr w14:paraId="756BFE24">
        <w:tblPrEx>
          <w:tblCellMar>
            <w:top w:w="0" w:type="dxa"/>
            <w:left w:w="108" w:type="dxa"/>
            <w:bottom w:w="0" w:type="dxa"/>
            <w:right w:w="108" w:type="dxa"/>
          </w:tblCellMar>
        </w:tblPrEx>
        <w:trPr>
          <w:trHeight w:val="90" w:hRule="atLeast"/>
        </w:trPr>
        <w:tc>
          <w:tcPr>
            <w:tcW w:w="873" w:type="dxa"/>
            <w:vMerge w:val="restart"/>
            <w:tcBorders>
              <w:top w:val="single" w:color="auto" w:sz="4" w:space="0"/>
              <w:left w:val="single" w:color="auto" w:sz="4" w:space="0"/>
              <w:right w:val="single" w:color="auto" w:sz="4" w:space="0"/>
            </w:tcBorders>
            <w:shd w:val="clear" w:color="auto" w:fill="auto"/>
            <w:vAlign w:val="center"/>
          </w:tcPr>
          <w:p w14:paraId="2163E507">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c>
          <w:tcPr>
            <w:tcW w:w="1623" w:type="dxa"/>
            <w:vMerge w:val="restart"/>
            <w:tcBorders>
              <w:top w:val="single" w:color="auto" w:sz="4" w:space="0"/>
              <w:left w:val="single" w:color="auto" w:sz="4" w:space="0"/>
              <w:right w:val="single" w:color="auto" w:sz="4" w:space="0"/>
            </w:tcBorders>
            <w:shd w:val="clear" w:color="auto" w:fill="auto"/>
            <w:vAlign w:val="center"/>
          </w:tcPr>
          <w:p w14:paraId="69105270">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运维服务方案【主观分】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324398C7">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根据地下综合管廊运维服务计划及巡查方案的详细程度、可操作情况等方面进行打分（评分范围：5,4,3,2,1,0）。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0941B2F8">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0-5分</w:t>
            </w:r>
          </w:p>
        </w:tc>
      </w:tr>
      <w:tr w14:paraId="0BC77692">
        <w:tblPrEx>
          <w:tblCellMar>
            <w:top w:w="0" w:type="dxa"/>
            <w:left w:w="108" w:type="dxa"/>
            <w:bottom w:w="0" w:type="dxa"/>
            <w:right w:w="108" w:type="dxa"/>
          </w:tblCellMar>
        </w:tblPrEx>
        <w:trPr>
          <w:trHeight w:val="90" w:hRule="atLeast"/>
        </w:trPr>
        <w:tc>
          <w:tcPr>
            <w:tcW w:w="873" w:type="dxa"/>
            <w:vMerge w:val="continue"/>
            <w:tcBorders>
              <w:left w:val="single" w:color="auto" w:sz="4" w:space="0"/>
              <w:right w:val="single" w:color="auto" w:sz="4" w:space="0"/>
            </w:tcBorders>
            <w:shd w:val="clear" w:color="auto" w:fill="auto"/>
            <w:vAlign w:val="center"/>
          </w:tcPr>
          <w:p w14:paraId="7E9010B5">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right w:val="single" w:color="auto" w:sz="4" w:space="0"/>
            </w:tcBorders>
            <w:shd w:val="clear" w:color="auto" w:fill="auto"/>
            <w:vAlign w:val="center"/>
          </w:tcPr>
          <w:p w14:paraId="7814120E">
            <w:pPr>
              <w:keepNext w:val="0"/>
              <w:keepLines w:val="0"/>
              <w:pageBreakBefore w:val="0"/>
              <w:kinsoku/>
              <w:wordWrap/>
              <w:overflowPunct/>
              <w:topLinePunct w:val="0"/>
              <w:autoSpaceDE/>
              <w:autoSpaceDN/>
              <w:bidi w:val="0"/>
              <w:adjustRightInd/>
              <w:snapToGrid/>
              <w:spacing w:line="360" w:lineRule="exact"/>
              <w:textAlignment w:val="auto"/>
              <w:rPr>
                <w:rFonts w:hint="eastAsia" w:ascii="仿宋" w:hAnsi="仿宋" w:eastAsia="仿宋" w:cs="仿宋"/>
                <w:color w:val="auto"/>
                <w:sz w:val="24"/>
                <w:szCs w:val="24"/>
                <w:highlight w:val="none"/>
                <w:lang w:val="en-US" w:eastAsia="zh-CN"/>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264F413F">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根据隧道运维服务计划及巡查方案的详细程度、可操作情况等方面进行打分（评分范围：5,4,3,2,1,0）。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44C3C09D">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0-5分</w:t>
            </w:r>
          </w:p>
        </w:tc>
      </w:tr>
      <w:tr w14:paraId="48B2B07B">
        <w:tblPrEx>
          <w:tblCellMar>
            <w:top w:w="0" w:type="dxa"/>
            <w:left w:w="108" w:type="dxa"/>
            <w:bottom w:w="0" w:type="dxa"/>
            <w:right w:w="108" w:type="dxa"/>
          </w:tblCellMar>
        </w:tblPrEx>
        <w:trPr>
          <w:trHeight w:val="454" w:hRule="atLeast"/>
        </w:trPr>
        <w:tc>
          <w:tcPr>
            <w:tcW w:w="873" w:type="dxa"/>
            <w:vMerge w:val="continue"/>
            <w:tcBorders>
              <w:left w:val="single" w:color="auto" w:sz="4" w:space="0"/>
              <w:right w:val="single" w:color="auto" w:sz="4" w:space="0"/>
            </w:tcBorders>
            <w:shd w:val="clear" w:color="auto" w:fill="auto"/>
            <w:vAlign w:val="center"/>
          </w:tcPr>
          <w:p w14:paraId="6C539F56">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right w:val="single" w:color="auto" w:sz="4" w:space="0"/>
            </w:tcBorders>
            <w:shd w:val="clear" w:color="auto" w:fill="auto"/>
            <w:vAlign w:val="center"/>
          </w:tcPr>
          <w:p w14:paraId="37A2D7C2">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3F593650">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根据隧道运维服务交通组织方案的完整性、详细程度、可操作情况等方面进行打分（评分范围：5,4,3,2,1,0）。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6DEAAEC9">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0-5分</w:t>
            </w:r>
          </w:p>
        </w:tc>
      </w:tr>
      <w:tr w14:paraId="14932222">
        <w:tblPrEx>
          <w:tblCellMar>
            <w:top w:w="0" w:type="dxa"/>
            <w:left w:w="108" w:type="dxa"/>
            <w:bottom w:w="0" w:type="dxa"/>
            <w:right w:w="108" w:type="dxa"/>
          </w:tblCellMar>
        </w:tblPrEx>
        <w:trPr>
          <w:trHeight w:val="454" w:hRule="atLeast"/>
        </w:trPr>
        <w:tc>
          <w:tcPr>
            <w:tcW w:w="873" w:type="dxa"/>
            <w:vMerge w:val="continue"/>
            <w:tcBorders>
              <w:left w:val="single" w:color="auto" w:sz="4" w:space="0"/>
              <w:right w:val="single" w:color="auto" w:sz="4" w:space="0"/>
            </w:tcBorders>
            <w:shd w:val="clear" w:color="auto" w:fill="auto"/>
            <w:vAlign w:val="center"/>
          </w:tcPr>
          <w:p w14:paraId="339A1241">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right w:val="single" w:color="auto" w:sz="4" w:space="0"/>
            </w:tcBorders>
            <w:shd w:val="clear" w:color="auto" w:fill="auto"/>
            <w:vAlign w:val="center"/>
          </w:tcPr>
          <w:p w14:paraId="2E6E8486">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759DECD5">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根据隧道、管廊的人员组织架构及管理方案情况进行打分（评分范围：5,4,3,2,1,0）。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70BBB3D4">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7061530F">
        <w:tblPrEx>
          <w:tblCellMar>
            <w:top w:w="0" w:type="dxa"/>
            <w:left w:w="108" w:type="dxa"/>
            <w:bottom w:w="0" w:type="dxa"/>
            <w:right w:w="108" w:type="dxa"/>
          </w:tblCellMar>
        </w:tblPrEx>
        <w:trPr>
          <w:trHeight w:val="454" w:hRule="atLeast"/>
        </w:trPr>
        <w:tc>
          <w:tcPr>
            <w:tcW w:w="873" w:type="dxa"/>
            <w:vMerge w:val="continue"/>
            <w:tcBorders>
              <w:left w:val="single" w:color="auto" w:sz="4" w:space="0"/>
              <w:bottom w:val="single" w:color="auto" w:sz="4" w:space="0"/>
              <w:right w:val="single" w:color="auto" w:sz="4" w:space="0"/>
            </w:tcBorders>
            <w:shd w:val="clear" w:color="auto" w:fill="auto"/>
            <w:vAlign w:val="center"/>
          </w:tcPr>
          <w:p w14:paraId="102BC21C">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bottom w:val="single" w:color="auto" w:sz="4" w:space="0"/>
              <w:right w:val="single" w:color="auto" w:sz="4" w:space="0"/>
            </w:tcBorders>
            <w:shd w:val="clear" w:color="auto" w:fill="auto"/>
            <w:vAlign w:val="center"/>
          </w:tcPr>
          <w:p w14:paraId="5BB0E43F">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2C27EAE5">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根据拟投入本项目车辆及相关设备的管理方案情况进行打分（评分范围：4,3,2,1,0）。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4DB8AA99">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0-4分</w:t>
            </w:r>
          </w:p>
        </w:tc>
      </w:tr>
      <w:tr w14:paraId="173F6BB0">
        <w:tblPrEx>
          <w:tblCellMar>
            <w:top w:w="0" w:type="dxa"/>
            <w:left w:w="108" w:type="dxa"/>
            <w:bottom w:w="0" w:type="dxa"/>
            <w:right w:w="108" w:type="dxa"/>
          </w:tblCellMar>
        </w:tblPrEx>
        <w:trPr>
          <w:trHeight w:val="454" w:hRule="atLeast"/>
        </w:trPr>
        <w:tc>
          <w:tcPr>
            <w:tcW w:w="873" w:type="dxa"/>
            <w:vMerge w:val="restart"/>
            <w:tcBorders>
              <w:top w:val="single" w:color="auto" w:sz="4" w:space="0"/>
              <w:left w:val="single" w:color="auto" w:sz="4" w:space="0"/>
              <w:right w:val="single" w:color="auto" w:sz="4" w:space="0"/>
            </w:tcBorders>
            <w:shd w:val="clear" w:color="auto" w:fill="auto"/>
            <w:vAlign w:val="center"/>
          </w:tcPr>
          <w:p w14:paraId="5B8ADAF2">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623" w:type="dxa"/>
            <w:vMerge w:val="restart"/>
            <w:tcBorders>
              <w:top w:val="single" w:color="auto" w:sz="4" w:space="0"/>
              <w:left w:val="single" w:color="auto" w:sz="4" w:space="0"/>
              <w:right w:val="single" w:color="auto" w:sz="4" w:space="0"/>
            </w:tcBorders>
            <w:shd w:val="clear" w:color="auto" w:fill="auto"/>
            <w:vAlign w:val="center"/>
          </w:tcPr>
          <w:p w14:paraId="5CE2196A">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安全管理</w:t>
            </w:r>
          </w:p>
          <w:p w14:paraId="0B28770F">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default"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3B661FB1">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根据地下综合管廊的安全生产制度，且有定期安全生产培训计划情况进行打分（评分范围：5,4,3,2,1,0）。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4359CCF3">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0-5分</w:t>
            </w:r>
          </w:p>
        </w:tc>
      </w:tr>
      <w:tr w14:paraId="220B335C">
        <w:tblPrEx>
          <w:tblCellMar>
            <w:top w:w="0" w:type="dxa"/>
            <w:left w:w="108" w:type="dxa"/>
            <w:bottom w:w="0" w:type="dxa"/>
            <w:right w:w="108" w:type="dxa"/>
          </w:tblCellMar>
        </w:tblPrEx>
        <w:trPr>
          <w:trHeight w:val="454" w:hRule="atLeast"/>
        </w:trPr>
        <w:tc>
          <w:tcPr>
            <w:tcW w:w="873" w:type="dxa"/>
            <w:vMerge w:val="continue"/>
            <w:tcBorders>
              <w:left w:val="single" w:color="auto" w:sz="4" w:space="0"/>
              <w:bottom w:val="single" w:color="auto" w:sz="4" w:space="0"/>
              <w:right w:val="single" w:color="auto" w:sz="4" w:space="0"/>
            </w:tcBorders>
            <w:shd w:val="clear" w:color="auto" w:fill="auto"/>
            <w:vAlign w:val="center"/>
          </w:tcPr>
          <w:p w14:paraId="4B2EC010">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bottom w:val="single" w:color="auto" w:sz="4" w:space="0"/>
              <w:right w:val="single" w:color="auto" w:sz="4" w:space="0"/>
            </w:tcBorders>
            <w:shd w:val="clear" w:color="auto" w:fill="auto"/>
            <w:vAlign w:val="center"/>
          </w:tcPr>
          <w:p w14:paraId="6AD32B9B">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66B110D4">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根据隧道的安全生产制度，且有定期安全生产培训计划情况进行打分（评分范围：5,4,3,2,1,0）。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6DF539A5">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5D94C220">
        <w:tblPrEx>
          <w:tblCellMar>
            <w:top w:w="0" w:type="dxa"/>
            <w:left w:w="108" w:type="dxa"/>
            <w:bottom w:w="0" w:type="dxa"/>
            <w:right w:w="108" w:type="dxa"/>
          </w:tblCellMar>
        </w:tblPrEx>
        <w:trPr>
          <w:trHeight w:val="90" w:hRule="atLeast"/>
        </w:trPr>
        <w:tc>
          <w:tcPr>
            <w:tcW w:w="873" w:type="dxa"/>
            <w:vMerge w:val="restart"/>
            <w:tcBorders>
              <w:top w:val="single" w:color="auto" w:sz="4" w:space="0"/>
              <w:left w:val="single" w:color="auto" w:sz="4" w:space="0"/>
              <w:right w:val="single" w:color="auto" w:sz="4" w:space="0"/>
            </w:tcBorders>
            <w:shd w:val="clear" w:color="auto" w:fill="auto"/>
            <w:vAlign w:val="center"/>
          </w:tcPr>
          <w:p w14:paraId="5F2FAB57">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5</w:t>
            </w:r>
          </w:p>
        </w:tc>
        <w:tc>
          <w:tcPr>
            <w:tcW w:w="1623" w:type="dxa"/>
            <w:vMerge w:val="restart"/>
            <w:tcBorders>
              <w:top w:val="single" w:color="auto" w:sz="4" w:space="0"/>
              <w:left w:val="single" w:color="auto" w:sz="4" w:space="0"/>
              <w:right w:val="single" w:color="auto" w:sz="4" w:space="0"/>
            </w:tcBorders>
            <w:shd w:val="clear" w:color="auto" w:fill="auto"/>
            <w:vAlign w:val="center"/>
          </w:tcPr>
          <w:p w14:paraId="2DCB472D">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default"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重难点分析及解决措施</w:t>
            </w:r>
            <w:r>
              <w:rPr>
                <w:rFonts w:hint="eastAsia" w:ascii="仿宋" w:hAnsi="仿宋" w:eastAsia="仿宋" w:cs="仿宋"/>
                <w:bCs/>
                <w:color w:val="auto"/>
                <w:kern w:val="0"/>
                <w:sz w:val="24"/>
                <w:szCs w:val="24"/>
                <w:highlight w:val="none"/>
                <w:lang w:val="en-US" w:eastAsia="zh-CN"/>
              </w:rPr>
              <w:br w:type="textWrapping"/>
            </w:r>
            <w:r>
              <w:rPr>
                <w:rFonts w:hint="eastAsia" w:ascii="仿宋" w:hAnsi="仿宋" w:eastAsia="仿宋" w:cs="仿宋"/>
                <w:bCs/>
                <w:color w:val="auto"/>
                <w:kern w:val="0"/>
                <w:sz w:val="24"/>
                <w:szCs w:val="24"/>
                <w:highlight w:val="none"/>
                <w:lang w:val="en-US" w:eastAsia="zh-CN"/>
              </w:rPr>
              <w:t>【主观分】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48899CEB">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根据投标人提供的针对本项目地下综合管廊的特点和难点分析，及提出解决措施方案的详实度、内容完整度、可操作情况等进行打分（评分范围：5,4,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40D4B157">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b/>
                <w:bCs/>
                <w:i w:val="0"/>
                <w:iCs w:val="0"/>
                <w:color w:val="auto"/>
                <w:kern w:val="2"/>
                <w:sz w:val="22"/>
                <w:szCs w:val="22"/>
                <w:highlight w:val="none"/>
                <w:u w:val="none"/>
                <w:lang w:val="en-US" w:eastAsia="zh-CN" w:bidi="ar-SA"/>
              </w:rPr>
            </w:pPr>
            <w:r>
              <w:rPr>
                <w:rFonts w:hint="eastAsia" w:ascii="仿宋" w:hAnsi="仿宋" w:eastAsia="仿宋" w:cs="仿宋"/>
                <w:color w:val="auto"/>
                <w:sz w:val="24"/>
                <w:szCs w:val="24"/>
                <w:highlight w:val="none"/>
                <w:lang w:val="en-US" w:eastAsia="zh-CN"/>
              </w:rPr>
              <w:t>0-5分</w:t>
            </w:r>
          </w:p>
        </w:tc>
      </w:tr>
      <w:tr w14:paraId="57E5FCEA">
        <w:tblPrEx>
          <w:tblCellMar>
            <w:top w:w="0" w:type="dxa"/>
            <w:left w:w="108" w:type="dxa"/>
            <w:bottom w:w="0" w:type="dxa"/>
            <w:right w:w="108" w:type="dxa"/>
          </w:tblCellMar>
        </w:tblPrEx>
        <w:trPr>
          <w:trHeight w:val="454" w:hRule="atLeast"/>
        </w:trPr>
        <w:tc>
          <w:tcPr>
            <w:tcW w:w="873" w:type="dxa"/>
            <w:vMerge w:val="continue"/>
            <w:tcBorders>
              <w:left w:val="single" w:color="auto" w:sz="4" w:space="0"/>
              <w:bottom w:val="single" w:color="auto" w:sz="4" w:space="0"/>
              <w:right w:val="single" w:color="auto" w:sz="4" w:space="0"/>
            </w:tcBorders>
            <w:shd w:val="clear" w:color="auto" w:fill="auto"/>
            <w:vAlign w:val="center"/>
          </w:tcPr>
          <w:p w14:paraId="585BD856">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bottom w:val="single" w:color="auto" w:sz="4" w:space="0"/>
              <w:right w:val="single" w:color="auto" w:sz="4" w:space="0"/>
            </w:tcBorders>
            <w:shd w:val="clear" w:color="auto" w:fill="auto"/>
            <w:vAlign w:val="center"/>
          </w:tcPr>
          <w:p w14:paraId="519875B7">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11653E6E">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根据投标人提供的针对本项目隧道的特点和难点分析，及提出解决措施方案的详实度、内容完整度、可操作情况等进行打分（评分范围：5,4,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6E2F2AB0">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b/>
                <w:bCs/>
                <w:i w:val="0"/>
                <w:iCs w:val="0"/>
                <w:color w:val="auto"/>
                <w:kern w:val="2"/>
                <w:sz w:val="22"/>
                <w:szCs w:val="22"/>
                <w:highlight w:val="none"/>
                <w:u w:val="none"/>
                <w:lang w:val="en-US" w:eastAsia="zh-CN" w:bidi="ar-SA"/>
              </w:rPr>
            </w:pPr>
            <w:r>
              <w:rPr>
                <w:rFonts w:hint="eastAsia" w:ascii="仿宋" w:hAnsi="仿宋" w:eastAsia="仿宋" w:cs="仿宋"/>
                <w:color w:val="auto"/>
                <w:sz w:val="24"/>
                <w:szCs w:val="24"/>
                <w:highlight w:val="none"/>
                <w:lang w:val="en-US" w:eastAsia="zh-CN"/>
              </w:rPr>
              <w:t>0-5分</w:t>
            </w:r>
          </w:p>
        </w:tc>
      </w:tr>
      <w:tr w14:paraId="75F40696">
        <w:tblPrEx>
          <w:tblCellMar>
            <w:top w:w="0" w:type="dxa"/>
            <w:left w:w="108" w:type="dxa"/>
            <w:bottom w:w="0" w:type="dxa"/>
            <w:right w:w="108" w:type="dxa"/>
          </w:tblCellMar>
        </w:tblPrEx>
        <w:trPr>
          <w:trHeight w:val="454" w:hRule="atLeast"/>
        </w:trPr>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14:paraId="03A2392B">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623" w:type="dxa"/>
            <w:tcBorders>
              <w:top w:val="single" w:color="auto" w:sz="4" w:space="0"/>
              <w:left w:val="single" w:color="auto" w:sz="4" w:space="0"/>
              <w:bottom w:val="single" w:color="auto" w:sz="4" w:space="0"/>
              <w:right w:val="single" w:color="auto" w:sz="4" w:space="0"/>
            </w:tcBorders>
            <w:shd w:val="clear" w:color="auto" w:fill="auto"/>
            <w:vAlign w:val="center"/>
          </w:tcPr>
          <w:p w14:paraId="1CB2377D">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GB" w:eastAsia="zh-CN"/>
              </w:rPr>
              <w:t>资料管理方案</w:t>
            </w:r>
            <w:r>
              <w:rPr>
                <w:rFonts w:hint="eastAsia" w:ascii="仿宋" w:hAnsi="仿宋" w:eastAsia="仿宋" w:cs="仿宋"/>
                <w:bCs/>
                <w:color w:val="auto"/>
                <w:kern w:val="0"/>
                <w:sz w:val="24"/>
                <w:szCs w:val="24"/>
                <w:highlight w:val="none"/>
                <w:lang w:val="en-US" w:eastAsia="zh-CN"/>
              </w:rPr>
              <w:t>【主观分】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2BE761C8">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w:t>
            </w:r>
            <w:r>
              <w:rPr>
                <w:rFonts w:hint="eastAsia" w:ascii="仿宋" w:hAnsi="仿宋" w:eastAsia="仿宋" w:cs="仿宋"/>
                <w:color w:val="auto"/>
                <w:sz w:val="24"/>
                <w:szCs w:val="24"/>
                <w:highlight w:val="none"/>
                <w:lang w:val="en-GB" w:eastAsia="zh-CN"/>
              </w:rPr>
              <w:t>建立的</w:t>
            </w:r>
            <w:r>
              <w:rPr>
                <w:rFonts w:hint="eastAsia" w:ascii="仿宋" w:hAnsi="仿宋" w:eastAsia="仿宋" w:cs="仿宋"/>
                <w:color w:val="auto"/>
                <w:sz w:val="24"/>
                <w:szCs w:val="24"/>
                <w:highlight w:val="none"/>
                <w:lang w:val="en-US" w:eastAsia="zh-CN"/>
              </w:rPr>
              <w:t>综合管廊与隧道维护台账和资料管理方案</w:t>
            </w:r>
            <w:r>
              <w:rPr>
                <w:rFonts w:hint="eastAsia" w:ascii="仿宋" w:hAnsi="仿宋" w:eastAsia="仿宋" w:cs="仿宋"/>
                <w:color w:val="auto"/>
                <w:sz w:val="24"/>
                <w:szCs w:val="24"/>
                <w:highlight w:val="none"/>
                <w:lang w:val="en-GB" w:eastAsia="zh-CN"/>
              </w:rPr>
              <w:t>（包括但不限于</w:t>
            </w:r>
            <w:r>
              <w:rPr>
                <w:rFonts w:hint="eastAsia" w:ascii="仿宋" w:hAnsi="仿宋" w:eastAsia="仿宋" w:cs="仿宋"/>
                <w:color w:val="auto"/>
                <w:sz w:val="24"/>
                <w:szCs w:val="24"/>
                <w:highlight w:val="none"/>
                <w:lang w:val="en-US" w:eastAsia="zh-CN"/>
              </w:rPr>
              <w:t>日常维护、设备维修、检测、技术状况评价等</w:t>
            </w:r>
            <w:r>
              <w:rPr>
                <w:rFonts w:hint="eastAsia" w:ascii="仿宋" w:hAnsi="仿宋" w:eastAsia="仿宋" w:cs="仿宋"/>
                <w:color w:val="auto"/>
                <w:sz w:val="24"/>
                <w:szCs w:val="24"/>
                <w:highlight w:val="none"/>
                <w:lang w:val="en-GB" w:eastAsia="zh-CN"/>
              </w:rPr>
              <w:t>资料的整理归档）的规范</w:t>
            </w:r>
            <w:r>
              <w:rPr>
                <w:rFonts w:hint="eastAsia" w:ascii="仿宋" w:hAnsi="仿宋" w:eastAsia="仿宋" w:cs="仿宋"/>
                <w:color w:val="auto"/>
                <w:sz w:val="24"/>
                <w:szCs w:val="24"/>
                <w:highlight w:val="none"/>
                <w:lang w:val="en-US" w:eastAsia="zh-CN"/>
              </w:rPr>
              <w:t>程度</w:t>
            </w:r>
            <w:r>
              <w:rPr>
                <w:rFonts w:hint="eastAsia" w:ascii="仿宋" w:hAnsi="仿宋" w:eastAsia="仿宋" w:cs="仿宋"/>
                <w:color w:val="auto"/>
                <w:sz w:val="24"/>
                <w:szCs w:val="24"/>
                <w:highlight w:val="none"/>
                <w:lang w:val="en-GB" w:eastAsia="zh-CN"/>
              </w:rPr>
              <w:t>等方面进行打分（评分范围：</w:t>
            </w:r>
            <w:r>
              <w:rPr>
                <w:rFonts w:hint="eastAsia" w:ascii="仿宋" w:hAnsi="仿宋" w:eastAsia="仿宋" w:cs="仿宋"/>
                <w:color w:val="auto"/>
                <w:sz w:val="24"/>
                <w:szCs w:val="24"/>
                <w:highlight w:val="none"/>
                <w:lang w:val="en-US" w:eastAsia="zh-CN"/>
              </w:rPr>
              <w:t>5,4,</w:t>
            </w:r>
            <w:r>
              <w:rPr>
                <w:rFonts w:hint="eastAsia" w:ascii="仿宋" w:hAnsi="仿宋" w:eastAsia="仿宋" w:cs="仿宋"/>
                <w:color w:val="auto"/>
                <w:sz w:val="24"/>
                <w:szCs w:val="24"/>
                <w:highlight w:val="none"/>
                <w:lang w:val="en-GB" w:eastAsia="zh-CN"/>
              </w:rPr>
              <w:t>3,2,1,0）。</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1C0AC995">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7653B83D">
        <w:tblPrEx>
          <w:tblCellMar>
            <w:top w:w="0" w:type="dxa"/>
            <w:left w:w="108" w:type="dxa"/>
            <w:bottom w:w="0" w:type="dxa"/>
            <w:right w:w="108" w:type="dxa"/>
          </w:tblCellMar>
        </w:tblPrEx>
        <w:trPr>
          <w:trHeight w:val="454" w:hRule="atLeast"/>
        </w:trPr>
        <w:tc>
          <w:tcPr>
            <w:tcW w:w="873" w:type="dxa"/>
            <w:vMerge w:val="restart"/>
            <w:tcBorders>
              <w:top w:val="single" w:color="auto" w:sz="4" w:space="0"/>
              <w:left w:val="single" w:color="auto" w:sz="4" w:space="0"/>
              <w:right w:val="single" w:color="auto" w:sz="4" w:space="0"/>
            </w:tcBorders>
            <w:shd w:val="clear" w:color="auto" w:fill="auto"/>
            <w:vAlign w:val="center"/>
          </w:tcPr>
          <w:p w14:paraId="3D2528BD">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623" w:type="dxa"/>
            <w:vMerge w:val="restart"/>
            <w:tcBorders>
              <w:top w:val="single" w:color="auto" w:sz="4" w:space="0"/>
              <w:left w:val="single" w:color="auto" w:sz="4" w:space="0"/>
              <w:right w:val="single" w:color="auto" w:sz="4" w:space="0"/>
            </w:tcBorders>
            <w:shd w:val="clear" w:color="auto" w:fill="auto"/>
            <w:vAlign w:val="center"/>
          </w:tcPr>
          <w:p w14:paraId="2AE9E1B6">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应急方案</w:t>
            </w:r>
          </w:p>
          <w:p w14:paraId="766AB27C">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0C670984">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根据防汛防台和抗雪防冻方案的可操作情况、详细程度等进行打分（评分范围：5,4,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50087F3E">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2D1F29F5">
        <w:tblPrEx>
          <w:tblCellMar>
            <w:top w:w="0" w:type="dxa"/>
            <w:left w:w="108" w:type="dxa"/>
            <w:bottom w:w="0" w:type="dxa"/>
            <w:right w:w="108" w:type="dxa"/>
          </w:tblCellMar>
        </w:tblPrEx>
        <w:trPr>
          <w:trHeight w:val="454" w:hRule="atLeast"/>
        </w:trPr>
        <w:tc>
          <w:tcPr>
            <w:tcW w:w="873" w:type="dxa"/>
            <w:vMerge w:val="continue"/>
            <w:tcBorders>
              <w:left w:val="single" w:color="auto" w:sz="4" w:space="0"/>
              <w:bottom w:val="single" w:color="auto" w:sz="4" w:space="0"/>
              <w:right w:val="single" w:color="auto" w:sz="4" w:space="0"/>
            </w:tcBorders>
            <w:shd w:val="clear" w:color="auto" w:fill="auto"/>
            <w:vAlign w:val="center"/>
          </w:tcPr>
          <w:p w14:paraId="1AEA389A">
            <w:pPr>
              <w:keepNext w:val="0"/>
              <w:keepLines w:val="0"/>
              <w:pageBreakBefore w:val="0"/>
              <w:widowControl/>
              <w:kinsoku/>
              <w:wordWrap/>
              <w:overflowPunct/>
              <w:topLinePunct w:val="0"/>
              <w:autoSpaceDE/>
              <w:autoSpaceDN/>
              <w:bidi w:val="0"/>
              <w:adjustRightInd/>
              <w:spacing w:line="360" w:lineRule="exact"/>
              <w:jc w:val="center"/>
              <w:textAlignment w:val="auto"/>
              <w:rPr>
                <w:rFonts w:hint="eastAsia" w:ascii="仿宋" w:hAnsi="仿宋" w:eastAsia="仿宋" w:cs="仿宋"/>
                <w:color w:val="auto"/>
                <w:kern w:val="0"/>
                <w:sz w:val="24"/>
                <w:szCs w:val="24"/>
                <w:highlight w:val="none"/>
                <w:lang w:val="en-US" w:eastAsia="zh-CN"/>
              </w:rPr>
            </w:pPr>
          </w:p>
        </w:tc>
        <w:tc>
          <w:tcPr>
            <w:tcW w:w="1623" w:type="dxa"/>
            <w:vMerge w:val="continue"/>
            <w:tcBorders>
              <w:left w:val="single" w:color="auto" w:sz="4" w:space="0"/>
              <w:bottom w:val="single" w:color="auto" w:sz="4" w:space="0"/>
              <w:right w:val="single" w:color="auto" w:sz="4" w:space="0"/>
            </w:tcBorders>
            <w:shd w:val="clear" w:color="auto" w:fill="auto"/>
            <w:vAlign w:val="center"/>
          </w:tcPr>
          <w:p w14:paraId="4EDF93EE">
            <w:pPr>
              <w:keepNext w:val="0"/>
              <w:keepLines w:val="0"/>
              <w:pageBreakBefore w:val="0"/>
              <w:kinsoku/>
              <w:wordWrap/>
              <w:overflowPunct/>
              <w:topLinePunct w:val="0"/>
              <w:autoSpaceDE/>
              <w:autoSpaceDN/>
              <w:bidi w:val="0"/>
              <w:adjustRightInd/>
              <w:snapToGrid/>
              <w:spacing w:beforeLines="0" w:line="360" w:lineRule="auto"/>
              <w:jc w:val="center"/>
              <w:textAlignment w:val="auto"/>
              <w:rPr>
                <w:rFonts w:hint="eastAsia" w:ascii="仿宋" w:hAnsi="仿宋" w:eastAsia="仿宋" w:cs="仿宋"/>
                <w:color w:val="auto"/>
                <w:kern w:val="2"/>
                <w:sz w:val="24"/>
                <w:szCs w:val="24"/>
                <w:highlight w:val="none"/>
                <w:lang w:val="en-US" w:eastAsia="zh-CN" w:bidi="ar-SA"/>
              </w:rPr>
            </w:pP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1182CF7C">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根据设施突发事件应急抢险方案的可操作情况、详细程度等进行打分（评分范围：5,4,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720531D7">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0-5分</w:t>
            </w:r>
          </w:p>
        </w:tc>
      </w:tr>
      <w:tr w14:paraId="218B58DE">
        <w:tblPrEx>
          <w:tblCellMar>
            <w:top w:w="0" w:type="dxa"/>
            <w:left w:w="108" w:type="dxa"/>
            <w:bottom w:w="0" w:type="dxa"/>
            <w:right w:w="108" w:type="dxa"/>
          </w:tblCellMar>
        </w:tblPrEx>
        <w:trPr>
          <w:trHeight w:val="454" w:hRule="atLeast"/>
        </w:trPr>
        <w:tc>
          <w:tcPr>
            <w:tcW w:w="873" w:type="dxa"/>
            <w:tcBorders>
              <w:left w:val="single" w:color="auto" w:sz="4" w:space="0"/>
              <w:bottom w:val="single" w:color="auto" w:sz="4" w:space="0"/>
              <w:right w:val="single" w:color="auto" w:sz="4" w:space="0"/>
            </w:tcBorders>
            <w:shd w:val="clear" w:color="auto" w:fill="auto"/>
            <w:vAlign w:val="center"/>
          </w:tcPr>
          <w:p w14:paraId="0CE58693">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1623" w:type="dxa"/>
            <w:tcBorders>
              <w:left w:val="single" w:color="auto" w:sz="4" w:space="0"/>
              <w:bottom w:val="single" w:color="auto" w:sz="4" w:space="0"/>
              <w:right w:val="single" w:color="auto" w:sz="4" w:space="0"/>
            </w:tcBorders>
            <w:shd w:val="clear" w:color="auto" w:fill="auto"/>
            <w:vAlign w:val="center"/>
          </w:tcPr>
          <w:p w14:paraId="1186DA7A">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bCs/>
                <w:color w:val="auto"/>
                <w:kern w:val="0"/>
                <w:sz w:val="24"/>
                <w:szCs w:val="24"/>
                <w:highlight w:val="none"/>
                <w:lang w:val="en-US" w:eastAsia="zh-CN"/>
              </w:rPr>
            </w:pPr>
            <w:r>
              <w:rPr>
                <w:rFonts w:hint="eastAsia" w:ascii="仿宋" w:hAnsi="仿宋" w:eastAsia="仿宋" w:cs="仿宋"/>
                <w:bCs/>
                <w:color w:val="auto"/>
                <w:kern w:val="0"/>
                <w:sz w:val="24"/>
                <w:szCs w:val="24"/>
                <w:highlight w:val="none"/>
                <w:lang w:val="en-US" w:eastAsia="zh-CN"/>
              </w:rPr>
              <w:t>重大活动、节日保障方案【主观分】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7CF26397">
            <w:pPr>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根据投标人针对本项目提供的重大活动、节日保障方案的可操作情况、详细程度等进行打分（评分范围：4,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4DE2EE8F">
            <w:pPr>
              <w:keepNext w:val="0"/>
              <w:keepLines w:val="0"/>
              <w:pageBreakBefore w:val="0"/>
              <w:kinsoku/>
              <w:wordWrap/>
              <w:overflowPunct/>
              <w:topLinePunct w:val="0"/>
              <w:autoSpaceDE/>
              <w:autoSpaceDN/>
              <w:bidi w:val="0"/>
              <w:adjustRightInd/>
              <w:snapToGrid w:val="0"/>
              <w:spacing w:line="264" w:lineRule="auto"/>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0-4分</w:t>
            </w:r>
          </w:p>
        </w:tc>
      </w:tr>
      <w:tr w14:paraId="0DAADA25">
        <w:tblPrEx>
          <w:tblCellMar>
            <w:top w:w="0" w:type="dxa"/>
            <w:left w:w="108" w:type="dxa"/>
            <w:bottom w:w="0" w:type="dxa"/>
            <w:right w:w="108" w:type="dxa"/>
          </w:tblCellMar>
        </w:tblPrEx>
        <w:trPr>
          <w:trHeight w:val="454" w:hRule="atLeast"/>
        </w:trPr>
        <w:tc>
          <w:tcPr>
            <w:tcW w:w="873" w:type="dxa"/>
            <w:tcBorders>
              <w:top w:val="single" w:color="auto" w:sz="4" w:space="0"/>
              <w:left w:val="single" w:color="auto" w:sz="4" w:space="0"/>
              <w:bottom w:val="single" w:color="auto" w:sz="4" w:space="0"/>
              <w:right w:val="single" w:color="auto" w:sz="4" w:space="0"/>
            </w:tcBorders>
            <w:shd w:val="clear" w:color="auto" w:fill="auto"/>
            <w:vAlign w:val="center"/>
          </w:tcPr>
          <w:p w14:paraId="39AB4A2E">
            <w:pPr>
              <w:keepNext w:val="0"/>
              <w:keepLines w:val="0"/>
              <w:pageBreakBefore w:val="0"/>
              <w:widowControl/>
              <w:kinsoku/>
              <w:wordWrap/>
              <w:overflowPunct/>
              <w:topLinePunct w:val="0"/>
              <w:autoSpaceDE/>
              <w:autoSpaceDN/>
              <w:bidi w:val="0"/>
              <w:adjustRightInd/>
              <w:spacing w:line="360" w:lineRule="exact"/>
              <w:jc w:val="center"/>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9</w:t>
            </w:r>
          </w:p>
        </w:tc>
        <w:tc>
          <w:tcPr>
            <w:tcW w:w="1623" w:type="dxa"/>
            <w:tcBorders>
              <w:top w:val="single" w:color="auto" w:sz="4" w:space="0"/>
              <w:left w:val="single" w:color="auto" w:sz="4" w:space="0"/>
              <w:bottom w:val="single" w:color="auto" w:sz="4" w:space="0"/>
              <w:right w:val="single" w:color="auto" w:sz="4" w:space="0"/>
            </w:tcBorders>
            <w:shd w:val="clear" w:color="auto" w:fill="auto"/>
            <w:vAlign w:val="center"/>
          </w:tcPr>
          <w:p w14:paraId="59EF11A3">
            <w:pPr>
              <w:keepNext w:val="0"/>
              <w:keepLines w:val="0"/>
              <w:pageBreakBefore w:val="0"/>
              <w:widowControl/>
              <w:kinsoku/>
              <w:wordWrap/>
              <w:overflowPunct/>
              <w:topLinePunct w:val="0"/>
              <w:autoSpaceDE/>
              <w:autoSpaceDN/>
              <w:bidi w:val="0"/>
              <w:adjustRightInd/>
              <w:snapToGrid w:val="0"/>
              <w:spacing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GB" w:eastAsia="zh-CN"/>
              </w:rPr>
              <w:t>合理化建议</w:t>
            </w:r>
            <w:r>
              <w:rPr>
                <w:rFonts w:hint="eastAsia" w:ascii="仿宋" w:hAnsi="仿宋" w:eastAsia="仿宋" w:cs="仿宋"/>
                <w:color w:val="auto"/>
                <w:kern w:val="2"/>
                <w:sz w:val="24"/>
                <w:szCs w:val="24"/>
                <w:highlight w:val="none"/>
                <w:lang w:val="en-US" w:eastAsia="zh-CN" w:bidi="ar-SA"/>
              </w:rPr>
              <w:t>【主观分】</w:t>
            </w:r>
          </w:p>
        </w:tc>
        <w:tc>
          <w:tcPr>
            <w:tcW w:w="5869" w:type="dxa"/>
            <w:tcBorders>
              <w:top w:val="single" w:color="auto" w:sz="4" w:space="0"/>
              <w:left w:val="single" w:color="auto" w:sz="4" w:space="0"/>
              <w:bottom w:val="single" w:color="auto" w:sz="4" w:space="0"/>
              <w:right w:val="single" w:color="auto" w:sz="4" w:space="0"/>
            </w:tcBorders>
            <w:shd w:val="clear" w:color="auto" w:fill="auto"/>
            <w:vAlign w:val="center"/>
          </w:tcPr>
          <w:p w14:paraId="3828DC99">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480" w:firstLineChars="200"/>
              <w:textAlignment w:val="auto"/>
              <w:rPr>
                <w:rFonts w:hint="eastAsia" w:ascii="仿宋" w:hAnsi="仿宋" w:eastAsia="仿宋" w:cs="仿宋"/>
                <w:bCs w:val="0"/>
                <w:color w:val="auto"/>
                <w:kern w:val="0"/>
                <w:sz w:val="24"/>
                <w:szCs w:val="24"/>
                <w:highlight w:val="none"/>
                <w:lang w:val="en-US" w:eastAsia="zh-CN" w:bidi="ar-SA"/>
              </w:rPr>
            </w:pPr>
            <w:r>
              <w:rPr>
                <w:rFonts w:hint="eastAsia" w:ascii="仿宋" w:hAnsi="仿宋" w:eastAsia="仿宋" w:cs="仿宋"/>
                <w:b w:val="0"/>
                <w:i w:val="0"/>
                <w:caps w:val="0"/>
                <w:color w:val="auto"/>
                <w:spacing w:val="0"/>
                <w:w w:val="100"/>
                <w:sz w:val="24"/>
                <w:szCs w:val="24"/>
                <w:highlight w:val="none"/>
                <w:lang w:val="en-GB" w:eastAsia="zh-CN"/>
              </w:rPr>
              <w:t>根据</w:t>
            </w:r>
            <w:r>
              <w:rPr>
                <w:rFonts w:hint="eastAsia" w:ascii="仿宋" w:hAnsi="仿宋" w:eastAsia="仿宋" w:cs="仿宋"/>
                <w:b w:val="0"/>
                <w:i w:val="0"/>
                <w:caps w:val="0"/>
                <w:color w:val="auto"/>
                <w:spacing w:val="0"/>
                <w:w w:val="100"/>
                <w:sz w:val="24"/>
                <w:szCs w:val="24"/>
                <w:highlight w:val="none"/>
                <w:lang w:val="en-US" w:eastAsia="zh-CN"/>
              </w:rPr>
              <w:t>投标人结合本</w:t>
            </w:r>
            <w:r>
              <w:rPr>
                <w:rFonts w:hint="eastAsia" w:ascii="仿宋" w:hAnsi="仿宋" w:eastAsia="仿宋" w:cs="仿宋"/>
                <w:b w:val="0"/>
                <w:i w:val="0"/>
                <w:caps w:val="0"/>
                <w:color w:val="auto"/>
                <w:spacing w:val="0"/>
                <w:w w:val="100"/>
                <w:sz w:val="24"/>
                <w:szCs w:val="24"/>
                <w:highlight w:val="none"/>
                <w:lang w:val="en-GB" w:eastAsia="zh-CN"/>
              </w:rPr>
              <w:t>项目需求提出</w:t>
            </w:r>
            <w:r>
              <w:rPr>
                <w:rFonts w:hint="eastAsia" w:ascii="仿宋" w:hAnsi="仿宋" w:eastAsia="仿宋" w:cs="仿宋"/>
                <w:b w:val="0"/>
                <w:i w:val="0"/>
                <w:caps w:val="0"/>
                <w:color w:val="auto"/>
                <w:spacing w:val="0"/>
                <w:w w:val="100"/>
                <w:sz w:val="24"/>
                <w:szCs w:val="24"/>
                <w:highlight w:val="none"/>
                <w:lang w:val="en-GB"/>
              </w:rPr>
              <w:t>合理化建议</w:t>
            </w:r>
            <w:r>
              <w:rPr>
                <w:rFonts w:hint="eastAsia" w:ascii="仿宋" w:hAnsi="仿宋" w:eastAsia="仿宋" w:cs="仿宋"/>
                <w:b w:val="0"/>
                <w:i w:val="0"/>
                <w:caps w:val="0"/>
                <w:color w:val="auto"/>
                <w:spacing w:val="0"/>
                <w:w w:val="100"/>
                <w:sz w:val="24"/>
                <w:szCs w:val="24"/>
                <w:highlight w:val="none"/>
                <w:lang w:val="en-US" w:eastAsia="zh-CN"/>
              </w:rPr>
              <w:t>和</w:t>
            </w:r>
            <w:r>
              <w:rPr>
                <w:rFonts w:hint="eastAsia" w:ascii="仿宋" w:hAnsi="仿宋" w:eastAsia="仿宋" w:cs="仿宋"/>
                <w:b w:val="0"/>
                <w:i w:val="0"/>
                <w:caps w:val="0"/>
                <w:color w:val="auto"/>
                <w:spacing w:val="0"/>
                <w:w w:val="100"/>
                <w:sz w:val="24"/>
                <w:szCs w:val="24"/>
                <w:highlight w:val="none"/>
                <w:lang w:val="en-GB"/>
              </w:rPr>
              <w:t>优化建议</w:t>
            </w:r>
            <w:r>
              <w:rPr>
                <w:rFonts w:hint="eastAsia" w:ascii="仿宋" w:hAnsi="仿宋" w:eastAsia="仿宋" w:cs="仿宋"/>
                <w:bCs w:val="0"/>
                <w:color w:val="auto"/>
                <w:kern w:val="0"/>
                <w:sz w:val="24"/>
                <w:szCs w:val="24"/>
                <w:highlight w:val="none"/>
                <w:lang w:val="en-US" w:eastAsia="zh-CN"/>
              </w:rPr>
              <w:t>的完整度，</w:t>
            </w:r>
            <w:r>
              <w:rPr>
                <w:rFonts w:hint="eastAsia" w:ascii="仿宋" w:hAnsi="仿宋" w:eastAsia="仿宋" w:cs="仿宋"/>
                <w:color w:val="auto"/>
                <w:sz w:val="24"/>
                <w:szCs w:val="24"/>
                <w:highlight w:val="none"/>
                <w:lang w:val="en-US" w:eastAsia="zh-CN"/>
              </w:rPr>
              <w:t>可操作情况等方面进行打分（评分范围：4,</w:t>
            </w:r>
            <w:r>
              <w:rPr>
                <w:rFonts w:hint="eastAsia" w:ascii="仿宋" w:hAnsi="仿宋" w:eastAsia="仿宋" w:cs="仿宋"/>
                <w:color w:val="auto"/>
                <w:sz w:val="24"/>
                <w:szCs w:val="24"/>
                <w:highlight w:val="none"/>
                <w:lang w:val="en-GB" w:eastAsia="zh-CN"/>
              </w:rPr>
              <w:t>3,2,1,0</w:t>
            </w:r>
            <w:r>
              <w:rPr>
                <w:rFonts w:hint="eastAsia" w:ascii="仿宋" w:hAnsi="仿宋" w:eastAsia="仿宋" w:cs="仿宋"/>
                <w:color w:val="auto"/>
                <w:sz w:val="24"/>
                <w:szCs w:val="24"/>
                <w:highlight w:val="none"/>
                <w:lang w:val="en-US" w:eastAsia="zh-CN"/>
              </w:rPr>
              <w:t>）。</w:t>
            </w:r>
          </w:p>
        </w:tc>
        <w:tc>
          <w:tcPr>
            <w:tcW w:w="1052" w:type="dxa"/>
            <w:tcBorders>
              <w:top w:val="single" w:color="auto" w:sz="4" w:space="0"/>
              <w:left w:val="single" w:color="auto" w:sz="4" w:space="0"/>
              <w:bottom w:val="single" w:color="auto" w:sz="4" w:space="0"/>
              <w:right w:val="single" w:color="auto" w:sz="4" w:space="0"/>
            </w:tcBorders>
            <w:shd w:val="clear" w:color="auto" w:fill="auto"/>
            <w:vAlign w:val="center"/>
          </w:tcPr>
          <w:p w14:paraId="0EFAB2E2">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0-4分</w:t>
            </w:r>
          </w:p>
        </w:tc>
      </w:tr>
    </w:tbl>
    <w:p w14:paraId="0C536318">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（二）价格文件评分（</w:t>
      </w:r>
      <w:r>
        <w:rPr>
          <w:rFonts w:hint="eastAsia" w:ascii="仿宋" w:hAnsi="仿宋" w:eastAsia="仿宋" w:cs="仿宋"/>
          <w:color w:val="auto"/>
          <w:sz w:val="24"/>
          <w:szCs w:val="24"/>
          <w:highlight w:val="none"/>
          <w:u w:val="single"/>
          <w:lang w:val="en-US" w:eastAsia="zh-CN"/>
        </w:rPr>
        <w:t xml:space="preserve"> 20 </w:t>
      </w:r>
      <w:r>
        <w:rPr>
          <w:rFonts w:hint="eastAsia" w:ascii="仿宋" w:hAnsi="仿宋" w:eastAsia="仿宋" w:cs="仿宋"/>
          <w:color w:val="auto"/>
          <w:sz w:val="24"/>
          <w:szCs w:val="24"/>
          <w:highlight w:val="none"/>
        </w:rPr>
        <w:t>分）</w:t>
      </w:r>
    </w:p>
    <w:p w14:paraId="12EF0A2D">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招标价格文件评分由各评委成员按评分细则进行评审打分，评标委员会认为投标人的报价明显低于其他通过符合性审查投标人的报价，有可能影响产品质量或者不能诚信履约的，应当要求其在评标现场30分钟内提供书面说明，必要时提交相关证明材料;投标人不能证明其报价合理性的，评标委员会应当将其作为无效投标处理。</w:t>
      </w:r>
    </w:p>
    <w:p w14:paraId="148AE33E">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价格分采用低价优先法计算，即满足招标文件要求且报价最低的投标报价为评标基准价，其他投标人的价格分按照下列公式计算：</w:t>
      </w:r>
    </w:p>
    <w:p w14:paraId="66626B81">
      <w:pPr>
        <w:keepNext w:val="0"/>
        <w:keepLines w:val="0"/>
        <w:pageBreakBefore w:val="0"/>
        <w:kinsoku/>
        <w:wordWrap/>
        <w:overflowPunct/>
        <w:topLinePunct w:val="0"/>
        <w:bidi w:val="0"/>
        <w:adjustRightInd w:val="0"/>
        <w:snapToGrid w:val="0"/>
        <w:spacing w:line="460" w:lineRule="exact"/>
        <w:ind w:firstLine="470" w:firstLineChars="196"/>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价格分=（评标基准价/投标报价）</w:t>
      </w:r>
      <w:r>
        <w:rPr>
          <w:rFonts w:hint="eastAsia" w:ascii="仿宋" w:hAnsi="仿宋" w:eastAsia="仿宋" w:cs="仿宋"/>
          <w:bCs/>
          <w:color w:val="auto"/>
          <w:spacing w:val="-4"/>
          <w:sz w:val="24"/>
          <w:szCs w:val="24"/>
          <w:highlight w:val="none"/>
        </w:rPr>
        <w:t>×价格权值×100%</w:t>
      </w:r>
    </w:p>
    <w:p w14:paraId="6D7B4FA7">
      <w:pPr>
        <w:keepNext w:val="0"/>
        <w:keepLines w:val="0"/>
        <w:pageBreakBefore w:val="0"/>
        <w:kinsoku/>
        <w:wordWrap/>
        <w:overflowPunct/>
        <w:topLinePunct w:val="0"/>
        <w:autoSpaceDE w:val="0"/>
        <w:autoSpaceDN w:val="0"/>
        <w:bidi w:val="0"/>
        <w:adjustRightInd w:val="0"/>
        <w:snapToGrid w:val="0"/>
        <w:spacing w:line="460" w:lineRule="exact"/>
        <w:ind w:firstLine="482"/>
        <w:textAlignment w:val="auto"/>
        <w:rPr>
          <w:rFonts w:hint="eastAsia" w:ascii="仿宋" w:hAnsi="仿宋" w:eastAsia="仿宋" w:cs="仿宋"/>
          <w:b/>
          <w:bCs/>
          <w:color w:val="auto"/>
          <w:sz w:val="24"/>
          <w:szCs w:val="24"/>
          <w:highlight w:val="none"/>
          <w:lang w:val="zh-CN"/>
        </w:rPr>
      </w:pPr>
      <w:r>
        <w:rPr>
          <w:rFonts w:hint="eastAsia" w:ascii="仿宋" w:hAnsi="仿宋" w:eastAsia="仿宋" w:cs="仿宋"/>
          <w:b/>
          <w:bCs/>
          <w:color w:val="auto"/>
          <w:sz w:val="24"/>
          <w:szCs w:val="24"/>
          <w:highlight w:val="none"/>
          <w:lang w:val="zh-CN"/>
        </w:rPr>
        <w:t>落实政府采购政策说明：</w:t>
      </w:r>
    </w:p>
    <w:p w14:paraId="1E5C1D5F">
      <w:pPr>
        <w:keepNext w:val="0"/>
        <w:keepLines w:val="0"/>
        <w:pageBreakBefore w:val="0"/>
        <w:kinsoku/>
        <w:wordWrap/>
        <w:overflowPunct/>
        <w:topLinePunct w:val="0"/>
        <w:autoSpaceDE w:val="0"/>
        <w:autoSpaceDN w:val="0"/>
        <w:bidi w:val="0"/>
        <w:adjustRightInd w:val="0"/>
        <w:snapToGrid w:val="0"/>
        <w:spacing w:line="460" w:lineRule="exact"/>
        <w:ind w:firstLine="482"/>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本项目为预留份额项目，专门面向中小企业采购。专门面向中小企业采购的标项，不再执行价格评审优惠的扶持政策。</w:t>
      </w:r>
    </w:p>
    <w:p w14:paraId="13902C43">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）其他</w:t>
      </w:r>
    </w:p>
    <w:p w14:paraId="7BE4F8F1">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评分时保留小数点后1位小数，计算评分值时保留小数点后2位小数，由评标委员会当场统一计算。</w:t>
      </w:r>
    </w:p>
    <w:p w14:paraId="12832094">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投标人的最终总得分为商务技术文件及报价部分二部分得分的总和。</w:t>
      </w:r>
    </w:p>
    <w:p w14:paraId="0696FA18">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报价是中标的一个重要因素，但最低报价不是中标的唯一依据。</w:t>
      </w:r>
    </w:p>
    <w:p w14:paraId="7ED088BA">
      <w:pPr>
        <w:keepNext w:val="0"/>
        <w:keepLines w:val="0"/>
        <w:pageBreakBefore w:val="0"/>
        <w:widowControl/>
        <w:kinsoku/>
        <w:wordWrap/>
        <w:overflowPunct/>
        <w:topLinePunct w:val="0"/>
        <w:bidi w:val="0"/>
        <w:snapToGrid w:val="0"/>
        <w:spacing w:line="46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六、定标办法</w:t>
      </w:r>
      <w:bookmarkEnd w:id="291"/>
      <w:bookmarkEnd w:id="292"/>
      <w:bookmarkEnd w:id="293"/>
      <w:bookmarkEnd w:id="294"/>
    </w:p>
    <w:p w14:paraId="39A4FC44">
      <w:pPr>
        <w:keepNext w:val="0"/>
        <w:keepLines w:val="0"/>
        <w:pageBreakBefore w:val="0"/>
        <w:kinsoku/>
        <w:wordWrap/>
        <w:overflowPunct/>
        <w:topLinePunct w:val="0"/>
        <w:autoSpaceDE w:val="0"/>
        <w:autoSpaceDN w:val="0"/>
        <w:bidi w:val="0"/>
        <w:spacing w:line="460" w:lineRule="exact"/>
        <w:ind w:firstLine="482"/>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1.本次招标由评标委员会直接确定中标</w:t>
      </w:r>
      <w:r>
        <w:rPr>
          <w:rFonts w:hint="eastAsia" w:ascii="仿宋" w:hAnsi="仿宋" w:eastAsia="仿宋" w:cs="仿宋"/>
          <w:color w:val="auto"/>
          <w:sz w:val="24"/>
          <w:szCs w:val="24"/>
          <w:highlight w:val="none"/>
          <w:lang w:val="zh-CN"/>
        </w:rPr>
        <w:t>候选人</w:t>
      </w:r>
      <w:r>
        <w:rPr>
          <w:rFonts w:hint="eastAsia" w:ascii="仿宋" w:hAnsi="仿宋" w:eastAsia="仿宋" w:cs="仿宋"/>
          <w:color w:val="auto"/>
          <w:sz w:val="24"/>
          <w:szCs w:val="24"/>
          <w:highlight w:val="none"/>
        </w:rPr>
        <w:t>。</w:t>
      </w:r>
    </w:p>
    <w:p w14:paraId="51D0DB10">
      <w:pPr>
        <w:keepNext w:val="0"/>
        <w:keepLines w:val="0"/>
        <w:pageBreakBefore w:val="0"/>
        <w:kinsoku/>
        <w:wordWrap/>
        <w:overflowPunct/>
        <w:topLinePunct w:val="0"/>
        <w:autoSpaceDE w:val="0"/>
        <w:autoSpaceDN w:val="0"/>
        <w:bidi w:val="0"/>
        <w:spacing w:line="460" w:lineRule="exact"/>
        <w:ind w:firstLine="482"/>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2.由评标委员会按招标文件中规定的各项因素进行综合评审，</w:t>
      </w:r>
      <w:r>
        <w:rPr>
          <w:rFonts w:hint="eastAsia" w:ascii="仿宋" w:hAnsi="仿宋" w:eastAsia="仿宋" w:cs="仿宋"/>
          <w:b/>
          <w:bCs/>
          <w:color w:val="auto"/>
          <w:sz w:val="24"/>
          <w:szCs w:val="24"/>
          <w:highlight w:val="none"/>
        </w:rPr>
        <w:t>确定综合得分最高的供应商为</w:t>
      </w:r>
      <w:r>
        <w:rPr>
          <w:rFonts w:hint="eastAsia" w:ascii="仿宋" w:hAnsi="仿宋" w:eastAsia="仿宋" w:cs="仿宋"/>
          <w:b/>
          <w:bCs/>
          <w:color w:val="auto"/>
          <w:sz w:val="24"/>
          <w:szCs w:val="24"/>
          <w:highlight w:val="none"/>
          <w:lang w:val="en-US" w:eastAsia="zh-CN"/>
        </w:rPr>
        <w:t>第一</w:t>
      </w:r>
      <w:r>
        <w:rPr>
          <w:rFonts w:hint="eastAsia" w:ascii="仿宋" w:hAnsi="仿宋" w:eastAsia="仿宋" w:cs="仿宋"/>
          <w:b/>
          <w:bCs/>
          <w:color w:val="auto"/>
          <w:sz w:val="24"/>
          <w:szCs w:val="24"/>
          <w:highlight w:val="none"/>
        </w:rPr>
        <w:t>中标人</w:t>
      </w:r>
      <w:r>
        <w:rPr>
          <w:rFonts w:hint="eastAsia" w:ascii="仿宋" w:hAnsi="仿宋" w:eastAsia="仿宋" w:cs="仿宋"/>
          <w:b/>
          <w:bCs/>
          <w:color w:val="auto"/>
          <w:sz w:val="24"/>
          <w:szCs w:val="24"/>
          <w:highlight w:val="none"/>
          <w:lang w:eastAsia="zh-CN"/>
        </w:rPr>
        <w:t>，得分第二高者为第二中标候选人，得分第</w:t>
      </w: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lang w:eastAsia="zh-CN"/>
        </w:rPr>
        <w:t>高者为第</w:t>
      </w: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lang w:eastAsia="zh-CN"/>
        </w:rPr>
        <w:t>中标候选人</w:t>
      </w:r>
      <w:r>
        <w:rPr>
          <w:rFonts w:hint="eastAsia" w:ascii="仿宋" w:hAnsi="仿宋" w:eastAsia="仿宋" w:cs="仿宋"/>
          <w:b/>
          <w:bCs/>
          <w:color w:val="auto"/>
          <w:sz w:val="24"/>
          <w:szCs w:val="24"/>
          <w:highlight w:val="none"/>
        </w:rPr>
        <w:t>。</w:t>
      </w:r>
      <w:r>
        <w:rPr>
          <w:rFonts w:hint="eastAsia" w:ascii="仿宋" w:hAnsi="仿宋" w:eastAsia="仿宋" w:cs="仿宋"/>
          <w:color w:val="auto"/>
          <w:sz w:val="24"/>
          <w:szCs w:val="24"/>
          <w:highlight w:val="none"/>
        </w:rPr>
        <w:t>如出现</w:t>
      </w:r>
      <w:r>
        <w:rPr>
          <w:rFonts w:hint="eastAsia" w:ascii="仿宋" w:hAnsi="仿宋" w:eastAsia="仿宋" w:cs="仿宋"/>
          <w:color w:val="auto"/>
          <w:sz w:val="24"/>
          <w:szCs w:val="24"/>
          <w:highlight w:val="none"/>
          <w:lang w:val="en-US" w:eastAsia="zh-CN"/>
        </w:rPr>
        <w:t>综合</w:t>
      </w:r>
      <w:r>
        <w:rPr>
          <w:rFonts w:hint="eastAsia" w:ascii="仿宋" w:hAnsi="仿宋" w:eastAsia="仿宋" w:cs="仿宋"/>
          <w:color w:val="auto"/>
          <w:sz w:val="24"/>
          <w:szCs w:val="24"/>
          <w:highlight w:val="none"/>
        </w:rPr>
        <w:t>得分相同时，</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报价低的优先；如综合得分和投标报价均相同，则现场抽签确定</w:t>
      </w:r>
      <w:r>
        <w:rPr>
          <w:rFonts w:hint="eastAsia" w:ascii="仿宋" w:hAnsi="仿宋" w:eastAsia="仿宋" w:cs="仿宋"/>
          <w:color w:val="auto"/>
          <w:sz w:val="24"/>
          <w:szCs w:val="24"/>
          <w:highlight w:val="none"/>
          <w:lang w:val="zh-CN"/>
        </w:rPr>
        <w:t>。</w:t>
      </w:r>
    </w:p>
    <w:p w14:paraId="2D307A7A">
      <w:pPr>
        <w:keepNext w:val="0"/>
        <w:keepLines w:val="0"/>
        <w:pageBreakBefore w:val="0"/>
        <w:kinsoku/>
        <w:wordWrap/>
        <w:overflowPunct/>
        <w:topLinePunct w:val="0"/>
        <w:autoSpaceDE w:val="0"/>
        <w:autoSpaceDN w:val="0"/>
        <w:bidi w:val="0"/>
        <w:spacing w:line="460" w:lineRule="exact"/>
        <w:ind w:firstLine="482"/>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zh-CN"/>
        </w:rPr>
        <w:t>如中标候选人放弃中标</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因不可抗力提出不能履行合同；或者招标文件规定应当提交履约保证金而在规定的期限内未能提交的；或未能在规定时间内与采购单位签订合同的；或者经质疑，采购人审查后，确因中标候选人在本次采购活动中存在违法违规行为或其他原因使质疑成立的，采购人</w:t>
      </w:r>
      <w:r>
        <w:rPr>
          <w:rFonts w:hint="eastAsia" w:ascii="仿宋" w:hAnsi="仿宋" w:eastAsia="仿宋" w:cs="仿宋"/>
          <w:color w:val="auto"/>
          <w:sz w:val="24"/>
          <w:szCs w:val="24"/>
          <w:highlight w:val="none"/>
          <w:lang w:val="en-US" w:eastAsia="zh-CN"/>
        </w:rPr>
        <w:t>可</w:t>
      </w:r>
      <w:r>
        <w:rPr>
          <w:rFonts w:hint="eastAsia" w:ascii="仿宋" w:hAnsi="仿宋" w:eastAsia="仿宋" w:cs="仿宋"/>
          <w:color w:val="auto"/>
          <w:sz w:val="24"/>
          <w:szCs w:val="24"/>
          <w:highlight w:val="none"/>
          <w:lang w:val="zh-CN"/>
        </w:rPr>
        <w:t>重新招标。</w:t>
      </w:r>
    </w:p>
    <w:p w14:paraId="18AF2ACF">
      <w:pPr>
        <w:keepNext w:val="0"/>
        <w:keepLines w:val="0"/>
        <w:pageBreakBefore w:val="0"/>
        <w:widowControl/>
        <w:kinsoku/>
        <w:wordWrap/>
        <w:overflowPunct/>
        <w:topLinePunct w:val="0"/>
        <w:bidi w:val="0"/>
        <w:snapToGrid w:val="0"/>
        <w:spacing w:line="46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五、询标</w:t>
      </w:r>
    </w:p>
    <w:p w14:paraId="3B5097BC">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对投标文件中存在含</w:t>
      </w:r>
      <w:r>
        <w:rPr>
          <w:rFonts w:hint="eastAsia" w:ascii="仿宋" w:hAnsi="仿宋" w:eastAsia="仿宋" w:cs="仿宋"/>
          <w:color w:val="auto"/>
          <w:sz w:val="24"/>
          <w:szCs w:val="24"/>
          <w:highlight w:val="none"/>
          <w:lang w:val="zh-CN" w:eastAsia="zh-CN"/>
        </w:rPr>
        <w:t>义不清楚的内容，必要时评标委员会要求供应商作必要的澄清、说明或补正。询标记录需供</w:t>
      </w:r>
      <w:r>
        <w:rPr>
          <w:rFonts w:hint="eastAsia" w:ascii="仿宋" w:hAnsi="仿宋" w:eastAsia="仿宋" w:cs="仿宋"/>
          <w:color w:val="auto"/>
          <w:sz w:val="24"/>
          <w:szCs w:val="24"/>
          <w:highlight w:val="none"/>
        </w:rPr>
        <w:t>应商授权代表签字确认，它将作为投标文件的一部分。</w:t>
      </w:r>
    </w:p>
    <w:p w14:paraId="5ECDD75B">
      <w:pPr>
        <w:keepNext w:val="0"/>
        <w:keepLines w:val="0"/>
        <w:pageBreakBefore w:val="0"/>
        <w:widowControl/>
        <w:kinsoku/>
        <w:wordWrap/>
        <w:overflowPunct/>
        <w:topLinePunct w:val="0"/>
        <w:bidi w:val="0"/>
        <w:snapToGrid w:val="0"/>
        <w:spacing w:line="460" w:lineRule="exact"/>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六、修改评标结果</w:t>
      </w:r>
    </w:p>
    <w:p w14:paraId="0B79BCC2">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评标结果汇总完成后，除下列情形外，任何人不得修改评标结果：</w:t>
      </w:r>
    </w:p>
    <w:p w14:paraId="797BBDF0">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（一）分值汇总计算错误的</w:t>
      </w:r>
    </w:p>
    <w:p w14:paraId="50F51534">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（二）分项评分超出评分标准范围的；</w:t>
      </w:r>
    </w:p>
    <w:p w14:paraId="4C5F4616">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（三）评标委员会成员对客观评审因素评分不一致的；</w:t>
      </w:r>
    </w:p>
    <w:p w14:paraId="4F9B04E2">
      <w:pPr>
        <w:keepNext w:val="0"/>
        <w:keepLines w:val="0"/>
        <w:pageBreakBefore w:val="0"/>
        <w:widowControl/>
        <w:kinsoku/>
        <w:wordWrap/>
        <w:overflowPunct/>
        <w:topLinePunct w:val="0"/>
        <w:bidi w:val="0"/>
        <w:snapToGrid w:val="0"/>
        <w:spacing w:line="460" w:lineRule="exact"/>
        <w:ind w:firstLine="480" w:firstLineChars="200"/>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（四）经评标委员会认定评分畸高、畸低的。</w:t>
      </w:r>
    </w:p>
    <w:p w14:paraId="04709FA7">
      <w:pPr>
        <w:pStyle w:val="37"/>
        <w:keepNext w:val="0"/>
        <w:keepLines w:val="0"/>
        <w:pageBreakBefore w:val="0"/>
        <w:kinsoku/>
        <w:wordWrap/>
        <w:overflowPunct/>
        <w:topLinePunct w:val="0"/>
        <w:bidi w:val="0"/>
        <w:adjustRightInd w:val="0"/>
        <w:snapToGrid w:val="0"/>
        <w:spacing w:after="0" w:line="460" w:lineRule="exact"/>
        <w:ind w:left="0" w:leftChars="0" w:firstLine="480" w:firstLineChars="200"/>
        <w:textAlignment w:val="auto"/>
        <w:rPr>
          <w:rFonts w:hint="eastAsia" w:ascii="仿宋" w:hAnsi="仿宋" w:eastAsia="仿宋" w:cs="仿宋"/>
          <w:color w:val="auto"/>
          <w:kern w:val="2"/>
          <w:sz w:val="24"/>
          <w:szCs w:val="24"/>
          <w:highlight w:val="none"/>
          <w:lang w:val="zh-CN" w:eastAsia="zh-CN" w:bidi="ar-SA"/>
        </w:rPr>
      </w:pPr>
    </w:p>
    <w:p w14:paraId="245738B7">
      <w:pPr>
        <w:pStyle w:val="87"/>
        <w:keepNext w:val="0"/>
        <w:keepLines w:val="0"/>
        <w:pageBreakBefore w:val="0"/>
        <w:kinsoku/>
        <w:wordWrap/>
        <w:overflowPunct/>
        <w:topLinePunct w:val="0"/>
        <w:bidi w:val="0"/>
        <w:spacing w:after="0" w:line="460" w:lineRule="exact"/>
        <w:ind w:firstLine="440"/>
        <w:textAlignment w:val="auto"/>
        <w:rPr>
          <w:rFonts w:hint="eastAsia" w:ascii="仿宋" w:hAnsi="仿宋" w:eastAsia="仿宋" w:cs="仿宋"/>
          <w:color w:val="auto"/>
          <w:sz w:val="24"/>
          <w:szCs w:val="24"/>
          <w:highlight w:val="none"/>
        </w:rPr>
      </w:pPr>
    </w:p>
    <w:p w14:paraId="635471DF">
      <w:pPr>
        <w:keepNext w:val="0"/>
        <w:keepLines w:val="0"/>
        <w:pageBreakBefore w:val="0"/>
        <w:kinsoku/>
        <w:wordWrap/>
        <w:overflowPunct/>
        <w:topLinePunct w:val="0"/>
        <w:bidi w:val="0"/>
        <w:snapToGrid w:val="0"/>
        <w:spacing w:line="460" w:lineRule="exact"/>
        <w:ind w:firstLine="472" w:firstLineChars="196"/>
        <w:textAlignment w:val="auto"/>
        <w:rPr>
          <w:rFonts w:hint="eastAsia" w:ascii="仿宋" w:hAnsi="仿宋" w:eastAsia="仿宋" w:cs="仿宋"/>
          <w:b/>
          <w:bCs/>
          <w:color w:val="auto"/>
          <w:kern w:val="44"/>
          <w:sz w:val="24"/>
          <w:highlight w:val="none"/>
        </w:rPr>
      </w:pPr>
    </w:p>
    <w:bookmarkEnd w:id="244"/>
    <w:p w14:paraId="3DBDA1AA">
      <w:pPr>
        <w:keepNext w:val="0"/>
        <w:keepLines w:val="0"/>
        <w:pageBreakBefore w:val="0"/>
        <w:kinsoku/>
        <w:wordWrap/>
        <w:overflowPunct/>
        <w:topLinePunct w:val="0"/>
        <w:bidi w:val="0"/>
        <w:spacing w:line="460" w:lineRule="exact"/>
        <w:ind w:firstLine="480" w:firstLineChars="200"/>
        <w:jc w:val="left"/>
        <w:textAlignment w:val="auto"/>
        <w:rPr>
          <w:rFonts w:hint="eastAsia" w:ascii="仿宋" w:hAnsi="仿宋" w:eastAsia="仿宋" w:cs="仿宋"/>
          <w:color w:val="auto"/>
          <w:sz w:val="24"/>
          <w:highlight w:val="none"/>
        </w:rPr>
      </w:pPr>
    </w:p>
    <w:sectPr>
      <w:pgSz w:w="11906" w:h="16838"/>
      <w:pgMar w:top="1440" w:right="1440" w:bottom="1440" w:left="1440" w:header="851" w:footer="851" w:gutter="0"/>
      <w:pgBorders>
        <w:top w:val="none" w:sz="0" w:space="0"/>
        <w:left w:val="none" w:sz="0" w:space="0"/>
        <w:bottom w:val="none" w:sz="0" w:space="0"/>
        <w:right w:val="none" w:sz="0" w:space="0"/>
      </w:pgBorders>
      <w:pgNumType w:fmt="decimal"/>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auto"/>
    <w:pitch w:val="default"/>
    <w:sig w:usb0="00000000" w:usb1="00000000" w:usb2="0000003F" w:usb3="00000000" w:csb0="603F01FF" w:csb1="FFFF0000"/>
  </w:font>
  <w:font w:name="Microsoft YaHei UI">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方正姚体">
    <w:altName w:val="宋体"/>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HYKai U3HK">
    <w:altName w:val="MingLiU-ExtB"/>
    <w:panose1 w:val="00000000000000000000"/>
    <w:charset w:val="88"/>
    <w:family w:val="modern"/>
    <w:pitch w:val="default"/>
    <w:sig w:usb0="00000000" w:usb1="00000000" w:usb2="00000010" w:usb3="00000000" w:csb0="001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华文细黑">
    <w:altName w:val="微软雅黑"/>
    <w:panose1 w:val="02010600040101010101"/>
    <w:charset w:val="86"/>
    <w:family w:val="auto"/>
    <w:pitch w:val="default"/>
    <w:sig w:usb0="00000000" w:usb1="00000000" w:usb2="00000000" w:usb3="00000000" w:csb0="0004009F" w:csb1="DFD70000"/>
  </w:font>
  <w:font w:name="???|CS?o｡ﾀ?">
    <w:altName w:val="Yu Gothic"/>
    <w:panose1 w:val="00000000000000000000"/>
    <w:charset w:val="80"/>
    <w:family w:val="modern"/>
    <w:pitch w:val="default"/>
    <w:sig w:usb0="00000000" w:usb1="00000000" w:usb2="00000010" w:usb3="00000000" w:csb0="00020000" w:csb1="00000000"/>
  </w:font>
  <w:font w:name="华文仿宋">
    <w:altName w:val="仿宋"/>
    <w:panose1 w:val="02010600040101010101"/>
    <w:charset w:val="86"/>
    <w:family w:val="auto"/>
    <w:pitch w:val="default"/>
    <w:sig w:usb0="00000000" w:usb1="00000000" w:usb2="00000000" w:usb3="00000000" w:csb0="0004009F" w:csb1="DFD70000"/>
  </w:font>
  <w:font w:name="ヒラギノ角ゴ Pro W3">
    <w:altName w:val="Yu Gothic"/>
    <w:panose1 w:val="00000000000000000000"/>
    <w:charset w:val="80"/>
    <w:family w:val="auto"/>
    <w:pitch w:val="default"/>
    <w:sig w:usb0="00000000" w:usb1="00000000" w:usb2="00000012" w:usb3="00000000" w:csb0="0002000D" w:csb1="00000000"/>
  </w:font>
  <w:font w:name="微软雅黑">
    <w:panose1 w:val="020B0503020204020204"/>
    <w:charset w:val="86"/>
    <w:family w:val="auto"/>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Cambria Math">
    <w:panose1 w:val="02040503050406030204"/>
    <w:charset w:val="00"/>
    <w:family w:val="auto"/>
    <w:pitch w:val="default"/>
    <w:sig w:usb0="E00006FF" w:usb1="420024FF" w:usb2="02000000" w:usb3="00000000" w:csb0="2000019F" w:csb1="00000000"/>
  </w:font>
  <w:font w:name="Kingsoft Symbol">
    <w:panose1 w:val="05000100010000000000"/>
    <w:charset w:val="00"/>
    <w:family w:val="auto"/>
    <w:pitch w:val="default"/>
    <w:sig w:usb0="00000000" w:usb1="00000000" w:usb2="00000000" w:usb3="00000000" w:csb0="80000000" w:csb1="00000000"/>
  </w:font>
  <w:font w:name="MingLiU-ExtB">
    <w:panose1 w:val="02020500000000000000"/>
    <w:charset w:val="88"/>
    <w:family w:val="auto"/>
    <w:pitch w:val="default"/>
    <w:sig w:usb0="8000002F" w:usb1="02000008" w:usb2="00000000" w:usb3="00000000" w:csb0="00100001" w:csb1="00000000"/>
  </w:font>
  <w:font w:name="Yu Gothic">
    <w:panose1 w:val="020B04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61CD8">
    <w:pPr>
      <w:pStyle w:val="5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8A6775">
                          <w:pPr>
                            <w:pStyle w:val="5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D8A6775">
                    <w:pPr>
                      <w:pStyle w:val="5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E0752A">
    <w:r>
      <w:fldChar w:fldCharType="begin"/>
    </w:r>
    <w:r>
      <w:instrText xml:space="preserve">PAGE  </w:instrText>
    </w:r>
    <w:r>
      <w:fldChar w:fldCharType="separate"/>
    </w:r>
    <w:r>
      <w:t>1</w:t>
    </w:r>
    <w:r>
      <w:fldChar w:fldCharType="end"/>
    </w:r>
  </w:p>
  <w:p w14:paraId="788EDCB6"/>
  <w:p w14:paraId="3BDAFD03"/>
  <w:p w14:paraId="0FC7F35C"/>
  <w:p w14:paraId="0850F7EE"/>
  <w:p w14:paraId="0795BC56"/>
  <w:p w14:paraId="00172081"/>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144B6">
    <w:pPr>
      <w:pStyle w:val="58"/>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70CF8C">
                          <w:pPr>
                            <w:pStyle w:val="5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370CF8C">
                    <w:pPr>
                      <w:pStyle w:val="5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F74C5">
    <w:r>
      <w:rPr>
        <w:sz w:val="2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5057DF">
                          <w:pPr>
                            <w:pStyle w:val="5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155057DF">
                    <w:pPr>
                      <w:pStyle w:val="5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BE35A">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DEE798">
                          <w:pPr>
                            <w:pStyle w:val="58"/>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3DEE798">
                    <w:pPr>
                      <w:pStyle w:val="58"/>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635310">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991168">
                          <w:pPr>
                            <w:pStyle w:val="58"/>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A991168">
                    <w:pPr>
                      <w:pStyle w:val="58"/>
                    </w:pPr>
                    <w:r>
                      <w:fldChar w:fldCharType="begin"/>
                    </w:r>
                    <w:r>
                      <w:instrText xml:space="preserve"> PAGE  \* MERGEFORMAT </w:instrText>
                    </w:r>
                    <w:r>
                      <w:fldChar w:fldCharType="separate"/>
                    </w:r>
                    <w:r>
                      <w:t>43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2FA9D">
    <w:pPr>
      <w:pStyle w:val="59"/>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FCD34">
    <w:pPr>
      <w:pStyle w:val="59"/>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12D859"/>
    <w:multiLevelType w:val="singleLevel"/>
    <w:tmpl w:val="A112D859"/>
    <w:lvl w:ilvl="0" w:tentative="0">
      <w:start w:val="1"/>
      <w:numFmt w:val="chineseCounting"/>
      <w:suff w:val="nothing"/>
      <w:lvlText w:val="%1、"/>
      <w:lvlJc w:val="left"/>
      <w:rPr>
        <w:rFonts w:hint="eastAsia"/>
      </w:rPr>
    </w:lvl>
  </w:abstractNum>
  <w:abstractNum w:abstractNumId="1">
    <w:nsid w:val="ACE9799B"/>
    <w:multiLevelType w:val="singleLevel"/>
    <w:tmpl w:val="ACE9799B"/>
    <w:lvl w:ilvl="0" w:tentative="0">
      <w:start w:val="2"/>
      <w:numFmt w:val="chineseCounting"/>
      <w:suff w:val="nothing"/>
      <w:lvlText w:val="%1、"/>
      <w:lvlJc w:val="left"/>
      <w:rPr>
        <w:rFonts w:hint="eastAsia"/>
      </w:rPr>
    </w:lvl>
  </w:abstractNum>
  <w:abstractNum w:abstractNumId="2">
    <w:nsid w:val="BC33C444"/>
    <w:multiLevelType w:val="singleLevel"/>
    <w:tmpl w:val="BC33C444"/>
    <w:lvl w:ilvl="0" w:tentative="0">
      <w:start w:val="1"/>
      <w:numFmt w:val="decimal"/>
      <w:suff w:val="nothing"/>
      <w:lvlText w:val="（%1）"/>
      <w:lvlJc w:val="left"/>
    </w:lvl>
  </w:abstractNum>
  <w:abstractNum w:abstractNumId="3">
    <w:nsid w:val="0E7D0BCA"/>
    <w:multiLevelType w:val="singleLevel"/>
    <w:tmpl w:val="0E7D0BCA"/>
    <w:lvl w:ilvl="0" w:tentative="0">
      <w:start w:val="2"/>
      <w:numFmt w:val="chineseCounting"/>
      <w:suff w:val="nothing"/>
      <w:lvlText w:val="%1、"/>
      <w:lvlJc w:val="left"/>
      <w:rPr>
        <w:rFonts w:hint="eastAsia"/>
      </w:rPr>
    </w:lvl>
  </w:abstractNum>
  <w:abstractNum w:abstractNumId="4">
    <w:nsid w:val="3DC95897"/>
    <w:multiLevelType w:val="singleLevel"/>
    <w:tmpl w:val="3DC95897"/>
    <w:lvl w:ilvl="0" w:tentative="0">
      <w:start w:val="2"/>
      <w:numFmt w:val="decimal"/>
      <w:lvlText w:val="%1."/>
      <w:lvlJc w:val="left"/>
      <w:pPr>
        <w:tabs>
          <w:tab w:val="left" w:pos="312"/>
        </w:tabs>
      </w:pPr>
    </w:lvl>
  </w:abstractNum>
  <w:abstractNum w:abstractNumId="5">
    <w:nsid w:val="540DC5A7"/>
    <w:multiLevelType w:val="multilevel"/>
    <w:tmpl w:val="540DC5A7"/>
    <w:lvl w:ilvl="0" w:tentative="0">
      <w:start w:val="1"/>
      <w:numFmt w:val="decimal"/>
      <w:lvlText w:val="%1）"/>
      <w:lvlJc w:val="left"/>
      <w:pPr>
        <w:tabs>
          <w:tab w:val="left" w:pos="840"/>
        </w:tabs>
        <w:ind w:left="840" w:hanging="420"/>
      </w:pPr>
      <w:rPr>
        <w:rFonts w:hint="default" w:ascii="宋体" w:hAnsi="宋体" w:eastAsia="宋体" w:cs="宋体"/>
        <w:b w:val="0"/>
      </w:rPr>
    </w:lvl>
    <w:lvl w:ilvl="1" w:tentative="0">
      <w:start w:val="1"/>
      <w:numFmt w:val="decimal"/>
      <w:lvlText w:val="%2、"/>
      <w:lvlJc w:val="left"/>
      <w:pPr>
        <w:tabs>
          <w:tab w:val="left" w:pos="1200"/>
        </w:tabs>
        <w:ind w:left="1200" w:hanging="360"/>
      </w:pPr>
      <w:rPr>
        <w:rFonts w:hint="default"/>
      </w:r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num w:numId="1">
    <w:abstractNumId w:val="4"/>
  </w:num>
  <w:num w:numId="2">
    <w:abstractNumId w:val="5"/>
  </w:num>
  <w:num w:numId="3">
    <w:abstractNumId w:val="0"/>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4MjQ1MGNjZGIxNWU4MjBjMTBlN2E3MDhmMGMzNDcifQ=="/>
  </w:docVars>
  <w:rsids>
    <w:rsidRoot w:val="007A5D82"/>
    <w:rsid w:val="00046B9C"/>
    <w:rsid w:val="00066CB2"/>
    <w:rsid w:val="00105D0F"/>
    <w:rsid w:val="001110CA"/>
    <w:rsid w:val="0015040C"/>
    <w:rsid w:val="00184430"/>
    <w:rsid w:val="001A0CD4"/>
    <w:rsid w:val="001B2290"/>
    <w:rsid w:val="002272AD"/>
    <w:rsid w:val="003A0BA2"/>
    <w:rsid w:val="003A42CB"/>
    <w:rsid w:val="00430F02"/>
    <w:rsid w:val="004454E9"/>
    <w:rsid w:val="00483399"/>
    <w:rsid w:val="0048446F"/>
    <w:rsid w:val="004C5C7F"/>
    <w:rsid w:val="00553F2B"/>
    <w:rsid w:val="00560C55"/>
    <w:rsid w:val="00592201"/>
    <w:rsid w:val="005F42E1"/>
    <w:rsid w:val="00656595"/>
    <w:rsid w:val="007221E1"/>
    <w:rsid w:val="007506F2"/>
    <w:rsid w:val="00750C8A"/>
    <w:rsid w:val="00785368"/>
    <w:rsid w:val="007A5D82"/>
    <w:rsid w:val="007C3852"/>
    <w:rsid w:val="007D6267"/>
    <w:rsid w:val="00805039"/>
    <w:rsid w:val="00806165"/>
    <w:rsid w:val="00860E97"/>
    <w:rsid w:val="008618A5"/>
    <w:rsid w:val="00874F52"/>
    <w:rsid w:val="008B1278"/>
    <w:rsid w:val="008B19E7"/>
    <w:rsid w:val="008B6D38"/>
    <w:rsid w:val="009175E9"/>
    <w:rsid w:val="00965F66"/>
    <w:rsid w:val="00984C10"/>
    <w:rsid w:val="009F125B"/>
    <w:rsid w:val="00B01166"/>
    <w:rsid w:val="00B1163D"/>
    <w:rsid w:val="00B32473"/>
    <w:rsid w:val="00B34A9D"/>
    <w:rsid w:val="00BC71A5"/>
    <w:rsid w:val="00C23D3C"/>
    <w:rsid w:val="00C613E1"/>
    <w:rsid w:val="00C82A52"/>
    <w:rsid w:val="00C83E71"/>
    <w:rsid w:val="00C94444"/>
    <w:rsid w:val="00CB7716"/>
    <w:rsid w:val="00E20DA8"/>
    <w:rsid w:val="00E339FD"/>
    <w:rsid w:val="00FC5D2D"/>
    <w:rsid w:val="010B2802"/>
    <w:rsid w:val="01227241"/>
    <w:rsid w:val="01A952A5"/>
    <w:rsid w:val="01C615A6"/>
    <w:rsid w:val="01E711B5"/>
    <w:rsid w:val="020E0671"/>
    <w:rsid w:val="02577D83"/>
    <w:rsid w:val="029E2CCC"/>
    <w:rsid w:val="02AE511D"/>
    <w:rsid w:val="02EA1ADD"/>
    <w:rsid w:val="02F33DBC"/>
    <w:rsid w:val="037607A9"/>
    <w:rsid w:val="0378149B"/>
    <w:rsid w:val="03972154"/>
    <w:rsid w:val="03B33683"/>
    <w:rsid w:val="03C70111"/>
    <w:rsid w:val="03E94B2B"/>
    <w:rsid w:val="04A7201A"/>
    <w:rsid w:val="05002583"/>
    <w:rsid w:val="05412745"/>
    <w:rsid w:val="05452235"/>
    <w:rsid w:val="05526700"/>
    <w:rsid w:val="058C3A28"/>
    <w:rsid w:val="05923329"/>
    <w:rsid w:val="05A05FBC"/>
    <w:rsid w:val="05D620BB"/>
    <w:rsid w:val="05DD06BF"/>
    <w:rsid w:val="0606640A"/>
    <w:rsid w:val="060B5498"/>
    <w:rsid w:val="06620BC5"/>
    <w:rsid w:val="070C18BC"/>
    <w:rsid w:val="071C26C0"/>
    <w:rsid w:val="07451925"/>
    <w:rsid w:val="07573A4B"/>
    <w:rsid w:val="078A289D"/>
    <w:rsid w:val="07F26E99"/>
    <w:rsid w:val="08084B59"/>
    <w:rsid w:val="081517C9"/>
    <w:rsid w:val="084468F5"/>
    <w:rsid w:val="08984F42"/>
    <w:rsid w:val="08E47FB5"/>
    <w:rsid w:val="09627F48"/>
    <w:rsid w:val="09711B06"/>
    <w:rsid w:val="09863340"/>
    <w:rsid w:val="098F1163"/>
    <w:rsid w:val="09FE29B2"/>
    <w:rsid w:val="0A153EEE"/>
    <w:rsid w:val="0A220F8B"/>
    <w:rsid w:val="0A240B40"/>
    <w:rsid w:val="0A2A720D"/>
    <w:rsid w:val="0A7342ED"/>
    <w:rsid w:val="0A870BFA"/>
    <w:rsid w:val="0AB63659"/>
    <w:rsid w:val="0AFA112A"/>
    <w:rsid w:val="0B4E3937"/>
    <w:rsid w:val="0C023294"/>
    <w:rsid w:val="0C1B3735"/>
    <w:rsid w:val="0C247E76"/>
    <w:rsid w:val="0C557468"/>
    <w:rsid w:val="0C7931F6"/>
    <w:rsid w:val="0C9B35A7"/>
    <w:rsid w:val="0CB03DE2"/>
    <w:rsid w:val="0D3B52AC"/>
    <w:rsid w:val="0D6A666D"/>
    <w:rsid w:val="0DCF3E18"/>
    <w:rsid w:val="0E230E64"/>
    <w:rsid w:val="0E4E2B84"/>
    <w:rsid w:val="0E993A9C"/>
    <w:rsid w:val="0EDF0A13"/>
    <w:rsid w:val="0F2F2629"/>
    <w:rsid w:val="0F5425F0"/>
    <w:rsid w:val="0F543258"/>
    <w:rsid w:val="0F730ED6"/>
    <w:rsid w:val="10223FCA"/>
    <w:rsid w:val="104A4EA6"/>
    <w:rsid w:val="10626850"/>
    <w:rsid w:val="109D6373"/>
    <w:rsid w:val="10C64882"/>
    <w:rsid w:val="10D87FE7"/>
    <w:rsid w:val="10D968D8"/>
    <w:rsid w:val="113C368A"/>
    <w:rsid w:val="117222C4"/>
    <w:rsid w:val="12AA4B5F"/>
    <w:rsid w:val="12BF59CA"/>
    <w:rsid w:val="132323E7"/>
    <w:rsid w:val="136B0FEB"/>
    <w:rsid w:val="13D06AF7"/>
    <w:rsid w:val="14A15CDA"/>
    <w:rsid w:val="14FD28A1"/>
    <w:rsid w:val="152B18E9"/>
    <w:rsid w:val="153E27FD"/>
    <w:rsid w:val="15494A12"/>
    <w:rsid w:val="157F1012"/>
    <w:rsid w:val="15A30D8F"/>
    <w:rsid w:val="15E57EC7"/>
    <w:rsid w:val="161A7793"/>
    <w:rsid w:val="16544C69"/>
    <w:rsid w:val="167C4C19"/>
    <w:rsid w:val="17FB413D"/>
    <w:rsid w:val="18000182"/>
    <w:rsid w:val="18CB3510"/>
    <w:rsid w:val="18CE29CF"/>
    <w:rsid w:val="19170CC4"/>
    <w:rsid w:val="196914EC"/>
    <w:rsid w:val="1989789F"/>
    <w:rsid w:val="199D21E8"/>
    <w:rsid w:val="19B80DD0"/>
    <w:rsid w:val="1A223074"/>
    <w:rsid w:val="1A295940"/>
    <w:rsid w:val="1A2A15A2"/>
    <w:rsid w:val="1A8A43E1"/>
    <w:rsid w:val="1A8C4243"/>
    <w:rsid w:val="1A9F1ABC"/>
    <w:rsid w:val="1ABD6601"/>
    <w:rsid w:val="1AD52AE7"/>
    <w:rsid w:val="1AE068C5"/>
    <w:rsid w:val="1B0D514B"/>
    <w:rsid w:val="1B6C41F2"/>
    <w:rsid w:val="1B746D43"/>
    <w:rsid w:val="1BF55942"/>
    <w:rsid w:val="1C237DF4"/>
    <w:rsid w:val="1C2E7074"/>
    <w:rsid w:val="1C4B7E6F"/>
    <w:rsid w:val="1C6C46BD"/>
    <w:rsid w:val="1CB036CE"/>
    <w:rsid w:val="1D201A32"/>
    <w:rsid w:val="1D33351A"/>
    <w:rsid w:val="1D436C02"/>
    <w:rsid w:val="1E027AA5"/>
    <w:rsid w:val="1E427387"/>
    <w:rsid w:val="1E5D57A4"/>
    <w:rsid w:val="1EEF4C68"/>
    <w:rsid w:val="1F0C571A"/>
    <w:rsid w:val="1F1A2F77"/>
    <w:rsid w:val="1F5E080A"/>
    <w:rsid w:val="1F7223F2"/>
    <w:rsid w:val="200F4D20"/>
    <w:rsid w:val="20187BAF"/>
    <w:rsid w:val="203750E3"/>
    <w:rsid w:val="20464961"/>
    <w:rsid w:val="205811DB"/>
    <w:rsid w:val="20740FED"/>
    <w:rsid w:val="20770D67"/>
    <w:rsid w:val="20D14525"/>
    <w:rsid w:val="214B6018"/>
    <w:rsid w:val="215E710C"/>
    <w:rsid w:val="217852AA"/>
    <w:rsid w:val="217E2967"/>
    <w:rsid w:val="222A6E35"/>
    <w:rsid w:val="22542E83"/>
    <w:rsid w:val="225F2AB5"/>
    <w:rsid w:val="22673DA9"/>
    <w:rsid w:val="23A103BA"/>
    <w:rsid w:val="23A911E6"/>
    <w:rsid w:val="242332EA"/>
    <w:rsid w:val="243F1760"/>
    <w:rsid w:val="24917ED4"/>
    <w:rsid w:val="2498112B"/>
    <w:rsid w:val="24EF56C4"/>
    <w:rsid w:val="251F4F79"/>
    <w:rsid w:val="252D0794"/>
    <w:rsid w:val="255665B8"/>
    <w:rsid w:val="255A12F8"/>
    <w:rsid w:val="259C15A5"/>
    <w:rsid w:val="264E4600"/>
    <w:rsid w:val="2652374A"/>
    <w:rsid w:val="268C708C"/>
    <w:rsid w:val="26F73B37"/>
    <w:rsid w:val="2707038B"/>
    <w:rsid w:val="27315D1D"/>
    <w:rsid w:val="27341668"/>
    <w:rsid w:val="273F5DE8"/>
    <w:rsid w:val="274D3D27"/>
    <w:rsid w:val="27C1060B"/>
    <w:rsid w:val="27D026D9"/>
    <w:rsid w:val="284F78ED"/>
    <w:rsid w:val="285E4905"/>
    <w:rsid w:val="28973C19"/>
    <w:rsid w:val="28A7062C"/>
    <w:rsid w:val="28D90E5A"/>
    <w:rsid w:val="28EA739C"/>
    <w:rsid w:val="28EB6E3F"/>
    <w:rsid w:val="29057462"/>
    <w:rsid w:val="29167089"/>
    <w:rsid w:val="29204352"/>
    <w:rsid w:val="293E3489"/>
    <w:rsid w:val="29A165CA"/>
    <w:rsid w:val="29CE72F7"/>
    <w:rsid w:val="29D96817"/>
    <w:rsid w:val="2A402DDF"/>
    <w:rsid w:val="2A773F3F"/>
    <w:rsid w:val="2AFF60DC"/>
    <w:rsid w:val="2B2D4D56"/>
    <w:rsid w:val="2B844CB7"/>
    <w:rsid w:val="2BC46123"/>
    <w:rsid w:val="2BE12A5C"/>
    <w:rsid w:val="2C4037DF"/>
    <w:rsid w:val="2CF24708"/>
    <w:rsid w:val="2D45420C"/>
    <w:rsid w:val="2D6A6FA1"/>
    <w:rsid w:val="2DC321DF"/>
    <w:rsid w:val="2DD33E7F"/>
    <w:rsid w:val="2E210D4E"/>
    <w:rsid w:val="2E27100A"/>
    <w:rsid w:val="2E704040"/>
    <w:rsid w:val="2E8D6BDF"/>
    <w:rsid w:val="2E97057D"/>
    <w:rsid w:val="2EF97CB1"/>
    <w:rsid w:val="2F005AEB"/>
    <w:rsid w:val="2F1C4EFB"/>
    <w:rsid w:val="2F5E39C2"/>
    <w:rsid w:val="2F77098D"/>
    <w:rsid w:val="2FA011FC"/>
    <w:rsid w:val="300719F8"/>
    <w:rsid w:val="30446884"/>
    <w:rsid w:val="30556DE4"/>
    <w:rsid w:val="305E56A9"/>
    <w:rsid w:val="308325B9"/>
    <w:rsid w:val="30AF43D7"/>
    <w:rsid w:val="30C76D38"/>
    <w:rsid w:val="30F31C59"/>
    <w:rsid w:val="31740730"/>
    <w:rsid w:val="318D4B5D"/>
    <w:rsid w:val="31A241E6"/>
    <w:rsid w:val="31E51E1D"/>
    <w:rsid w:val="31F51537"/>
    <w:rsid w:val="33271B84"/>
    <w:rsid w:val="337E7723"/>
    <w:rsid w:val="338671FC"/>
    <w:rsid w:val="33BA0EA6"/>
    <w:rsid w:val="34014338"/>
    <w:rsid w:val="34826468"/>
    <w:rsid w:val="348B59A6"/>
    <w:rsid w:val="34BC5828"/>
    <w:rsid w:val="34DB19BE"/>
    <w:rsid w:val="352418B1"/>
    <w:rsid w:val="3529717B"/>
    <w:rsid w:val="355C0C06"/>
    <w:rsid w:val="36926AE2"/>
    <w:rsid w:val="369E781D"/>
    <w:rsid w:val="36C9525E"/>
    <w:rsid w:val="36CE43F1"/>
    <w:rsid w:val="370766BD"/>
    <w:rsid w:val="37133692"/>
    <w:rsid w:val="37535A4A"/>
    <w:rsid w:val="37ED1778"/>
    <w:rsid w:val="380E5F23"/>
    <w:rsid w:val="384D5C85"/>
    <w:rsid w:val="386B4226"/>
    <w:rsid w:val="38876FAC"/>
    <w:rsid w:val="38B14A82"/>
    <w:rsid w:val="38EA7A68"/>
    <w:rsid w:val="38F60C98"/>
    <w:rsid w:val="38F7777B"/>
    <w:rsid w:val="392C4597"/>
    <w:rsid w:val="39854BB8"/>
    <w:rsid w:val="399B51B0"/>
    <w:rsid w:val="39CC4EF1"/>
    <w:rsid w:val="3A2242C0"/>
    <w:rsid w:val="3A6C0CAD"/>
    <w:rsid w:val="3AB6163F"/>
    <w:rsid w:val="3AD60D98"/>
    <w:rsid w:val="3AE01ADD"/>
    <w:rsid w:val="3AE92BA1"/>
    <w:rsid w:val="3B0B397F"/>
    <w:rsid w:val="3B200B14"/>
    <w:rsid w:val="3B6B26A0"/>
    <w:rsid w:val="3BCF0ABC"/>
    <w:rsid w:val="3C090EC1"/>
    <w:rsid w:val="3C44609B"/>
    <w:rsid w:val="3CBA0C2C"/>
    <w:rsid w:val="3CFA1A04"/>
    <w:rsid w:val="3D6973AE"/>
    <w:rsid w:val="3DB37D0F"/>
    <w:rsid w:val="3E117690"/>
    <w:rsid w:val="3E6261E4"/>
    <w:rsid w:val="3E6F74C9"/>
    <w:rsid w:val="3EBA3A3C"/>
    <w:rsid w:val="3EDB59CC"/>
    <w:rsid w:val="3EE17CE5"/>
    <w:rsid w:val="3F4C7084"/>
    <w:rsid w:val="3F5B339B"/>
    <w:rsid w:val="3F7C3C4E"/>
    <w:rsid w:val="3FAB31C5"/>
    <w:rsid w:val="3FED4D64"/>
    <w:rsid w:val="40092B7C"/>
    <w:rsid w:val="40472C8A"/>
    <w:rsid w:val="408C398B"/>
    <w:rsid w:val="40915CFA"/>
    <w:rsid w:val="40D4302C"/>
    <w:rsid w:val="413A121A"/>
    <w:rsid w:val="413F05BC"/>
    <w:rsid w:val="41B73A43"/>
    <w:rsid w:val="4225264E"/>
    <w:rsid w:val="42597705"/>
    <w:rsid w:val="42597F55"/>
    <w:rsid w:val="427118C0"/>
    <w:rsid w:val="42743713"/>
    <w:rsid w:val="42930355"/>
    <w:rsid w:val="42EF7DFD"/>
    <w:rsid w:val="42F43C48"/>
    <w:rsid w:val="4338060E"/>
    <w:rsid w:val="43994E6F"/>
    <w:rsid w:val="43B92016"/>
    <w:rsid w:val="4474472C"/>
    <w:rsid w:val="44D3537E"/>
    <w:rsid w:val="44D47DD2"/>
    <w:rsid w:val="44F74E99"/>
    <w:rsid w:val="453D1797"/>
    <w:rsid w:val="454F322C"/>
    <w:rsid w:val="45565F4E"/>
    <w:rsid w:val="45710B5A"/>
    <w:rsid w:val="458222BA"/>
    <w:rsid w:val="45A402BB"/>
    <w:rsid w:val="45BD6059"/>
    <w:rsid w:val="45C854D1"/>
    <w:rsid w:val="45CE1336"/>
    <w:rsid w:val="45E352D9"/>
    <w:rsid w:val="4607532D"/>
    <w:rsid w:val="46382F2F"/>
    <w:rsid w:val="46DA4F9F"/>
    <w:rsid w:val="474D0C33"/>
    <w:rsid w:val="477A70E1"/>
    <w:rsid w:val="4819449C"/>
    <w:rsid w:val="481E51DE"/>
    <w:rsid w:val="485756B9"/>
    <w:rsid w:val="4878332F"/>
    <w:rsid w:val="48C00B23"/>
    <w:rsid w:val="49185FA1"/>
    <w:rsid w:val="49534A2B"/>
    <w:rsid w:val="49751078"/>
    <w:rsid w:val="497C2481"/>
    <w:rsid w:val="49A47425"/>
    <w:rsid w:val="49A86B61"/>
    <w:rsid w:val="49E66897"/>
    <w:rsid w:val="49EE1472"/>
    <w:rsid w:val="49FE4A6C"/>
    <w:rsid w:val="4A04584E"/>
    <w:rsid w:val="4A062BE2"/>
    <w:rsid w:val="4A992B9E"/>
    <w:rsid w:val="4AB902B0"/>
    <w:rsid w:val="4AF26853"/>
    <w:rsid w:val="4B5E0570"/>
    <w:rsid w:val="4B8D725E"/>
    <w:rsid w:val="4BD34A1C"/>
    <w:rsid w:val="4C0F3FD0"/>
    <w:rsid w:val="4C45125D"/>
    <w:rsid w:val="4C644A2A"/>
    <w:rsid w:val="4D153868"/>
    <w:rsid w:val="4D194D65"/>
    <w:rsid w:val="4D1F4085"/>
    <w:rsid w:val="4D2A6BE7"/>
    <w:rsid w:val="4D2E492A"/>
    <w:rsid w:val="4D447CA9"/>
    <w:rsid w:val="4D746257"/>
    <w:rsid w:val="4DF94D74"/>
    <w:rsid w:val="4E283305"/>
    <w:rsid w:val="4EDC1FD1"/>
    <w:rsid w:val="4F1926AC"/>
    <w:rsid w:val="4F6B0761"/>
    <w:rsid w:val="4F833B28"/>
    <w:rsid w:val="4FAB38FC"/>
    <w:rsid w:val="4FE8313C"/>
    <w:rsid w:val="4FEE076E"/>
    <w:rsid w:val="50046E67"/>
    <w:rsid w:val="509A7AF6"/>
    <w:rsid w:val="50B43398"/>
    <w:rsid w:val="50BB75B3"/>
    <w:rsid w:val="511710C4"/>
    <w:rsid w:val="513149E8"/>
    <w:rsid w:val="514E2C72"/>
    <w:rsid w:val="51B2463D"/>
    <w:rsid w:val="51E92CE8"/>
    <w:rsid w:val="520D0B8F"/>
    <w:rsid w:val="521330AA"/>
    <w:rsid w:val="52365BB5"/>
    <w:rsid w:val="528079D5"/>
    <w:rsid w:val="52DC3E47"/>
    <w:rsid w:val="52DF22B6"/>
    <w:rsid w:val="531230A1"/>
    <w:rsid w:val="53593E62"/>
    <w:rsid w:val="536F682E"/>
    <w:rsid w:val="53884993"/>
    <w:rsid w:val="53887C8A"/>
    <w:rsid w:val="53CE0E91"/>
    <w:rsid w:val="54161C73"/>
    <w:rsid w:val="541A0B61"/>
    <w:rsid w:val="543320AC"/>
    <w:rsid w:val="5479292E"/>
    <w:rsid w:val="551567FC"/>
    <w:rsid w:val="5518642D"/>
    <w:rsid w:val="55896582"/>
    <w:rsid w:val="55AC1DFD"/>
    <w:rsid w:val="55EA6756"/>
    <w:rsid w:val="56080A4A"/>
    <w:rsid w:val="56381BE9"/>
    <w:rsid w:val="56DE5BB3"/>
    <w:rsid w:val="57697E8C"/>
    <w:rsid w:val="576D5664"/>
    <w:rsid w:val="579B16EB"/>
    <w:rsid w:val="57F74705"/>
    <w:rsid w:val="580B6CBB"/>
    <w:rsid w:val="5842527B"/>
    <w:rsid w:val="58621D9B"/>
    <w:rsid w:val="58720D6F"/>
    <w:rsid w:val="587B458E"/>
    <w:rsid w:val="58892166"/>
    <w:rsid w:val="58AA7A08"/>
    <w:rsid w:val="58B95ACD"/>
    <w:rsid w:val="58BB154A"/>
    <w:rsid w:val="58EC0589"/>
    <w:rsid w:val="594C7301"/>
    <w:rsid w:val="598A308A"/>
    <w:rsid w:val="5A0E4298"/>
    <w:rsid w:val="5A1036BA"/>
    <w:rsid w:val="5A1C1CB8"/>
    <w:rsid w:val="5A54576A"/>
    <w:rsid w:val="5A640889"/>
    <w:rsid w:val="5AC15905"/>
    <w:rsid w:val="5B101385"/>
    <w:rsid w:val="5B2B7962"/>
    <w:rsid w:val="5BBB0BE8"/>
    <w:rsid w:val="5BD7060B"/>
    <w:rsid w:val="5BE03800"/>
    <w:rsid w:val="5BF62E3F"/>
    <w:rsid w:val="5C380700"/>
    <w:rsid w:val="5CA14648"/>
    <w:rsid w:val="5CBC7A3E"/>
    <w:rsid w:val="5CD66D82"/>
    <w:rsid w:val="5D2603C3"/>
    <w:rsid w:val="5DFC4858"/>
    <w:rsid w:val="5E0E40A4"/>
    <w:rsid w:val="5E2C6028"/>
    <w:rsid w:val="5E4E0C58"/>
    <w:rsid w:val="5E75780A"/>
    <w:rsid w:val="5F847EC5"/>
    <w:rsid w:val="5FC72C03"/>
    <w:rsid w:val="5FFB7779"/>
    <w:rsid w:val="60007B03"/>
    <w:rsid w:val="605153F3"/>
    <w:rsid w:val="60E41A82"/>
    <w:rsid w:val="61EB0C1A"/>
    <w:rsid w:val="62051198"/>
    <w:rsid w:val="62E85AEA"/>
    <w:rsid w:val="62F9008A"/>
    <w:rsid w:val="631E1376"/>
    <w:rsid w:val="63420D3F"/>
    <w:rsid w:val="63815462"/>
    <w:rsid w:val="639453FB"/>
    <w:rsid w:val="6408782B"/>
    <w:rsid w:val="643535FD"/>
    <w:rsid w:val="645E2387"/>
    <w:rsid w:val="64824819"/>
    <w:rsid w:val="64C156CD"/>
    <w:rsid w:val="64D506A4"/>
    <w:rsid w:val="65A752B5"/>
    <w:rsid w:val="65FD2036"/>
    <w:rsid w:val="662D1B30"/>
    <w:rsid w:val="66583530"/>
    <w:rsid w:val="665D7379"/>
    <w:rsid w:val="66B55E98"/>
    <w:rsid w:val="66F14632"/>
    <w:rsid w:val="67064536"/>
    <w:rsid w:val="67147E1A"/>
    <w:rsid w:val="675C040B"/>
    <w:rsid w:val="67692272"/>
    <w:rsid w:val="67CD16AA"/>
    <w:rsid w:val="67F0339C"/>
    <w:rsid w:val="683861AC"/>
    <w:rsid w:val="68971546"/>
    <w:rsid w:val="68BE122F"/>
    <w:rsid w:val="68D9126F"/>
    <w:rsid w:val="69345F80"/>
    <w:rsid w:val="695D2868"/>
    <w:rsid w:val="69A252CB"/>
    <w:rsid w:val="69BC6964"/>
    <w:rsid w:val="69C718B7"/>
    <w:rsid w:val="69D07E0C"/>
    <w:rsid w:val="6A48400F"/>
    <w:rsid w:val="6A6672C0"/>
    <w:rsid w:val="6A6E4160"/>
    <w:rsid w:val="6AB3434D"/>
    <w:rsid w:val="6AF4596B"/>
    <w:rsid w:val="6BC24852"/>
    <w:rsid w:val="6C3B3ABC"/>
    <w:rsid w:val="6C497ED7"/>
    <w:rsid w:val="6CCF48CF"/>
    <w:rsid w:val="6D0F11C8"/>
    <w:rsid w:val="6D1303A1"/>
    <w:rsid w:val="6D391D13"/>
    <w:rsid w:val="6D702ACD"/>
    <w:rsid w:val="6D707478"/>
    <w:rsid w:val="6D77364D"/>
    <w:rsid w:val="6D814A2E"/>
    <w:rsid w:val="6DAC79A0"/>
    <w:rsid w:val="6DBA7921"/>
    <w:rsid w:val="6DBB6E8A"/>
    <w:rsid w:val="6E194AB7"/>
    <w:rsid w:val="6E4E3E0A"/>
    <w:rsid w:val="6E844C97"/>
    <w:rsid w:val="6ECD50B5"/>
    <w:rsid w:val="6ED5305C"/>
    <w:rsid w:val="6ED64A2C"/>
    <w:rsid w:val="6EE24655"/>
    <w:rsid w:val="6F1956E5"/>
    <w:rsid w:val="6F941A07"/>
    <w:rsid w:val="6F942271"/>
    <w:rsid w:val="6FA166F8"/>
    <w:rsid w:val="6FB3386A"/>
    <w:rsid w:val="6FBC6748"/>
    <w:rsid w:val="6FCC42A6"/>
    <w:rsid w:val="6FD15564"/>
    <w:rsid w:val="6FED2329"/>
    <w:rsid w:val="6FEF189F"/>
    <w:rsid w:val="6FFF7808"/>
    <w:rsid w:val="7002292B"/>
    <w:rsid w:val="70174123"/>
    <w:rsid w:val="701C2C4B"/>
    <w:rsid w:val="70225CE3"/>
    <w:rsid w:val="707D4190"/>
    <w:rsid w:val="716345D7"/>
    <w:rsid w:val="71BE4523"/>
    <w:rsid w:val="71E16E82"/>
    <w:rsid w:val="72181718"/>
    <w:rsid w:val="72604CD6"/>
    <w:rsid w:val="72FA423C"/>
    <w:rsid w:val="733834BD"/>
    <w:rsid w:val="736C12B6"/>
    <w:rsid w:val="738425B5"/>
    <w:rsid w:val="74D83C2A"/>
    <w:rsid w:val="75374DD3"/>
    <w:rsid w:val="756249A8"/>
    <w:rsid w:val="757F284B"/>
    <w:rsid w:val="75D877AB"/>
    <w:rsid w:val="7639085E"/>
    <w:rsid w:val="768E6803"/>
    <w:rsid w:val="76A813C6"/>
    <w:rsid w:val="76D91602"/>
    <w:rsid w:val="76DF1CB2"/>
    <w:rsid w:val="76E50578"/>
    <w:rsid w:val="76EC5C74"/>
    <w:rsid w:val="774E1EC3"/>
    <w:rsid w:val="774E6201"/>
    <w:rsid w:val="777A4838"/>
    <w:rsid w:val="779C38F8"/>
    <w:rsid w:val="79BE699B"/>
    <w:rsid w:val="79CA0C80"/>
    <w:rsid w:val="79D12B3C"/>
    <w:rsid w:val="79DC3B49"/>
    <w:rsid w:val="79E2089A"/>
    <w:rsid w:val="7A046F87"/>
    <w:rsid w:val="7AA05D84"/>
    <w:rsid w:val="7AFE2D0F"/>
    <w:rsid w:val="7B3C4416"/>
    <w:rsid w:val="7BB95A03"/>
    <w:rsid w:val="7BC35C16"/>
    <w:rsid w:val="7BFA5AF3"/>
    <w:rsid w:val="7C32146D"/>
    <w:rsid w:val="7C9FE6DB"/>
    <w:rsid w:val="7CD72D8F"/>
    <w:rsid w:val="7CF97313"/>
    <w:rsid w:val="7D603741"/>
    <w:rsid w:val="7D747887"/>
    <w:rsid w:val="7DA912DF"/>
    <w:rsid w:val="7DAD4C26"/>
    <w:rsid w:val="7DB00089"/>
    <w:rsid w:val="7DCD290B"/>
    <w:rsid w:val="7DFA40E8"/>
    <w:rsid w:val="7E314846"/>
    <w:rsid w:val="7E6D3040"/>
    <w:rsid w:val="7EA30A0D"/>
    <w:rsid w:val="7EEA1BAF"/>
    <w:rsid w:val="7F181931"/>
    <w:rsid w:val="7F6E1DB4"/>
    <w:rsid w:val="7F760C96"/>
    <w:rsid w:val="7F882FA3"/>
    <w:rsid w:val="7FB62DAA"/>
    <w:rsid w:val="F9EFE80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lang w:val="en-US" w:eastAsia="zh-CN" w:bidi="ar-SA"/>
    </w:rPr>
  </w:style>
  <w:style w:type="paragraph" w:styleId="6">
    <w:name w:val="heading 1"/>
    <w:basedOn w:val="1"/>
    <w:next w:val="1"/>
    <w:link w:val="105"/>
    <w:qFormat/>
    <w:uiPriority w:val="9"/>
    <w:pPr>
      <w:keepNext/>
      <w:widowControl/>
      <w:spacing w:line="360" w:lineRule="auto"/>
      <w:jc w:val="center"/>
      <w:outlineLvl w:val="0"/>
    </w:pPr>
    <w:rPr>
      <w:rFonts w:ascii="黑体"/>
      <w:b/>
      <w:kern w:val="0"/>
      <w:sz w:val="32"/>
    </w:rPr>
  </w:style>
  <w:style w:type="paragraph" w:styleId="7">
    <w:name w:val="heading 2"/>
    <w:basedOn w:val="1"/>
    <w:next w:val="1"/>
    <w:link w:val="183"/>
    <w:qFormat/>
    <w:uiPriority w:val="0"/>
    <w:pPr>
      <w:keepNext/>
      <w:keepLines/>
      <w:tabs>
        <w:tab w:val="left" w:pos="706"/>
        <w:tab w:val="left" w:pos="1110"/>
      </w:tabs>
      <w:spacing w:line="360" w:lineRule="auto"/>
      <w:ind w:left="106" w:firstLine="454"/>
      <w:outlineLvl w:val="1"/>
    </w:pPr>
    <w:rPr>
      <w:rFonts w:eastAsia="黑体"/>
      <w:b/>
      <w:sz w:val="21"/>
    </w:rPr>
  </w:style>
  <w:style w:type="paragraph" w:styleId="8">
    <w:name w:val="heading 3"/>
    <w:basedOn w:val="1"/>
    <w:link w:val="107"/>
    <w:qFormat/>
    <w:uiPriority w:val="0"/>
    <w:pPr>
      <w:keepNext/>
      <w:keepLines/>
      <w:widowControl/>
      <w:tabs>
        <w:tab w:val="left" w:pos="720"/>
      </w:tabs>
      <w:spacing w:before="120" w:after="120" w:line="360" w:lineRule="auto"/>
      <w:ind w:left="720" w:hanging="720"/>
      <w:jc w:val="center"/>
      <w:outlineLvl w:val="2"/>
    </w:pPr>
    <w:rPr>
      <w:b/>
      <w:kern w:val="0"/>
      <w:sz w:val="32"/>
    </w:rPr>
  </w:style>
  <w:style w:type="paragraph" w:styleId="9">
    <w:name w:val="heading 4"/>
    <w:basedOn w:val="1"/>
    <w:next w:val="1"/>
    <w:link w:val="108"/>
    <w:qFormat/>
    <w:uiPriority w:val="0"/>
    <w:pPr>
      <w:tabs>
        <w:tab w:val="left" w:pos="720"/>
      </w:tabs>
      <w:spacing w:before="280" w:after="290" w:line="372" w:lineRule="auto"/>
      <w:outlineLvl w:val="3"/>
    </w:pPr>
    <w:rPr>
      <w:rFonts w:ascii="Arial" w:hAnsi="Arial" w:eastAsia="黑体"/>
      <w:kern w:val="2"/>
      <w:sz w:val="28"/>
    </w:rPr>
  </w:style>
  <w:style w:type="paragraph" w:styleId="10">
    <w:name w:val="heading 5"/>
    <w:basedOn w:val="1"/>
    <w:next w:val="11"/>
    <w:link w:val="109"/>
    <w:qFormat/>
    <w:uiPriority w:val="0"/>
    <w:pPr>
      <w:keepNext/>
      <w:keepLines/>
      <w:spacing w:before="280" w:after="290" w:line="372" w:lineRule="auto"/>
      <w:outlineLvl w:val="4"/>
    </w:pPr>
    <w:rPr>
      <w:b/>
    </w:rPr>
  </w:style>
  <w:style w:type="paragraph" w:styleId="12">
    <w:name w:val="heading 6"/>
    <w:basedOn w:val="1"/>
    <w:next w:val="1"/>
    <w:link w:val="110"/>
    <w:qFormat/>
    <w:uiPriority w:val="0"/>
    <w:pPr>
      <w:keepNext/>
      <w:keepLines/>
      <w:widowControl/>
      <w:tabs>
        <w:tab w:val="left" w:pos="1440"/>
      </w:tabs>
      <w:spacing w:before="240" w:after="64" w:line="317" w:lineRule="auto"/>
      <w:ind w:left="1152" w:hanging="1152"/>
      <w:jc w:val="left"/>
      <w:outlineLvl w:val="5"/>
    </w:pPr>
    <w:rPr>
      <w:rFonts w:ascii="Arial" w:hAnsi="Arial" w:eastAsia="黑体"/>
      <w:b/>
      <w:kern w:val="0"/>
      <w:sz w:val="24"/>
    </w:rPr>
  </w:style>
  <w:style w:type="paragraph" w:styleId="13">
    <w:name w:val="heading 7"/>
    <w:basedOn w:val="1"/>
    <w:next w:val="1"/>
    <w:link w:val="111"/>
    <w:qFormat/>
    <w:uiPriority w:val="0"/>
    <w:pPr>
      <w:keepNext/>
      <w:keepLines/>
      <w:widowControl/>
      <w:tabs>
        <w:tab w:val="left" w:pos="2520"/>
      </w:tabs>
      <w:spacing w:before="240" w:after="64" w:line="317" w:lineRule="auto"/>
      <w:ind w:left="1296" w:hanging="1296"/>
      <w:jc w:val="left"/>
      <w:outlineLvl w:val="6"/>
    </w:pPr>
    <w:rPr>
      <w:b/>
      <w:kern w:val="0"/>
      <w:sz w:val="24"/>
    </w:rPr>
  </w:style>
  <w:style w:type="paragraph" w:styleId="14">
    <w:name w:val="heading 8"/>
    <w:basedOn w:val="1"/>
    <w:next w:val="1"/>
    <w:link w:val="112"/>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5">
    <w:name w:val="heading 9"/>
    <w:basedOn w:val="1"/>
    <w:next w:val="1"/>
    <w:link w:val="113"/>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 w:val="21"/>
    </w:rPr>
  </w:style>
  <w:style w:type="character" w:default="1" w:styleId="90">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16"/>
    <w:unhideWhenUsed/>
    <w:qFormat/>
    <w:uiPriority w:val="0"/>
    <w:pPr>
      <w:spacing w:after="120"/>
    </w:pPr>
  </w:style>
  <w:style w:type="paragraph" w:styleId="3">
    <w:name w:val="Body Text First Indent"/>
    <w:basedOn w:val="2"/>
    <w:next w:val="4"/>
    <w:link w:val="338"/>
    <w:qFormat/>
    <w:uiPriority w:val="0"/>
    <w:pPr>
      <w:ind w:firstLine="420" w:firstLineChars="100"/>
    </w:pPr>
    <w:rPr>
      <w:rFonts w:ascii="等线" w:hAnsi="等线" w:eastAsia="等线" w:cstheme="minorBidi"/>
      <w:sz w:val="21"/>
      <w:szCs w:val="22"/>
    </w:rPr>
  </w:style>
  <w:style w:type="paragraph" w:styleId="4">
    <w:name w:val="toc 6"/>
    <w:basedOn w:val="1"/>
    <w:next w:val="1"/>
    <w:qFormat/>
    <w:uiPriority w:val="0"/>
    <w:pPr>
      <w:ind w:left="1400"/>
      <w:jc w:val="left"/>
    </w:pPr>
    <w:rPr>
      <w:sz w:val="18"/>
    </w:rPr>
  </w:style>
  <w:style w:type="paragraph" w:styleId="5">
    <w:name w:val="macro"/>
    <w:link w:val="33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heme="minorEastAsia" w:cstheme="minorBidi"/>
      <w:kern w:val="2"/>
      <w:sz w:val="24"/>
      <w:szCs w:val="22"/>
      <w:lang w:val="en-US" w:eastAsia="zh-CN" w:bidi="ar-SA"/>
    </w:rPr>
  </w:style>
  <w:style w:type="paragraph" w:styleId="11">
    <w:name w:val="Normal Indent"/>
    <w:basedOn w:val="1"/>
    <w:link w:val="303"/>
    <w:qFormat/>
    <w:uiPriority w:val="0"/>
    <w:pPr>
      <w:widowControl/>
      <w:ind w:firstLine="420"/>
      <w:jc w:val="left"/>
    </w:pPr>
    <w:rPr>
      <w:rFonts w:asciiTheme="minorHAnsi" w:hAnsiTheme="minorHAnsi" w:cstheme="minorBidi"/>
      <w:sz w:val="24"/>
      <w:szCs w:val="22"/>
    </w:rPr>
  </w:style>
  <w:style w:type="paragraph" w:styleId="16">
    <w:name w:val="List 3"/>
    <w:basedOn w:val="1"/>
    <w:qFormat/>
    <w:uiPriority w:val="0"/>
    <w:pPr>
      <w:ind w:left="100" w:leftChars="400" w:hanging="200" w:hangingChars="200"/>
    </w:pPr>
    <w:rPr>
      <w:sz w:val="21"/>
    </w:rPr>
  </w:style>
  <w:style w:type="paragraph" w:styleId="17">
    <w:name w:val="toc 7"/>
    <w:basedOn w:val="1"/>
    <w:next w:val="1"/>
    <w:qFormat/>
    <w:uiPriority w:val="0"/>
    <w:pPr>
      <w:ind w:left="1680"/>
      <w:jc w:val="left"/>
    </w:pPr>
    <w:rPr>
      <w:sz w:val="18"/>
    </w:rPr>
  </w:style>
  <w:style w:type="paragraph" w:styleId="18">
    <w:name w:val="List Number 2"/>
    <w:basedOn w:val="1"/>
    <w:qFormat/>
    <w:uiPriority w:val="0"/>
    <w:pPr>
      <w:tabs>
        <w:tab w:val="left" w:pos="0"/>
      </w:tabs>
      <w:ind w:left="1146" w:hanging="720"/>
    </w:pPr>
    <w:rPr>
      <w:sz w:val="21"/>
    </w:rPr>
  </w:style>
  <w:style w:type="paragraph" w:styleId="19">
    <w:name w:val="table of authorities"/>
    <w:basedOn w:val="1"/>
    <w:next w:val="1"/>
    <w:qFormat/>
    <w:uiPriority w:val="0"/>
    <w:pPr>
      <w:ind w:left="420" w:leftChars="200"/>
    </w:pPr>
    <w:rPr>
      <w:sz w:val="21"/>
    </w:rPr>
  </w:style>
  <w:style w:type="paragraph" w:styleId="20">
    <w:name w:val="Note Heading"/>
    <w:basedOn w:val="1"/>
    <w:next w:val="1"/>
    <w:link w:val="332"/>
    <w:qFormat/>
    <w:uiPriority w:val="0"/>
    <w:pPr>
      <w:jc w:val="center"/>
    </w:pPr>
    <w:rPr>
      <w:rFonts w:asciiTheme="minorHAnsi" w:hAnsiTheme="minorHAnsi" w:eastAsiaTheme="minorEastAsia" w:cstheme="minorBidi"/>
      <w:sz w:val="21"/>
      <w:szCs w:val="22"/>
    </w:rPr>
  </w:style>
  <w:style w:type="paragraph" w:styleId="21">
    <w:name w:val="List Bullet 4"/>
    <w:basedOn w:val="1"/>
    <w:qFormat/>
    <w:uiPriority w:val="0"/>
    <w:pPr>
      <w:tabs>
        <w:tab w:val="left" w:pos="1620"/>
      </w:tabs>
      <w:ind w:left="1620" w:hanging="360"/>
    </w:pPr>
    <w:rPr>
      <w:sz w:val="21"/>
    </w:rPr>
  </w:style>
  <w:style w:type="paragraph" w:styleId="22">
    <w:name w:val="index 8"/>
    <w:basedOn w:val="1"/>
    <w:next w:val="1"/>
    <w:qFormat/>
    <w:uiPriority w:val="0"/>
    <w:pPr>
      <w:ind w:left="1400" w:leftChars="1400"/>
    </w:pPr>
    <w:rPr>
      <w:sz w:val="21"/>
    </w:rPr>
  </w:style>
  <w:style w:type="paragraph" w:styleId="23">
    <w:name w:val="E-mail Signature"/>
    <w:basedOn w:val="1"/>
    <w:link w:val="326"/>
    <w:qFormat/>
    <w:uiPriority w:val="0"/>
    <w:rPr>
      <w:rFonts w:asciiTheme="minorHAnsi" w:hAnsiTheme="minorHAnsi" w:eastAsiaTheme="minorEastAsia" w:cstheme="minorBidi"/>
      <w:sz w:val="21"/>
      <w:szCs w:val="22"/>
    </w:rPr>
  </w:style>
  <w:style w:type="paragraph" w:styleId="24">
    <w:name w:val="List Number"/>
    <w:basedOn w:val="1"/>
    <w:qFormat/>
    <w:uiPriority w:val="0"/>
    <w:pPr>
      <w:tabs>
        <w:tab w:val="left" w:pos="360"/>
      </w:tabs>
      <w:ind w:left="360" w:hanging="360"/>
    </w:pPr>
    <w:rPr>
      <w:sz w:val="21"/>
    </w:rPr>
  </w:style>
  <w:style w:type="paragraph" w:styleId="25">
    <w:name w:val="caption"/>
    <w:basedOn w:val="1"/>
    <w:next w:val="1"/>
    <w:qFormat/>
    <w:uiPriority w:val="0"/>
    <w:rPr>
      <w:rFonts w:ascii="Arial" w:hAnsi="Arial" w:eastAsia="黑体"/>
      <w:sz w:val="20"/>
    </w:rPr>
  </w:style>
  <w:style w:type="paragraph" w:styleId="26">
    <w:name w:val="index 5"/>
    <w:basedOn w:val="1"/>
    <w:next w:val="1"/>
    <w:qFormat/>
    <w:uiPriority w:val="0"/>
    <w:pPr>
      <w:ind w:left="800" w:leftChars="800"/>
    </w:pPr>
    <w:rPr>
      <w:sz w:val="21"/>
    </w:rPr>
  </w:style>
  <w:style w:type="paragraph" w:styleId="27">
    <w:name w:val="List Bullet"/>
    <w:basedOn w:val="1"/>
    <w:qFormat/>
    <w:uiPriority w:val="0"/>
    <w:pPr>
      <w:tabs>
        <w:tab w:val="left" w:pos="735"/>
      </w:tabs>
      <w:ind w:left="735"/>
    </w:pPr>
    <w:rPr>
      <w:sz w:val="21"/>
    </w:rPr>
  </w:style>
  <w:style w:type="paragraph" w:styleId="28">
    <w:name w:val="envelope address"/>
    <w:basedOn w:val="1"/>
    <w:qFormat/>
    <w:uiPriority w:val="0"/>
    <w:pPr>
      <w:snapToGrid w:val="0"/>
      <w:ind w:left="100" w:leftChars="1400"/>
    </w:pPr>
    <w:rPr>
      <w:rFonts w:ascii="Arial" w:hAnsi="Arial"/>
      <w:sz w:val="24"/>
    </w:rPr>
  </w:style>
  <w:style w:type="paragraph" w:styleId="29">
    <w:name w:val="Document Map"/>
    <w:basedOn w:val="1"/>
    <w:link w:val="334"/>
    <w:qFormat/>
    <w:uiPriority w:val="0"/>
    <w:pPr>
      <w:shd w:val="clear" w:color="auto" w:fill="000080"/>
    </w:pPr>
    <w:rPr>
      <w:rFonts w:asciiTheme="minorHAnsi" w:hAnsiTheme="minorHAnsi" w:eastAsiaTheme="minorEastAsia" w:cstheme="minorBidi"/>
      <w:szCs w:val="22"/>
      <w:shd w:val="clear" w:color="auto" w:fill="000080"/>
    </w:rPr>
  </w:style>
  <w:style w:type="paragraph" w:styleId="30">
    <w:name w:val="toa heading"/>
    <w:basedOn w:val="1"/>
    <w:next w:val="1"/>
    <w:qFormat/>
    <w:uiPriority w:val="0"/>
    <w:pPr>
      <w:spacing w:before="120"/>
    </w:pPr>
    <w:rPr>
      <w:rFonts w:ascii="Arial" w:hAnsi="Arial"/>
      <w:sz w:val="24"/>
    </w:rPr>
  </w:style>
  <w:style w:type="paragraph" w:styleId="31">
    <w:name w:val="annotation text"/>
    <w:basedOn w:val="1"/>
    <w:link w:val="120"/>
    <w:unhideWhenUsed/>
    <w:qFormat/>
    <w:uiPriority w:val="0"/>
    <w:pPr>
      <w:jc w:val="left"/>
    </w:pPr>
  </w:style>
  <w:style w:type="paragraph" w:styleId="32">
    <w:name w:val="index 6"/>
    <w:basedOn w:val="1"/>
    <w:next w:val="1"/>
    <w:qFormat/>
    <w:uiPriority w:val="0"/>
    <w:pPr>
      <w:ind w:left="1000" w:leftChars="1000"/>
    </w:pPr>
    <w:rPr>
      <w:sz w:val="21"/>
    </w:rPr>
  </w:style>
  <w:style w:type="paragraph" w:styleId="33">
    <w:name w:val="Salutation"/>
    <w:basedOn w:val="1"/>
    <w:next w:val="1"/>
    <w:link w:val="342"/>
    <w:qFormat/>
    <w:uiPriority w:val="0"/>
    <w:rPr>
      <w:rFonts w:ascii="宋体" w:hAnsiTheme="minorHAnsi" w:eastAsiaTheme="minorEastAsia" w:cstheme="minorBidi"/>
      <w:szCs w:val="22"/>
    </w:rPr>
  </w:style>
  <w:style w:type="paragraph" w:styleId="34">
    <w:name w:val="Body Text 3"/>
    <w:basedOn w:val="1"/>
    <w:link w:val="346"/>
    <w:qFormat/>
    <w:uiPriority w:val="0"/>
    <w:pPr>
      <w:spacing w:after="120"/>
    </w:pPr>
    <w:rPr>
      <w:rFonts w:asciiTheme="minorHAnsi" w:hAnsiTheme="minorHAnsi" w:eastAsiaTheme="minorEastAsia" w:cstheme="minorBidi"/>
      <w:sz w:val="16"/>
      <w:szCs w:val="22"/>
    </w:rPr>
  </w:style>
  <w:style w:type="paragraph" w:styleId="35">
    <w:name w:val="Closing"/>
    <w:basedOn w:val="1"/>
    <w:link w:val="331"/>
    <w:qFormat/>
    <w:uiPriority w:val="0"/>
    <w:pPr>
      <w:ind w:left="100" w:leftChars="2100"/>
    </w:pPr>
    <w:rPr>
      <w:rFonts w:asciiTheme="minorHAnsi" w:hAnsiTheme="minorHAnsi" w:eastAsiaTheme="minorEastAsia" w:cstheme="minorBidi"/>
      <w:sz w:val="21"/>
      <w:szCs w:val="22"/>
    </w:rPr>
  </w:style>
  <w:style w:type="paragraph" w:styleId="36">
    <w:name w:val="List Bullet 3"/>
    <w:basedOn w:val="1"/>
    <w:qFormat/>
    <w:uiPriority w:val="0"/>
    <w:pPr>
      <w:tabs>
        <w:tab w:val="left" w:pos="1200"/>
      </w:tabs>
      <w:ind w:left="1200" w:hanging="360"/>
    </w:pPr>
    <w:rPr>
      <w:sz w:val="21"/>
    </w:rPr>
  </w:style>
  <w:style w:type="paragraph" w:styleId="37">
    <w:name w:val="Body Text Indent"/>
    <w:basedOn w:val="1"/>
    <w:next w:val="38"/>
    <w:link w:val="114"/>
    <w:unhideWhenUsed/>
    <w:qFormat/>
    <w:uiPriority w:val="0"/>
    <w:pPr>
      <w:spacing w:after="120"/>
      <w:ind w:left="420" w:leftChars="200"/>
    </w:pPr>
  </w:style>
  <w:style w:type="paragraph" w:styleId="38">
    <w:name w:val="envelope return"/>
    <w:basedOn w:val="1"/>
    <w:qFormat/>
    <w:uiPriority w:val="0"/>
    <w:pPr>
      <w:snapToGrid w:val="0"/>
    </w:pPr>
    <w:rPr>
      <w:rFonts w:ascii="Arial" w:hAnsi="Arial"/>
      <w:sz w:val="21"/>
    </w:rPr>
  </w:style>
  <w:style w:type="paragraph" w:styleId="39">
    <w:name w:val="List Number 3"/>
    <w:basedOn w:val="1"/>
    <w:qFormat/>
    <w:uiPriority w:val="0"/>
    <w:pPr>
      <w:tabs>
        <w:tab w:val="left" w:pos="1200"/>
      </w:tabs>
      <w:ind w:left="1200" w:hanging="360"/>
    </w:pPr>
    <w:rPr>
      <w:sz w:val="21"/>
    </w:rPr>
  </w:style>
  <w:style w:type="paragraph" w:styleId="40">
    <w:name w:val="List 2"/>
    <w:basedOn w:val="1"/>
    <w:qFormat/>
    <w:uiPriority w:val="0"/>
    <w:pPr>
      <w:ind w:left="100" w:leftChars="200" w:hanging="200" w:hangingChars="200"/>
    </w:pPr>
    <w:rPr>
      <w:sz w:val="21"/>
    </w:rPr>
  </w:style>
  <w:style w:type="paragraph" w:styleId="41">
    <w:name w:val="List Continue"/>
    <w:basedOn w:val="1"/>
    <w:qFormat/>
    <w:uiPriority w:val="0"/>
    <w:pPr>
      <w:spacing w:after="120"/>
      <w:ind w:left="420" w:leftChars="200"/>
    </w:pPr>
    <w:rPr>
      <w:sz w:val="21"/>
    </w:rPr>
  </w:style>
  <w:style w:type="paragraph" w:styleId="42">
    <w:name w:val="Block Text"/>
    <w:basedOn w:val="1"/>
    <w:qFormat/>
    <w:uiPriority w:val="0"/>
    <w:pPr>
      <w:spacing w:line="240" w:lineRule="exact"/>
      <w:ind w:left="475" w:leftChars="240" w:right="292" w:rightChars="292" w:firstLine="473"/>
    </w:pPr>
    <w:rPr>
      <w:rFonts w:ascii="宋体" w:hAnsi="宋体"/>
      <w:spacing w:val="-6"/>
      <w:sz w:val="21"/>
    </w:rPr>
  </w:style>
  <w:style w:type="paragraph" w:styleId="43">
    <w:name w:val="List Bullet 2"/>
    <w:basedOn w:val="1"/>
    <w:qFormat/>
    <w:uiPriority w:val="0"/>
    <w:pPr>
      <w:tabs>
        <w:tab w:val="left" w:pos="780"/>
      </w:tabs>
      <w:ind w:left="780" w:hanging="360"/>
    </w:pPr>
    <w:rPr>
      <w:sz w:val="21"/>
    </w:rPr>
  </w:style>
  <w:style w:type="paragraph" w:styleId="44">
    <w:name w:val="HTML Address"/>
    <w:basedOn w:val="1"/>
    <w:link w:val="337"/>
    <w:qFormat/>
    <w:uiPriority w:val="0"/>
    <w:rPr>
      <w:rFonts w:asciiTheme="minorHAnsi" w:hAnsiTheme="minorHAnsi" w:eastAsiaTheme="minorEastAsia" w:cstheme="minorBidi"/>
      <w:i/>
      <w:sz w:val="21"/>
      <w:szCs w:val="22"/>
    </w:rPr>
  </w:style>
  <w:style w:type="paragraph" w:styleId="45">
    <w:name w:val="index 4"/>
    <w:basedOn w:val="1"/>
    <w:next w:val="1"/>
    <w:qFormat/>
    <w:uiPriority w:val="0"/>
    <w:pPr>
      <w:ind w:left="600" w:leftChars="600"/>
    </w:pPr>
    <w:rPr>
      <w:sz w:val="21"/>
    </w:rPr>
  </w:style>
  <w:style w:type="paragraph" w:styleId="46">
    <w:name w:val="toc 5"/>
    <w:basedOn w:val="1"/>
    <w:next w:val="1"/>
    <w:qFormat/>
    <w:uiPriority w:val="0"/>
    <w:pPr>
      <w:ind w:left="1120"/>
      <w:jc w:val="left"/>
    </w:pPr>
    <w:rPr>
      <w:sz w:val="18"/>
    </w:rPr>
  </w:style>
  <w:style w:type="paragraph" w:styleId="47">
    <w:name w:val="toc 3"/>
    <w:basedOn w:val="1"/>
    <w:next w:val="1"/>
    <w:qFormat/>
    <w:uiPriority w:val="0"/>
    <w:pPr>
      <w:ind w:left="560"/>
      <w:jc w:val="left"/>
    </w:pPr>
    <w:rPr>
      <w:i/>
      <w:sz w:val="20"/>
    </w:rPr>
  </w:style>
  <w:style w:type="paragraph" w:styleId="48">
    <w:name w:val="Plain Text"/>
    <w:basedOn w:val="1"/>
    <w:next w:val="49"/>
    <w:link w:val="330"/>
    <w:qFormat/>
    <w:uiPriority w:val="0"/>
    <w:rPr>
      <w:rFonts w:ascii="宋体" w:hAnsi="Courier New" w:cstheme="minorBidi"/>
      <w:sz w:val="21"/>
      <w:szCs w:val="22"/>
    </w:rPr>
  </w:style>
  <w:style w:type="paragraph" w:styleId="49">
    <w:name w:val="Date"/>
    <w:basedOn w:val="1"/>
    <w:next w:val="1"/>
    <w:link w:val="329"/>
    <w:qFormat/>
    <w:uiPriority w:val="0"/>
    <w:pPr>
      <w:adjustRightInd w:val="0"/>
      <w:jc w:val="right"/>
      <w:textAlignment w:val="baseline"/>
    </w:pPr>
    <w:rPr>
      <w:rFonts w:eastAsia="仿宋_GB2312" w:asciiTheme="minorHAnsi" w:hAnsiTheme="minorHAnsi" w:cstheme="minorBidi"/>
      <w:b/>
      <w:szCs w:val="22"/>
    </w:rPr>
  </w:style>
  <w:style w:type="paragraph" w:styleId="50">
    <w:name w:val="List Bullet 5"/>
    <w:basedOn w:val="1"/>
    <w:qFormat/>
    <w:uiPriority w:val="0"/>
    <w:pPr>
      <w:tabs>
        <w:tab w:val="left" w:pos="2040"/>
      </w:tabs>
      <w:ind w:left="2040" w:hanging="360"/>
    </w:pPr>
    <w:rPr>
      <w:sz w:val="21"/>
    </w:rPr>
  </w:style>
  <w:style w:type="paragraph" w:styleId="51">
    <w:name w:val="List Number 4"/>
    <w:basedOn w:val="1"/>
    <w:qFormat/>
    <w:uiPriority w:val="0"/>
    <w:pPr>
      <w:tabs>
        <w:tab w:val="left" w:pos="1620"/>
      </w:tabs>
      <w:ind w:left="1620" w:hanging="360"/>
    </w:pPr>
    <w:rPr>
      <w:sz w:val="21"/>
    </w:rPr>
  </w:style>
  <w:style w:type="paragraph" w:styleId="52">
    <w:name w:val="toc 8"/>
    <w:basedOn w:val="1"/>
    <w:next w:val="1"/>
    <w:qFormat/>
    <w:uiPriority w:val="0"/>
    <w:pPr>
      <w:ind w:left="1960"/>
      <w:jc w:val="left"/>
    </w:pPr>
    <w:rPr>
      <w:sz w:val="18"/>
    </w:rPr>
  </w:style>
  <w:style w:type="paragraph" w:styleId="53">
    <w:name w:val="index 3"/>
    <w:basedOn w:val="1"/>
    <w:next w:val="1"/>
    <w:qFormat/>
    <w:uiPriority w:val="0"/>
    <w:pPr>
      <w:ind w:left="400" w:leftChars="400"/>
    </w:pPr>
    <w:rPr>
      <w:sz w:val="21"/>
    </w:rPr>
  </w:style>
  <w:style w:type="paragraph" w:styleId="54">
    <w:name w:val="Body Text Indent 2"/>
    <w:basedOn w:val="1"/>
    <w:link w:val="333"/>
    <w:qFormat/>
    <w:uiPriority w:val="0"/>
    <w:pPr>
      <w:spacing w:line="520" w:lineRule="exact"/>
      <w:ind w:firstLine="848" w:firstLineChars="303"/>
    </w:pPr>
    <w:rPr>
      <w:rFonts w:ascii="黑体" w:eastAsia="黑体" w:hAnsiTheme="minorHAnsi" w:cstheme="minorBidi"/>
      <w:szCs w:val="22"/>
    </w:rPr>
  </w:style>
  <w:style w:type="paragraph" w:styleId="55">
    <w:name w:val="endnote text"/>
    <w:basedOn w:val="1"/>
    <w:link w:val="325"/>
    <w:qFormat/>
    <w:uiPriority w:val="0"/>
    <w:pPr>
      <w:snapToGrid w:val="0"/>
    </w:pPr>
    <w:rPr>
      <w:rFonts w:asciiTheme="minorHAnsi" w:hAnsiTheme="minorHAnsi" w:eastAsiaTheme="minorEastAsia" w:cstheme="minorBidi"/>
      <w:sz w:val="21"/>
      <w:szCs w:val="22"/>
    </w:rPr>
  </w:style>
  <w:style w:type="paragraph" w:styleId="56">
    <w:name w:val="List Continue 5"/>
    <w:basedOn w:val="1"/>
    <w:qFormat/>
    <w:uiPriority w:val="0"/>
    <w:pPr>
      <w:spacing w:after="120"/>
      <w:ind w:left="2100" w:leftChars="1000"/>
    </w:pPr>
    <w:rPr>
      <w:sz w:val="21"/>
    </w:rPr>
  </w:style>
  <w:style w:type="paragraph" w:styleId="57">
    <w:name w:val="Balloon Text"/>
    <w:basedOn w:val="1"/>
    <w:link w:val="341"/>
    <w:qFormat/>
    <w:uiPriority w:val="99"/>
    <w:rPr>
      <w:rFonts w:asciiTheme="minorHAnsi" w:hAnsiTheme="minorHAnsi" w:eastAsiaTheme="minorEastAsia" w:cstheme="minorBidi"/>
      <w:sz w:val="18"/>
      <w:szCs w:val="22"/>
    </w:rPr>
  </w:style>
  <w:style w:type="paragraph" w:styleId="58">
    <w:name w:val="footer"/>
    <w:basedOn w:val="1"/>
    <w:link w:val="104"/>
    <w:unhideWhenUsed/>
    <w:qFormat/>
    <w:uiPriority w:val="0"/>
    <w:pPr>
      <w:tabs>
        <w:tab w:val="center" w:pos="4153"/>
        <w:tab w:val="right" w:pos="8306"/>
      </w:tabs>
      <w:snapToGrid w:val="0"/>
      <w:jc w:val="left"/>
    </w:pPr>
    <w:rPr>
      <w:sz w:val="18"/>
      <w:szCs w:val="18"/>
    </w:rPr>
  </w:style>
  <w:style w:type="paragraph" w:styleId="59">
    <w:name w:val="header"/>
    <w:basedOn w:val="1"/>
    <w:link w:val="103"/>
    <w:unhideWhenUsed/>
    <w:qFormat/>
    <w:uiPriority w:val="0"/>
    <w:pPr>
      <w:pBdr>
        <w:bottom w:val="single" w:color="auto" w:sz="6" w:space="1"/>
      </w:pBdr>
      <w:tabs>
        <w:tab w:val="center" w:pos="4153"/>
        <w:tab w:val="right" w:pos="8306"/>
      </w:tabs>
      <w:snapToGrid w:val="0"/>
      <w:jc w:val="center"/>
    </w:pPr>
    <w:rPr>
      <w:sz w:val="18"/>
      <w:szCs w:val="18"/>
    </w:rPr>
  </w:style>
  <w:style w:type="paragraph" w:styleId="60">
    <w:name w:val="Signature"/>
    <w:basedOn w:val="1"/>
    <w:link w:val="345"/>
    <w:qFormat/>
    <w:uiPriority w:val="0"/>
    <w:pPr>
      <w:ind w:left="100" w:leftChars="2100"/>
    </w:pPr>
    <w:rPr>
      <w:rFonts w:asciiTheme="minorHAnsi" w:hAnsiTheme="minorHAnsi" w:eastAsiaTheme="minorEastAsia" w:cstheme="minorBidi"/>
      <w:sz w:val="21"/>
      <w:szCs w:val="22"/>
    </w:rPr>
  </w:style>
  <w:style w:type="paragraph" w:styleId="61">
    <w:name w:val="toc 1"/>
    <w:basedOn w:val="1"/>
    <w:next w:val="1"/>
    <w:qFormat/>
    <w:uiPriority w:val="39"/>
    <w:pPr>
      <w:tabs>
        <w:tab w:val="right" w:leader="dot" w:pos="8364"/>
      </w:tabs>
      <w:spacing w:before="120" w:after="120" w:line="360" w:lineRule="auto"/>
      <w:jc w:val="left"/>
    </w:pPr>
    <w:rPr>
      <w:b/>
      <w:caps/>
      <w:sz w:val="20"/>
    </w:rPr>
  </w:style>
  <w:style w:type="paragraph" w:styleId="62">
    <w:name w:val="List Continue 4"/>
    <w:basedOn w:val="1"/>
    <w:qFormat/>
    <w:uiPriority w:val="0"/>
    <w:pPr>
      <w:spacing w:after="120"/>
      <w:ind w:left="1680" w:leftChars="800"/>
    </w:pPr>
    <w:rPr>
      <w:sz w:val="21"/>
    </w:rPr>
  </w:style>
  <w:style w:type="paragraph" w:styleId="63">
    <w:name w:val="toc 4"/>
    <w:basedOn w:val="1"/>
    <w:next w:val="1"/>
    <w:qFormat/>
    <w:uiPriority w:val="0"/>
    <w:pPr>
      <w:ind w:left="840"/>
      <w:jc w:val="left"/>
    </w:pPr>
    <w:rPr>
      <w:sz w:val="18"/>
    </w:rPr>
  </w:style>
  <w:style w:type="paragraph" w:styleId="64">
    <w:name w:val="index heading"/>
    <w:basedOn w:val="1"/>
    <w:next w:val="65"/>
    <w:qFormat/>
    <w:uiPriority w:val="0"/>
    <w:rPr>
      <w:rFonts w:ascii="Arial" w:hAnsi="Arial"/>
      <w:b/>
      <w:sz w:val="21"/>
    </w:rPr>
  </w:style>
  <w:style w:type="paragraph" w:styleId="65">
    <w:name w:val="index 1"/>
    <w:basedOn w:val="1"/>
    <w:next w:val="1"/>
    <w:unhideWhenUsed/>
    <w:qFormat/>
    <w:uiPriority w:val="0"/>
  </w:style>
  <w:style w:type="paragraph" w:styleId="66">
    <w:name w:val="Subtitle"/>
    <w:basedOn w:val="1"/>
    <w:next w:val="1"/>
    <w:link w:val="347"/>
    <w:qFormat/>
    <w:uiPriority w:val="0"/>
    <w:pPr>
      <w:spacing w:before="240" w:after="60" w:line="312" w:lineRule="auto"/>
      <w:jc w:val="center"/>
      <w:outlineLvl w:val="1"/>
    </w:pPr>
    <w:rPr>
      <w:rFonts w:ascii="Cambria" w:hAnsi="Cambria" w:eastAsiaTheme="minorEastAsia" w:cstheme="minorBidi"/>
      <w:b/>
      <w:kern w:val="28"/>
      <w:sz w:val="32"/>
      <w:szCs w:val="22"/>
    </w:rPr>
  </w:style>
  <w:style w:type="paragraph" w:styleId="67">
    <w:name w:val="List Number 5"/>
    <w:basedOn w:val="1"/>
    <w:qFormat/>
    <w:uiPriority w:val="0"/>
    <w:pPr>
      <w:tabs>
        <w:tab w:val="left" w:pos="2040"/>
      </w:tabs>
      <w:ind w:left="2040" w:hanging="360"/>
    </w:pPr>
    <w:rPr>
      <w:sz w:val="21"/>
    </w:rPr>
  </w:style>
  <w:style w:type="paragraph" w:styleId="68">
    <w:name w:val="List"/>
    <w:basedOn w:val="1"/>
    <w:qFormat/>
    <w:uiPriority w:val="0"/>
    <w:pPr>
      <w:ind w:left="200" w:hanging="200" w:hangingChars="200"/>
    </w:pPr>
    <w:rPr>
      <w:sz w:val="21"/>
    </w:rPr>
  </w:style>
  <w:style w:type="paragraph" w:styleId="69">
    <w:name w:val="footnote text"/>
    <w:basedOn w:val="1"/>
    <w:link w:val="348"/>
    <w:qFormat/>
    <w:uiPriority w:val="0"/>
    <w:pPr>
      <w:snapToGrid w:val="0"/>
      <w:jc w:val="left"/>
    </w:pPr>
    <w:rPr>
      <w:rFonts w:asciiTheme="minorHAnsi" w:hAnsiTheme="minorHAnsi" w:eastAsiaTheme="minorEastAsia" w:cstheme="minorBidi"/>
      <w:sz w:val="18"/>
      <w:szCs w:val="22"/>
    </w:rPr>
  </w:style>
  <w:style w:type="paragraph" w:styleId="70">
    <w:name w:val="List 5"/>
    <w:basedOn w:val="1"/>
    <w:qFormat/>
    <w:uiPriority w:val="0"/>
    <w:pPr>
      <w:ind w:left="100" w:leftChars="800" w:hanging="200" w:hangingChars="200"/>
    </w:pPr>
    <w:rPr>
      <w:sz w:val="21"/>
    </w:rPr>
  </w:style>
  <w:style w:type="paragraph" w:styleId="71">
    <w:name w:val="Body Text Indent 3"/>
    <w:basedOn w:val="1"/>
    <w:link w:val="344"/>
    <w:qFormat/>
    <w:uiPriority w:val="0"/>
    <w:pPr>
      <w:spacing w:line="520" w:lineRule="exact"/>
      <w:ind w:firstLine="547"/>
    </w:pPr>
    <w:rPr>
      <w:rFonts w:asciiTheme="minorHAnsi" w:hAnsiTheme="minorHAnsi" w:eastAsiaTheme="minorEastAsia" w:cstheme="minorBidi"/>
      <w:szCs w:val="22"/>
    </w:rPr>
  </w:style>
  <w:style w:type="paragraph" w:styleId="72">
    <w:name w:val="index 7"/>
    <w:basedOn w:val="1"/>
    <w:next w:val="1"/>
    <w:qFormat/>
    <w:uiPriority w:val="0"/>
    <w:pPr>
      <w:ind w:left="1200" w:leftChars="1200"/>
    </w:pPr>
    <w:rPr>
      <w:sz w:val="21"/>
    </w:rPr>
  </w:style>
  <w:style w:type="paragraph" w:styleId="73">
    <w:name w:val="index 9"/>
    <w:basedOn w:val="1"/>
    <w:next w:val="1"/>
    <w:qFormat/>
    <w:uiPriority w:val="0"/>
    <w:pPr>
      <w:ind w:left="1600" w:leftChars="1600"/>
    </w:pPr>
    <w:rPr>
      <w:sz w:val="21"/>
    </w:rPr>
  </w:style>
  <w:style w:type="paragraph" w:styleId="74">
    <w:name w:val="table of figures"/>
    <w:basedOn w:val="1"/>
    <w:next w:val="1"/>
    <w:qFormat/>
    <w:uiPriority w:val="0"/>
    <w:pPr>
      <w:ind w:left="560" w:hanging="560"/>
      <w:jc w:val="left"/>
    </w:pPr>
    <w:rPr>
      <w:smallCaps/>
      <w:sz w:val="20"/>
    </w:rPr>
  </w:style>
  <w:style w:type="paragraph" w:styleId="75">
    <w:name w:val="toc 2"/>
    <w:basedOn w:val="1"/>
    <w:next w:val="1"/>
    <w:qFormat/>
    <w:uiPriority w:val="39"/>
    <w:pPr>
      <w:tabs>
        <w:tab w:val="right" w:leader="dot" w:pos="8364"/>
      </w:tabs>
      <w:spacing w:line="360" w:lineRule="auto"/>
      <w:ind w:left="280"/>
      <w:jc w:val="left"/>
    </w:pPr>
    <w:rPr>
      <w:rFonts w:ascii="仿宋" w:hAnsi="仿宋" w:eastAsia="仿宋"/>
      <w:b/>
      <w:smallCaps/>
      <w:sz w:val="24"/>
    </w:rPr>
  </w:style>
  <w:style w:type="paragraph" w:styleId="76">
    <w:name w:val="toc 9"/>
    <w:basedOn w:val="1"/>
    <w:next w:val="1"/>
    <w:qFormat/>
    <w:uiPriority w:val="0"/>
    <w:pPr>
      <w:ind w:left="2240"/>
      <w:jc w:val="left"/>
    </w:pPr>
    <w:rPr>
      <w:sz w:val="18"/>
    </w:rPr>
  </w:style>
  <w:style w:type="paragraph" w:styleId="77">
    <w:name w:val="Body Text 2"/>
    <w:basedOn w:val="1"/>
    <w:link w:val="327"/>
    <w:qFormat/>
    <w:uiPriority w:val="0"/>
    <w:pPr>
      <w:spacing w:after="120" w:line="480" w:lineRule="auto"/>
    </w:pPr>
    <w:rPr>
      <w:rFonts w:asciiTheme="minorHAnsi" w:hAnsiTheme="minorHAnsi" w:eastAsiaTheme="minorEastAsia" w:cstheme="minorBidi"/>
      <w:sz w:val="21"/>
      <w:szCs w:val="22"/>
    </w:rPr>
  </w:style>
  <w:style w:type="paragraph" w:styleId="78">
    <w:name w:val="List 4"/>
    <w:basedOn w:val="1"/>
    <w:qFormat/>
    <w:uiPriority w:val="0"/>
    <w:pPr>
      <w:ind w:left="100" w:leftChars="600" w:hanging="200" w:hangingChars="200"/>
    </w:pPr>
    <w:rPr>
      <w:sz w:val="21"/>
    </w:rPr>
  </w:style>
  <w:style w:type="paragraph" w:styleId="79">
    <w:name w:val="List Continue 2"/>
    <w:basedOn w:val="1"/>
    <w:qFormat/>
    <w:uiPriority w:val="0"/>
    <w:pPr>
      <w:spacing w:after="120"/>
      <w:ind w:left="840" w:leftChars="400"/>
    </w:pPr>
    <w:rPr>
      <w:sz w:val="21"/>
    </w:rPr>
  </w:style>
  <w:style w:type="paragraph" w:styleId="80">
    <w:name w:val="Message Header"/>
    <w:basedOn w:val="1"/>
    <w:link w:val="349"/>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Theme="minorEastAsia" w:cstheme="minorBidi"/>
      <w:sz w:val="24"/>
      <w:szCs w:val="22"/>
      <w:shd w:val="pct20" w:color="auto" w:fill="auto"/>
    </w:rPr>
  </w:style>
  <w:style w:type="paragraph" w:styleId="81">
    <w:name w:val="HTML Preformatted"/>
    <w:basedOn w:val="1"/>
    <w:link w:val="35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theme="minorBidi"/>
      <w:sz w:val="21"/>
      <w:szCs w:val="22"/>
    </w:rPr>
  </w:style>
  <w:style w:type="paragraph" w:styleId="82">
    <w:name w:val="Normal (Web)"/>
    <w:basedOn w:val="1"/>
    <w:qFormat/>
    <w:uiPriority w:val="99"/>
    <w:pPr>
      <w:widowControl/>
      <w:spacing w:before="100" w:beforeAutospacing="1" w:after="100" w:afterAutospacing="1"/>
      <w:jc w:val="left"/>
    </w:pPr>
    <w:rPr>
      <w:rFonts w:ascii="宋体" w:hAnsi="宋体"/>
      <w:kern w:val="0"/>
      <w:sz w:val="24"/>
    </w:rPr>
  </w:style>
  <w:style w:type="paragraph" w:styleId="83">
    <w:name w:val="List Continue 3"/>
    <w:basedOn w:val="1"/>
    <w:qFormat/>
    <w:uiPriority w:val="0"/>
    <w:pPr>
      <w:spacing w:after="120"/>
      <w:ind w:left="1260" w:leftChars="600"/>
    </w:pPr>
    <w:rPr>
      <w:sz w:val="21"/>
    </w:rPr>
  </w:style>
  <w:style w:type="paragraph" w:styleId="84">
    <w:name w:val="index 2"/>
    <w:basedOn w:val="1"/>
    <w:next w:val="1"/>
    <w:qFormat/>
    <w:uiPriority w:val="0"/>
    <w:pPr>
      <w:ind w:left="200" w:leftChars="200"/>
    </w:pPr>
    <w:rPr>
      <w:sz w:val="21"/>
    </w:rPr>
  </w:style>
  <w:style w:type="paragraph" w:styleId="85">
    <w:name w:val="Title"/>
    <w:basedOn w:val="1"/>
    <w:next w:val="1"/>
    <w:link w:val="340"/>
    <w:qFormat/>
    <w:uiPriority w:val="0"/>
    <w:pPr>
      <w:widowControl/>
      <w:overflowPunct w:val="0"/>
      <w:autoSpaceDE w:val="0"/>
      <w:autoSpaceDN w:val="0"/>
      <w:adjustRightInd w:val="0"/>
      <w:jc w:val="center"/>
      <w:textAlignment w:val="baseline"/>
    </w:pPr>
    <w:rPr>
      <w:rFonts w:asciiTheme="minorHAnsi" w:hAnsiTheme="minorHAnsi" w:eastAsiaTheme="minorEastAsia" w:cstheme="minorBidi"/>
      <w:b/>
      <w:sz w:val="24"/>
      <w:szCs w:val="22"/>
      <w:lang w:val="en-GB"/>
    </w:rPr>
  </w:style>
  <w:style w:type="paragraph" w:styleId="86">
    <w:name w:val="annotation subject"/>
    <w:basedOn w:val="31"/>
    <w:next w:val="31"/>
    <w:link w:val="351"/>
    <w:qFormat/>
    <w:uiPriority w:val="0"/>
    <w:rPr>
      <w:rFonts w:asciiTheme="minorHAnsi" w:hAnsiTheme="minorHAnsi" w:eastAsiaTheme="minorEastAsia" w:cstheme="minorBidi"/>
      <w:b/>
      <w:sz w:val="21"/>
      <w:szCs w:val="22"/>
    </w:rPr>
  </w:style>
  <w:style w:type="paragraph" w:styleId="87">
    <w:name w:val="Body Text First Indent 2"/>
    <w:basedOn w:val="37"/>
    <w:next w:val="1"/>
    <w:link w:val="339"/>
    <w:qFormat/>
    <w:uiPriority w:val="0"/>
    <w:pPr>
      <w:ind w:firstLine="420" w:firstLineChars="200"/>
    </w:pPr>
    <w:rPr>
      <w:rFonts w:ascii="等线" w:hAnsi="等线" w:eastAsia="等线" w:cstheme="minorBidi"/>
      <w:sz w:val="21"/>
      <w:szCs w:val="22"/>
    </w:rPr>
  </w:style>
  <w:style w:type="table" w:styleId="89">
    <w:name w:val="Table Grid"/>
    <w:basedOn w:val="88"/>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1">
    <w:name w:val="Strong"/>
    <w:qFormat/>
    <w:uiPriority w:val="22"/>
    <w:rPr>
      <w:b/>
    </w:rPr>
  </w:style>
  <w:style w:type="character" w:styleId="92">
    <w:name w:val="endnote reference"/>
    <w:qFormat/>
    <w:uiPriority w:val="0"/>
    <w:rPr>
      <w:vertAlign w:val="superscript"/>
    </w:rPr>
  </w:style>
  <w:style w:type="character" w:styleId="93">
    <w:name w:val="page number"/>
    <w:basedOn w:val="90"/>
    <w:qFormat/>
    <w:uiPriority w:val="0"/>
  </w:style>
  <w:style w:type="character" w:styleId="94">
    <w:name w:val="FollowedHyperlink"/>
    <w:qFormat/>
    <w:uiPriority w:val="0"/>
    <w:rPr>
      <w:color w:val="800080"/>
      <w:u w:val="single"/>
    </w:rPr>
  </w:style>
  <w:style w:type="character" w:styleId="95">
    <w:name w:val="Emphasis"/>
    <w:basedOn w:val="90"/>
    <w:qFormat/>
    <w:uiPriority w:val="0"/>
    <w:rPr>
      <w:color w:val="CC0000"/>
    </w:rPr>
  </w:style>
  <w:style w:type="character" w:styleId="96">
    <w:name w:val="Hyperlink"/>
    <w:basedOn w:val="90"/>
    <w:qFormat/>
    <w:uiPriority w:val="99"/>
    <w:rPr>
      <w:color w:val="0000FF"/>
      <w:u w:val="single"/>
    </w:rPr>
  </w:style>
  <w:style w:type="character" w:styleId="97">
    <w:name w:val="annotation reference"/>
    <w:qFormat/>
    <w:uiPriority w:val="0"/>
    <w:rPr>
      <w:sz w:val="21"/>
    </w:rPr>
  </w:style>
  <w:style w:type="character" w:styleId="98">
    <w:name w:val="footnote reference"/>
    <w:qFormat/>
    <w:uiPriority w:val="0"/>
    <w:rPr>
      <w:vertAlign w:val="superscript"/>
    </w:rPr>
  </w:style>
  <w:style w:type="paragraph" w:customStyle="1" w:styleId="99">
    <w:name w:val="样式1"/>
    <w:basedOn w:val="6"/>
    <w:link w:val="150"/>
    <w:qFormat/>
    <w:uiPriority w:val="0"/>
    <w:pPr>
      <w:tabs>
        <w:tab w:val="left" w:pos="-839"/>
      </w:tabs>
      <w:ind w:left="1320" w:hanging="1320"/>
    </w:pPr>
    <w:rPr>
      <w:rFonts w:hAnsiTheme="minorHAnsi" w:eastAsiaTheme="minorEastAsia" w:cstheme="minorBidi"/>
      <w:kern w:val="2"/>
      <w:szCs w:val="22"/>
    </w:rPr>
  </w:style>
  <w:style w:type="paragraph" w:customStyle="1" w:styleId="100">
    <w:name w:val="列出段落1"/>
    <w:basedOn w:val="1"/>
    <w:qFormat/>
    <w:uiPriority w:val="0"/>
    <w:pPr>
      <w:ind w:firstLine="420" w:firstLineChars="200"/>
    </w:pPr>
    <w:rPr>
      <w:sz w:val="21"/>
    </w:rPr>
  </w:style>
  <w:style w:type="paragraph" w:customStyle="1" w:styleId="101">
    <w:name w:val="表格文字"/>
    <w:basedOn w:val="1"/>
    <w:next w:val="2"/>
    <w:qFormat/>
    <w:uiPriority w:val="0"/>
    <w:pPr>
      <w:adjustRightInd w:val="0"/>
      <w:spacing w:line="420" w:lineRule="atLeast"/>
      <w:textAlignment w:val="baseline"/>
    </w:pPr>
    <w:rPr>
      <w:kern w:val="0"/>
      <w:sz w:val="21"/>
    </w:rPr>
  </w:style>
  <w:style w:type="paragraph" w:customStyle="1" w:styleId="102">
    <w:name w:val="正"/>
    <w:qFormat/>
    <w:uiPriority w:val="0"/>
    <w:pPr>
      <w:widowControl w:val="0"/>
      <w:spacing w:line="360" w:lineRule="auto"/>
      <w:ind w:firstLine="480" w:firstLineChars="200"/>
      <w:contextualSpacing/>
      <w:jc w:val="both"/>
    </w:pPr>
    <w:rPr>
      <w:rFonts w:ascii="Times New Roman" w:hAnsi="Times New Roman" w:eastAsia="宋体" w:cs="Times New Roman"/>
      <w:sz w:val="24"/>
      <w:szCs w:val="24"/>
      <w:lang w:val="en-US" w:eastAsia="zh-CN" w:bidi="ar-SA"/>
    </w:rPr>
  </w:style>
  <w:style w:type="character" w:customStyle="1" w:styleId="103">
    <w:name w:val="页眉 Char"/>
    <w:basedOn w:val="90"/>
    <w:link w:val="59"/>
    <w:qFormat/>
    <w:uiPriority w:val="99"/>
    <w:rPr>
      <w:sz w:val="18"/>
      <w:szCs w:val="18"/>
    </w:rPr>
  </w:style>
  <w:style w:type="character" w:customStyle="1" w:styleId="104">
    <w:name w:val="页脚 Char"/>
    <w:basedOn w:val="90"/>
    <w:link w:val="58"/>
    <w:qFormat/>
    <w:uiPriority w:val="99"/>
    <w:rPr>
      <w:sz w:val="18"/>
      <w:szCs w:val="18"/>
    </w:rPr>
  </w:style>
  <w:style w:type="character" w:customStyle="1" w:styleId="105">
    <w:name w:val="标题 1 Char"/>
    <w:basedOn w:val="90"/>
    <w:link w:val="6"/>
    <w:qFormat/>
    <w:uiPriority w:val="9"/>
    <w:rPr>
      <w:rFonts w:ascii="黑体" w:hAnsi="Calibri" w:eastAsia="宋体" w:cs="Times New Roman"/>
      <w:b/>
      <w:kern w:val="0"/>
      <w:sz w:val="32"/>
      <w:szCs w:val="20"/>
    </w:rPr>
  </w:style>
  <w:style w:type="character" w:customStyle="1" w:styleId="106">
    <w:name w:val="标题 2 Char"/>
    <w:basedOn w:val="90"/>
    <w:qFormat/>
    <w:uiPriority w:val="0"/>
    <w:rPr>
      <w:rFonts w:asciiTheme="majorHAnsi" w:hAnsiTheme="majorHAnsi" w:eastAsiaTheme="majorEastAsia" w:cstheme="majorBidi"/>
      <w:b/>
      <w:bCs/>
      <w:sz w:val="32"/>
      <w:szCs w:val="32"/>
    </w:rPr>
  </w:style>
  <w:style w:type="character" w:customStyle="1" w:styleId="107">
    <w:name w:val="标题 3 Char"/>
    <w:basedOn w:val="90"/>
    <w:link w:val="8"/>
    <w:qFormat/>
    <w:uiPriority w:val="0"/>
    <w:rPr>
      <w:rFonts w:ascii="Calibri" w:hAnsi="Calibri" w:eastAsia="宋体" w:cs="Times New Roman"/>
      <w:b/>
      <w:kern w:val="0"/>
      <w:sz w:val="32"/>
      <w:szCs w:val="20"/>
    </w:rPr>
  </w:style>
  <w:style w:type="character" w:customStyle="1" w:styleId="108">
    <w:name w:val="标题 4 Char"/>
    <w:basedOn w:val="90"/>
    <w:link w:val="9"/>
    <w:qFormat/>
    <w:uiPriority w:val="0"/>
    <w:rPr>
      <w:rFonts w:ascii="Arial" w:hAnsi="Arial" w:eastAsia="黑体" w:cs="Times New Roman"/>
      <w:b/>
      <w:sz w:val="28"/>
      <w:szCs w:val="20"/>
    </w:rPr>
  </w:style>
  <w:style w:type="character" w:customStyle="1" w:styleId="109">
    <w:name w:val="标题 5 Char"/>
    <w:basedOn w:val="90"/>
    <w:link w:val="10"/>
    <w:qFormat/>
    <w:uiPriority w:val="0"/>
    <w:rPr>
      <w:rFonts w:ascii="Calibri" w:hAnsi="Calibri" w:eastAsia="宋体" w:cs="Times New Roman"/>
      <w:b/>
      <w:sz w:val="28"/>
      <w:szCs w:val="20"/>
    </w:rPr>
  </w:style>
  <w:style w:type="character" w:customStyle="1" w:styleId="110">
    <w:name w:val="标题 6 Char"/>
    <w:basedOn w:val="90"/>
    <w:link w:val="12"/>
    <w:qFormat/>
    <w:uiPriority w:val="0"/>
    <w:rPr>
      <w:rFonts w:ascii="Arial" w:hAnsi="Arial" w:eastAsia="黑体" w:cs="Times New Roman"/>
      <w:b/>
      <w:kern w:val="0"/>
      <w:sz w:val="24"/>
      <w:szCs w:val="20"/>
    </w:rPr>
  </w:style>
  <w:style w:type="character" w:customStyle="1" w:styleId="111">
    <w:name w:val="标题 7 Char"/>
    <w:basedOn w:val="90"/>
    <w:link w:val="13"/>
    <w:qFormat/>
    <w:uiPriority w:val="0"/>
    <w:rPr>
      <w:rFonts w:ascii="Calibri" w:hAnsi="Calibri" w:eastAsia="宋体" w:cs="Times New Roman"/>
      <w:b/>
      <w:kern w:val="0"/>
      <w:sz w:val="24"/>
      <w:szCs w:val="20"/>
    </w:rPr>
  </w:style>
  <w:style w:type="character" w:customStyle="1" w:styleId="112">
    <w:name w:val="标题 8 Char"/>
    <w:basedOn w:val="90"/>
    <w:link w:val="14"/>
    <w:qFormat/>
    <w:uiPriority w:val="0"/>
    <w:rPr>
      <w:rFonts w:ascii="Arial" w:hAnsi="Arial" w:eastAsia="黑体" w:cs="Times New Roman"/>
      <w:kern w:val="0"/>
      <w:sz w:val="24"/>
      <w:szCs w:val="20"/>
    </w:rPr>
  </w:style>
  <w:style w:type="character" w:customStyle="1" w:styleId="113">
    <w:name w:val="标题 9 Char"/>
    <w:basedOn w:val="90"/>
    <w:link w:val="15"/>
    <w:qFormat/>
    <w:uiPriority w:val="0"/>
    <w:rPr>
      <w:rFonts w:ascii="Arial" w:hAnsi="Arial" w:eastAsia="黑体" w:cs="Times New Roman"/>
      <w:kern w:val="0"/>
      <w:szCs w:val="20"/>
    </w:rPr>
  </w:style>
  <w:style w:type="character" w:customStyle="1" w:styleId="114">
    <w:name w:val="正文文本缩进 Char"/>
    <w:basedOn w:val="90"/>
    <w:link w:val="37"/>
    <w:qFormat/>
    <w:uiPriority w:val="0"/>
    <w:rPr>
      <w:rFonts w:ascii="Calibri" w:hAnsi="Calibri" w:eastAsia="宋体" w:cs="Times New Roman"/>
      <w:sz w:val="28"/>
      <w:szCs w:val="20"/>
    </w:rPr>
  </w:style>
  <w:style w:type="character" w:customStyle="1" w:styleId="115">
    <w:name w:val="正文首行缩进 2 Char"/>
    <w:basedOn w:val="114"/>
    <w:qFormat/>
    <w:uiPriority w:val="0"/>
    <w:rPr>
      <w:rFonts w:ascii="Calibri" w:hAnsi="Calibri" w:eastAsia="宋体" w:cs="Times New Roman"/>
      <w:sz w:val="28"/>
      <w:szCs w:val="20"/>
    </w:rPr>
  </w:style>
  <w:style w:type="character" w:customStyle="1" w:styleId="116">
    <w:name w:val="正文文本 Char"/>
    <w:basedOn w:val="90"/>
    <w:link w:val="2"/>
    <w:qFormat/>
    <w:uiPriority w:val="0"/>
    <w:rPr>
      <w:rFonts w:ascii="Calibri" w:hAnsi="Calibri" w:eastAsia="宋体" w:cs="Times New Roman"/>
      <w:sz w:val="28"/>
      <w:szCs w:val="20"/>
    </w:rPr>
  </w:style>
  <w:style w:type="character" w:customStyle="1" w:styleId="117">
    <w:name w:val="正文首行缩进 Char"/>
    <w:basedOn w:val="116"/>
    <w:link w:val="118"/>
    <w:qFormat/>
    <w:uiPriority w:val="0"/>
    <w:rPr>
      <w:rFonts w:ascii="Calibri" w:hAnsi="Calibri" w:eastAsia="宋体" w:cs="Times New Roman"/>
      <w:sz w:val="28"/>
      <w:szCs w:val="20"/>
    </w:rPr>
  </w:style>
  <w:style w:type="paragraph" w:customStyle="1" w:styleId="118">
    <w:name w:val="正文首行缩进1"/>
    <w:basedOn w:val="2"/>
    <w:link w:val="117"/>
    <w:qFormat/>
    <w:uiPriority w:val="0"/>
    <w:pPr>
      <w:spacing w:after="0"/>
      <w:ind w:firstLine="420" w:firstLineChars="100"/>
    </w:pPr>
  </w:style>
  <w:style w:type="character" w:customStyle="1" w:styleId="119">
    <w:name w:val="标题 Char"/>
    <w:basedOn w:val="90"/>
    <w:qFormat/>
    <w:uiPriority w:val="0"/>
    <w:rPr>
      <w:rFonts w:eastAsia="宋体" w:asciiTheme="majorHAnsi" w:hAnsiTheme="majorHAnsi" w:cstheme="majorBidi"/>
      <w:b/>
      <w:bCs/>
      <w:sz w:val="32"/>
      <w:szCs w:val="32"/>
    </w:rPr>
  </w:style>
  <w:style w:type="character" w:customStyle="1" w:styleId="120">
    <w:name w:val="批注文字 Char"/>
    <w:basedOn w:val="90"/>
    <w:link w:val="31"/>
    <w:qFormat/>
    <w:uiPriority w:val="0"/>
    <w:rPr>
      <w:rFonts w:ascii="Calibri" w:hAnsi="Calibri" w:eastAsia="宋体" w:cs="Times New Roman"/>
      <w:sz w:val="28"/>
      <w:szCs w:val="20"/>
    </w:rPr>
  </w:style>
  <w:style w:type="character" w:customStyle="1" w:styleId="121">
    <w:name w:val="批注主题 Char"/>
    <w:basedOn w:val="120"/>
    <w:link w:val="122"/>
    <w:qFormat/>
    <w:uiPriority w:val="0"/>
    <w:rPr>
      <w:rFonts w:ascii="Calibri" w:hAnsi="Calibri" w:eastAsia="宋体" w:cs="Times New Roman"/>
      <w:b/>
      <w:bCs/>
      <w:sz w:val="28"/>
      <w:szCs w:val="20"/>
    </w:rPr>
  </w:style>
  <w:style w:type="paragraph" w:customStyle="1" w:styleId="122">
    <w:name w:val="批注主题1"/>
    <w:basedOn w:val="31"/>
    <w:next w:val="31"/>
    <w:link w:val="121"/>
    <w:qFormat/>
    <w:uiPriority w:val="0"/>
    <w:rPr>
      <w:b/>
      <w:bCs/>
    </w:rPr>
  </w:style>
  <w:style w:type="character" w:customStyle="1" w:styleId="123">
    <w:name w:val="宏文本 Char"/>
    <w:basedOn w:val="90"/>
    <w:qFormat/>
    <w:uiPriority w:val="0"/>
    <w:rPr>
      <w:rFonts w:ascii="Courier New" w:hAnsi="Courier New" w:eastAsia="宋体" w:cs="Courier New"/>
      <w:sz w:val="24"/>
      <w:szCs w:val="24"/>
    </w:rPr>
  </w:style>
  <w:style w:type="character" w:customStyle="1" w:styleId="124">
    <w:name w:val="注释标题 Char"/>
    <w:basedOn w:val="90"/>
    <w:qFormat/>
    <w:uiPriority w:val="0"/>
    <w:rPr>
      <w:rFonts w:ascii="Calibri" w:hAnsi="Calibri" w:eastAsia="宋体" w:cs="Times New Roman"/>
      <w:sz w:val="28"/>
      <w:szCs w:val="20"/>
    </w:rPr>
  </w:style>
  <w:style w:type="character" w:customStyle="1" w:styleId="125">
    <w:name w:val="电子邮件签名 Char"/>
    <w:basedOn w:val="90"/>
    <w:qFormat/>
    <w:uiPriority w:val="0"/>
    <w:rPr>
      <w:rFonts w:ascii="Calibri" w:hAnsi="Calibri" w:eastAsia="宋体" w:cs="Times New Roman"/>
      <w:sz w:val="28"/>
      <w:szCs w:val="20"/>
    </w:rPr>
  </w:style>
  <w:style w:type="character" w:customStyle="1" w:styleId="126">
    <w:name w:val="文档结构图 Char"/>
    <w:basedOn w:val="90"/>
    <w:qFormat/>
    <w:uiPriority w:val="0"/>
    <w:rPr>
      <w:rFonts w:ascii="宋体" w:hAnsi="Calibri" w:eastAsia="宋体" w:cs="Times New Roman"/>
      <w:sz w:val="18"/>
      <w:szCs w:val="18"/>
    </w:rPr>
  </w:style>
  <w:style w:type="character" w:customStyle="1" w:styleId="127">
    <w:name w:val="称呼 Char"/>
    <w:basedOn w:val="90"/>
    <w:qFormat/>
    <w:uiPriority w:val="0"/>
    <w:rPr>
      <w:rFonts w:ascii="Calibri" w:hAnsi="Calibri" w:eastAsia="宋体" w:cs="Times New Roman"/>
      <w:sz w:val="28"/>
      <w:szCs w:val="20"/>
    </w:rPr>
  </w:style>
  <w:style w:type="character" w:customStyle="1" w:styleId="128">
    <w:name w:val="正文文本 3 Char"/>
    <w:basedOn w:val="90"/>
    <w:qFormat/>
    <w:uiPriority w:val="0"/>
    <w:rPr>
      <w:rFonts w:ascii="Calibri" w:hAnsi="Calibri" w:eastAsia="宋体" w:cs="Times New Roman"/>
      <w:sz w:val="16"/>
      <w:szCs w:val="16"/>
    </w:rPr>
  </w:style>
  <w:style w:type="character" w:customStyle="1" w:styleId="129">
    <w:name w:val="结束语 Char"/>
    <w:basedOn w:val="90"/>
    <w:qFormat/>
    <w:uiPriority w:val="0"/>
    <w:rPr>
      <w:rFonts w:ascii="Calibri" w:hAnsi="Calibri" w:eastAsia="宋体" w:cs="Times New Roman"/>
      <w:sz w:val="28"/>
      <w:szCs w:val="20"/>
    </w:rPr>
  </w:style>
  <w:style w:type="character" w:customStyle="1" w:styleId="130">
    <w:name w:val="HTML 地址 Char"/>
    <w:basedOn w:val="90"/>
    <w:qFormat/>
    <w:uiPriority w:val="0"/>
    <w:rPr>
      <w:rFonts w:ascii="Calibri" w:hAnsi="Calibri" w:eastAsia="宋体" w:cs="Times New Roman"/>
      <w:i/>
      <w:iCs/>
      <w:sz w:val="28"/>
      <w:szCs w:val="20"/>
    </w:rPr>
  </w:style>
  <w:style w:type="character" w:customStyle="1" w:styleId="131">
    <w:name w:val="纯文本 Char"/>
    <w:basedOn w:val="90"/>
    <w:qFormat/>
    <w:uiPriority w:val="0"/>
    <w:rPr>
      <w:rFonts w:ascii="宋体" w:hAnsi="Courier New" w:eastAsia="宋体" w:cs="Courier New"/>
      <w:szCs w:val="21"/>
    </w:rPr>
  </w:style>
  <w:style w:type="character" w:customStyle="1" w:styleId="132">
    <w:name w:val="日期 Char"/>
    <w:basedOn w:val="90"/>
    <w:qFormat/>
    <w:uiPriority w:val="0"/>
    <w:rPr>
      <w:rFonts w:ascii="Calibri" w:hAnsi="Calibri" w:eastAsia="宋体" w:cs="Times New Roman"/>
      <w:sz w:val="28"/>
      <w:szCs w:val="20"/>
    </w:rPr>
  </w:style>
  <w:style w:type="character" w:customStyle="1" w:styleId="133">
    <w:name w:val="正文文本缩进 2 Char"/>
    <w:basedOn w:val="90"/>
    <w:link w:val="134"/>
    <w:qFormat/>
    <w:uiPriority w:val="0"/>
    <w:rPr>
      <w:rFonts w:ascii="Calibri" w:hAnsi="Calibri" w:eastAsia="宋体" w:cs="Times New Roman"/>
      <w:sz w:val="28"/>
      <w:szCs w:val="20"/>
    </w:rPr>
  </w:style>
  <w:style w:type="paragraph" w:customStyle="1" w:styleId="134">
    <w:name w:val="正文文本缩进 22"/>
    <w:basedOn w:val="1"/>
    <w:link w:val="133"/>
    <w:qFormat/>
    <w:uiPriority w:val="0"/>
    <w:pPr>
      <w:adjustRightInd w:val="0"/>
      <w:spacing w:line="400" w:lineRule="atLeast"/>
      <w:ind w:firstLine="540"/>
      <w:textAlignment w:val="baseline"/>
    </w:pPr>
  </w:style>
  <w:style w:type="character" w:customStyle="1" w:styleId="135">
    <w:name w:val="尾注文本 Char"/>
    <w:basedOn w:val="90"/>
    <w:qFormat/>
    <w:uiPriority w:val="0"/>
    <w:rPr>
      <w:rFonts w:ascii="Calibri" w:hAnsi="Calibri" w:eastAsia="宋体" w:cs="Times New Roman"/>
      <w:sz w:val="28"/>
      <w:szCs w:val="20"/>
    </w:rPr>
  </w:style>
  <w:style w:type="character" w:customStyle="1" w:styleId="136">
    <w:name w:val="批注框文本 Char"/>
    <w:basedOn w:val="90"/>
    <w:qFormat/>
    <w:uiPriority w:val="99"/>
    <w:rPr>
      <w:rFonts w:ascii="Calibri" w:hAnsi="Calibri" w:eastAsia="宋体" w:cs="Times New Roman"/>
      <w:sz w:val="18"/>
      <w:szCs w:val="18"/>
    </w:rPr>
  </w:style>
  <w:style w:type="character" w:customStyle="1" w:styleId="137">
    <w:name w:val="签名 Char"/>
    <w:basedOn w:val="90"/>
    <w:qFormat/>
    <w:uiPriority w:val="0"/>
    <w:rPr>
      <w:rFonts w:ascii="Calibri" w:hAnsi="Calibri" w:eastAsia="宋体" w:cs="Times New Roman"/>
      <w:sz w:val="28"/>
      <w:szCs w:val="20"/>
    </w:rPr>
  </w:style>
  <w:style w:type="character" w:customStyle="1" w:styleId="138">
    <w:name w:val="副标题 Char"/>
    <w:basedOn w:val="90"/>
    <w:qFormat/>
    <w:uiPriority w:val="0"/>
    <w:rPr>
      <w:rFonts w:eastAsia="宋体" w:asciiTheme="majorHAnsi" w:hAnsiTheme="majorHAnsi" w:cstheme="majorBidi"/>
      <w:b/>
      <w:bCs/>
      <w:kern w:val="28"/>
      <w:sz w:val="32"/>
      <w:szCs w:val="32"/>
    </w:rPr>
  </w:style>
  <w:style w:type="character" w:customStyle="1" w:styleId="139">
    <w:name w:val="脚注文本 Char"/>
    <w:basedOn w:val="90"/>
    <w:qFormat/>
    <w:uiPriority w:val="0"/>
    <w:rPr>
      <w:rFonts w:ascii="Calibri" w:hAnsi="Calibri" w:eastAsia="宋体" w:cs="Times New Roman"/>
      <w:sz w:val="18"/>
      <w:szCs w:val="18"/>
    </w:rPr>
  </w:style>
  <w:style w:type="character" w:customStyle="1" w:styleId="140">
    <w:name w:val="正文文本缩进 3 Char"/>
    <w:basedOn w:val="90"/>
    <w:link w:val="141"/>
    <w:qFormat/>
    <w:uiPriority w:val="0"/>
    <w:rPr>
      <w:rFonts w:ascii="Calibri" w:hAnsi="Calibri" w:eastAsia="宋体" w:cs="Times New Roman"/>
      <w:sz w:val="16"/>
      <w:szCs w:val="16"/>
    </w:rPr>
  </w:style>
  <w:style w:type="paragraph" w:customStyle="1" w:styleId="141">
    <w:name w:val="正文文本缩进 31"/>
    <w:basedOn w:val="1"/>
    <w:link w:val="140"/>
    <w:qFormat/>
    <w:uiPriority w:val="0"/>
    <w:pPr>
      <w:spacing w:line="360" w:lineRule="auto"/>
      <w:ind w:firstLine="490" w:firstLineChars="204"/>
    </w:pPr>
    <w:rPr>
      <w:sz w:val="16"/>
      <w:szCs w:val="16"/>
    </w:rPr>
  </w:style>
  <w:style w:type="character" w:customStyle="1" w:styleId="142">
    <w:name w:val="正文文本 2 Char"/>
    <w:basedOn w:val="90"/>
    <w:link w:val="143"/>
    <w:qFormat/>
    <w:uiPriority w:val="0"/>
    <w:rPr>
      <w:rFonts w:ascii="Calibri" w:hAnsi="Calibri" w:eastAsia="宋体" w:cs="Times New Roman"/>
      <w:sz w:val="28"/>
      <w:szCs w:val="20"/>
    </w:rPr>
  </w:style>
  <w:style w:type="paragraph" w:customStyle="1" w:styleId="143">
    <w:name w:val="正文文本 22"/>
    <w:basedOn w:val="1"/>
    <w:link w:val="142"/>
    <w:qFormat/>
    <w:uiPriority w:val="0"/>
    <w:pPr>
      <w:adjustRightInd w:val="0"/>
      <w:ind w:firstLine="510"/>
      <w:jc w:val="left"/>
      <w:textAlignment w:val="baseline"/>
    </w:pPr>
  </w:style>
  <w:style w:type="character" w:customStyle="1" w:styleId="144">
    <w:name w:val="信息标题 Char"/>
    <w:basedOn w:val="90"/>
    <w:qFormat/>
    <w:uiPriority w:val="0"/>
    <w:rPr>
      <w:rFonts w:asciiTheme="majorHAnsi" w:hAnsiTheme="majorHAnsi" w:eastAsiaTheme="majorEastAsia" w:cstheme="majorBidi"/>
      <w:sz w:val="24"/>
      <w:szCs w:val="24"/>
      <w:shd w:val="pct20" w:color="auto" w:fill="auto"/>
    </w:rPr>
  </w:style>
  <w:style w:type="character" w:customStyle="1" w:styleId="145">
    <w:name w:val="HTML 预设格式 Char"/>
    <w:basedOn w:val="90"/>
    <w:link w:val="146"/>
    <w:qFormat/>
    <w:uiPriority w:val="0"/>
    <w:rPr>
      <w:rFonts w:ascii="Courier New" w:hAnsi="Courier New" w:eastAsia="宋体" w:cs="Courier New"/>
      <w:sz w:val="20"/>
      <w:szCs w:val="20"/>
    </w:rPr>
  </w:style>
  <w:style w:type="paragraph" w:customStyle="1" w:styleId="146">
    <w:name w:val="HTML 预设格式1"/>
    <w:basedOn w:val="1"/>
    <w:link w:val="145"/>
    <w:qFormat/>
    <w:uiPriority w:val="0"/>
    <w:rPr>
      <w:rFonts w:ascii="Courier New" w:hAnsi="Courier New" w:cs="Courier New"/>
      <w:sz w:val="20"/>
    </w:rPr>
  </w:style>
  <w:style w:type="character" w:customStyle="1" w:styleId="147">
    <w:name w:val="bemq"/>
    <w:qFormat/>
    <w:uiPriority w:val="0"/>
  </w:style>
  <w:style w:type="character" w:customStyle="1" w:styleId="148">
    <w:name w:val="标题 Char3"/>
    <w:qFormat/>
    <w:uiPriority w:val="0"/>
    <w:rPr>
      <w:b/>
      <w:sz w:val="24"/>
      <w:lang w:val="en-GB"/>
    </w:rPr>
  </w:style>
  <w:style w:type="character" w:customStyle="1" w:styleId="149">
    <w:name w:val="HTML 打字机1"/>
    <w:qFormat/>
    <w:uiPriority w:val="0"/>
    <w:rPr>
      <w:rFonts w:ascii="Courier New" w:hAnsi="Courier New"/>
      <w:sz w:val="20"/>
    </w:rPr>
  </w:style>
  <w:style w:type="character" w:customStyle="1" w:styleId="150">
    <w:name w:val="样式1 Char Char"/>
    <w:link w:val="99"/>
    <w:qFormat/>
    <w:uiPriority w:val="0"/>
    <w:rPr>
      <w:rFonts w:ascii="黑体"/>
      <w:b/>
      <w:sz w:val="32"/>
    </w:rPr>
  </w:style>
  <w:style w:type="character" w:customStyle="1" w:styleId="151">
    <w:name w:val="日期 Char1"/>
    <w:qFormat/>
    <w:uiPriority w:val="0"/>
    <w:rPr>
      <w:rFonts w:ascii="Times New Roman" w:hAnsi="Times New Roman" w:eastAsia="宋体"/>
    </w:rPr>
  </w:style>
  <w:style w:type="character" w:customStyle="1" w:styleId="152">
    <w:name w:val="标题 9 字符"/>
    <w:qFormat/>
    <w:uiPriority w:val="0"/>
    <w:rPr>
      <w:rFonts w:ascii="等线 Light" w:hAnsi="等线 Light" w:eastAsia="等线 Light"/>
      <w:kern w:val="2"/>
      <w:sz w:val="21"/>
    </w:rPr>
  </w:style>
  <w:style w:type="character" w:customStyle="1" w:styleId="153">
    <w:name w:val="标题 3 Char Char Char"/>
    <w:qFormat/>
    <w:uiPriority w:val="0"/>
    <w:rPr>
      <w:rFonts w:eastAsia="宋体"/>
      <w:b/>
      <w:kern w:val="2"/>
      <w:sz w:val="32"/>
      <w:lang w:val="en-US" w:eastAsia="zh-CN"/>
    </w:rPr>
  </w:style>
  <w:style w:type="character" w:customStyle="1" w:styleId="154">
    <w:name w:val="正文文本缩进 字符"/>
    <w:qFormat/>
    <w:uiPriority w:val="0"/>
    <w:rPr>
      <w:rFonts w:ascii="Times New Roman" w:hAnsi="Times New Roman" w:eastAsia="宋体"/>
      <w:kern w:val="2"/>
      <w:sz w:val="21"/>
    </w:rPr>
  </w:style>
  <w:style w:type="character" w:customStyle="1" w:styleId="155">
    <w:name w:val="style1 style6 style7"/>
    <w:qFormat/>
    <w:uiPriority w:val="0"/>
  </w:style>
  <w:style w:type="character" w:customStyle="1" w:styleId="156">
    <w:name w:val="h2 Char"/>
    <w:qFormat/>
    <w:uiPriority w:val="0"/>
    <w:rPr>
      <w:rFonts w:ascii="Arial" w:hAnsi="Arial" w:eastAsia="黑体"/>
      <w:color w:val="0000FF"/>
      <w:sz w:val="24"/>
      <w:lang w:val="en-US" w:eastAsia="zh-CN"/>
    </w:rPr>
  </w:style>
  <w:style w:type="character" w:customStyle="1" w:styleId="157">
    <w:name w:val="页脚 字符"/>
    <w:qFormat/>
    <w:uiPriority w:val="0"/>
    <w:rPr>
      <w:kern w:val="2"/>
      <w:sz w:val="18"/>
    </w:rPr>
  </w:style>
  <w:style w:type="character" w:customStyle="1" w:styleId="158">
    <w:name w:val="content3"/>
    <w:qFormat/>
    <w:uiPriority w:val="0"/>
    <w:rPr>
      <w:b/>
      <w:sz w:val="18"/>
    </w:rPr>
  </w:style>
  <w:style w:type="character" w:customStyle="1" w:styleId="159">
    <w:name w:val="street-address"/>
    <w:qFormat/>
    <w:uiPriority w:val="0"/>
  </w:style>
  <w:style w:type="character" w:customStyle="1" w:styleId="160">
    <w:name w:val="正文文本缩进 2 Char1"/>
    <w:qFormat/>
    <w:uiPriority w:val="0"/>
    <w:rPr>
      <w:rFonts w:ascii="黑体" w:eastAsia="黑体"/>
      <w:sz w:val="28"/>
    </w:rPr>
  </w:style>
  <w:style w:type="character" w:customStyle="1" w:styleId="161">
    <w:name w:val="标题 7 字符"/>
    <w:qFormat/>
    <w:uiPriority w:val="0"/>
    <w:rPr>
      <w:rFonts w:ascii="Times New Roman" w:hAnsi="Times New Roman" w:eastAsia="宋体"/>
      <w:b/>
      <w:kern w:val="2"/>
      <w:sz w:val="24"/>
    </w:rPr>
  </w:style>
  <w:style w:type="character" w:customStyle="1" w:styleId="162">
    <w:name w:val="正文（首行缩进两字） + Arial Char Char Char Char Char Char Char Char Char Char Char Char Char Char Char Char Char Char Char Char Char Char Char Char Char Char Char"/>
    <w:qFormat/>
    <w:uiPriority w:val="0"/>
    <w:rPr>
      <w:rFonts w:ascii="Arial" w:hAnsi="Arial" w:eastAsia="宋体"/>
      <w:sz w:val="24"/>
      <w:lang w:val="en-US" w:eastAsia="zh-CN"/>
    </w:rPr>
  </w:style>
  <w:style w:type="character" w:customStyle="1" w:styleId="163">
    <w:name w:val="内文 Char Char"/>
    <w:link w:val="164"/>
    <w:qFormat/>
    <w:uiPriority w:val="0"/>
    <w:rPr>
      <w:rFonts w:ascii="Arial" w:hAnsi="Arial" w:eastAsia="Times New Roman"/>
    </w:rPr>
  </w:style>
  <w:style w:type="paragraph" w:customStyle="1" w:styleId="164">
    <w:name w:val="内文"/>
    <w:link w:val="163"/>
    <w:qFormat/>
    <w:uiPriority w:val="0"/>
    <w:pPr>
      <w:adjustRightInd w:val="0"/>
      <w:snapToGrid w:val="0"/>
      <w:spacing w:line="400" w:lineRule="exact"/>
      <w:ind w:firstLine="200" w:firstLineChars="200"/>
      <w:jc w:val="both"/>
    </w:pPr>
    <w:rPr>
      <w:rFonts w:ascii="Arial" w:hAnsi="Arial" w:eastAsia="Times New Roman" w:cstheme="minorBidi"/>
      <w:kern w:val="2"/>
      <w:sz w:val="21"/>
      <w:szCs w:val="22"/>
      <w:lang w:val="en-US" w:eastAsia="zh-CN" w:bidi="ar-SA"/>
    </w:rPr>
  </w:style>
  <w:style w:type="character" w:customStyle="1" w:styleId="165">
    <w:name w:val="font14news1"/>
    <w:qFormat/>
    <w:uiPriority w:val="0"/>
    <w:rPr>
      <w:color w:val="333333"/>
      <w:sz w:val="21"/>
    </w:rPr>
  </w:style>
  <w:style w:type="character" w:customStyle="1" w:styleId="166">
    <w:name w:val="标题 6 Char1"/>
    <w:qFormat/>
    <w:uiPriority w:val="0"/>
    <w:rPr>
      <w:rFonts w:ascii="Arial" w:hAnsi="Arial" w:eastAsia="黑体"/>
      <w:b/>
      <w:sz w:val="24"/>
      <w:lang w:val="en-US" w:eastAsia="zh-CN"/>
    </w:rPr>
  </w:style>
  <w:style w:type="character" w:customStyle="1" w:styleId="167">
    <w:name w:val="HTML 变量1"/>
    <w:qFormat/>
    <w:uiPriority w:val="0"/>
    <w:rPr>
      <w:i/>
    </w:rPr>
  </w:style>
  <w:style w:type="character" w:customStyle="1" w:styleId="168">
    <w:name w:val="标题 2 Char1"/>
    <w:qFormat/>
    <w:uiPriority w:val="0"/>
    <w:rPr>
      <w:rFonts w:ascii="Arial" w:hAnsi="Arial" w:eastAsia="黑体"/>
      <w:b/>
      <w:sz w:val="32"/>
      <w:lang w:val="en-US" w:eastAsia="zh-CN"/>
    </w:rPr>
  </w:style>
  <w:style w:type="character" w:customStyle="1" w:styleId="169">
    <w:name w:val="样式10 Char"/>
    <w:link w:val="170"/>
    <w:qFormat/>
    <w:uiPriority w:val="0"/>
    <w:rPr>
      <w:b/>
      <w:sz w:val="24"/>
    </w:rPr>
  </w:style>
  <w:style w:type="paragraph" w:customStyle="1" w:styleId="170">
    <w:name w:val="样式10"/>
    <w:basedOn w:val="1"/>
    <w:link w:val="169"/>
    <w:qFormat/>
    <w:uiPriority w:val="0"/>
    <w:pPr>
      <w:spacing w:line="360" w:lineRule="auto"/>
    </w:pPr>
    <w:rPr>
      <w:rFonts w:asciiTheme="minorHAnsi" w:hAnsiTheme="minorHAnsi" w:eastAsiaTheme="minorEastAsia" w:cstheme="minorBidi"/>
      <w:b/>
      <w:sz w:val="24"/>
      <w:szCs w:val="22"/>
    </w:rPr>
  </w:style>
  <w:style w:type="character" w:customStyle="1" w:styleId="171">
    <w:name w:val="注释标题 字符"/>
    <w:qFormat/>
    <w:uiPriority w:val="0"/>
    <w:rPr>
      <w:kern w:val="2"/>
      <w:sz w:val="28"/>
    </w:rPr>
  </w:style>
  <w:style w:type="character" w:customStyle="1" w:styleId="172">
    <w:name w:val="标题 1 Char2"/>
    <w:qFormat/>
    <w:uiPriority w:val="0"/>
    <w:rPr>
      <w:rFonts w:ascii="Arial Unicode MS" w:hAnsi="Arial Unicode MS" w:eastAsia="Arial Unicode MS"/>
      <w:b/>
      <w:kern w:val="36"/>
      <w:sz w:val="48"/>
      <w:lang w:val="en-US" w:eastAsia="zh-CN"/>
    </w:rPr>
  </w:style>
  <w:style w:type="character" w:customStyle="1" w:styleId="173">
    <w:name w:val="Comment Text Char"/>
    <w:qFormat/>
    <w:uiPriority w:val="0"/>
    <w:rPr>
      <w:rFonts w:ascii="Times New Roman" w:hAnsi="Times New Roman" w:eastAsia="宋体"/>
      <w:sz w:val="24"/>
    </w:rPr>
  </w:style>
  <w:style w:type="character" w:customStyle="1" w:styleId="174">
    <w:name w:val="纯文本 字符"/>
    <w:qFormat/>
    <w:uiPriority w:val="0"/>
    <w:rPr>
      <w:rFonts w:ascii="宋体" w:hAnsi="Courier New" w:eastAsia="宋体"/>
      <w:kern w:val="2"/>
      <w:sz w:val="21"/>
    </w:rPr>
  </w:style>
  <w:style w:type="character" w:customStyle="1" w:styleId="175">
    <w:name w:val="页脚 Char2"/>
    <w:qFormat/>
    <w:uiPriority w:val="0"/>
    <w:rPr>
      <w:kern w:val="2"/>
      <w:sz w:val="18"/>
    </w:rPr>
  </w:style>
  <w:style w:type="character" w:customStyle="1" w:styleId="176">
    <w:name w:val="个人撰写风格"/>
    <w:qFormat/>
    <w:uiPriority w:val="0"/>
    <w:rPr>
      <w:rFonts w:ascii="Arial" w:hAnsi="Arial" w:eastAsia="宋体"/>
      <w:color w:val="auto"/>
      <w:sz w:val="20"/>
    </w:rPr>
  </w:style>
  <w:style w:type="character" w:customStyle="1" w:styleId="177">
    <w:name w:val="正文文本缩进 Char1"/>
    <w:qFormat/>
    <w:uiPriority w:val="0"/>
    <w:rPr>
      <w:rFonts w:ascii="宋体" w:hAnsi="宋体" w:eastAsia="宋体"/>
      <w:spacing w:val="-6"/>
      <w:kern w:val="2"/>
      <w:sz w:val="21"/>
      <w:lang w:val="en-US" w:eastAsia="zh-CN"/>
    </w:rPr>
  </w:style>
  <w:style w:type="character" w:customStyle="1" w:styleId="178">
    <w:name w:val="Char Char6"/>
    <w:qFormat/>
    <w:uiPriority w:val="0"/>
    <w:rPr>
      <w:rFonts w:ascii="宋体" w:hAnsi="Courier New" w:eastAsia="宋体"/>
      <w:kern w:val="2"/>
      <w:sz w:val="21"/>
      <w:lang w:val="en-US" w:eastAsia="zh-CN"/>
    </w:rPr>
  </w:style>
  <w:style w:type="character" w:customStyle="1" w:styleId="179">
    <w:name w:val="Char Char"/>
    <w:link w:val="180"/>
    <w:qFormat/>
    <w:uiPriority w:val="0"/>
    <w:rPr>
      <w:rFonts w:eastAsia="仿宋_GB2312"/>
      <w:sz w:val="28"/>
    </w:rPr>
  </w:style>
  <w:style w:type="paragraph" w:customStyle="1" w:styleId="180">
    <w:name w:val="Char12"/>
    <w:basedOn w:val="1"/>
    <w:link w:val="179"/>
    <w:qFormat/>
    <w:uiPriority w:val="0"/>
    <w:rPr>
      <w:rFonts w:eastAsia="仿宋_GB2312" w:asciiTheme="minorHAnsi" w:hAnsiTheme="minorHAnsi" w:cstheme="minorBidi"/>
      <w:szCs w:val="22"/>
    </w:rPr>
  </w:style>
  <w:style w:type="character" w:customStyle="1" w:styleId="181">
    <w:name w:val="Plain Text Char"/>
    <w:qFormat/>
    <w:uiPriority w:val="0"/>
    <w:rPr>
      <w:rFonts w:ascii="宋体" w:hAnsi="Courier New" w:eastAsia="宋体"/>
      <w:kern w:val="2"/>
      <w:sz w:val="21"/>
      <w:lang w:val="en-US" w:eastAsia="zh-CN"/>
    </w:rPr>
  </w:style>
  <w:style w:type="character" w:customStyle="1" w:styleId="182">
    <w:name w:val="zbggmain"/>
    <w:qFormat/>
    <w:uiPriority w:val="0"/>
  </w:style>
  <w:style w:type="character" w:customStyle="1" w:styleId="183">
    <w:name w:val="标题 2 Char2"/>
    <w:link w:val="7"/>
    <w:qFormat/>
    <w:uiPriority w:val="0"/>
    <w:rPr>
      <w:rFonts w:ascii="Arial" w:hAnsi="Arial" w:eastAsia="黑体" w:cs="Times New Roman"/>
      <w:b/>
      <w:szCs w:val="20"/>
    </w:rPr>
  </w:style>
  <w:style w:type="character" w:customStyle="1" w:styleId="184">
    <w:name w:val="8953"/>
    <w:qFormat/>
    <w:uiPriority w:val="0"/>
  </w:style>
  <w:style w:type="character" w:customStyle="1" w:styleId="185">
    <w:name w:val="H1 Char"/>
    <w:qFormat/>
    <w:uiPriority w:val="0"/>
    <w:rPr>
      <w:rFonts w:ascii="Arial Unicode MS" w:hAnsi="Arial Unicode MS" w:eastAsia="Arial Unicode MS"/>
      <w:b/>
      <w:kern w:val="36"/>
      <w:sz w:val="48"/>
      <w:lang w:val="en-US" w:eastAsia="zh-CN"/>
    </w:rPr>
  </w:style>
  <w:style w:type="character" w:customStyle="1" w:styleId="186">
    <w:name w:val="样式 标题 3Heading 3 Char1Heading 3 Char Char列表编号33 bullet2ERM... Char"/>
    <w:link w:val="187"/>
    <w:qFormat/>
    <w:uiPriority w:val="0"/>
    <w:rPr>
      <w:b/>
    </w:rPr>
  </w:style>
  <w:style w:type="paragraph" w:customStyle="1" w:styleId="187">
    <w:name w:val="样式 标题 3Heading 3 Char1Heading 3 Char Char列表编号33 bullet2ERM..."/>
    <w:basedOn w:val="8"/>
    <w:link w:val="186"/>
    <w:qFormat/>
    <w:uiPriority w:val="0"/>
    <w:pPr>
      <w:widowControl w:val="0"/>
      <w:tabs>
        <w:tab w:val="clear" w:pos="720"/>
      </w:tabs>
      <w:adjustRightInd w:val="0"/>
      <w:snapToGrid w:val="0"/>
      <w:spacing w:before="0" w:after="0"/>
      <w:ind w:left="0" w:firstLine="0"/>
      <w:jc w:val="both"/>
    </w:pPr>
    <w:rPr>
      <w:rFonts w:asciiTheme="minorHAnsi" w:hAnsiTheme="minorHAnsi" w:eastAsiaTheme="minorEastAsia" w:cstheme="minorBidi"/>
      <w:kern w:val="2"/>
      <w:sz w:val="21"/>
      <w:szCs w:val="22"/>
    </w:rPr>
  </w:style>
  <w:style w:type="character" w:customStyle="1" w:styleId="188">
    <w:name w:val="Char Char12"/>
    <w:qFormat/>
    <w:uiPriority w:val="0"/>
    <w:rPr>
      <w:rFonts w:ascii="Arial" w:hAnsi="Arial" w:eastAsia="黑体"/>
      <w:b/>
      <w:sz w:val="24"/>
    </w:rPr>
  </w:style>
  <w:style w:type="character" w:customStyle="1" w:styleId="189">
    <w:name w:val="页眉 Char1"/>
    <w:qFormat/>
    <w:uiPriority w:val="0"/>
    <w:rPr>
      <w:rFonts w:eastAsia="宋体"/>
      <w:kern w:val="2"/>
      <w:sz w:val="18"/>
      <w:lang w:val="en-US" w:eastAsia="zh-CN"/>
    </w:rPr>
  </w:style>
  <w:style w:type="character" w:customStyle="1" w:styleId="190">
    <w:name w:val="正文文本缩进 2 字符"/>
    <w:qFormat/>
    <w:uiPriority w:val="0"/>
    <w:rPr>
      <w:rFonts w:ascii="Times New Roman" w:hAnsi="Times New Roman" w:eastAsia="宋体"/>
      <w:kern w:val="2"/>
      <w:sz w:val="21"/>
    </w:rPr>
  </w:style>
  <w:style w:type="character" w:customStyle="1" w:styleId="191">
    <w:name w:val="页眉 Char2"/>
    <w:qFormat/>
    <w:uiPriority w:val="0"/>
    <w:rPr>
      <w:kern w:val="2"/>
      <w:sz w:val="18"/>
    </w:rPr>
  </w:style>
  <w:style w:type="character" w:customStyle="1" w:styleId="192">
    <w:name w:val="批注主题 Char1"/>
    <w:qFormat/>
    <w:uiPriority w:val="0"/>
    <w:rPr>
      <w:b/>
    </w:rPr>
  </w:style>
  <w:style w:type="character" w:customStyle="1" w:styleId="193">
    <w:name w:val="qclx"/>
    <w:qFormat/>
    <w:uiPriority w:val="0"/>
  </w:style>
  <w:style w:type="character" w:customStyle="1" w:styleId="194">
    <w:name w:val="even Char Char"/>
    <w:qFormat/>
    <w:uiPriority w:val="0"/>
    <w:rPr>
      <w:rFonts w:ascii="Times New Roman" w:hAnsi="Times New Roman" w:eastAsia="宋体"/>
      <w:sz w:val="18"/>
    </w:rPr>
  </w:style>
  <w:style w:type="character" w:customStyle="1" w:styleId="195">
    <w:name w:val="正文文本缩进 3 Char1"/>
    <w:qFormat/>
    <w:uiPriority w:val="0"/>
    <w:rPr>
      <w:sz w:val="28"/>
    </w:rPr>
  </w:style>
  <w:style w:type="character" w:customStyle="1" w:styleId="196">
    <w:name w:val="信息标题 字符"/>
    <w:qFormat/>
    <w:uiPriority w:val="0"/>
    <w:rPr>
      <w:rFonts w:ascii="等线 Light" w:hAnsi="等线 Light" w:eastAsia="等线 Light"/>
      <w:kern w:val="2"/>
      <w:sz w:val="24"/>
      <w:shd w:val="pct20" w:color="auto" w:fill="auto"/>
    </w:rPr>
  </w:style>
  <w:style w:type="character" w:customStyle="1" w:styleId="197">
    <w:name w:val="标题 5 字符"/>
    <w:qFormat/>
    <w:uiPriority w:val="0"/>
    <w:rPr>
      <w:rFonts w:ascii="Times New Roman" w:hAnsi="Times New Roman" w:eastAsia="宋体"/>
      <w:b/>
      <w:kern w:val="2"/>
      <w:sz w:val="28"/>
    </w:rPr>
  </w:style>
  <w:style w:type="character" w:customStyle="1" w:styleId="198">
    <w:name w:val="HTML 预设格式 Char2"/>
    <w:qFormat/>
    <w:uiPriority w:val="0"/>
    <w:rPr>
      <w:rFonts w:ascii="黑体" w:hAnsi="Courier New" w:eastAsia="黑体"/>
    </w:rPr>
  </w:style>
  <w:style w:type="character" w:customStyle="1" w:styleId="199">
    <w:name w:val="p7"/>
    <w:qFormat/>
    <w:uiPriority w:val="0"/>
  </w:style>
  <w:style w:type="character" w:customStyle="1" w:styleId="200">
    <w:name w:val="签名 字符"/>
    <w:qFormat/>
    <w:uiPriority w:val="0"/>
    <w:rPr>
      <w:kern w:val="2"/>
      <w:sz w:val="28"/>
    </w:rPr>
  </w:style>
  <w:style w:type="character" w:customStyle="1" w:styleId="201">
    <w:name w:val="批注文字 Char1"/>
    <w:qFormat/>
    <w:uiPriority w:val="0"/>
    <w:rPr>
      <w:rFonts w:eastAsia="宋体"/>
      <w:kern w:val="2"/>
      <w:sz w:val="21"/>
      <w:lang w:val="en-US" w:eastAsia="zh-CN"/>
    </w:rPr>
  </w:style>
  <w:style w:type="character" w:customStyle="1" w:styleId="202">
    <w:name w:val="文档结构图 Char1"/>
    <w:qFormat/>
    <w:uiPriority w:val="0"/>
    <w:rPr>
      <w:rFonts w:eastAsia="宋体"/>
      <w:kern w:val="2"/>
      <w:sz w:val="21"/>
      <w:lang w:val="en-US" w:eastAsia="zh-CN"/>
    </w:rPr>
  </w:style>
  <w:style w:type="character" w:customStyle="1" w:styleId="203">
    <w:name w:val="纯文本 Char1"/>
    <w:qFormat/>
    <w:uiPriority w:val="0"/>
    <w:rPr>
      <w:rFonts w:ascii="宋体" w:hAnsi="Courier New" w:eastAsia="宋体"/>
      <w:kern w:val="2"/>
      <w:sz w:val="21"/>
    </w:rPr>
  </w:style>
  <w:style w:type="character" w:customStyle="1" w:styleId="204">
    <w:name w:val="无间隔 Char"/>
    <w:link w:val="205"/>
    <w:qFormat/>
    <w:locked/>
    <w:uiPriority w:val="0"/>
    <w:rPr>
      <w:rFonts w:ascii="宋体" w:hAnsi="宋体"/>
      <w:szCs w:val="24"/>
    </w:rPr>
  </w:style>
  <w:style w:type="paragraph" w:customStyle="1" w:styleId="205">
    <w:name w:val="无间隔1"/>
    <w:basedOn w:val="1"/>
    <w:link w:val="204"/>
    <w:qFormat/>
    <w:uiPriority w:val="0"/>
    <w:rPr>
      <w:rFonts w:ascii="宋体" w:hAnsi="宋体" w:eastAsiaTheme="minorEastAsia" w:cstheme="minorBidi"/>
      <w:sz w:val="21"/>
      <w:szCs w:val="24"/>
    </w:rPr>
  </w:style>
  <w:style w:type="character" w:customStyle="1" w:styleId="206">
    <w:name w:val="HTML 引文1"/>
    <w:qFormat/>
    <w:uiPriority w:val="0"/>
    <w:rPr>
      <w:i/>
    </w:rPr>
  </w:style>
  <w:style w:type="character" w:customStyle="1" w:styleId="207">
    <w:name w:val="Char Char13"/>
    <w:qFormat/>
    <w:uiPriority w:val="0"/>
    <w:rPr>
      <w:rFonts w:ascii="Times New Roman" w:hAnsi="Times New Roman" w:eastAsia="宋体"/>
      <w:b/>
      <w:sz w:val="28"/>
    </w:rPr>
  </w:style>
  <w:style w:type="character" w:customStyle="1" w:styleId="208">
    <w:name w:val="brown1"/>
    <w:qFormat/>
    <w:uiPriority w:val="0"/>
    <w:rPr>
      <w:color w:val="80786A"/>
    </w:rPr>
  </w:style>
  <w:style w:type="character" w:customStyle="1" w:styleId="209">
    <w:name w:val="正文首行缩进 2 字符"/>
    <w:basedOn w:val="210"/>
    <w:qFormat/>
    <w:uiPriority w:val="0"/>
    <w:rPr>
      <w:rFonts w:ascii="黑体" w:eastAsia="黑体"/>
      <w:sz w:val="28"/>
    </w:rPr>
  </w:style>
  <w:style w:type="character" w:customStyle="1" w:styleId="210">
    <w:name w:val="正文文本缩进 Char2"/>
    <w:qFormat/>
    <w:uiPriority w:val="0"/>
    <w:rPr>
      <w:rFonts w:ascii="黑体" w:eastAsia="黑体"/>
      <w:sz w:val="28"/>
    </w:rPr>
  </w:style>
  <w:style w:type="character" w:customStyle="1" w:styleId="211">
    <w:name w:val="正文非缩进 Char"/>
    <w:qFormat/>
    <w:uiPriority w:val="0"/>
    <w:rPr>
      <w:rFonts w:ascii="宋体" w:eastAsia="宋体"/>
      <w:snapToGrid w:val="0"/>
      <w:color w:val="000000"/>
      <w:kern w:val="28"/>
      <w:sz w:val="28"/>
      <w:lang w:val="en-US" w:eastAsia="zh-CN"/>
    </w:rPr>
  </w:style>
  <w:style w:type="character" w:customStyle="1" w:styleId="212">
    <w:name w:val="标题 1 1 Char"/>
    <w:qFormat/>
    <w:uiPriority w:val="0"/>
    <w:rPr>
      <w:rFonts w:ascii="Times New Roman" w:hAnsi="Times New Roman" w:eastAsia="宋体"/>
      <w:b/>
      <w:kern w:val="44"/>
      <w:sz w:val="44"/>
    </w:rPr>
  </w:style>
  <w:style w:type="character" w:customStyle="1" w:styleId="213">
    <w:name w:val="z-窗体底端 Char"/>
    <w:qFormat/>
    <w:uiPriority w:val="0"/>
    <w:rPr>
      <w:rFonts w:ascii="Arial" w:hAnsi="Arial"/>
      <w:vanish/>
      <w:sz w:val="16"/>
    </w:rPr>
  </w:style>
  <w:style w:type="paragraph" w:customStyle="1" w:styleId="214">
    <w:name w:val="z-窗体底端1"/>
    <w:basedOn w:val="1"/>
    <w:next w:val="1"/>
    <w:link w:val="381"/>
    <w:qFormat/>
    <w:uiPriority w:val="0"/>
    <w:pPr>
      <w:pBdr>
        <w:top w:val="single" w:color="auto" w:sz="6" w:space="1"/>
      </w:pBdr>
      <w:jc w:val="center"/>
    </w:pPr>
    <w:rPr>
      <w:rFonts w:ascii="Arial" w:hAnsi="Arial" w:eastAsiaTheme="minorEastAsia" w:cstheme="minorBidi"/>
      <w:vanish/>
      <w:sz w:val="16"/>
      <w:szCs w:val="22"/>
    </w:rPr>
  </w:style>
  <w:style w:type="character" w:customStyle="1" w:styleId="215">
    <w:name w:val="font161"/>
    <w:qFormat/>
    <w:uiPriority w:val="0"/>
    <w:rPr>
      <w:b/>
      <w:sz w:val="32"/>
    </w:rPr>
  </w:style>
  <w:style w:type="character" w:customStyle="1" w:styleId="216">
    <w:name w:val="脚注文本 字符"/>
    <w:qFormat/>
    <w:uiPriority w:val="0"/>
    <w:rPr>
      <w:kern w:val="2"/>
      <w:sz w:val="18"/>
    </w:rPr>
  </w:style>
  <w:style w:type="character" w:customStyle="1" w:styleId="217">
    <w:name w:val="HTML 代码1"/>
    <w:qFormat/>
    <w:uiPriority w:val="0"/>
    <w:rPr>
      <w:rFonts w:ascii="Courier New" w:hAnsi="Courier New"/>
      <w:sz w:val="20"/>
    </w:rPr>
  </w:style>
  <w:style w:type="character" w:customStyle="1" w:styleId="218">
    <w:name w:val="标题 Char2"/>
    <w:qFormat/>
    <w:uiPriority w:val="0"/>
    <w:rPr>
      <w:rFonts w:ascii="Arial" w:hAnsi="Arial" w:eastAsia="宋体"/>
      <w:b/>
      <w:sz w:val="32"/>
      <w:lang w:val="en-US" w:eastAsia="zh-CN"/>
    </w:rPr>
  </w:style>
  <w:style w:type="character" w:customStyle="1" w:styleId="219">
    <w:name w:val="正文文本 Char2"/>
    <w:qFormat/>
    <w:uiPriority w:val="0"/>
    <w:rPr>
      <w:sz w:val="24"/>
    </w:rPr>
  </w:style>
  <w:style w:type="character" w:customStyle="1" w:styleId="220">
    <w:name w:val="lemmatitleh11"/>
    <w:qFormat/>
    <w:uiPriority w:val="0"/>
  </w:style>
  <w:style w:type="character" w:customStyle="1" w:styleId="221">
    <w:name w:val="Char Char16"/>
    <w:qFormat/>
    <w:uiPriority w:val="0"/>
    <w:rPr>
      <w:kern w:val="2"/>
      <w:sz w:val="18"/>
    </w:rPr>
  </w:style>
  <w:style w:type="character" w:customStyle="1" w:styleId="222">
    <w:name w:val="正文首行缩进 Char1"/>
    <w:qFormat/>
    <w:uiPriority w:val="0"/>
    <w:rPr>
      <w:rFonts w:ascii="等线" w:hAnsi="等线" w:eastAsia="等线"/>
    </w:rPr>
  </w:style>
  <w:style w:type="character" w:customStyle="1" w:styleId="223">
    <w:name w:val="Char Char17"/>
    <w:qFormat/>
    <w:uiPriority w:val="0"/>
    <w:rPr>
      <w:kern w:val="2"/>
      <w:sz w:val="18"/>
    </w:rPr>
  </w:style>
  <w:style w:type="character" w:customStyle="1" w:styleId="224">
    <w:name w:val="font31"/>
    <w:qFormat/>
    <w:uiPriority w:val="0"/>
    <w:rPr>
      <w:rFonts w:hint="eastAsia" w:ascii="宋体" w:hAnsi="宋体" w:eastAsia="宋体"/>
      <w:color w:val="0000FF"/>
      <w:sz w:val="21"/>
      <w:u w:val="none"/>
      <w:vertAlign w:val="superscript"/>
    </w:rPr>
  </w:style>
  <w:style w:type="character" w:customStyle="1" w:styleId="225">
    <w:name w:val="标题 4 Char1"/>
    <w:qFormat/>
    <w:uiPriority w:val="0"/>
    <w:rPr>
      <w:rFonts w:ascii="Arial" w:hAnsi="Arial" w:eastAsia="黑体"/>
      <w:b/>
      <w:kern w:val="2"/>
      <w:sz w:val="28"/>
      <w:lang w:val="en-US" w:eastAsia="zh-CN"/>
    </w:rPr>
  </w:style>
  <w:style w:type="character" w:customStyle="1" w:styleId="226">
    <w:name w:val="p141"/>
    <w:qFormat/>
    <w:uiPriority w:val="0"/>
    <w:rPr>
      <w:sz w:val="21"/>
      <w:szCs w:val="21"/>
    </w:rPr>
  </w:style>
  <w:style w:type="character" w:customStyle="1" w:styleId="227">
    <w:name w:val="批注引用1"/>
    <w:qFormat/>
    <w:uiPriority w:val="0"/>
    <w:rPr>
      <w:sz w:val="21"/>
    </w:rPr>
  </w:style>
  <w:style w:type="character" w:customStyle="1" w:styleId="228">
    <w:name w:val="发布"/>
    <w:qFormat/>
    <w:uiPriority w:val="0"/>
    <w:rPr>
      <w:rFonts w:ascii="黑体" w:eastAsia="黑体"/>
      <w:spacing w:val="22"/>
      <w:w w:val="100"/>
      <w:position w:val="3"/>
      <w:sz w:val="28"/>
    </w:rPr>
  </w:style>
  <w:style w:type="character" w:customStyle="1" w:styleId="229">
    <w:name w:val="j23x"/>
    <w:qFormat/>
    <w:uiPriority w:val="0"/>
  </w:style>
  <w:style w:type="character" w:customStyle="1" w:styleId="230">
    <w:name w:val="纯文本 Char2"/>
    <w:qFormat/>
    <w:uiPriority w:val="0"/>
    <w:rPr>
      <w:rFonts w:ascii="宋体" w:hAnsi="Courier New" w:eastAsia="宋体"/>
      <w:kern w:val="2"/>
      <w:sz w:val="21"/>
      <w:lang w:val="en-US" w:eastAsia="zh-CN"/>
    </w:rPr>
  </w:style>
  <w:style w:type="character" w:customStyle="1" w:styleId="231">
    <w:name w:val="567r"/>
    <w:qFormat/>
    <w:uiPriority w:val="0"/>
  </w:style>
  <w:style w:type="character" w:customStyle="1" w:styleId="232">
    <w:name w:val="文档结构图 字符"/>
    <w:qFormat/>
    <w:uiPriority w:val="0"/>
    <w:rPr>
      <w:rFonts w:ascii="Microsoft YaHei UI" w:hAnsi="Times New Roman" w:eastAsia="Microsoft YaHei UI"/>
      <w:kern w:val="2"/>
      <w:sz w:val="18"/>
    </w:rPr>
  </w:style>
  <w:style w:type="character" w:customStyle="1" w:styleId="233">
    <w:name w:val="正文文本 2 字符"/>
    <w:qFormat/>
    <w:uiPriority w:val="0"/>
    <w:rPr>
      <w:kern w:val="2"/>
      <w:sz w:val="28"/>
    </w:rPr>
  </w:style>
  <w:style w:type="character" w:customStyle="1" w:styleId="234">
    <w:name w:val="font01"/>
    <w:basedOn w:val="90"/>
    <w:qFormat/>
    <w:uiPriority w:val="0"/>
    <w:rPr>
      <w:rFonts w:hint="eastAsia" w:ascii="宋体" w:hAnsi="宋体" w:eastAsia="宋体" w:cs="宋体"/>
      <w:color w:val="000000"/>
      <w:sz w:val="22"/>
      <w:szCs w:val="22"/>
      <w:u w:val="none"/>
    </w:rPr>
  </w:style>
  <w:style w:type="character" w:customStyle="1" w:styleId="235">
    <w:name w:val="Title Char"/>
    <w:qFormat/>
    <w:uiPriority w:val="0"/>
    <w:rPr>
      <w:rFonts w:ascii="Arial" w:hAnsi="Arial" w:eastAsia="宋体"/>
      <w:b/>
      <w:kern w:val="2"/>
      <w:sz w:val="32"/>
      <w:lang w:val="en-US" w:eastAsia="zh-CN"/>
    </w:rPr>
  </w:style>
  <w:style w:type="character" w:customStyle="1" w:styleId="236">
    <w:name w:val="宏文本 字符"/>
    <w:qFormat/>
    <w:uiPriority w:val="0"/>
    <w:rPr>
      <w:rFonts w:ascii="Courier New" w:hAnsi="Courier New"/>
      <w:kern w:val="2"/>
      <w:sz w:val="24"/>
    </w:rPr>
  </w:style>
  <w:style w:type="character" w:customStyle="1" w:styleId="237">
    <w:name w:val="Char Char22"/>
    <w:qFormat/>
    <w:uiPriority w:val="0"/>
    <w:rPr>
      <w:rFonts w:ascii="Arial" w:hAnsi="Arial" w:eastAsia="黑体"/>
      <w:b/>
      <w:kern w:val="2"/>
      <w:sz w:val="32"/>
      <w:lang w:val="en-US" w:eastAsia="zh-CN"/>
    </w:rPr>
  </w:style>
  <w:style w:type="character" w:customStyle="1" w:styleId="238">
    <w:name w:val="尾注文本 字符"/>
    <w:qFormat/>
    <w:uiPriority w:val="0"/>
    <w:rPr>
      <w:kern w:val="2"/>
      <w:sz w:val="28"/>
    </w:rPr>
  </w:style>
  <w:style w:type="character" w:customStyle="1" w:styleId="239">
    <w:name w:val="副标题 Char1"/>
    <w:qFormat/>
    <w:uiPriority w:val="0"/>
    <w:rPr>
      <w:rFonts w:ascii="Calibri Light" w:hAnsi="Calibri Light" w:eastAsia="宋体"/>
      <w:b/>
      <w:kern w:val="28"/>
      <w:sz w:val="32"/>
    </w:rPr>
  </w:style>
  <w:style w:type="character" w:customStyle="1" w:styleId="240">
    <w:name w:val="正文文本 Char1"/>
    <w:qFormat/>
    <w:uiPriority w:val="0"/>
    <w:rPr>
      <w:rFonts w:ascii="宋体" w:hAnsi="宋体" w:eastAsia="宋体"/>
      <w:spacing w:val="-6"/>
      <w:kern w:val="2"/>
      <w:sz w:val="21"/>
      <w:lang w:val="en-US" w:eastAsia="zh-CN"/>
    </w:rPr>
  </w:style>
  <w:style w:type="character" w:customStyle="1" w:styleId="241">
    <w:name w:val="HTML 缩写1"/>
    <w:qFormat/>
    <w:uiPriority w:val="0"/>
  </w:style>
  <w:style w:type="character" w:customStyle="1" w:styleId="242">
    <w:name w:val="标题 1 Char1"/>
    <w:qFormat/>
    <w:uiPriority w:val="0"/>
    <w:rPr>
      <w:rFonts w:eastAsia="宋体"/>
      <w:b/>
      <w:kern w:val="44"/>
      <w:sz w:val="44"/>
      <w:lang w:val="en-US" w:eastAsia="zh-CN"/>
    </w:rPr>
  </w:style>
  <w:style w:type="character" w:customStyle="1" w:styleId="243">
    <w:name w:val="15"/>
    <w:qFormat/>
    <w:uiPriority w:val="0"/>
  </w:style>
  <w:style w:type="character" w:customStyle="1" w:styleId="244">
    <w:name w:val="样式 正文文本 Char"/>
    <w:link w:val="245"/>
    <w:qFormat/>
    <w:uiPriority w:val="0"/>
    <w:rPr>
      <w:rFonts w:ascii="Arial" w:hAnsi="Arial"/>
      <w:color w:val="000000"/>
    </w:rPr>
  </w:style>
  <w:style w:type="paragraph" w:customStyle="1" w:styleId="245">
    <w:name w:val="样式 正文文本"/>
    <w:basedOn w:val="1"/>
    <w:link w:val="244"/>
    <w:qFormat/>
    <w:uiPriority w:val="0"/>
    <w:pPr>
      <w:adjustRightInd w:val="0"/>
      <w:snapToGrid w:val="0"/>
      <w:spacing w:line="400" w:lineRule="exact"/>
      <w:ind w:firstLine="200" w:firstLineChars="200"/>
    </w:pPr>
    <w:rPr>
      <w:rFonts w:ascii="Arial" w:hAnsi="Arial" w:eastAsiaTheme="minorEastAsia" w:cstheme="minorBidi"/>
      <w:color w:val="000000"/>
      <w:sz w:val="21"/>
      <w:szCs w:val="22"/>
    </w:rPr>
  </w:style>
  <w:style w:type="character" w:customStyle="1" w:styleId="246">
    <w:name w:val="正文格式 Char"/>
    <w:link w:val="247"/>
    <w:qFormat/>
    <w:uiPriority w:val="0"/>
    <w:rPr>
      <w:rFonts w:ascii="Times New Roman" w:hAnsi="Times New Roman"/>
      <w:sz w:val="24"/>
    </w:rPr>
  </w:style>
  <w:style w:type="paragraph" w:customStyle="1" w:styleId="247">
    <w:name w:val="正文格式"/>
    <w:basedOn w:val="1"/>
    <w:link w:val="246"/>
    <w:qFormat/>
    <w:uiPriority w:val="0"/>
    <w:pPr>
      <w:widowControl/>
      <w:adjustRightInd w:val="0"/>
      <w:spacing w:line="480" w:lineRule="atLeast"/>
      <w:ind w:firstLine="482"/>
      <w:textAlignment w:val="baseline"/>
    </w:pPr>
    <w:rPr>
      <w:rFonts w:ascii="Times New Roman" w:hAnsi="Times New Roman" w:eastAsiaTheme="minorEastAsia" w:cstheme="minorBidi"/>
      <w:sz w:val="24"/>
      <w:szCs w:val="22"/>
    </w:rPr>
  </w:style>
  <w:style w:type="character" w:customStyle="1" w:styleId="248">
    <w:name w:val="bulletintext1"/>
    <w:qFormat/>
    <w:uiPriority w:val="0"/>
    <w:rPr>
      <w:color w:val="000000"/>
      <w:sz w:val="18"/>
    </w:rPr>
  </w:style>
  <w:style w:type="character" w:customStyle="1" w:styleId="249">
    <w:name w:val="fonts11"/>
    <w:qFormat/>
    <w:uiPriority w:val="0"/>
    <w:rPr>
      <w:sz w:val="18"/>
    </w:rPr>
  </w:style>
  <w:style w:type="character" w:customStyle="1" w:styleId="250">
    <w:name w:val="locality"/>
    <w:qFormat/>
    <w:uiPriority w:val="0"/>
  </w:style>
  <w:style w:type="character" w:customStyle="1" w:styleId="251">
    <w:name w:val="标题 3 字符"/>
    <w:qFormat/>
    <w:uiPriority w:val="0"/>
    <w:rPr>
      <w:rFonts w:ascii="Times New Roman" w:hAnsi="Times New Roman" w:eastAsia="宋体"/>
      <w:b/>
      <w:kern w:val="2"/>
      <w:sz w:val="32"/>
    </w:rPr>
  </w:style>
  <w:style w:type="character" w:customStyle="1" w:styleId="252">
    <w:name w:val="标题 8 字符"/>
    <w:qFormat/>
    <w:uiPriority w:val="0"/>
    <w:rPr>
      <w:rFonts w:ascii="等线 Light" w:hAnsi="等线 Light" w:eastAsia="等线 Light"/>
      <w:kern w:val="2"/>
      <w:sz w:val="24"/>
    </w:rPr>
  </w:style>
  <w:style w:type="character" w:customStyle="1" w:styleId="253">
    <w:name w:val="批注主题 字符"/>
    <w:qFormat/>
    <w:uiPriority w:val="0"/>
    <w:rPr>
      <w:b/>
      <w:kern w:val="2"/>
      <w:sz w:val="28"/>
    </w:rPr>
  </w:style>
  <w:style w:type="character" w:customStyle="1" w:styleId="254">
    <w:name w:val="H3 Char"/>
    <w:qFormat/>
    <w:uiPriority w:val="0"/>
    <w:rPr>
      <w:rFonts w:eastAsia="宋体"/>
      <w:b/>
      <w:kern w:val="2"/>
      <w:sz w:val="32"/>
      <w:lang w:val="en-US" w:eastAsia="zh-CN"/>
    </w:rPr>
  </w:style>
  <w:style w:type="character" w:customStyle="1" w:styleId="255">
    <w:name w:val="标题 9 Char1"/>
    <w:qFormat/>
    <w:uiPriority w:val="0"/>
    <w:rPr>
      <w:rFonts w:ascii="Arial" w:hAnsi="Arial" w:eastAsia="黑体"/>
      <w:sz w:val="21"/>
      <w:lang w:val="en-US" w:eastAsia="zh-CN"/>
    </w:rPr>
  </w:style>
  <w:style w:type="character" w:customStyle="1" w:styleId="256">
    <w:name w:val="公文正文 Char"/>
    <w:link w:val="257"/>
    <w:qFormat/>
    <w:uiPriority w:val="0"/>
    <w:rPr>
      <w:rFonts w:ascii="仿宋_GB2312" w:eastAsia="仿宋_GB2312"/>
      <w:sz w:val="24"/>
    </w:rPr>
  </w:style>
  <w:style w:type="paragraph" w:customStyle="1" w:styleId="257">
    <w:name w:val="公文正文"/>
    <w:basedOn w:val="1"/>
    <w:link w:val="256"/>
    <w:qFormat/>
    <w:uiPriority w:val="0"/>
    <w:pPr>
      <w:spacing w:before="156" w:line="360" w:lineRule="auto"/>
      <w:ind w:firstLine="360" w:firstLineChars="200"/>
    </w:pPr>
    <w:rPr>
      <w:rFonts w:ascii="仿宋_GB2312" w:eastAsia="仿宋_GB2312" w:hAnsiTheme="minorHAnsi" w:cstheme="minorBidi"/>
      <w:sz w:val="24"/>
      <w:szCs w:val="22"/>
    </w:rPr>
  </w:style>
  <w:style w:type="character" w:customStyle="1" w:styleId="258">
    <w:name w:val="正文文本缩进 3 字符"/>
    <w:qFormat/>
    <w:uiPriority w:val="0"/>
    <w:rPr>
      <w:rFonts w:ascii="Times New Roman" w:hAnsi="Times New Roman" w:eastAsia="宋体"/>
      <w:kern w:val="2"/>
      <w:sz w:val="16"/>
    </w:rPr>
  </w:style>
  <w:style w:type="character" w:customStyle="1" w:styleId="259">
    <w:name w:val="my Char"/>
    <w:link w:val="260"/>
    <w:qFormat/>
    <w:uiPriority w:val="0"/>
    <w:rPr>
      <w:rFonts w:ascii="宋体" w:hAnsi="宋体"/>
      <w:sz w:val="24"/>
    </w:rPr>
  </w:style>
  <w:style w:type="paragraph" w:customStyle="1" w:styleId="260">
    <w:name w:val="my"/>
    <w:basedOn w:val="1"/>
    <w:link w:val="259"/>
    <w:qFormat/>
    <w:uiPriority w:val="0"/>
    <w:pPr>
      <w:widowControl/>
      <w:tabs>
        <w:tab w:val="left" w:pos="0"/>
        <w:tab w:val="left" w:pos="5823"/>
      </w:tabs>
      <w:adjustRightInd w:val="0"/>
      <w:ind w:firstLine="480" w:firstLineChars="200"/>
    </w:pPr>
    <w:rPr>
      <w:rFonts w:ascii="宋体" w:hAnsi="宋体" w:eastAsiaTheme="minorEastAsia" w:cstheme="minorBidi"/>
      <w:sz w:val="24"/>
      <w:szCs w:val="22"/>
    </w:rPr>
  </w:style>
  <w:style w:type="character" w:customStyle="1" w:styleId="261">
    <w:name w:val="info1"/>
    <w:qFormat/>
    <w:uiPriority w:val="99"/>
    <w:rPr>
      <w:color w:val="000000"/>
      <w:spacing w:val="15"/>
      <w:sz w:val="24"/>
    </w:rPr>
  </w:style>
  <w:style w:type="character" w:customStyle="1" w:styleId="262">
    <w:name w:val="正文文本 2 Char1"/>
    <w:qFormat/>
    <w:uiPriority w:val="0"/>
  </w:style>
  <w:style w:type="character" w:customStyle="1" w:styleId="263">
    <w:name w:val="HTML 预设格式 Char1"/>
    <w:qFormat/>
    <w:uiPriority w:val="0"/>
    <w:rPr>
      <w:rFonts w:ascii="Courier New" w:hAnsi="Courier New" w:eastAsia="宋体"/>
      <w:kern w:val="2"/>
    </w:rPr>
  </w:style>
  <w:style w:type="character" w:customStyle="1" w:styleId="264">
    <w:name w:val="电子邮件签名 字符"/>
    <w:qFormat/>
    <w:uiPriority w:val="0"/>
    <w:rPr>
      <w:kern w:val="2"/>
      <w:sz w:val="28"/>
    </w:rPr>
  </w:style>
  <w:style w:type="character" w:customStyle="1" w:styleId="265">
    <w:name w:val="称呼 字符"/>
    <w:qFormat/>
    <w:uiPriority w:val="0"/>
    <w:rPr>
      <w:kern w:val="2"/>
      <w:sz w:val="28"/>
    </w:rPr>
  </w:style>
  <w:style w:type="character" w:customStyle="1" w:styleId="266">
    <w:name w:val="标题 4 Char Char Char Char Char Char"/>
    <w:qFormat/>
    <w:uiPriority w:val="0"/>
    <w:rPr>
      <w:rFonts w:eastAsia="宋体"/>
      <w:kern w:val="2"/>
      <w:sz w:val="24"/>
      <w:lang w:val="en-US" w:eastAsia="zh-CN"/>
    </w:rPr>
  </w:style>
  <w:style w:type="character" w:customStyle="1" w:styleId="267">
    <w:name w:val="标题 6 字符"/>
    <w:qFormat/>
    <w:uiPriority w:val="0"/>
    <w:rPr>
      <w:rFonts w:ascii="等线 Light" w:hAnsi="等线 Light" w:eastAsia="等线 Light"/>
      <w:b/>
      <w:kern w:val="2"/>
      <w:sz w:val="24"/>
    </w:rPr>
  </w:style>
  <w:style w:type="character" w:customStyle="1" w:styleId="268">
    <w:name w:val="标题 7 Char1"/>
    <w:qFormat/>
    <w:uiPriority w:val="0"/>
    <w:rPr>
      <w:rFonts w:eastAsia="宋体"/>
      <w:b/>
      <w:sz w:val="24"/>
      <w:lang w:val="en-US" w:eastAsia="zh-CN"/>
    </w:rPr>
  </w:style>
  <w:style w:type="character" w:customStyle="1" w:styleId="269">
    <w:name w:val="副标题 字符"/>
    <w:qFormat/>
    <w:uiPriority w:val="0"/>
    <w:rPr>
      <w:rFonts w:ascii="等线 Light" w:hAnsi="等线 Light"/>
      <w:b/>
      <w:kern w:val="28"/>
      <w:sz w:val="32"/>
    </w:rPr>
  </w:style>
  <w:style w:type="character" w:customStyle="1" w:styleId="270">
    <w:name w:val="font21"/>
    <w:qFormat/>
    <w:uiPriority w:val="0"/>
    <w:rPr>
      <w:rFonts w:hint="eastAsia" w:ascii="宋体" w:hAnsi="宋体" w:eastAsia="宋体"/>
      <w:color w:val="FF0000"/>
      <w:sz w:val="21"/>
      <w:u w:val="none"/>
      <w:vertAlign w:val="superscript"/>
    </w:rPr>
  </w:style>
  <w:style w:type="character" w:customStyle="1" w:styleId="271">
    <w:name w:val="font41"/>
    <w:qFormat/>
    <w:uiPriority w:val="0"/>
    <w:rPr>
      <w:rFonts w:hint="eastAsia" w:ascii="宋体" w:hAnsi="宋体" w:eastAsia="宋体" w:cs="宋体"/>
      <w:color w:val="000000"/>
      <w:sz w:val="20"/>
      <w:szCs w:val="20"/>
      <w:u w:val="none"/>
    </w:rPr>
  </w:style>
  <w:style w:type="character" w:customStyle="1" w:styleId="272">
    <w:name w:val="结束语 字符"/>
    <w:qFormat/>
    <w:uiPriority w:val="0"/>
    <w:rPr>
      <w:kern w:val="2"/>
      <w:sz w:val="28"/>
    </w:rPr>
  </w:style>
  <w:style w:type="character" w:customStyle="1" w:styleId="273">
    <w:name w:val="彩色列表 - 着色 1 字符"/>
    <w:link w:val="274"/>
    <w:qFormat/>
    <w:uiPriority w:val="0"/>
  </w:style>
  <w:style w:type="paragraph" w:customStyle="1" w:styleId="274">
    <w:name w:val="彩色列表 - 着色 12"/>
    <w:basedOn w:val="1"/>
    <w:link w:val="273"/>
    <w:qFormat/>
    <w:uiPriority w:val="0"/>
    <w:pPr>
      <w:ind w:firstLine="420" w:firstLineChars="200"/>
    </w:pPr>
    <w:rPr>
      <w:rFonts w:asciiTheme="minorHAnsi" w:hAnsiTheme="minorHAnsi" w:eastAsiaTheme="minorEastAsia" w:cstheme="minorBidi"/>
      <w:sz w:val="21"/>
      <w:szCs w:val="22"/>
    </w:rPr>
  </w:style>
  <w:style w:type="character" w:customStyle="1" w:styleId="275">
    <w:name w:val="正文文本 3 Char1"/>
    <w:qFormat/>
    <w:uiPriority w:val="0"/>
    <w:rPr>
      <w:rFonts w:eastAsia="宋体"/>
      <w:color w:val="FF0000"/>
      <w:kern w:val="2"/>
      <w:sz w:val="24"/>
      <w:lang w:val="en-US" w:eastAsia="zh-CN"/>
    </w:rPr>
  </w:style>
  <w:style w:type="character" w:customStyle="1" w:styleId="276">
    <w:name w:val="纯文本 Char3"/>
    <w:qFormat/>
    <w:uiPriority w:val="0"/>
    <w:rPr>
      <w:rFonts w:ascii="宋体" w:hAnsi="Courier New" w:eastAsia="宋体"/>
    </w:rPr>
  </w:style>
  <w:style w:type="character" w:customStyle="1" w:styleId="277">
    <w:name w:val="个人答复风格"/>
    <w:qFormat/>
    <w:uiPriority w:val="0"/>
    <w:rPr>
      <w:rFonts w:ascii="Arial" w:hAnsi="Arial" w:eastAsia="宋体"/>
      <w:color w:val="auto"/>
      <w:sz w:val="20"/>
    </w:rPr>
  </w:style>
  <w:style w:type="character" w:customStyle="1" w:styleId="278">
    <w:name w:val="标题 3 Char1"/>
    <w:qFormat/>
    <w:uiPriority w:val="0"/>
    <w:rPr>
      <w:rFonts w:eastAsia="宋体"/>
      <w:b/>
      <w:kern w:val="2"/>
      <w:sz w:val="32"/>
      <w:lang w:val="en-US" w:eastAsia="zh-CN"/>
    </w:rPr>
  </w:style>
  <w:style w:type="character" w:customStyle="1" w:styleId="279">
    <w:name w:val="脚注文本 Char1"/>
    <w:qFormat/>
    <w:uiPriority w:val="0"/>
    <w:rPr>
      <w:rFonts w:eastAsia="宋体"/>
      <w:kern w:val="2"/>
      <w:sz w:val="18"/>
      <w:lang w:val="en-US" w:eastAsia="zh-CN"/>
    </w:rPr>
  </w:style>
  <w:style w:type="character" w:customStyle="1" w:styleId="280">
    <w:name w:val="无格式表格 31"/>
    <w:qFormat/>
    <w:uiPriority w:val="0"/>
    <w:rPr>
      <w:i/>
      <w:color w:val="808080"/>
    </w:rPr>
  </w:style>
  <w:style w:type="character" w:customStyle="1" w:styleId="281">
    <w:name w:val="HTML 键盘1"/>
    <w:qFormat/>
    <w:uiPriority w:val="0"/>
    <w:rPr>
      <w:rFonts w:ascii="Courier New" w:hAnsi="Courier New"/>
      <w:sz w:val="20"/>
    </w:rPr>
  </w:style>
  <w:style w:type="character" w:customStyle="1" w:styleId="282">
    <w:name w:val="标题 Char1"/>
    <w:qFormat/>
    <w:uiPriority w:val="0"/>
    <w:rPr>
      <w:rFonts w:ascii="Cambria" w:hAnsi="Cambria" w:eastAsia="宋体"/>
      <w:b/>
      <w:sz w:val="32"/>
    </w:rPr>
  </w:style>
  <w:style w:type="character" w:customStyle="1" w:styleId="283">
    <w:name w:val="样式8 字符"/>
    <w:link w:val="284"/>
    <w:qFormat/>
    <w:uiPriority w:val="0"/>
    <w:rPr>
      <w:rFonts w:ascii="Times New Roman" w:hAnsi="Times New Roman"/>
      <w:sz w:val="24"/>
      <w:szCs w:val="27"/>
    </w:rPr>
  </w:style>
  <w:style w:type="paragraph" w:customStyle="1" w:styleId="284">
    <w:name w:val="样式8"/>
    <w:basedOn w:val="285"/>
    <w:link w:val="283"/>
    <w:qFormat/>
    <w:uiPriority w:val="0"/>
    <w:pPr>
      <w:tabs>
        <w:tab w:val="left" w:pos="1301"/>
        <w:tab w:val="left" w:pos="6043"/>
      </w:tabs>
      <w:ind w:right="0" w:rightChars="0"/>
    </w:pPr>
    <w:rPr>
      <w:rFonts w:eastAsiaTheme="minorEastAsia" w:cstheme="minorBidi"/>
    </w:rPr>
  </w:style>
  <w:style w:type="paragraph" w:customStyle="1" w:styleId="285">
    <w:name w:val="样式6"/>
    <w:basedOn w:val="1"/>
    <w:qFormat/>
    <w:uiPriority w:val="0"/>
    <w:pPr>
      <w:widowControl/>
      <w:tabs>
        <w:tab w:val="left" w:pos="1301"/>
        <w:tab w:val="left" w:pos="6043"/>
      </w:tabs>
      <w:adjustRightInd w:val="0"/>
      <w:snapToGrid w:val="0"/>
      <w:spacing w:line="360" w:lineRule="auto"/>
      <w:ind w:left="709" w:right="100" w:rightChars="100"/>
      <w:textAlignment w:val="baseline"/>
    </w:pPr>
    <w:rPr>
      <w:rFonts w:ascii="Times New Roman" w:hAnsi="Times New Roman"/>
      <w:sz w:val="24"/>
      <w:szCs w:val="27"/>
    </w:rPr>
  </w:style>
  <w:style w:type="character" w:customStyle="1" w:styleId="286">
    <w:name w:val="font11"/>
    <w:basedOn w:val="90"/>
    <w:qFormat/>
    <w:uiPriority w:val="0"/>
    <w:rPr>
      <w:rFonts w:hint="eastAsia" w:ascii="宋体" w:hAnsi="宋体" w:eastAsia="宋体"/>
      <w:color w:val="000000"/>
      <w:sz w:val="21"/>
      <w:u w:val="none"/>
      <w:vertAlign w:val="superscript"/>
    </w:rPr>
  </w:style>
  <w:style w:type="character" w:customStyle="1" w:styleId="287">
    <w:name w:val="页脚 Char1"/>
    <w:qFormat/>
    <w:uiPriority w:val="0"/>
    <w:rPr>
      <w:rFonts w:eastAsia="宋体"/>
      <w:kern w:val="2"/>
      <w:sz w:val="18"/>
      <w:lang w:val="en-US" w:eastAsia="zh-CN"/>
    </w:rPr>
  </w:style>
  <w:style w:type="character" w:customStyle="1" w:styleId="288">
    <w:name w:val="country-name"/>
    <w:qFormat/>
    <w:uiPriority w:val="0"/>
  </w:style>
  <w:style w:type="character" w:customStyle="1" w:styleId="289">
    <w:name w:val="HTML 样本1"/>
    <w:qFormat/>
    <w:uiPriority w:val="0"/>
    <w:rPr>
      <w:rFonts w:ascii="Courier New" w:hAnsi="Courier New"/>
    </w:rPr>
  </w:style>
  <w:style w:type="character" w:customStyle="1" w:styleId="290">
    <w:name w:val="标题 4 字符"/>
    <w:qFormat/>
    <w:uiPriority w:val="0"/>
    <w:rPr>
      <w:rFonts w:ascii="等线 Light" w:hAnsi="等线 Light" w:eastAsia="等线 Light"/>
      <w:b/>
      <w:kern w:val="2"/>
      <w:sz w:val="28"/>
    </w:rPr>
  </w:style>
  <w:style w:type="character" w:customStyle="1" w:styleId="291">
    <w:name w:val="zbggmain style9"/>
    <w:qFormat/>
    <w:uiPriority w:val="0"/>
  </w:style>
  <w:style w:type="character" w:customStyle="1" w:styleId="292">
    <w:name w:val="标题 1 Char Char"/>
    <w:qFormat/>
    <w:uiPriority w:val="0"/>
    <w:rPr>
      <w:rFonts w:ascii="Arial" w:hAnsi="Arial" w:eastAsia="黑体"/>
      <w:kern w:val="44"/>
      <w:sz w:val="24"/>
      <w:lang w:val="en-US" w:eastAsia="zh-CN"/>
    </w:rPr>
  </w:style>
  <w:style w:type="character" w:customStyle="1" w:styleId="293">
    <w:name w:val="批注框文本 Char1"/>
    <w:qFormat/>
    <w:uiPriority w:val="0"/>
    <w:rPr>
      <w:rFonts w:eastAsia="宋体"/>
      <w:kern w:val="2"/>
      <w:sz w:val="18"/>
      <w:lang w:val="en-US" w:eastAsia="zh-CN"/>
    </w:rPr>
  </w:style>
  <w:style w:type="character" w:customStyle="1" w:styleId="294">
    <w:name w:val="HTML 地址 字符"/>
    <w:qFormat/>
    <w:uiPriority w:val="0"/>
    <w:rPr>
      <w:i/>
      <w:kern w:val="2"/>
      <w:sz w:val="28"/>
    </w:rPr>
  </w:style>
  <w:style w:type="character" w:customStyle="1" w:styleId="295">
    <w:name w:val="正文文本 字符"/>
    <w:qFormat/>
    <w:uiPriority w:val="0"/>
    <w:rPr>
      <w:rFonts w:ascii="Times New Roman" w:hAnsi="Times New Roman" w:eastAsia="宋体"/>
      <w:kern w:val="2"/>
      <w:sz w:val="21"/>
    </w:rPr>
  </w:style>
  <w:style w:type="character" w:customStyle="1" w:styleId="296">
    <w:name w:val="页眉 字符"/>
    <w:qFormat/>
    <w:uiPriority w:val="0"/>
    <w:rPr>
      <w:kern w:val="2"/>
      <w:sz w:val="18"/>
    </w:rPr>
  </w:style>
  <w:style w:type="character" w:customStyle="1" w:styleId="297">
    <w:name w:val="标题 5 Char1"/>
    <w:qFormat/>
    <w:uiPriority w:val="0"/>
    <w:rPr>
      <w:rFonts w:eastAsia="宋体"/>
      <w:b/>
      <w:sz w:val="28"/>
      <w:lang w:val="en-US" w:eastAsia="zh-CN"/>
    </w:rPr>
  </w:style>
  <w:style w:type="character" w:customStyle="1" w:styleId="298">
    <w:name w:val="正文文字4 Char Char"/>
    <w:qFormat/>
    <w:uiPriority w:val="0"/>
    <w:rPr>
      <w:rFonts w:ascii="宋体" w:hAnsi="宋体" w:eastAsia="宋体"/>
      <w:spacing w:val="-6"/>
      <w:kern w:val="2"/>
      <w:sz w:val="21"/>
      <w:lang w:val="en-US" w:eastAsia="zh-CN"/>
    </w:rPr>
  </w:style>
  <w:style w:type="character" w:customStyle="1" w:styleId="299">
    <w:name w:val="z-窗体顶端 Char"/>
    <w:link w:val="300"/>
    <w:qFormat/>
    <w:uiPriority w:val="0"/>
    <w:rPr>
      <w:rFonts w:ascii="Arial" w:hAnsi="Arial"/>
      <w:vanish/>
      <w:sz w:val="16"/>
    </w:rPr>
  </w:style>
  <w:style w:type="paragraph" w:customStyle="1" w:styleId="300">
    <w:name w:val="z-窗体顶端1"/>
    <w:basedOn w:val="1"/>
    <w:next w:val="1"/>
    <w:link w:val="299"/>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01">
    <w:name w:val="正文文本 3 字符"/>
    <w:qFormat/>
    <w:uiPriority w:val="0"/>
    <w:rPr>
      <w:kern w:val="2"/>
      <w:sz w:val="16"/>
    </w:rPr>
  </w:style>
  <w:style w:type="character" w:customStyle="1" w:styleId="302">
    <w:name w:val="s81i"/>
    <w:qFormat/>
    <w:uiPriority w:val="0"/>
  </w:style>
  <w:style w:type="character" w:customStyle="1" w:styleId="303">
    <w:name w:val="正文缩进 Char"/>
    <w:link w:val="11"/>
    <w:qFormat/>
    <w:uiPriority w:val="0"/>
    <w:rPr>
      <w:rFonts w:eastAsia="宋体"/>
      <w:sz w:val="24"/>
    </w:rPr>
  </w:style>
  <w:style w:type="character" w:customStyle="1" w:styleId="304">
    <w:name w:val="Char Char23"/>
    <w:qFormat/>
    <w:uiPriority w:val="0"/>
    <w:rPr>
      <w:rFonts w:eastAsia="宋体"/>
      <w:b/>
      <w:kern w:val="44"/>
      <w:sz w:val="44"/>
      <w:lang w:val="en-US" w:eastAsia="zh-CN"/>
    </w:rPr>
  </w:style>
  <w:style w:type="character" w:customStyle="1" w:styleId="305">
    <w:name w:val="apple-converted-space"/>
    <w:qFormat/>
    <w:uiPriority w:val="0"/>
  </w:style>
  <w:style w:type="character" w:customStyle="1" w:styleId="306">
    <w:name w:val="highlight1"/>
    <w:qFormat/>
    <w:uiPriority w:val="0"/>
    <w:rPr>
      <w:color w:val="FF0000"/>
    </w:rPr>
  </w:style>
  <w:style w:type="character" w:customStyle="1" w:styleId="307">
    <w:name w:val="正文2 Char Char"/>
    <w:qFormat/>
    <w:uiPriority w:val="0"/>
    <w:rPr>
      <w:rFonts w:eastAsia="宋体"/>
      <w:kern w:val="2"/>
      <w:sz w:val="24"/>
      <w:lang w:val="en-US" w:eastAsia="zh-CN"/>
    </w:rPr>
  </w:style>
  <w:style w:type="character" w:customStyle="1" w:styleId="308">
    <w:name w:val="标题1"/>
    <w:qFormat/>
    <w:uiPriority w:val="0"/>
    <w:rPr>
      <w:b/>
      <w:sz w:val="28"/>
    </w:rPr>
  </w:style>
  <w:style w:type="character" w:customStyle="1" w:styleId="309">
    <w:name w:val="正文2 Char"/>
    <w:link w:val="310"/>
    <w:qFormat/>
    <w:uiPriority w:val="0"/>
    <w:rPr>
      <w:rFonts w:eastAsia="宋体"/>
      <w:sz w:val="24"/>
    </w:rPr>
  </w:style>
  <w:style w:type="paragraph" w:customStyle="1" w:styleId="310">
    <w:name w:val="正文2"/>
    <w:basedOn w:val="1"/>
    <w:link w:val="309"/>
    <w:qFormat/>
    <w:uiPriority w:val="0"/>
    <w:pPr>
      <w:spacing w:before="156" w:line="360" w:lineRule="auto"/>
      <w:ind w:firstLine="510" w:firstLineChars="200"/>
    </w:pPr>
    <w:rPr>
      <w:rFonts w:asciiTheme="minorHAnsi" w:hAnsiTheme="minorHAnsi" w:cstheme="minorBidi"/>
      <w:sz w:val="24"/>
      <w:szCs w:val="22"/>
    </w:rPr>
  </w:style>
  <w:style w:type="character" w:customStyle="1" w:styleId="311">
    <w:name w:val="HTML 定义1"/>
    <w:qFormat/>
    <w:uiPriority w:val="0"/>
    <w:rPr>
      <w:i/>
    </w:rPr>
  </w:style>
  <w:style w:type="character" w:customStyle="1" w:styleId="312">
    <w:name w:val="批注框文本 字符"/>
    <w:qFormat/>
    <w:uiPriority w:val="0"/>
    <w:rPr>
      <w:rFonts w:ascii="Times New Roman" w:hAnsi="Times New Roman" w:eastAsia="宋体"/>
      <w:kern w:val="2"/>
      <w:sz w:val="18"/>
    </w:rPr>
  </w:style>
  <w:style w:type="character" w:customStyle="1" w:styleId="313">
    <w:name w:val="75pk"/>
    <w:qFormat/>
    <w:uiPriority w:val="0"/>
  </w:style>
  <w:style w:type="character" w:customStyle="1" w:styleId="314">
    <w:name w:val="z-窗体底端 字符"/>
    <w:qFormat/>
    <w:uiPriority w:val="0"/>
    <w:rPr>
      <w:rFonts w:ascii="Arial" w:hAnsi="Arial"/>
      <w:vanish/>
      <w:kern w:val="2"/>
      <w:sz w:val="16"/>
    </w:rPr>
  </w:style>
  <w:style w:type="character" w:customStyle="1" w:styleId="315">
    <w:name w:val="页码1"/>
    <w:qFormat/>
    <w:uiPriority w:val="0"/>
  </w:style>
  <w:style w:type="character" w:customStyle="1" w:styleId="316">
    <w:name w:val="Char Char21"/>
    <w:qFormat/>
    <w:uiPriority w:val="0"/>
    <w:rPr>
      <w:rFonts w:eastAsia="楷体_GB2312"/>
      <w:kern w:val="2"/>
      <w:sz w:val="28"/>
      <w:lang w:val="en-US" w:eastAsia="zh-CN"/>
    </w:rPr>
  </w:style>
  <w:style w:type="character" w:customStyle="1" w:styleId="317">
    <w:name w:val="列出段落 字符"/>
    <w:qFormat/>
    <w:uiPriority w:val="0"/>
    <w:rPr>
      <w:kern w:val="2"/>
      <w:sz w:val="21"/>
    </w:rPr>
  </w:style>
  <w:style w:type="character" w:customStyle="1" w:styleId="318">
    <w:name w:val="批注文字 字符"/>
    <w:qFormat/>
    <w:uiPriority w:val="0"/>
    <w:rPr>
      <w:kern w:val="2"/>
      <w:sz w:val="28"/>
    </w:rPr>
  </w:style>
  <w:style w:type="character" w:customStyle="1" w:styleId="319">
    <w:name w:val="日期 Char2"/>
    <w:qFormat/>
    <w:uiPriority w:val="0"/>
    <w:rPr>
      <w:rFonts w:eastAsia="仿宋_GB2312"/>
      <w:b/>
      <w:sz w:val="28"/>
    </w:rPr>
  </w:style>
  <w:style w:type="character" w:customStyle="1" w:styleId="320">
    <w:name w:val="z-窗体顶端 Char1"/>
    <w:qFormat/>
    <w:uiPriority w:val="0"/>
    <w:rPr>
      <w:rFonts w:ascii="Arial" w:hAnsi="Arial"/>
      <w:vanish/>
      <w:sz w:val="16"/>
    </w:rPr>
  </w:style>
  <w:style w:type="paragraph" w:customStyle="1" w:styleId="321">
    <w:name w:val="z-窗体顶端2"/>
    <w:basedOn w:val="1"/>
    <w:next w:val="1"/>
    <w:link w:val="457"/>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22">
    <w:name w:val="标题 1 1 Char1"/>
    <w:qFormat/>
    <w:uiPriority w:val="0"/>
    <w:rPr>
      <w:rFonts w:ascii="Times New Roman" w:hAnsi="Times New Roman" w:eastAsia="宋体"/>
      <w:b/>
      <w:kern w:val="44"/>
      <w:sz w:val="44"/>
    </w:rPr>
  </w:style>
  <w:style w:type="character" w:customStyle="1" w:styleId="323">
    <w:name w:val="标题 8 Char1"/>
    <w:qFormat/>
    <w:uiPriority w:val="0"/>
    <w:rPr>
      <w:rFonts w:ascii="Arial" w:hAnsi="Arial" w:eastAsia="黑体"/>
      <w:sz w:val="24"/>
      <w:lang w:val="en-US" w:eastAsia="zh-CN"/>
    </w:rPr>
  </w:style>
  <w:style w:type="character" w:customStyle="1" w:styleId="324">
    <w:name w:val="font61"/>
    <w:qFormat/>
    <w:uiPriority w:val="0"/>
    <w:rPr>
      <w:rFonts w:hint="eastAsia" w:ascii="宋体" w:hAnsi="宋体" w:eastAsia="宋体" w:cs="宋体"/>
      <w:color w:val="000000"/>
      <w:sz w:val="20"/>
      <w:szCs w:val="20"/>
      <w:u w:val="none"/>
    </w:rPr>
  </w:style>
  <w:style w:type="character" w:customStyle="1" w:styleId="325">
    <w:name w:val="尾注文本 Char1"/>
    <w:basedOn w:val="90"/>
    <w:link w:val="55"/>
    <w:qFormat/>
    <w:uiPriority w:val="0"/>
  </w:style>
  <w:style w:type="character" w:customStyle="1" w:styleId="326">
    <w:name w:val="电子邮件签名 Char1"/>
    <w:basedOn w:val="90"/>
    <w:link w:val="23"/>
    <w:qFormat/>
    <w:uiPriority w:val="0"/>
  </w:style>
  <w:style w:type="character" w:customStyle="1" w:styleId="327">
    <w:name w:val="正文文本 2 Char2"/>
    <w:basedOn w:val="90"/>
    <w:link w:val="77"/>
    <w:qFormat/>
    <w:uiPriority w:val="0"/>
  </w:style>
  <w:style w:type="character" w:customStyle="1" w:styleId="328">
    <w:name w:val="正文文本 Char3"/>
    <w:basedOn w:val="90"/>
    <w:semiHidden/>
    <w:qFormat/>
    <w:uiPriority w:val="99"/>
    <w:rPr>
      <w:rFonts w:ascii="Calibri" w:hAnsi="Calibri" w:eastAsia="宋体" w:cs="Times New Roman"/>
      <w:sz w:val="28"/>
      <w:szCs w:val="20"/>
    </w:rPr>
  </w:style>
  <w:style w:type="character" w:customStyle="1" w:styleId="329">
    <w:name w:val="日期 Char3"/>
    <w:basedOn w:val="90"/>
    <w:link w:val="49"/>
    <w:qFormat/>
    <w:uiPriority w:val="0"/>
    <w:rPr>
      <w:rFonts w:eastAsia="仿宋_GB2312"/>
      <w:b/>
      <w:sz w:val="28"/>
    </w:rPr>
  </w:style>
  <w:style w:type="character" w:customStyle="1" w:styleId="330">
    <w:name w:val="纯文本 Char4"/>
    <w:basedOn w:val="90"/>
    <w:link w:val="48"/>
    <w:qFormat/>
    <w:uiPriority w:val="0"/>
    <w:rPr>
      <w:rFonts w:ascii="宋体" w:hAnsi="Courier New" w:eastAsia="宋体"/>
    </w:rPr>
  </w:style>
  <w:style w:type="character" w:customStyle="1" w:styleId="331">
    <w:name w:val="结束语 Char1"/>
    <w:basedOn w:val="90"/>
    <w:link w:val="35"/>
    <w:qFormat/>
    <w:uiPriority w:val="0"/>
  </w:style>
  <w:style w:type="character" w:customStyle="1" w:styleId="332">
    <w:name w:val="注释标题 Char1"/>
    <w:basedOn w:val="90"/>
    <w:link w:val="20"/>
    <w:qFormat/>
    <w:uiPriority w:val="0"/>
  </w:style>
  <w:style w:type="character" w:customStyle="1" w:styleId="333">
    <w:name w:val="正文文本缩进 2 Char2"/>
    <w:basedOn w:val="90"/>
    <w:link w:val="54"/>
    <w:qFormat/>
    <w:uiPriority w:val="0"/>
    <w:rPr>
      <w:rFonts w:ascii="黑体" w:eastAsia="黑体"/>
      <w:sz w:val="28"/>
    </w:rPr>
  </w:style>
  <w:style w:type="character" w:customStyle="1" w:styleId="334">
    <w:name w:val="文档结构图 Char2"/>
    <w:basedOn w:val="90"/>
    <w:link w:val="29"/>
    <w:qFormat/>
    <w:uiPriority w:val="0"/>
    <w:rPr>
      <w:sz w:val="28"/>
      <w:shd w:val="clear" w:color="auto" w:fill="000080"/>
    </w:rPr>
  </w:style>
  <w:style w:type="character" w:customStyle="1" w:styleId="335">
    <w:name w:val="正文文本缩进 Char3"/>
    <w:basedOn w:val="90"/>
    <w:semiHidden/>
    <w:qFormat/>
    <w:uiPriority w:val="99"/>
    <w:rPr>
      <w:rFonts w:ascii="Calibri" w:hAnsi="Calibri" w:eastAsia="宋体" w:cs="Times New Roman"/>
      <w:sz w:val="28"/>
      <w:szCs w:val="20"/>
    </w:rPr>
  </w:style>
  <w:style w:type="character" w:customStyle="1" w:styleId="336">
    <w:name w:val="宏文本 Char1"/>
    <w:basedOn w:val="90"/>
    <w:link w:val="5"/>
    <w:qFormat/>
    <w:uiPriority w:val="0"/>
    <w:rPr>
      <w:rFonts w:ascii="Courier New" w:hAnsi="Courier New"/>
      <w:sz w:val="24"/>
    </w:rPr>
  </w:style>
  <w:style w:type="character" w:customStyle="1" w:styleId="337">
    <w:name w:val="HTML 地址 Char1"/>
    <w:basedOn w:val="90"/>
    <w:link w:val="44"/>
    <w:qFormat/>
    <w:uiPriority w:val="0"/>
    <w:rPr>
      <w:i/>
    </w:rPr>
  </w:style>
  <w:style w:type="character" w:customStyle="1" w:styleId="338">
    <w:name w:val="正文首行缩进 Char2"/>
    <w:basedOn w:val="328"/>
    <w:link w:val="3"/>
    <w:qFormat/>
    <w:uiPriority w:val="0"/>
    <w:rPr>
      <w:rFonts w:ascii="等线" w:hAnsi="等线" w:eastAsia="等线" w:cs="Times New Roman"/>
      <w:sz w:val="28"/>
      <w:szCs w:val="20"/>
    </w:rPr>
  </w:style>
  <w:style w:type="character" w:customStyle="1" w:styleId="339">
    <w:name w:val="正文首行缩进 2 Char1"/>
    <w:basedOn w:val="335"/>
    <w:link w:val="87"/>
    <w:qFormat/>
    <w:uiPriority w:val="0"/>
    <w:rPr>
      <w:rFonts w:ascii="等线" w:hAnsi="等线" w:eastAsia="等线" w:cs="Times New Roman"/>
      <w:sz w:val="28"/>
      <w:szCs w:val="20"/>
    </w:rPr>
  </w:style>
  <w:style w:type="character" w:customStyle="1" w:styleId="340">
    <w:name w:val="标题 Char4"/>
    <w:basedOn w:val="90"/>
    <w:link w:val="85"/>
    <w:qFormat/>
    <w:uiPriority w:val="0"/>
    <w:rPr>
      <w:b/>
      <w:sz w:val="24"/>
      <w:lang w:val="en-GB"/>
    </w:rPr>
  </w:style>
  <w:style w:type="character" w:customStyle="1" w:styleId="341">
    <w:name w:val="批注框文本 Char2"/>
    <w:basedOn w:val="90"/>
    <w:link w:val="57"/>
    <w:qFormat/>
    <w:uiPriority w:val="99"/>
    <w:rPr>
      <w:sz w:val="18"/>
    </w:rPr>
  </w:style>
  <w:style w:type="character" w:customStyle="1" w:styleId="342">
    <w:name w:val="称呼 Char1"/>
    <w:basedOn w:val="90"/>
    <w:link w:val="33"/>
    <w:qFormat/>
    <w:uiPriority w:val="0"/>
    <w:rPr>
      <w:rFonts w:ascii="宋体"/>
      <w:sz w:val="28"/>
    </w:rPr>
  </w:style>
  <w:style w:type="character" w:customStyle="1" w:styleId="343">
    <w:name w:val="批注文字 Char2"/>
    <w:basedOn w:val="90"/>
    <w:semiHidden/>
    <w:qFormat/>
    <w:uiPriority w:val="99"/>
    <w:rPr>
      <w:rFonts w:ascii="Calibri" w:hAnsi="Calibri" w:eastAsia="宋体" w:cs="Times New Roman"/>
      <w:sz w:val="28"/>
      <w:szCs w:val="20"/>
    </w:rPr>
  </w:style>
  <w:style w:type="character" w:customStyle="1" w:styleId="344">
    <w:name w:val="正文文本缩进 3 Char2"/>
    <w:basedOn w:val="90"/>
    <w:link w:val="71"/>
    <w:qFormat/>
    <w:uiPriority w:val="0"/>
    <w:rPr>
      <w:sz w:val="28"/>
    </w:rPr>
  </w:style>
  <w:style w:type="character" w:customStyle="1" w:styleId="345">
    <w:name w:val="签名 Char1"/>
    <w:basedOn w:val="90"/>
    <w:link w:val="60"/>
    <w:qFormat/>
    <w:uiPriority w:val="0"/>
  </w:style>
  <w:style w:type="character" w:customStyle="1" w:styleId="346">
    <w:name w:val="正文文本 3 Char2"/>
    <w:basedOn w:val="90"/>
    <w:link w:val="34"/>
    <w:qFormat/>
    <w:uiPriority w:val="0"/>
    <w:rPr>
      <w:sz w:val="16"/>
    </w:rPr>
  </w:style>
  <w:style w:type="character" w:customStyle="1" w:styleId="347">
    <w:name w:val="副标题 Char2"/>
    <w:basedOn w:val="90"/>
    <w:link w:val="66"/>
    <w:qFormat/>
    <w:uiPriority w:val="0"/>
    <w:rPr>
      <w:rFonts w:ascii="Cambria" w:hAnsi="Cambria"/>
      <w:b/>
      <w:kern w:val="28"/>
      <w:sz w:val="32"/>
    </w:rPr>
  </w:style>
  <w:style w:type="character" w:customStyle="1" w:styleId="348">
    <w:name w:val="脚注文本 Char2"/>
    <w:basedOn w:val="90"/>
    <w:link w:val="69"/>
    <w:qFormat/>
    <w:uiPriority w:val="0"/>
    <w:rPr>
      <w:sz w:val="18"/>
    </w:rPr>
  </w:style>
  <w:style w:type="character" w:customStyle="1" w:styleId="349">
    <w:name w:val="信息标题 Char1"/>
    <w:basedOn w:val="90"/>
    <w:link w:val="80"/>
    <w:qFormat/>
    <w:uiPriority w:val="0"/>
    <w:rPr>
      <w:rFonts w:ascii="Arial" w:hAnsi="Arial"/>
      <w:sz w:val="24"/>
      <w:shd w:val="pct20" w:color="auto" w:fill="auto"/>
    </w:rPr>
  </w:style>
  <w:style w:type="character" w:customStyle="1" w:styleId="350">
    <w:name w:val="HTML 预设格式 Char3"/>
    <w:basedOn w:val="90"/>
    <w:link w:val="81"/>
    <w:qFormat/>
    <w:uiPriority w:val="0"/>
    <w:rPr>
      <w:rFonts w:ascii="黑体" w:hAnsi="Courier New" w:eastAsia="黑体"/>
    </w:rPr>
  </w:style>
  <w:style w:type="character" w:customStyle="1" w:styleId="351">
    <w:name w:val="批注主题 Char2"/>
    <w:basedOn w:val="343"/>
    <w:link w:val="86"/>
    <w:qFormat/>
    <w:uiPriority w:val="0"/>
    <w:rPr>
      <w:rFonts w:ascii="Calibri" w:hAnsi="Calibri" w:eastAsia="宋体" w:cs="Times New Roman"/>
      <w:b/>
      <w:sz w:val="28"/>
      <w:szCs w:val="20"/>
    </w:rPr>
  </w:style>
  <w:style w:type="paragraph" w:customStyle="1" w:styleId="352">
    <w:name w:val="表1"/>
    <w:basedOn w:val="1"/>
    <w:qFormat/>
    <w:uiPriority w:val="0"/>
    <w:pPr>
      <w:tabs>
        <w:tab w:val="left" w:pos="720"/>
        <w:tab w:val="left" w:pos="851"/>
      </w:tabs>
      <w:overflowPunct w:val="0"/>
      <w:autoSpaceDE w:val="0"/>
      <w:autoSpaceDN w:val="0"/>
      <w:adjustRightInd w:val="0"/>
      <w:spacing w:before="200" w:line="320" w:lineRule="atLeast"/>
      <w:ind w:firstLine="624"/>
      <w:textAlignment w:val="baseline"/>
    </w:pPr>
    <w:rPr>
      <w:kern w:val="0"/>
      <w:sz w:val="24"/>
    </w:rPr>
  </w:style>
  <w:style w:type="paragraph" w:customStyle="1" w:styleId="353">
    <w:name w:val="xl39"/>
    <w:basedOn w:val="1"/>
    <w:qFormat/>
    <w:uiPriority w:val="0"/>
    <w:pPr>
      <w:widowControl/>
      <w:pBdr>
        <w:bottom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54">
    <w:name w:val="6'"/>
    <w:basedOn w:val="1"/>
    <w:qFormat/>
    <w:uiPriority w:val="0"/>
    <w:pPr>
      <w:autoSpaceDE w:val="0"/>
      <w:autoSpaceDN w:val="0"/>
      <w:adjustRightInd w:val="0"/>
      <w:snapToGrid w:val="0"/>
      <w:spacing w:line="320" w:lineRule="exact"/>
      <w:textAlignment w:val="baseline"/>
    </w:pPr>
    <w:rPr>
      <w:spacing w:val="20"/>
      <w:kern w:val="28"/>
      <w:sz w:val="21"/>
    </w:rPr>
  </w:style>
  <w:style w:type="paragraph" w:customStyle="1" w:styleId="355">
    <w:name w:val="正文A"/>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356">
    <w:name w:val="三级条标题"/>
    <w:basedOn w:val="357"/>
    <w:next w:val="359"/>
    <w:qFormat/>
    <w:uiPriority w:val="0"/>
    <w:pPr>
      <w:tabs>
        <w:tab w:val="left" w:pos="360"/>
        <w:tab w:val="left" w:pos="720"/>
        <w:tab w:val="left" w:pos="3600"/>
      </w:tabs>
      <w:ind w:left="2100" w:hanging="420"/>
      <w:jc w:val="left"/>
      <w:outlineLvl w:val="4"/>
    </w:pPr>
    <w:rPr>
      <w:rFonts w:ascii="Times New Roman"/>
      <w:sz w:val="20"/>
    </w:rPr>
  </w:style>
  <w:style w:type="paragraph" w:customStyle="1" w:styleId="357">
    <w:name w:val="二级条标题"/>
    <w:basedOn w:val="358"/>
    <w:next w:val="359"/>
    <w:qFormat/>
    <w:uiPriority w:val="0"/>
    <w:pPr>
      <w:widowControl/>
      <w:tabs>
        <w:tab w:val="left" w:pos="360"/>
      </w:tabs>
      <w:outlineLvl w:val="3"/>
    </w:pPr>
    <w:rPr>
      <w:rFonts w:ascii="黑体" w:eastAsia="黑体"/>
      <w:kern w:val="0"/>
      <w:sz w:val="21"/>
    </w:rPr>
  </w:style>
  <w:style w:type="paragraph" w:customStyle="1" w:styleId="358">
    <w:name w:val="一级条标题"/>
    <w:next w:val="359"/>
    <w:qFormat/>
    <w:uiPriority w:val="0"/>
    <w:pPr>
      <w:outlineLvl w:val="2"/>
    </w:pPr>
    <w:rPr>
      <w:rFonts w:ascii="Calibri" w:hAnsi="Calibri" w:eastAsia="黑体" w:cs="Times New Roman"/>
      <w:sz w:val="21"/>
      <w:lang w:val="en-US" w:eastAsia="zh-CN" w:bidi="ar-SA"/>
    </w:rPr>
  </w:style>
  <w:style w:type="paragraph" w:customStyle="1" w:styleId="359">
    <w:name w:val="段"/>
    <w:qFormat/>
    <w:uiPriority w:val="0"/>
    <w:pPr>
      <w:ind w:firstLine="200" w:firstLineChars="200"/>
      <w:jc w:val="both"/>
    </w:pPr>
    <w:rPr>
      <w:rFonts w:ascii="宋体" w:hAnsi="Calibri" w:eastAsia="宋体" w:cs="Times New Roman"/>
      <w:sz w:val="21"/>
      <w:lang w:val="en-US" w:eastAsia="zh-CN" w:bidi="ar-SA"/>
    </w:rPr>
  </w:style>
  <w:style w:type="paragraph" w:customStyle="1" w:styleId="360">
    <w:name w:val="reader-word-layer"/>
    <w:basedOn w:val="1"/>
    <w:qFormat/>
    <w:uiPriority w:val="0"/>
    <w:pPr>
      <w:widowControl/>
      <w:spacing w:before="100" w:beforeAutospacing="1" w:after="100" w:afterAutospacing="1"/>
      <w:jc w:val="left"/>
    </w:pPr>
    <w:rPr>
      <w:rFonts w:ascii="宋体" w:hAnsi="宋体"/>
      <w:kern w:val="0"/>
      <w:sz w:val="24"/>
    </w:rPr>
  </w:style>
  <w:style w:type="paragraph" w:customStyle="1" w:styleId="361">
    <w:name w:val="样式 居中"/>
    <w:basedOn w:val="1"/>
    <w:qFormat/>
    <w:uiPriority w:val="0"/>
    <w:pPr>
      <w:spacing w:line="360" w:lineRule="auto"/>
      <w:jc w:val="center"/>
    </w:pPr>
    <w:rPr>
      <w:sz w:val="21"/>
    </w:rPr>
  </w:style>
  <w:style w:type="paragraph" w:customStyle="1" w:styleId="362">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3">
    <w:name w:val="正文文本缩进1"/>
    <w:basedOn w:val="1"/>
    <w:qFormat/>
    <w:uiPriority w:val="0"/>
    <w:pPr>
      <w:spacing w:after="120"/>
      <w:ind w:left="420" w:leftChars="200"/>
    </w:pPr>
    <w:rPr>
      <w:sz w:val="21"/>
    </w:rPr>
  </w:style>
  <w:style w:type="paragraph" w:customStyle="1" w:styleId="364">
    <w:name w:val="编号列项（三级）"/>
    <w:qFormat/>
    <w:uiPriority w:val="0"/>
    <w:pPr>
      <w:ind w:left="800" w:leftChars="600" w:hanging="200" w:hangingChars="200"/>
    </w:pPr>
    <w:rPr>
      <w:rFonts w:ascii="宋体" w:hAnsi="Calibri" w:eastAsia="宋体" w:cs="Times New Roman"/>
      <w:lang w:val="en-US" w:eastAsia="zh-CN" w:bidi="ar-SA"/>
    </w:rPr>
  </w:style>
  <w:style w:type="paragraph" w:customStyle="1" w:styleId="365">
    <w:name w:val="正文文本缩进 21"/>
    <w:basedOn w:val="1"/>
    <w:qFormat/>
    <w:uiPriority w:val="0"/>
    <w:pPr>
      <w:adjustRightInd w:val="0"/>
      <w:spacing w:line="400" w:lineRule="atLeast"/>
      <w:ind w:firstLine="540"/>
      <w:textAlignment w:val="baseline"/>
    </w:pPr>
    <w:rPr>
      <w:rFonts w:ascii="宋体"/>
      <w:kern w:val="0"/>
      <w:sz w:val="24"/>
    </w:rPr>
  </w:style>
  <w:style w:type="paragraph" w:customStyle="1" w:styleId="366">
    <w:name w:val="封面标准名称"/>
    <w:qFormat/>
    <w:uiPriority w:val="0"/>
    <w:pPr>
      <w:widowControl w:val="0"/>
      <w:spacing w:line="680" w:lineRule="exact"/>
      <w:jc w:val="center"/>
      <w:textAlignment w:val="center"/>
    </w:pPr>
    <w:rPr>
      <w:rFonts w:ascii="黑体" w:hAnsi="Calibri" w:eastAsia="黑体" w:cs="Times New Roman"/>
      <w:sz w:val="52"/>
      <w:lang w:val="en-US" w:eastAsia="zh-CN" w:bidi="ar-SA"/>
    </w:rPr>
  </w:style>
  <w:style w:type="paragraph" w:customStyle="1" w:styleId="367">
    <w:name w:val="表名A"/>
    <w:basedOn w:val="1"/>
    <w:qFormat/>
    <w:uiPriority w:val="0"/>
    <w:pPr>
      <w:widowControl/>
      <w:tabs>
        <w:tab w:val="left" w:pos="0"/>
      </w:tabs>
      <w:adjustRightInd w:val="0"/>
      <w:snapToGrid w:val="0"/>
      <w:spacing w:beforeLines="80" w:afterLines="20"/>
    </w:pPr>
    <w:rPr>
      <w:b/>
      <w:snapToGrid w:val="0"/>
      <w:kern w:val="0"/>
      <w:sz w:val="21"/>
    </w:rPr>
  </w:style>
  <w:style w:type="paragraph" w:customStyle="1" w:styleId="368">
    <w:name w:val="样式 正文（首行缩进两字） + 首行缩进:  2 字符"/>
    <w:basedOn w:val="11"/>
    <w:qFormat/>
    <w:uiPriority w:val="0"/>
    <w:pPr>
      <w:widowControl w:val="0"/>
      <w:autoSpaceDE w:val="0"/>
      <w:autoSpaceDN w:val="0"/>
      <w:adjustRightInd w:val="0"/>
      <w:spacing w:line="460" w:lineRule="exact"/>
      <w:ind w:firstLine="536"/>
    </w:pPr>
    <w:rPr>
      <w:rFonts w:hint="eastAsia" w:ascii="宋体"/>
      <w:spacing w:val="6"/>
      <w:kern w:val="24"/>
    </w:rPr>
  </w:style>
  <w:style w:type="paragraph" w:customStyle="1" w:styleId="369">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370">
    <w:name w:val="正文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1">
    <w:name w:val="xl5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FF0000"/>
      <w:kern w:val="0"/>
      <w:sz w:val="20"/>
    </w:rPr>
  </w:style>
  <w:style w:type="paragraph" w:customStyle="1" w:styleId="372">
    <w:name w:val="文档结构图1"/>
    <w:basedOn w:val="1"/>
    <w:qFormat/>
    <w:uiPriority w:val="0"/>
    <w:pPr>
      <w:shd w:val="clear" w:color="auto" w:fill="000080"/>
    </w:pPr>
    <w:rPr>
      <w:kern w:val="0"/>
      <w:sz w:val="20"/>
      <w:shd w:val="clear" w:color="auto" w:fill="000080"/>
    </w:rPr>
  </w:style>
  <w:style w:type="paragraph" w:customStyle="1" w:styleId="373">
    <w:name w:val="简单回函地址"/>
    <w:basedOn w:val="1"/>
    <w:qFormat/>
    <w:uiPriority w:val="0"/>
    <w:pPr>
      <w:adjustRightInd w:val="0"/>
      <w:spacing w:line="312" w:lineRule="atLeast"/>
      <w:textAlignment w:val="baseline"/>
    </w:pPr>
    <w:rPr>
      <w:kern w:val="0"/>
      <w:sz w:val="21"/>
    </w:rPr>
  </w:style>
  <w:style w:type="paragraph" w:customStyle="1" w:styleId="374">
    <w:name w:val="Char Char Char Char Char Char3 Char Char Char Char Char Char Char"/>
    <w:basedOn w:val="1"/>
    <w:next w:val="1"/>
    <w:qFormat/>
    <w:uiPriority w:val="0"/>
    <w:rPr>
      <w:rFonts w:eastAsia="黑体"/>
    </w:rPr>
  </w:style>
  <w:style w:type="paragraph" w:customStyle="1" w:styleId="375">
    <w:name w:val="彩色列表 - 强调文字颜色 11"/>
    <w:basedOn w:val="1"/>
    <w:qFormat/>
    <w:uiPriority w:val="0"/>
    <w:pPr>
      <w:spacing w:before="100" w:beforeAutospacing="1" w:after="100" w:afterAutospacing="1" w:line="300" w:lineRule="auto"/>
      <w:ind w:firstLine="420" w:firstLineChars="200"/>
    </w:pPr>
    <w:rPr>
      <w:sz w:val="21"/>
    </w:rPr>
  </w:style>
  <w:style w:type="paragraph" w:customStyle="1" w:styleId="376">
    <w:name w:val="0"/>
    <w:basedOn w:val="1"/>
    <w:qFormat/>
    <w:uiPriority w:val="0"/>
    <w:pPr>
      <w:widowControl/>
    </w:pPr>
    <w:rPr>
      <w:kern w:val="0"/>
      <w:sz w:val="21"/>
    </w:rPr>
  </w:style>
  <w:style w:type="paragraph" w:customStyle="1" w:styleId="377">
    <w:name w:val="正文21"/>
    <w:basedOn w:val="1"/>
    <w:qFormat/>
    <w:uiPriority w:val="0"/>
    <w:pPr>
      <w:adjustRightInd w:val="0"/>
      <w:spacing w:line="420" w:lineRule="atLeast"/>
      <w:textAlignment w:val="baseline"/>
    </w:pPr>
    <w:rPr>
      <w:kern w:val="0"/>
      <w:sz w:val="21"/>
    </w:rPr>
  </w:style>
  <w:style w:type="paragraph" w:customStyle="1" w:styleId="378">
    <w:name w:val="标准书脚_偶数页"/>
    <w:qFormat/>
    <w:uiPriority w:val="0"/>
    <w:pPr>
      <w:spacing w:before="120"/>
    </w:pPr>
    <w:rPr>
      <w:rFonts w:ascii="Calibri" w:hAnsi="Calibri" w:eastAsia="宋体" w:cs="Times New Roman"/>
      <w:sz w:val="18"/>
      <w:lang w:val="en-US" w:eastAsia="zh-CN" w:bidi="ar-SA"/>
    </w:rPr>
  </w:style>
  <w:style w:type="paragraph" w:customStyle="1" w:styleId="379">
    <w:name w:val="目次、索引正文"/>
    <w:qFormat/>
    <w:uiPriority w:val="0"/>
    <w:pPr>
      <w:spacing w:line="320" w:lineRule="exact"/>
      <w:jc w:val="both"/>
    </w:pPr>
    <w:rPr>
      <w:rFonts w:ascii="宋体" w:hAnsi="Calibri" w:eastAsia="宋体" w:cs="Times New Roman"/>
      <w:lang w:val="en-US" w:eastAsia="zh-CN" w:bidi="ar-SA"/>
    </w:rPr>
  </w:style>
  <w:style w:type="paragraph" w:customStyle="1" w:styleId="380">
    <w:name w:val="网格表 31"/>
    <w:basedOn w:val="6"/>
    <w:next w:val="1"/>
    <w:qFormat/>
    <w:uiPriority w:val="0"/>
    <w:pPr>
      <w:keepLines/>
      <w:spacing w:before="480" w:line="276" w:lineRule="auto"/>
      <w:jc w:val="left"/>
      <w:outlineLvl w:val="9"/>
    </w:pPr>
    <w:rPr>
      <w:rFonts w:ascii="Cambria" w:hAnsi="Cambria"/>
      <w:color w:val="365F91"/>
      <w:sz w:val="28"/>
    </w:rPr>
  </w:style>
  <w:style w:type="character" w:customStyle="1" w:styleId="381">
    <w:name w:val="z-窗体底端 Char1"/>
    <w:basedOn w:val="90"/>
    <w:link w:val="214"/>
    <w:qFormat/>
    <w:uiPriority w:val="0"/>
    <w:rPr>
      <w:rFonts w:ascii="Arial" w:hAnsi="Arial"/>
      <w:vanish/>
      <w:sz w:val="16"/>
    </w:rPr>
  </w:style>
  <w:style w:type="paragraph" w:customStyle="1" w:styleId="382">
    <w:name w:val="正文表标题"/>
    <w:next w:val="359"/>
    <w:qFormat/>
    <w:uiPriority w:val="0"/>
    <w:pPr>
      <w:jc w:val="center"/>
    </w:pPr>
    <w:rPr>
      <w:rFonts w:ascii="黑体" w:hAnsi="Calibri" w:eastAsia="黑体" w:cs="Times New Roman"/>
      <w:sz w:val="21"/>
      <w:lang w:val="en-US" w:eastAsia="zh-CN" w:bidi="ar-SA"/>
    </w:rPr>
  </w:style>
  <w:style w:type="paragraph" w:customStyle="1" w:styleId="383">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u w:color="000000"/>
    </w:rPr>
  </w:style>
  <w:style w:type="paragraph" w:customStyle="1" w:styleId="384">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385">
    <w:name w:val="网格表 32"/>
    <w:basedOn w:val="6"/>
    <w:next w:val="1"/>
    <w:qFormat/>
    <w:uiPriority w:val="0"/>
    <w:pPr>
      <w:keepLines/>
      <w:spacing w:before="480" w:line="276" w:lineRule="auto"/>
      <w:jc w:val="left"/>
      <w:outlineLvl w:val="9"/>
    </w:pPr>
    <w:rPr>
      <w:rFonts w:ascii="等线 Light" w:hAnsi="等线 Light" w:eastAsia="等线 Light"/>
      <w:color w:val="2E74B5"/>
      <w:sz w:val="28"/>
    </w:rPr>
  </w:style>
  <w:style w:type="paragraph" w:customStyle="1" w:styleId="386">
    <w:name w:val="四级条标题"/>
    <w:basedOn w:val="356"/>
    <w:next w:val="359"/>
    <w:qFormat/>
    <w:uiPriority w:val="0"/>
    <w:pPr>
      <w:ind w:left="0" w:firstLine="0"/>
      <w:outlineLvl w:val="5"/>
    </w:pPr>
  </w:style>
  <w:style w:type="paragraph" w:customStyle="1" w:styleId="387">
    <w:name w:val="xl5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18"/>
    </w:rPr>
  </w:style>
  <w:style w:type="paragraph" w:customStyle="1" w:styleId="388">
    <w:name w:val="font8"/>
    <w:basedOn w:val="1"/>
    <w:qFormat/>
    <w:uiPriority w:val="0"/>
    <w:pPr>
      <w:widowControl/>
      <w:spacing w:before="100" w:beforeAutospacing="1" w:after="100" w:afterAutospacing="1"/>
    </w:pPr>
    <w:rPr>
      <w:rFonts w:eastAsia="Arial Unicode MS"/>
      <w:kern w:val="0"/>
      <w:sz w:val="24"/>
    </w:rPr>
  </w:style>
  <w:style w:type="paragraph" w:customStyle="1" w:styleId="389">
    <w:name w:val="xl2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90">
    <w:name w:val="彩色列表 - 着色 11"/>
    <w:basedOn w:val="1"/>
    <w:qFormat/>
    <w:uiPriority w:val="0"/>
    <w:pPr>
      <w:widowControl/>
      <w:ind w:firstLine="420" w:firstLineChars="200"/>
      <w:jc w:val="left"/>
    </w:pPr>
    <w:rPr>
      <w:rFonts w:ascii="宋体" w:hAnsi="宋体"/>
      <w:kern w:val="0"/>
      <w:sz w:val="24"/>
    </w:rPr>
  </w:style>
  <w:style w:type="paragraph" w:customStyle="1" w:styleId="391">
    <w:name w:val="Char Char20"/>
    <w:basedOn w:val="1"/>
    <w:qFormat/>
    <w:uiPriority w:val="0"/>
    <w:pPr>
      <w:snapToGrid w:val="0"/>
      <w:spacing w:afterLines="30" w:line="360" w:lineRule="auto"/>
      <w:ind w:firstLine="200" w:firstLineChars="200"/>
    </w:pPr>
    <w:rPr>
      <w:sz w:val="21"/>
    </w:rPr>
  </w:style>
  <w:style w:type="paragraph" w:customStyle="1" w:styleId="392">
    <w:name w:val="附录一级条标题"/>
    <w:basedOn w:val="393"/>
    <w:next w:val="359"/>
    <w:qFormat/>
    <w:uiPriority w:val="0"/>
    <w:pPr>
      <w:tabs>
        <w:tab w:val="left" w:pos="720"/>
        <w:tab w:val="left" w:pos="840"/>
        <w:tab w:val="left" w:pos="1440"/>
      </w:tabs>
      <w:autoSpaceDN w:val="0"/>
      <w:ind w:left="0" w:firstLine="0"/>
      <w:outlineLvl w:val="2"/>
    </w:pPr>
  </w:style>
  <w:style w:type="paragraph" w:customStyle="1" w:styleId="393">
    <w:name w:val="附录章标题"/>
    <w:next w:val="359"/>
    <w:qFormat/>
    <w:uiPriority w:val="0"/>
    <w:pPr>
      <w:tabs>
        <w:tab w:val="left" w:pos="720"/>
        <w:tab w:val="left" w:pos="1440"/>
      </w:tabs>
      <w:wordWrap w:val="0"/>
      <w:overflowPunct w:val="0"/>
      <w:autoSpaceDE w:val="0"/>
      <w:spacing w:beforeLines="50" w:afterLines="50"/>
      <w:ind w:left="840" w:hanging="420"/>
      <w:jc w:val="both"/>
      <w:textAlignment w:val="baseline"/>
      <w:outlineLvl w:val="1"/>
    </w:pPr>
    <w:rPr>
      <w:rFonts w:ascii="黑体" w:hAnsi="Calibri" w:eastAsia="黑体" w:cs="Times New Roman"/>
      <w:kern w:val="21"/>
      <w:lang w:val="en-US" w:eastAsia="zh-CN" w:bidi="ar-SA"/>
    </w:rPr>
  </w:style>
  <w:style w:type="paragraph" w:customStyle="1" w:styleId="394">
    <w:name w:val="表格3"/>
    <w:basedOn w:val="1"/>
    <w:qFormat/>
    <w:uiPriority w:val="0"/>
    <w:pPr>
      <w:adjustRightInd w:val="0"/>
      <w:spacing w:line="420" w:lineRule="atLeast"/>
      <w:textAlignment w:val="baseline"/>
    </w:pPr>
    <w:rPr>
      <w:rFonts w:eastAsia="楷体"/>
      <w:kern w:val="0"/>
      <w:sz w:val="21"/>
    </w:rPr>
  </w:style>
  <w:style w:type="paragraph" w:customStyle="1" w:styleId="395">
    <w:name w:val="样式 一号 加粗 居中"/>
    <w:basedOn w:val="1"/>
    <w:qFormat/>
    <w:uiPriority w:val="0"/>
    <w:pPr>
      <w:jc w:val="center"/>
    </w:pPr>
    <w:rPr>
      <w:sz w:val="52"/>
    </w:rPr>
  </w:style>
  <w:style w:type="paragraph" w:customStyle="1" w:styleId="396">
    <w:name w:val="xl26"/>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kern w:val="0"/>
      <w:sz w:val="24"/>
    </w:rPr>
  </w:style>
  <w:style w:type="paragraph" w:customStyle="1" w:styleId="397">
    <w:name w:val="字母编号列项（一级）"/>
    <w:qFormat/>
    <w:uiPriority w:val="0"/>
    <w:pPr>
      <w:ind w:left="840" w:leftChars="200" w:hanging="420" w:hangingChars="200"/>
      <w:jc w:val="both"/>
    </w:pPr>
    <w:rPr>
      <w:rFonts w:ascii="宋体" w:hAnsi="Calibri" w:eastAsia="宋体" w:cs="Times New Roman"/>
      <w:lang w:val="en-US" w:eastAsia="zh-CN" w:bidi="ar-SA"/>
    </w:rPr>
  </w:style>
  <w:style w:type="paragraph" w:customStyle="1" w:styleId="398">
    <w:name w:val="aspnumfaautoadjustrightr"/>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399">
    <w:name w:val="表格文字居中"/>
    <w:basedOn w:val="1"/>
    <w:qFormat/>
    <w:uiPriority w:val="0"/>
    <w:pPr>
      <w:adjustRightInd w:val="0"/>
      <w:snapToGrid w:val="0"/>
      <w:textAlignment w:val="center"/>
    </w:pPr>
    <w:rPr>
      <w:rFonts w:ascii="宋体"/>
      <w:snapToGrid w:val="0"/>
      <w:spacing w:val="12"/>
      <w:kern w:val="0"/>
      <w:sz w:val="21"/>
    </w:rPr>
  </w:style>
  <w:style w:type="paragraph" w:customStyle="1" w:styleId="400">
    <w:name w:val="p0"/>
    <w:basedOn w:val="1"/>
    <w:qFormat/>
    <w:uiPriority w:val="0"/>
    <w:pPr>
      <w:widowControl/>
      <w:spacing w:before="100" w:beforeAutospacing="1" w:after="100" w:afterAutospacing="1"/>
      <w:jc w:val="left"/>
    </w:pPr>
    <w:rPr>
      <w:rFonts w:ascii="宋体" w:hAnsi="宋体"/>
      <w:kern w:val="0"/>
      <w:sz w:val="24"/>
    </w:rPr>
  </w:style>
  <w:style w:type="paragraph" w:customStyle="1" w:styleId="401">
    <w:name w:val="正文缩进2"/>
    <w:basedOn w:val="1"/>
    <w:qFormat/>
    <w:uiPriority w:val="0"/>
    <w:pPr>
      <w:ind w:firstLine="420"/>
    </w:pPr>
    <w:rPr>
      <w:sz w:val="21"/>
    </w:rPr>
  </w:style>
  <w:style w:type="paragraph" w:customStyle="1" w:styleId="402">
    <w:name w:val="表头"/>
    <w:basedOn w:val="403"/>
    <w:qFormat/>
    <w:uiPriority w:val="0"/>
    <w:pPr>
      <w:spacing w:before="120" w:after="60"/>
    </w:pPr>
    <w:rPr>
      <w:rFonts w:ascii="黑体" w:eastAsia="黑体"/>
      <w:b/>
    </w:rPr>
  </w:style>
  <w:style w:type="paragraph" w:customStyle="1" w:styleId="403">
    <w:name w:val="表格方字"/>
    <w:basedOn w:val="1"/>
    <w:qFormat/>
    <w:uiPriority w:val="0"/>
    <w:pPr>
      <w:adjustRightInd w:val="0"/>
      <w:spacing w:line="420" w:lineRule="atLeast"/>
      <w:textAlignment w:val="baseline"/>
    </w:pPr>
    <w:rPr>
      <w:kern w:val="0"/>
      <w:sz w:val="21"/>
    </w:rPr>
  </w:style>
  <w:style w:type="paragraph" w:customStyle="1" w:styleId="404">
    <w:name w:val="正文段"/>
    <w:basedOn w:val="1"/>
    <w:qFormat/>
    <w:uiPriority w:val="0"/>
    <w:pPr>
      <w:widowControl/>
      <w:snapToGrid w:val="0"/>
      <w:spacing w:afterLines="50"/>
      <w:ind w:firstLine="200" w:firstLineChars="200"/>
    </w:pPr>
    <w:rPr>
      <w:kern w:val="0"/>
      <w:sz w:val="24"/>
    </w:rPr>
  </w:style>
  <w:style w:type="paragraph" w:customStyle="1" w:styleId="405">
    <w:name w:val="正文A Char Char Char"/>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406">
    <w:name w:val="列项●（二级）"/>
    <w:qFormat/>
    <w:uiPriority w:val="0"/>
    <w:pPr>
      <w:tabs>
        <w:tab w:val="left" w:pos="720"/>
        <w:tab w:val="left" w:pos="760"/>
        <w:tab w:val="left" w:pos="840"/>
      </w:tabs>
      <w:ind w:left="600" w:leftChars="400" w:hanging="200" w:hangingChars="200"/>
      <w:jc w:val="both"/>
    </w:pPr>
    <w:rPr>
      <w:rFonts w:ascii="宋体" w:hAnsi="Calibri" w:eastAsia="宋体" w:cs="Times New Roman"/>
      <w:lang w:val="en-US" w:eastAsia="zh-CN" w:bidi="ar-SA"/>
    </w:rPr>
  </w:style>
  <w:style w:type="paragraph" w:customStyle="1" w:styleId="407">
    <w:name w:val="xl560"/>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08">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409">
    <w:name w:val="xl557"/>
    <w:basedOn w:val="1"/>
    <w:qFormat/>
    <w:uiPriority w:val="0"/>
    <w:pPr>
      <w:widowControl/>
      <w:spacing w:before="100" w:beforeAutospacing="1" w:after="100" w:afterAutospacing="1"/>
      <w:jc w:val="left"/>
    </w:pPr>
    <w:rPr>
      <w:rFonts w:ascii="宋体" w:hAnsi="宋体"/>
      <w:color w:val="FF0000"/>
      <w:kern w:val="0"/>
      <w:sz w:val="20"/>
    </w:rPr>
  </w:style>
  <w:style w:type="paragraph" w:customStyle="1" w:styleId="410">
    <w:name w:val="1"/>
    <w:basedOn w:val="1"/>
    <w:qFormat/>
    <w:uiPriority w:val="0"/>
    <w:pPr>
      <w:adjustRightInd w:val="0"/>
      <w:spacing w:before="360" w:after="240" w:line="420" w:lineRule="atLeast"/>
      <w:ind w:firstLine="454"/>
      <w:textAlignment w:val="baseline"/>
    </w:pPr>
    <w:rPr>
      <w:b/>
      <w:kern w:val="0"/>
      <w:sz w:val="21"/>
    </w:rPr>
  </w:style>
  <w:style w:type="paragraph" w:customStyle="1" w:styleId="411">
    <w:name w:val="附录四级条标题"/>
    <w:basedOn w:val="412"/>
    <w:next w:val="359"/>
    <w:qFormat/>
    <w:uiPriority w:val="0"/>
    <w:pPr>
      <w:tabs>
        <w:tab w:val="left" w:pos="720"/>
        <w:tab w:val="left" w:pos="840"/>
        <w:tab w:val="left" w:pos="1440"/>
      </w:tabs>
      <w:outlineLvl w:val="5"/>
    </w:pPr>
  </w:style>
  <w:style w:type="paragraph" w:customStyle="1" w:styleId="412">
    <w:name w:val="附录三级条标题"/>
    <w:basedOn w:val="413"/>
    <w:next w:val="359"/>
    <w:qFormat/>
    <w:uiPriority w:val="0"/>
    <w:pPr>
      <w:tabs>
        <w:tab w:val="left" w:pos="720"/>
        <w:tab w:val="left" w:pos="840"/>
        <w:tab w:val="left" w:pos="1440"/>
      </w:tabs>
      <w:outlineLvl w:val="4"/>
    </w:pPr>
  </w:style>
  <w:style w:type="paragraph" w:customStyle="1" w:styleId="413">
    <w:name w:val="附录二级条标题"/>
    <w:basedOn w:val="392"/>
    <w:next w:val="359"/>
    <w:qFormat/>
    <w:uiPriority w:val="0"/>
    <w:pPr>
      <w:outlineLvl w:val="3"/>
    </w:pPr>
  </w:style>
  <w:style w:type="paragraph" w:customStyle="1" w:styleId="414">
    <w:name w:val="引文目录标题1"/>
    <w:basedOn w:val="1"/>
    <w:next w:val="1"/>
    <w:qFormat/>
    <w:uiPriority w:val="0"/>
    <w:pPr>
      <w:spacing w:before="120"/>
    </w:pPr>
    <w:rPr>
      <w:rFonts w:ascii="Arial" w:hAnsi="Arial"/>
      <w:sz w:val="24"/>
    </w:rPr>
  </w:style>
  <w:style w:type="paragraph" w:customStyle="1" w:styleId="415">
    <w:name w:val="Char Char Char Char Char Char Char Char Char"/>
    <w:basedOn w:val="1"/>
    <w:qFormat/>
    <w:uiPriority w:val="0"/>
    <w:pPr>
      <w:widowControl/>
      <w:spacing w:after="160" w:line="240" w:lineRule="exact"/>
      <w:jc w:val="left"/>
    </w:pPr>
    <w:rPr>
      <w:sz w:val="21"/>
    </w:rPr>
  </w:style>
  <w:style w:type="paragraph" w:customStyle="1" w:styleId="416">
    <w:name w:val="默认段落字体 Para Char Char Char Char"/>
    <w:basedOn w:val="1"/>
    <w:qFormat/>
    <w:uiPriority w:val="0"/>
    <w:pPr>
      <w:spacing w:line="360" w:lineRule="auto"/>
      <w:ind w:firstLine="200" w:firstLineChars="200"/>
    </w:pPr>
    <w:rPr>
      <w:rFonts w:ascii="宋体" w:hAnsi="宋体"/>
      <w:sz w:val="24"/>
    </w:rPr>
  </w:style>
  <w:style w:type="paragraph" w:customStyle="1" w:styleId="417">
    <w:name w:val="Char Char Char1 Char"/>
    <w:basedOn w:val="1"/>
    <w:next w:val="1"/>
    <w:qFormat/>
    <w:uiPriority w:val="0"/>
    <w:rPr>
      <w:sz w:val="21"/>
    </w:rPr>
  </w:style>
  <w:style w:type="paragraph" w:customStyle="1" w:styleId="418">
    <w:name w:val="列出段落3"/>
    <w:basedOn w:val="1"/>
    <w:qFormat/>
    <w:uiPriority w:val="0"/>
    <w:pPr>
      <w:spacing w:before="100" w:beforeAutospacing="1" w:after="100" w:afterAutospacing="1" w:line="300" w:lineRule="auto"/>
      <w:ind w:firstLine="420" w:firstLineChars="200"/>
    </w:pPr>
    <w:rPr>
      <w:sz w:val="21"/>
    </w:rPr>
  </w:style>
  <w:style w:type="paragraph" w:customStyle="1" w:styleId="41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kern w:val="0"/>
      <w:sz w:val="24"/>
    </w:rPr>
  </w:style>
  <w:style w:type="paragraph" w:customStyle="1" w:styleId="420">
    <w:name w:val="实施日期"/>
    <w:basedOn w:val="421"/>
    <w:qFormat/>
    <w:uiPriority w:val="0"/>
    <w:pPr>
      <w:jc w:val="right"/>
    </w:pPr>
  </w:style>
  <w:style w:type="paragraph" w:customStyle="1" w:styleId="421">
    <w:name w:val="发布日期"/>
    <w:qFormat/>
    <w:uiPriority w:val="0"/>
    <w:rPr>
      <w:rFonts w:ascii="Calibri" w:hAnsi="Calibri" w:eastAsia="黑体" w:cs="Times New Roman"/>
      <w:sz w:val="28"/>
      <w:lang w:val="en-US" w:eastAsia="zh-CN" w:bidi="ar-SA"/>
    </w:rPr>
  </w:style>
  <w:style w:type="paragraph" w:customStyle="1" w:styleId="422">
    <w:name w:val="一般格式"/>
    <w:basedOn w:val="1"/>
    <w:qFormat/>
    <w:uiPriority w:val="0"/>
    <w:pPr>
      <w:spacing w:line="360" w:lineRule="auto"/>
      <w:ind w:firstLine="200" w:firstLineChars="200"/>
    </w:pPr>
    <w:rPr>
      <w:sz w:val="24"/>
    </w:rPr>
  </w:style>
  <w:style w:type="paragraph" w:customStyle="1" w:styleId="423">
    <w:name w:val="附录图标题"/>
    <w:next w:val="359"/>
    <w:qFormat/>
    <w:uiPriority w:val="0"/>
    <w:pPr>
      <w:tabs>
        <w:tab w:val="left" w:pos="360"/>
      </w:tabs>
      <w:jc w:val="center"/>
    </w:pPr>
    <w:rPr>
      <w:rFonts w:ascii="黑体" w:hAnsi="Calibri" w:eastAsia="黑体" w:cs="Times New Roman"/>
      <w:sz w:val="21"/>
      <w:lang w:val="en-US" w:eastAsia="zh-CN" w:bidi="ar-SA"/>
    </w:rPr>
  </w:style>
  <w:style w:type="paragraph" w:customStyle="1" w:styleId="424">
    <w:name w:val="1.4"/>
    <w:basedOn w:val="1"/>
    <w:qFormat/>
    <w:uiPriority w:val="0"/>
    <w:pPr>
      <w:widowControl/>
      <w:spacing w:line="288" w:lineRule="auto"/>
      <w:ind w:left="3" w:firstLine="503"/>
    </w:pPr>
    <w:rPr>
      <w:rFonts w:ascii="宋体" w:hAnsi="宋体"/>
      <w:kern w:val="0"/>
      <w:sz w:val="24"/>
    </w:rPr>
  </w:style>
  <w:style w:type="paragraph" w:customStyle="1" w:styleId="425">
    <w:name w:val="正文3"/>
    <w:qFormat/>
    <w:uiPriority w:val="0"/>
    <w:pPr>
      <w:widowControl w:val="0"/>
      <w:adjustRightInd w:val="0"/>
      <w:spacing w:line="360" w:lineRule="atLeast"/>
      <w:textAlignment w:val="baseline"/>
    </w:pPr>
    <w:rPr>
      <w:rFonts w:ascii="宋体" w:hAnsi="Calibri" w:eastAsia="宋体" w:cs="Times New Roman"/>
      <w:sz w:val="34"/>
      <w:lang w:val="en-US" w:eastAsia="zh-CN" w:bidi="ar-SA"/>
    </w:rPr>
  </w:style>
  <w:style w:type="paragraph" w:customStyle="1" w:styleId="426">
    <w:name w:val="p17"/>
    <w:basedOn w:val="1"/>
    <w:qFormat/>
    <w:uiPriority w:val="0"/>
    <w:pPr>
      <w:widowControl/>
      <w:spacing w:before="100" w:after="100" w:line="432" w:lineRule="auto"/>
      <w:jc w:val="left"/>
    </w:pPr>
    <w:rPr>
      <w:rFonts w:ascii="宋体" w:hAnsi="宋体"/>
      <w:kern w:val="0"/>
      <w:sz w:val="27"/>
    </w:rPr>
  </w:style>
  <w:style w:type="paragraph" w:customStyle="1" w:styleId="427">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428">
    <w:name w:val="xl2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429">
    <w:name w:val="xl5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430">
    <w:name w:val="正文缩进3"/>
    <w:basedOn w:val="1"/>
    <w:qFormat/>
    <w:uiPriority w:val="0"/>
    <w:pPr>
      <w:ind w:firstLine="420"/>
    </w:pPr>
    <w:rPr>
      <w:sz w:val="21"/>
    </w:rPr>
  </w:style>
  <w:style w:type="paragraph" w:customStyle="1" w:styleId="431">
    <w:name w:val="五级条标题"/>
    <w:basedOn w:val="386"/>
    <w:next w:val="359"/>
    <w:qFormat/>
    <w:uiPriority w:val="0"/>
    <w:pPr>
      <w:outlineLvl w:val="6"/>
    </w:pPr>
  </w:style>
  <w:style w:type="paragraph" w:customStyle="1" w:styleId="432">
    <w:name w:val="正文文本 31"/>
    <w:basedOn w:val="1"/>
    <w:qFormat/>
    <w:uiPriority w:val="0"/>
    <w:rPr>
      <w:rFonts w:eastAsia="隶书"/>
      <w:kern w:val="0"/>
      <w:sz w:val="24"/>
    </w:rPr>
  </w:style>
  <w:style w:type="paragraph" w:customStyle="1" w:styleId="433">
    <w:name w:val="杭州页脚"/>
    <w:basedOn w:val="1"/>
    <w:qFormat/>
    <w:uiPriority w:val="0"/>
    <w:pPr>
      <w:tabs>
        <w:tab w:val="left" w:pos="340"/>
      </w:tabs>
      <w:adjustRightInd w:val="0"/>
      <w:snapToGrid w:val="0"/>
      <w:ind w:left="340" w:hanging="340"/>
    </w:pPr>
    <w:rPr>
      <w:rFonts w:eastAsia="HYKai U3HK"/>
      <w:sz w:val="20"/>
    </w:rPr>
  </w:style>
  <w:style w:type="paragraph" w:customStyle="1" w:styleId="434">
    <w:name w:val="xl38"/>
    <w:basedOn w:val="1"/>
    <w:qFormat/>
    <w:uiPriority w:val="0"/>
    <w:pPr>
      <w:widowControl/>
      <w:pBdr>
        <w:top w:val="single" w:color="auto" w:sz="4" w:space="0"/>
        <w:bottom w:val="single" w:color="auto" w:sz="8" w:space="0"/>
        <w:right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435">
    <w:name w:val="p16"/>
    <w:basedOn w:val="1"/>
    <w:qFormat/>
    <w:uiPriority w:val="0"/>
    <w:pPr>
      <w:widowControl/>
      <w:spacing w:before="100" w:beforeAutospacing="1" w:after="100" w:afterAutospacing="1"/>
      <w:jc w:val="left"/>
    </w:pPr>
    <w:rPr>
      <w:rFonts w:ascii="宋体" w:hAnsi="宋体"/>
      <w:kern w:val="0"/>
      <w:sz w:val="24"/>
    </w:rPr>
  </w:style>
  <w:style w:type="paragraph" w:customStyle="1" w:styleId="436">
    <w:name w:val="xl5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FF0000"/>
      <w:kern w:val="0"/>
      <w:sz w:val="20"/>
    </w:rPr>
  </w:style>
  <w:style w:type="paragraph" w:customStyle="1" w:styleId="437">
    <w:name w:val="Char Char Char"/>
    <w:basedOn w:val="1"/>
    <w:qFormat/>
    <w:uiPriority w:val="0"/>
    <w:pPr>
      <w:spacing w:line="360" w:lineRule="auto"/>
      <w:ind w:firstLine="200" w:firstLineChars="200"/>
    </w:pPr>
    <w:rPr>
      <w:rFonts w:ascii="宋体" w:hAnsi="宋体"/>
      <w:sz w:val="24"/>
    </w:rPr>
  </w:style>
  <w:style w:type="paragraph" w:customStyle="1" w:styleId="438">
    <w:name w:val="样式 标题 3 + (中文) 黑体 小四 非加粗 段前: 7.8 磅 段后: 0 磅 行距: 固定值 20 磅"/>
    <w:basedOn w:val="8"/>
    <w:qFormat/>
    <w:uiPriority w:val="0"/>
    <w:pPr>
      <w:widowControl w:val="0"/>
      <w:tabs>
        <w:tab w:val="clear" w:pos="720"/>
      </w:tabs>
      <w:spacing w:before="0" w:after="0" w:line="400" w:lineRule="exact"/>
      <w:ind w:left="0" w:firstLine="0"/>
      <w:jc w:val="both"/>
    </w:pPr>
    <w:rPr>
      <w:rFonts w:eastAsia="黑体"/>
      <w:b w:val="0"/>
      <w:kern w:val="2"/>
      <w:sz w:val="24"/>
    </w:rPr>
  </w:style>
  <w:style w:type="paragraph" w:customStyle="1" w:styleId="439">
    <w:name w:val="纯文本1"/>
    <w:basedOn w:val="1"/>
    <w:qFormat/>
    <w:uiPriority w:val="0"/>
    <w:pPr>
      <w:widowControl/>
      <w:jc w:val="left"/>
    </w:pPr>
    <w:rPr>
      <w:rFonts w:ascii="宋体" w:hAnsi="Courier New"/>
      <w:kern w:val="0"/>
      <w:sz w:val="20"/>
    </w:rPr>
  </w:style>
  <w:style w:type="paragraph" w:customStyle="1" w:styleId="440">
    <w:name w:val="正文文本 21"/>
    <w:basedOn w:val="1"/>
    <w:qFormat/>
    <w:uiPriority w:val="0"/>
    <w:pPr>
      <w:adjustRightInd w:val="0"/>
      <w:spacing w:line="300" w:lineRule="auto"/>
      <w:jc w:val="center"/>
    </w:pPr>
    <w:rPr>
      <w:rFonts w:hint="eastAsia" w:ascii="宋体" w:hAnsi="宋体"/>
      <w:sz w:val="24"/>
    </w:rPr>
  </w:style>
  <w:style w:type="paragraph" w:customStyle="1" w:styleId="441">
    <w:name w:val="表格文字2"/>
    <w:basedOn w:val="1"/>
    <w:qFormat/>
    <w:uiPriority w:val="0"/>
    <w:rPr>
      <w:spacing w:val="-4"/>
      <w:sz w:val="24"/>
    </w:rPr>
  </w:style>
  <w:style w:type="paragraph" w:customStyle="1" w:styleId="442">
    <w:name w:val="图表左对齐"/>
    <w:basedOn w:val="1"/>
    <w:qFormat/>
    <w:uiPriority w:val="0"/>
    <w:pPr>
      <w:spacing w:line="360" w:lineRule="exact"/>
      <w:jc w:val="left"/>
    </w:pPr>
    <w:rPr>
      <w:spacing w:val="-10"/>
      <w:sz w:val="24"/>
    </w:rPr>
  </w:style>
  <w:style w:type="paragraph" w:customStyle="1" w:styleId="443">
    <w:name w:val="标准书脚_奇数页"/>
    <w:qFormat/>
    <w:uiPriority w:val="0"/>
    <w:pPr>
      <w:spacing w:before="120"/>
      <w:jc w:val="right"/>
    </w:pPr>
    <w:rPr>
      <w:rFonts w:ascii="Calibri" w:hAnsi="Calibri" w:eastAsia="宋体" w:cs="Times New Roman"/>
      <w:sz w:val="18"/>
      <w:lang w:val="en-US" w:eastAsia="zh-CN" w:bidi="ar-SA"/>
    </w:rPr>
  </w:style>
  <w:style w:type="paragraph" w:customStyle="1" w:styleId="444">
    <w:name w:val="样式 标题 2 + Times New Roman 四号 非加粗 段前: 5 磅 段后: 0 磅 行距: 固定值 20..."/>
    <w:basedOn w:val="7"/>
    <w:qFormat/>
    <w:uiPriority w:val="0"/>
    <w:pPr>
      <w:tabs>
        <w:tab w:val="clear" w:pos="706"/>
      </w:tabs>
      <w:spacing w:before="100" w:line="400" w:lineRule="exact"/>
      <w:ind w:left="0" w:firstLine="0"/>
    </w:pPr>
    <w:rPr>
      <w:rFonts w:ascii="Times New Roman" w:hAnsi="Times New Roman"/>
      <w:b w:val="0"/>
      <w:kern w:val="0"/>
      <w:sz w:val="28"/>
    </w:rPr>
  </w:style>
  <w:style w:type="paragraph" w:customStyle="1" w:styleId="445">
    <w:name w:val="Char Char Char Char Char Char Char"/>
    <w:basedOn w:val="1"/>
    <w:qFormat/>
    <w:uiPriority w:val="0"/>
    <w:pPr>
      <w:widowControl/>
      <w:spacing w:after="160" w:line="240" w:lineRule="exact"/>
      <w:jc w:val="left"/>
    </w:pPr>
    <w:rPr>
      <w:rFonts w:ascii="Verdana" w:hAnsi="Verdana" w:eastAsia="仿宋_GB2312"/>
      <w:kern w:val="0"/>
      <w:sz w:val="30"/>
      <w:lang w:eastAsia="en-US"/>
    </w:rPr>
  </w:style>
  <w:style w:type="paragraph" w:customStyle="1" w:styleId="446">
    <w:name w:val="正文1"/>
    <w:basedOn w:val="1"/>
    <w:qFormat/>
    <w:uiPriority w:val="0"/>
    <w:pPr>
      <w:autoSpaceDE w:val="0"/>
      <w:autoSpaceDN w:val="0"/>
      <w:adjustRightInd w:val="0"/>
      <w:spacing w:before="120" w:line="360" w:lineRule="auto"/>
      <w:ind w:left="1366" w:hanging="686"/>
      <w:textAlignment w:val="baseline"/>
    </w:pPr>
    <w:rPr>
      <w:sz w:val="21"/>
    </w:rPr>
  </w:style>
  <w:style w:type="paragraph" w:customStyle="1" w:styleId="447">
    <w:name w:val="前言、引言标题"/>
    <w:next w:val="1"/>
    <w:qFormat/>
    <w:uiPriority w:val="0"/>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448">
    <w:name w:val="纯文本3"/>
    <w:basedOn w:val="1"/>
    <w:qFormat/>
    <w:uiPriority w:val="0"/>
    <w:pPr>
      <w:widowControl/>
      <w:jc w:val="left"/>
    </w:pPr>
    <w:rPr>
      <w:rFonts w:ascii="宋体" w:hAnsi="Courier New"/>
      <w:kern w:val="0"/>
      <w:sz w:val="20"/>
    </w:rPr>
  </w:style>
  <w:style w:type="paragraph" w:customStyle="1" w:styleId="449">
    <w:name w:val="表格6"/>
    <w:basedOn w:val="1"/>
    <w:qFormat/>
    <w:uiPriority w:val="0"/>
    <w:pPr>
      <w:adjustRightInd w:val="0"/>
      <w:spacing w:line="420" w:lineRule="atLeast"/>
      <w:ind w:left="737"/>
      <w:textAlignment w:val="baseline"/>
    </w:pPr>
    <w:rPr>
      <w:rFonts w:ascii="宋体"/>
      <w:kern w:val="0"/>
      <w:sz w:val="21"/>
    </w:rPr>
  </w:style>
  <w:style w:type="paragraph" w:customStyle="1" w:styleId="450">
    <w:name w:val="reader-word-layer reader-word-s1-8"/>
    <w:basedOn w:val="1"/>
    <w:qFormat/>
    <w:uiPriority w:val="0"/>
    <w:pPr>
      <w:widowControl/>
      <w:spacing w:before="100" w:beforeAutospacing="1" w:after="100" w:afterAutospacing="1"/>
      <w:jc w:val="left"/>
    </w:pPr>
    <w:rPr>
      <w:rFonts w:ascii="宋体" w:hAnsi="宋体"/>
      <w:kern w:val="0"/>
      <w:sz w:val="24"/>
    </w:rPr>
  </w:style>
  <w:style w:type="paragraph" w:customStyle="1" w:styleId="451">
    <w:name w:val="默认段落字体 Para Char Char Char Char Char Char Char Char Char Char Char Char Char"/>
    <w:basedOn w:val="1"/>
    <w:qFormat/>
    <w:uiPriority w:val="0"/>
    <w:rPr>
      <w:sz w:val="21"/>
    </w:rPr>
  </w:style>
  <w:style w:type="paragraph" w:customStyle="1" w:styleId="452">
    <w:name w:val="修订1"/>
    <w:qFormat/>
    <w:uiPriority w:val="0"/>
    <w:rPr>
      <w:rFonts w:ascii="宋体" w:hAnsi="Calibri" w:eastAsia="宋体" w:cs="Times New Roman"/>
      <w:kern w:val="2"/>
      <w:sz w:val="28"/>
      <w:lang w:val="en-US" w:eastAsia="zh-CN" w:bidi="ar-SA"/>
    </w:rPr>
  </w:style>
  <w:style w:type="paragraph" w:customStyle="1" w:styleId="453">
    <w:name w:val="xl5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20"/>
    </w:rPr>
  </w:style>
  <w:style w:type="paragraph" w:customStyle="1" w:styleId="454">
    <w:name w:val="列项◆（三级）"/>
    <w:qFormat/>
    <w:uiPriority w:val="0"/>
    <w:pPr>
      <w:tabs>
        <w:tab w:val="left" w:pos="720"/>
        <w:tab w:val="left" w:pos="960"/>
      </w:tabs>
      <w:ind w:left="800" w:leftChars="600" w:hanging="200" w:hangingChars="200"/>
    </w:pPr>
    <w:rPr>
      <w:rFonts w:ascii="宋体" w:hAnsi="Calibri" w:eastAsia="宋体" w:cs="Times New Roman"/>
      <w:lang w:val="en-US" w:eastAsia="zh-CN" w:bidi="ar-SA"/>
    </w:rPr>
  </w:style>
  <w:style w:type="paragraph" w:customStyle="1" w:styleId="455">
    <w:name w:val="目录3"/>
    <w:basedOn w:val="1"/>
    <w:qFormat/>
    <w:uiPriority w:val="0"/>
    <w:pPr>
      <w:adjustRightInd w:val="0"/>
      <w:spacing w:line="420" w:lineRule="atLeast"/>
      <w:ind w:left="454"/>
      <w:textAlignment w:val="baseline"/>
    </w:pPr>
    <w:rPr>
      <w:kern w:val="0"/>
      <w:sz w:val="21"/>
    </w:rPr>
  </w:style>
  <w:style w:type="paragraph" w:customStyle="1" w:styleId="456">
    <w:name w:val="默认段落字体 Para Char Char Char Char Char Char Char Char Char1 Char Char Char Char"/>
    <w:basedOn w:val="1"/>
    <w:qFormat/>
    <w:uiPriority w:val="0"/>
    <w:rPr>
      <w:rFonts w:ascii="Tahoma" w:hAnsi="Tahoma"/>
      <w:sz w:val="24"/>
    </w:rPr>
  </w:style>
  <w:style w:type="character" w:customStyle="1" w:styleId="457">
    <w:name w:val="z-窗体顶端 Char2"/>
    <w:basedOn w:val="90"/>
    <w:link w:val="321"/>
    <w:qFormat/>
    <w:uiPriority w:val="0"/>
    <w:rPr>
      <w:rFonts w:ascii="Arial" w:hAnsi="Arial"/>
      <w:vanish/>
      <w:sz w:val="16"/>
    </w:rPr>
  </w:style>
  <w:style w:type="paragraph" w:customStyle="1" w:styleId="45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459">
    <w:name w:val="样式3"/>
    <w:basedOn w:val="8"/>
    <w:qFormat/>
    <w:uiPriority w:val="0"/>
    <w:pPr>
      <w:widowControl w:val="0"/>
      <w:tabs>
        <w:tab w:val="clear" w:pos="720"/>
      </w:tabs>
      <w:ind w:left="0" w:firstLine="0"/>
      <w:jc w:val="both"/>
    </w:pPr>
    <w:rPr>
      <w:b w:val="0"/>
      <w:kern w:val="2"/>
      <w:sz w:val="24"/>
    </w:rPr>
  </w:style>
  <w:style w:type="paragraph" w:customStyle="1" w:styleId="460">
    <w:name w:val="样式 居中 行距: 固定值 60 磅"/>
    <w:basedOn w:val="1"/>
    <w:qFormat/>
    <w:uiPriority w:val="0"/>
    <w:pPr>
      <w:spacing w:line="360" w:lineRule="auto"/>
      <w:jc w:val="center"/>
    </w:pPr>
    <w:rPr>
      <w:sz w:val="21"/>
    </w:rPr>
  </w:style>
  <w:style w:type="paragraph" w:customStyle="1" w:styleId="461">
    <w:name w:val="其他发布部门"/>
    <w:basedOn w:val="462"/>
    <w:qFormat/>
    <w:uiPriority w:val="0"/>
    <w:pPr>
      <w:spacing w:line="0" w:lineRule="atLeast"/>
    </w:pPr>
    <w:rPr>
      <w:rFonts w:ascii="黑体" w:eastAsia="黑体"/>
      <w:b w:val="0"/>
    </w:rPr>
  </w:style>
  <w:style w:type="paragraph" w:customStyle="1" w:styleId="462">
    <w:name w:val="发布部门"/>
    <w:next w:val="359"/>
    <w:qFormat/>
    <w:uiPriority w:val="0"/>
    <w:pPr>
      <w:jc w:val="center"/>
    </w:pPr>
    <w:rPr>
      <w:rFonts w:ascii="宋体" w:hAnsi="Calibri" w:eastAsia="宋体" w:cs="Times New Roman"/>
      <w:b/>
      <w:spacing w:val="20"/>
      <w:w w:val="135"/>
      <w:sz w:val="36"/>
      <w:lang w:val="en-US" w:eastAsia="zh-CN" w:bidi="ar-SA"/>
    </w:rPr>
  </w:style>
  <w:style w:type="paragraph" w:customStyle="1" w:styleId="463">
    <w:name w:val="示例"/>
    <w:next w:val="359"/>
    <w:qFormat/>
    <w:uiPriority w:val="0"/>
    <w:pPr>
      <w:tabs>
        <w:tab w:val="left" w:pos="720"/>
        <w:tab w:val="left" w:pos="816"/>
      </w:tabs>
      <w:ind w:firstLine="419" w:firstLineChars="233"/>
      <w:jc w:val="both"/>
    </w:pPr>
    <w:rPr>
      <w:rFonts w:ascii="宋体" w:hAnsi="Calibri" w:eastAsia="宋体" w:cs="Times New Roman"/>
      <w:sz w:val="18"/>
      <w:lang w:val="en-US" w:eastAsia="zh-CN" w:bidi="ar-SA"/>
    </w:rPr>
  </w:style>
  <w:style w:type="paragraph" w:customStyle="1" w:styleId="464">
    <w:name w:val="xl6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华文楷体" w:hAnsi="华文楷体" w:eastAsia="华文楷体"/>
      <w:kern w:val="0"/>
      <w:sz w:val="24"/>
    </w:rPr>
  </w:style>
  <w:style w:type="paragraph" w:customStyle="1" w:styleId="465">
    <w:name w:val="样式 标题 1 + 黑体 三号 非加粗 居中 段前: 6 磅 段后: 6 磅 行距: 固定值 20 磅"/>
    <w:basedOn w:val="6"/>
    <w:qFormat/>
    <w:uiPriority w:val="0"/>
    <w:pPr>
      <w:keepLines/>
      <w:widowControl w:val="0"/>
      <w:spacing w:before="120" w:after="120" w:line="400" w:lineRule="exact"/>
      <w:jc w:val="both"/>
    </w:pPr>
    <w:rPr>
      <w:rFonts w:hAnsi="黑体" w:eastAsia="黑体"/>
      <w:b w:val="0"/>
      <w:kern w:val="44"/>
    </w:rPr>
  </w:style>
  <w:style w:type="paragraph" w:customStyle="1" w:styleId="466">
    <w:name w:val="标题2"/>
    <w:basedOn w:val="1"/>
    <w:qFormat/>
    <w:uiPriority w:val="0"/>
    <w:rPr>
      <w:rFonts w:ascii="宋体" w:hAnsi="宋体"/>
      <w:b/>
      <w:sz w:val="21"/>
    </w:rPr>
  </w:style>
  <w:style w:type="paragraph" w:customStyle="1" w:styleId="467">
    <w:name w:val="Char"/>
    <w:basedOn w:val="1"/>
    <w:qFormat/>
    <w:uiPriority w:val="0"/>
    <w:rPr>
      <w:rFonts w:ascii="仿宋_GB2312" w:eastAsia="仿宋_GB2312"/>
      <w:b/>
      <w:sz w:val="32"/>
    </w:rPr>
  </w:style>
  <w:style w:type="paragraph" w:customStyle="1" w:styleId="468">
    <w:name w:val="无间隔2"/>
    <w:qFormat/>
    <w:uiPriority w:val="0"/>
    <w:rPr>
      <w:rFonts w:ascii="Calibri" w:hAnsi="Calibri" w:eastAsia="宋体" w:cs="Times New Roman"/>
      <w:sz w:val="22"/>
      <w:lang w:val="en-US" w:eastAsia="en-US" w:bidi="ar-SA"/>
    </w:rPr>
  </w:style>
  <w:style w:type="paragraph" w:customStyle="1" w:styleId="469">
    <w:name w:val="xl5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rPr>
  </w:style>
  <w:style w:type="paragraph" w:customStyle="1" w:styleId="470">
    <w:name w:val="Char Char Char 字元 字元"/>
    <w:basedOn w:val="1"/>
    <w:qFormat/>
    <w:uiPriority w:val="0"/>
    <w:rPr>
      <w:rFonts w:ascii="Tahoma" w:hAnsi="Tahoma"/>
      <w:sz w:val="24"/>
    </w:rPr>
  </w:style>
  <w:style w:type="paragraph" w:customStyle="1" w:styleId="471">
    <w:name w:val="标准书眉_偶数页"/>
    <w:basedOn w:val="1"/>
    <w:next w:val="1"/>
    <w:qFormat/>
    <w:uiPriority w:val="0"/>
    <w:pPr>
      <w:widowControl/>
      <w:tabs>
        <w:tab w:val="center" w:pos="4154"/>
        <w:tab w:val="right" w:pos="8306"/>
      </w:tabs>
      <w:spacing w:after="120"/>
    </w:pPr>
    <w:rPr>
      <w:kern w:val="0"/>
      <w:sz w:val="21"/>
    </w:rPr>
  </w:style>
  <w:style w:type="paragraph" w:customStyle="1" w:styleId="47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b/>
      <w:kern w:val="0"/>
      <w:sz w:val="24"/>
    </w:rPr>
  </w:style>
  <w:style w:type="paragraph" w:customStyle="1" w:styleId="473">
    <w:name w:val="样式 正文缩进 + 首行缩进:  2 字符"/>
    <w:basedOn w:val="474"/>
    <w:qFormat/>
    <w:uiPriority w:val="99"/>
    <w:pPr>
      <w:spacing w:line="360" w:lineRule="auto"/>
      <w:ind w:firstLine="200"/>
    </w:pPr>
    <w:rPr>
      <w:rFonts w:ascii="Calibri" w:hAnsi="Calibri"/>
      <w:sz w:val="24"/>
      <w:szCs w:val="24"/>
    </w:rPr>
  </w:style>
  <w:style w:type="paragraph" w:customStyle="1" w:styleId="474">
    <w:name w:val="正文缩进_0"/>
    <w:basedOn w:val="370"/>
    <w:qFormat/>
    <w:uiPriority w:val="0"/>
    <w:pPr>
      <w:ind w:firstLine="420"/>
    </w:pPr>
    <w:rPr>
      <w:rFonts w:ascii="Times New Roman" w:hAnsi="Times New Roman"/>
      <w:kern w:val="0"/>
      <w:szCs w:val="20"/>
    </w:rPr>
  </w:style>
  <w:style w:type="paragraph" w:customStyle="1" w:styleId="475">
    <w:name w:val="列出段落2"/>
    <w:basedOn w:val="1"/>
    <w:qFormat/>
    <w:uiPriority w:val="0"/>
    <w:pPr>
      <w:spacing w:before="100" w:beforeAutospacing="1" w:after="100" w:afterAutospacing="1" w:line="300" w:lineRule="auto"/>
      <w:ind w:firstLine="420" w:firstLineChars="200"/>
    </w:pPr>
    <w:rPr>
      <w:sz w:val="21"/>
    </w:rPr>
  </w:style>
  <w:style w:type="paragraph" w:customStyle="1" w:styleId="476">
    <w:name w:val="xl5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rPr>
  </w:style>
  <w:style w:type="paragraph" w:customStyle="1" w:styleId="477">
    <w:name w:val="font1"/>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78">
    <w:name w:val="表格"/>
    <w:basedOn w:val="1"/>
    <w:qFormat/>
    <w:uiPriority w:val="0"/>
    <w:pPr>
      <w:textAlignment w:val="center"/>
    </w:pPr>
    <w:rPr>
      <w:rFonts w:ascii="华文细黑" w:hAnsi="华文细黑"/>
      <w:kern w:val="0"/>
      <w:sz w:val="21"/>
    </w:rPr>
  </w:style>
  <w:style w:type="paragraph" w:customStyle="1" w:styleId="479">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480">
    <w:name w:val="图表脚注"/>
    <w:next w:val="359"/>
    <w:qFormat/>
    <w:uiPriority w:val="0"/>
    <w:pPr>
      <w:ind w:left="300" w:leftChars="200" w:hanging="100" w:hangingChars="100"/>
      <w:jc w:val="both"/>
    </w:pPr>
    <w:rPr>
      <w:rFonts w:ascii="宋体" w:hAnsi="Calibri" w:eastAsia="宋体" w:cs="Times New Roman"/>
      <w:sz w:val="18"/>
      <w:lang w:val="en-US" w:eastAsia="zh-CN" w:bidi="ar-SA"/>
    </w:rPr>
  </w:style>
  <w:style w:type="paragraph" w:customStyle="1" w:styleId="481">
    <w:name w:val="末级"/>
    <w:basedOn w:val="1"/>
    <w:qFormat/>
    <w:uiPriority w:val="0"/>
    <w:pPr>
      <w:tabs>
        <w:tab w:val="left" w:pos="851"/>
      </w:tabs>
      <w:spacing w:line="360" w:lineRule="auto"/>
      <w:ind w:firstLine="510"/>
    </w:pPr>
    <w:rPr>
      <w:sz w:val="24"/>
    </w:rPr>
  </w:style>
  <w:style w:type="paragraph" w:customStyle="1" w:styleId="482">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483">
    <w:name w:val="Char Char Char Char Char Char Char Char Char Char Char Char Char Char Char Char Char Char Char Char Char Char Char Char Char"/>
    <w:basedOn w:val="1"/>
    <w:qFormat/>
    <w:uiPriority w:val="0"/>
    <w:rPr>
      <w:rFonts w:ascii="Tahoma" w:hAnsi="Tahoma"/>
      <w:sz w:val="24"/>
    </w:rPr>
  </w:style>
  <w:style w:type="paragraph" w:customStyle="1" w:styleId="484">
    <w:name w:val="bold_10"/>
    <w:basedOn w:val="1"/>
    <w:next w:val="1"/>
    <w:qFormat/>
    <w:uiPriority w:val="0"/>
    <w:pPr>
      <w:widowControl/>
    </w:pPr>
    <w:rPr>
      <w:rFonts w:ascii="Arial" w:hAnsi="Arial"/>
      <w:b/>
      <w:kern w:val="0"/>
      <w:sz w:val="20"/>
      <w:lang w:val="en-AU"/>
    </w:rPr>
  </w:style>
  <w:style w:type="paragraph" w:customStyle="1" w:styleId="485">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6">
    <w:name w:val="p18"/>
    <w:basedOn w:val="1"/>
    <w:qFormat/>
    <w:uiPriority w:val="99"/>
    <w:pPr>
      <w:widowControl/>
      <w:spacing w:line="500" w:lineRule="atLeast"/>
      <w:ind w:firstLine="420"/>
    </w:pPr>
    <w:rPr>
      <w:kern w:val="0"/>
      <w:szCs w:val="28"/>
    </w:rPr>
  </w:style>
  <w:style w:type="paragraph" w:customStyle="1" w:styleId="487">
    <w:name w:val="xl5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rPr>
  </w:style>
  <w:style w:type="paragraph" w:customStyle="1" w:styleId="488">
    <w:name w:val="xl5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000000"/>
      <w:kern w:val="0"/>
      <w:sz w:val="20"/>
    </w:rPr>
  </w:style>
  <w:style w:type="paragraph" w:customStyle="1" w:styleId="489">
    <w:name w:val="xl32"/>
    <w:basedOn w:val="1"/>
    <w:qFormat/>
    <w:uiPriority w:val="0"/>
    <w:pPr>
      <w:widowControl/>
      <w:spacing w:before="100" w:beforeAutospacing="1" w:after="100" w:afterAutospacing="1"/>
    </w:pPr>
    <w:rPr>
      <w:rFonts w:ascii="Arial Unicode MS" w:hAnsi="Arial Unicode MS" w:eastAsia="Arial Unicode MS"/>
      <w:b/>
      <w:kern w:val="0"/>
      <w:sz w:val="40"/>
    </w:rPr>
  </w:style>
  <w:style w:type="paragraph" w:customStyle="1" w:styleId="490">
    <w:name w:val="封面一致性程度标识"/>
    <w:qFormat/>
    <w:uiPriority w:val="0"/>
    <w:pPr>
      <w:spacing w:before="440" w:line="400" w:lineRule="exact"/>
      <w:jc w:val="center"/>
    </w:pPr>
    <w:rPr>
      <w:rFonts w:ascii="宋体" w:hAnsi="Calibri" w:eastAsia="宋体" w:cs="Times New Roman"/>
      <w:sz w:val="28"/>
      <w:lang w:val="en-US" w:eastAsia="zh-CN" w:bidi="ar-SA"/>
    </w:rPr>
  </w:style>
  <w:style w:type="paragraph" w:customStyle="1" w:styleId="491">
    <w:name w:val="Char Char3"/>
    <w:basedOn w:val="29"/>
    <w:qFormat/>
    <w:uiPriority w:val="0"/>
    <w:rPr>
      <w:rFonts w:ascii="Tahoma" w:hAnsi="Tahoma"/>
      <w:sz w:val="24"/>
    </w:rPr>
  </w:style>
  <w:style w:type="paragraph" w:customStyle="1" w:styleId="492">
    <w:name w:val="多级符号2"/>
    <w:basedOn w:val="493"/>
    <w:qFormat/>
    <w:uiPriority w:val="0"/>
    <w:pPr>
      <w:outlineLvl w:val="9"/>
    </w:pPr>
    <w:rPr>
      <w:b w:val="0"/>
      <w:sz w:val="24"/>
    </w:rPr>
  </w:style>
  <w:style w:type="paragraph" w:customStyle="1" w:styleId="493">
    <w:name w:val="多级符号1"/>
    <w:basedOn w:val="1"/>
    <w:next w:val="1"/>
    <w:qFormat/>
    <w:uiPriority w:val="0"/>
    <w:pPr>
      <w:spacing w:line="360" w:lineRule="auto"/>
      <w:jc w:val="left"/>
      <w:outlineLvl w:val="0"/>
    </w:pPr>
    <w:rPr>
      <w:rFonts w:eastAsia="仿宋_GB2312"/>
      <w:b/>
      <w:sz w:val="30"/>
    </w:rPr>
  </w:style>
  <w:style w:type="paragraph" w:customStyle="1" w:styleId="494">
    <w:name w:val="reader-word-layer reader-word-s1-9"/>
    <w:basedOn w:val="1"/>
    <w:qFormat/>
    <w:uiPriority w:val="0"/>
    <w:pPr>
      <w:widowControl/>
      <w:spacing w:before="100" w:beforeAutospacing="1" w:after="100" w:afterAutospacing="1"/>
      <w:jc w:val="left"/>
    </w:pPr>
    <w:rPr>
      <w:rFonts w:ascii="宋体" w:hAnsi="宋体"/>
      <w:kern w:val="0"/>
      <w:sz w:val="24"/>
    </w:rPr>
  </w:style>
  <w:style w:type="paragraph" w:customStyle="1" w:styleId="495">
    <w:name w:val="xl29"/>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color w:val="FF0000"/>
      <w:kern w:val="0"/>
      <w:sz w:val="24"/>
    </w:rPr>
  </w:style>
  <w:style w:type="paragraph" w:customStyle="1" w:styleId="496">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497">
    <w:name w:val="彩色底纹 - 着色 11"/>
    <w:qFormat/>
    <w:uiPriority w:val="0"/>
    <w:rPr>
      <w:rFonts w:ascii="Calibri" w:hAnsi="Calibri" w:eastAsia="宋体" w:cs="Times New Roman"/>
      <w:kern w:val="2"/>
      <w:sz w:val="21"/>
      <w:lang w:val="en-US" w:eastAsia="zh-CN" w:bidi="ar-SA"/>
    </w:rPr>
  </w:style>
  <w:style w:type="paragraph" w:customStyle="1" w:styleId="498">
    <w:name w:val="xl5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499">
    <w:name w:val="正文文字缩进 2"/>
    <w:basedOn w:val="1"/>
    <w:qFormat/>
    <w:uiPriority w:val="0"/>
    <w:pPr>
      <w:widowControl/>
      <w:spacing w:line="351" w:lineRule="atLeast"/>
      <w:ind w:firstLine="481"/>
      <w:textAlignment w:val="baseline"/>
    </w:pPr>
    <w:rPr>
      <w:rFonts w:ascii="仿宋_GB2312" w:eastAsia="仿宋_GB2312"/>
      <w:color w:val="000000"/>
      <w:kern w:val="0"/>
      <w:sz w:val="24"/>
      <w:u w:color="000000"/>
    </w:rPr>
  </w:style>
  <w:style w:type="paragraph" w:customStyle="1" w:styleId="500">
    <w:name w:val="xl558"/>
    <w:basedOn w:val="1"/>
    <w:qFormat/>
    <w:uiPriority w:val="0"/>
    <w:pPr>
      <w:widowControl/>
      <w:spacing w:before="100" w:beforeAutospacing="1" w:after="100" w:afterAutospacing="1"/>
      <w:jc w:val="left"/>
    </w:pPr>
    <w:rPr>
      <w:rFonts w:ascii="宋体" w:hAnsi="宋体"/>
      <w:kern w:val="0"/>
      <w:sz w:val="20"/>
    </w:rPr>
  </w:style>
  <w:style w:type="paragraph" w:customStyle="1" w:styleId="501">
    <w:name w:val="Table textB"/>
    <w:basedOn w:val="1"/>
    <w:next w:val="1"/>
    <w:qFormat/>
    <w:uiPriority w:val="0"/>
    <w:pPr>
      <w:widowControl/>
      <w:spacing w:before="80" w:after="80"/>
      <w:jc w:val="center"/>
    </w:pPr>
    <w:rPr>
      <w:rFonts w:ascii="Arial" w:hAnsi="Arial"/>
      <w:b/>
      <w:spacing w:val="-5"/>
      <w:kern w:val="0"/>
      <w:sz w:val="18"/>
    </w:rPr>
  </w:style>
  <w:style w:type="paragraph" w:customStyle="1" w:styleId="502">
    <w:name w:val="封面标准代替信息"/>
    <w:basedOn w:val="503"/>
    <w:qFormat/>
    <w:uiPriority w:val="0"/>
    <w:pPr>
      <w:spacing w:before="57"/>
    </w:pPr>
    <w:rPr>
      <w:rFonts w:ascii="宋体"/>
      <w:sz w:val="21"/>
    </w:rPr>
  </w:style>
  <w:style w:type="paragraph" w:customStyle="1" w:styleId="503">
    <w:name w:val="封面标准号2"/>
    <w:basedOn w:val="504"/>
    <w:qFormat/>
    <w:uiPriority w:val="0"/>
    <w:pPr>
      <w:adjustRightInd w:val="0"/>
      <w:spacing w:before="357" w:line="280" w:lineRule="exact"/>
    </w:pPr>
  </w:style>
  <w:style w:type="paragraph" w:customStyle="1" w:styleId="504">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505">
    <w:name w:val="flName"/>
    <w:basedOn w:val="1"/>
    <w:qFormat/>
    <w:uiPriority w:val="0"/>
    <w:pPr>
      <w:adjustRightInd w:val="0"/>
      <w:spacing w:before="320" w:after="160" w:line="360" w:lineRule="atLeast"/>
      <w:jc w:val="center"/>
      <w:textAlignment w:val="baseline"/>
    </w:pPr>
    <w:rPr>
      <w:rFonts w:ascii="Arial" w:eastAsia="黑体"/>
      <w:kern w:val="0"/>
      <w:sz w:val="32"/>
    </w:rPr>
  </w:style>
  <w:style w:type="paragraph" w:customStyle="1" w:styleId="506">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507">
    <w:name w:val="目次、标准名称标题"/>
    <w:basedOn w:val="1"/>
    <w:next w:val="359"/>
    <w:qFormat/>
    <w:uiPriority w:val="0"/>
    <w:pPr>
      <w:widowControl/>
      <w:shd w:val="clear" w:color="FFFFFF" w:fill="FFFFFF"/>
      <w:spacing w:before="640" w:after="560" w:line="460" w:lineRule="exact"/>
      <w:jc w:val="center"/>
      <w:outlineLvl w:val="0"/>
    </w:pPr>
    <w:rPr>
      <w:rFonts w:ascii="黑体" w:eastAsia="黑体"/>
      <w:kern w:val="0"/>
      <w:sz w:val="32"/>
    </w:rPr>
  </w:style>
  <w:style w:type="paragraph" w:customStyle="1" w:styleId="508">
    <w:name w:val="表中"/>
    <w:basedOn w:val="1"/>
    <w:qFormat/>
    <w:uiPriority w:val="0"/>
    <w:pPr>
      <w:autoSpaceDE w:val="0"/>
      <w:autoSpaceDN w:val="0"/>
      <w:adjustRightInd w:val="0"/>
      <w:spacing w:line="360" w:lineRule="atLeast"/>
    </w:pPr>
    <w:rPr>
      <w:rFonts w:ascii="宋体"/>
      <w:kern w:val="0"/>
      <w:sz w:val="21"/>
    </w:rPr>
  </w:style>
  <w:style w:type="paragraph" w:customStyle="1" w:styleId="509">
    <w:name w:val="1 Char Char Char"/>
    <w:basedOn w:val="1"/>
    <w:next w:val="8"/>
    <w:qFormat/>
    <w:uiPriority w:val="0"/>
    <w:pPr>
      <w:spacing w:line="500" w:lineRule="exact"/>
      <w:ind w:firstLine="200"/>
      <w:jc w:val="center"/>
    </w:pPr>
    <w:rPr>
      <w:rFonts w:ascii="仿宋_GB2312" w:hAnsi="Arial" w:eastAsia="仿宋_GB2312"/>
      <w:sz w:val="32"/>
    </w:rPr>
  </w:style>
  <w:style w:type="paragraph" w:customStyle="1" w:styleId="510">
    <w:name w:val="样式2"/>
    <w:basedOn w:val="74"/>
    <w:qFormat/>
    <w:uiPriority w:val="0"/>
    <w:pPr>
      <w:ind w:left="200" w:leftChars="200" w:hanging="200" w:hangingChars="200"/>
      <w:jc w:val="both"/>
    </w:pPr>
    <w:rPr>
      <w:rFonts w:ascii="Times New Roman" w:hAnsi="Times New Roman"/>
      <w:smallCaps w:val="0"/>
      <w:sz w:val="21"/>
    </w:rPr>
  </w:style>
  <w:style w:type="paragraph" w:customStyle="1" w:styleId="511">
    <w:name w:val="样式 标题 4 + 五号"/>
    <w:basedOn w:val="9"/>
    <w:qFormat/>
    <w:uiPriority w:val="0"/>
    <w:rPr>
      <w:kern w:val="0"/>
      <w:sz w:val="21"/>
    </w:rPr>
  </w:style>
  <w:style w:type="paragraph" w:customStyle="1" w:styleId="51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olor w:val="FF0000"/>
      <w:kern w:val="0"/>
      <w:sz w:val="24"/>
    </w:rPr>
  </w:style>
  <w:style w:type="paragraph" w:customStyle="1" w:styleId="513">
    <w:name w:val="字元 字元 Char Char Char 字元 字元 Char 字元 字元 Char Char 字元 字元1 Char Char Char Char Char Char 字元 字元"/>
    <w:basedOn w:val="1"/>
    <w:qFormat/>
    <w:uiPriority w:val="0"/>
    <w:rPr>
      <w:rFonts w:ascii="Tahoma" w:hAnsi="Tahoma"/>
      <w:sz w:val="24"/>
    </w:rPr>
  </w:style>
  <w:style w:type="paragraph" w:customStyle="1" w:styleId="514">
    <w:name w:val="Default"/>
    <w:qFormat/>
    <w:uiPriority w:val="0"/>
    <w:pPr>
      <w:widowControl w:val="0"/>
      <w:autoSpaceDE w:val="0"/>
      <w:autoSpaceDN w:val="0"/>
      <w:adjustRightInd w:val="0"/>
    </w:pPr>
    <w:rPr>
      <w:rFonts w:ascii="Arial" w:hAnsi="Arial" w:eastAsia="宋体" w:cs="Times New Roman"/>
      <w:color w:val="000000"/>
      <w:sz w:val="24"/>
      <w:lang w:val="en-US" w:eastAsia="zh-CN" w:bidi="ar-SA"/>
    </w:rPr>
  </w:style>
  <w:style w:type="paragraph" w:customStyle="1" w:styleId="515">
    <w:name w:val="Char11"/>
    <w:basedOn w:val="1"/>
    <w:qFormat/>
    <w:uiPriority w:val="0"/>
    <w:pPr>
      <w:widowControl/>
      <w:spacing w:after="160" w:line="240" w:lineRule="exact"/>
      <w:jc w:val="left"/>
    </w:pPr>
    <w:rPr>
      <w:rFonts w:ascii="Tahoma" w:hAnsi="Tahoma"/>
      <w:kern w:val="0"/>
      <w:sz w:val="24"/>
      <w:lang w:eastAsia="en-US"/>
    </w:rPr>
  </w:style>
  <w:style w:type="paragraph" w:customStyle="1" w:styleId="516">
    <w:name w:val="数字编号列项（二级）"/>
    <w:qFormat/>
    <w:uiPriority w:val="0"/>
    <w:pPr>
      <w:ind w:left="1260" w:leftChars="400" w:hanging="420" w:hangingChars="200"/>
      <w:jc w:val="both"/>
    </w:pPr>
    <w:rPr>
      <w:rFonts w:ascii="宋体" w:hAnsi="Calibri" w:eastAsia="宋体" w:cs="Times New Roman"/>
      <w:lang w:val="en-US" w:eastAsia="zh-CN" w:bidi="ar-SA"/>
    </w:rPr>
  </w:style>
  <w:style w:type="paragraph" w:customStyle="1" w:styleId="517">
    <w:name w:val="Char Char Char1 Char Char Char Char Char Char Char Char Char Char Char Char Char"/>
    <w:basedOn w:val="1"/>
    <w:qFormat/>
    <w:uiPriority w:val="0"/>
    <w:rPr>
      <w:rFonts w:ascii="Tahoma" w:hAnsi="Tahoma"/>
      <w:sz w:val="24"/>
    </w:rPr>
  </w:style>
  <w:style w:type="paragraph" w:customStyle="1" w:styleId="518">
    <w:name w:val="参考文献、索引标题"/>
    <w:basedOn w:val="447"/>
    <w:next w:val="1"/>
    <w:qFormat/>
    <w:uiPriority w:val="0"/>
    <w:pPr>
      <w:spacing w:after="200"/>
    </w:pPr>
    <w:rPr>
      <w:sz w:val="21"/>
    </w:rPr>
  </w:style>
  <w:style w:type="paragraph" w:customStyle="1" w:styleId="519">
    <w:name w:val="xl36"/>
    <w:basedOn w:val="1"/>
    <w:qFormat/>
    <w:uiPriority w:val="0"/>
    <w:pPr>
      <w:widowControl/>
      <w:pBdr>
        <w:top w:val="single" w:color="auto" w:sz="4" w:space="0"/>
        <w:left w:val="single" w:color="auto" w:sz="8"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20">
    <w:name w:val="xl33"/>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21">
    <w:name w:val="纯文本2"/>
    <w:basedOn w:val="1"/>
    <w:qFormat/>
    <w:uiPriority w:val="0"/>
    <w:pPr>
      <w:adjustRightInd w:val="0"/>
      <w:spacing w:line="360" w:lineRule="atLeast"/>
      <w:textAlignment w:val="baseline"/>
    </w:pPr>
    <w:rPr>
      <w:rFonts w:ascii="宋体" w:hAnsi="Courier New"/>
    </w:rPr>
  </w:style>
  <w:style w:type="paragraph" w:customStyle="1" w:styleId="522">
    <w:name w:val="Körper"/>
    <w:basedOn w:val="1"/>
    <w:qFormat/>
    <w:uiPriority w:val="0"/>
    <w:pPr>
      <w:widowControl/>
      <w:spacing w:before="120" w:line="240" w:lineRule="exact"/>
    </w:pPr>
    <w:rPr>
      <w:rFonts w:ascii="Arial" w:hAnsi="Arial"/>
      <w:kern w:val="0"/>
      <w:sz w:val="20"/>
      <w:lang w:val="de-DE" w:eastAsia="de-DE"/>
    </w:rPr>
  </w:style>
  <w:style w:type="paragraph" w:customStyle="1" w:styleId="523">
    <w:name w:val="2"/>
    <w:basedOn w:val="1"/>
    <w:qFormat/>
    <w:uiPriority w:val="0"/>
    <w:rPr>
      <w:rFonts w:ascii="Tahoma" w:hAnsi="Tahoma"/>
      <w:sz w:val="24"/>
    </w:rPr>
  </w:style>
  <w:style w:type="paragraph" w:customStyle="1" w:styleId="524">
    <w:name w:val="正文2 Char Char Char Char Char Char Char Char Char Char Char Char1 Char Char Char Char Char Char Char Char1 Char Char Char Char Char Char"/>
    <w:basedOn w:val="1"/>
    <w:qFormat/>
    <w:uiPriority w:val="0"/>
    <w:pPr>
      <w:widowControl/>
      <w:spacing w:line="400" w:lineRule="exact"/>
    </w:pPr>
    <w:rPr>
      <w:rFonts w:ascii="Verdana" w:hAnsi="Verdana" w:eastAsia="楷体_GB2312"/>
      <w:kern w:val="0"/>
      <w:lang w:eastAsia="en-US"/>
    </w:rPr>
  </w:style>
  <w:style w:type="paragraph" w:customStyle="1" w:styleId="525">
    <w:name w:val="金宏发行正文 Char"/>
    <w:basedOn w:val="1"/>
    <w:qFormat/>
    <w:uiPriority w:val="99"/>
    <w:pPr>
      <w:spacing w:line="500" w:lineRule="atLeast"/>
      <w:ind w:firstLine="560" w:firstLineChars="200"/>
    </w:pPr>
    <w:rPr>
      <w:rFonts w:ascii="Times New Roman" w:hAnsi="Times New Roman" w:eastAsia="仿宋_GB2312"/>
      <w:szCs w:val="28"/>
    </w:rPr>
  </w:style>
  <w:style w:type="paragraph" w:customStyle="1" w:styleId="526">
    <w:name w:val="样式 三号 加粗 居中"/>
    <w:basedOn w:val="1"/>
    <w:qFormat/>
    <w:uiPriority w:val="0"/>
    <w:pPr>
      <w:spacing w:line="360" w:lineRule="auto"/>
      <w:jc w:val="center"/>
    </w:pPr>
    <w:rPr>
      <w:b/>
      <w:sz w:val="32"/>
    </w:rPr>
  </w:style>
  <w:style w:type="paragraph" w:customStyle="1" w:styleId="527">
    <w:name w:val="标准称谓"/>
    <w:next w:val="1"/>
    <w:qFormat/>
    <w:uiPriority w:val="0"/>
    <w:pPr>
      <w:widowControl w:val="0"/>
      <w:kinsoku w:val="0"/>
      <w:overflowPunct w:val="0"/>
      <w:autoSpaceDE w:val="0"/>
      <w:autoSpaceDN w:val="0"/>
      <w:spacing w:line="0" w:lineRule="atLeast"/>
      <w:jc w:val="distribute"/>
    </w:pPr>
    <w:rPr>
      <w:rFonts w:ascii="宋体" w:hAnsi="Calibri" w:eastAsia="宋体" w:cs="Times New Roman"/>
      <w:b/>
      <w:spacing w:val="20"/>
      <w:w w:val="148"/>
      <w:sz w:val="52"/>
      <w:lang w:val="en-US" w:eastAsia="zh-CN" w:bidi="ar-SA"/>
    </w:rPr>
  </w:style>
  <w:style w:type="paragraph" w:customStyle="1" w:styleId="528">
    <w:name w:val="标准书眉_奇数页"/>
    <w:next w:val="1"/>
    <w:qFormat/>
    <w:uiPriority w:val="0"/>
    <w:pPr>
      <w:tabs>
        <w:tab w:val="center" w:pos="4154"/>
        <w:tab w:val="right" w:pos="8306"/>
      </w:tabs>
      <w:spacing w:after="120"/>
      <w:jc w:val="right"/>
    </w:pPr>
    <w:rPr>
      <w:rFonts w:ascii="Calibri" w:hAnsi="Calibri" w:eastAsia="宋体" w:cs="Times New Roman"/>
      <w:sz w:val="21"/>
      <w:lang w:val="en-US" w:eastAsia="zh-CN" w:bidi="ar-SA"/>
    </w:rPr>
  </w:style>
  <w:style w:type="paragraph" w:customStyle="1" w:styleId="529">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0">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1">
    <w:name w:val="xl31"/>
    <w:basedOn w:val="1"/>
    <w:qFormat/>
    <w:uiPriority w:val="0"/>
    <w:pPr>
      <w:widowControl/>
      <w:pBdr>
        <w:bottom w:val="single" w:color="auto" w:sz="4" w:space="0"/>
      </w:pBdr>
      <w:spacing w:before="100" w:beforeAutospacing="1" w:after="100" w:afterAutospacing="1"/>
      <w:jc w:val="center"/>
    </w:pPr>
    <w:rPr>
      <w:rFonts w:ascii="宋体" w:hAnsi="宋体"/>
      <w:kern w:val="0"/>
      <w:sz w:val="24"/>
    </w:rPr>
  </w:style>
  <w:style w:type="paragraph" w:customStyle="1" w:styleId="532">
    <w:name w:val="修订2"/>
    <w:qFormat/>
    <w:uiPriority w:val="0"/>
    <w:rPr>
      <w:rFonts w:ascii="Calibri" w:hAnsi="Calibri" w:eastAsia="宋体" w:cs="Times New Roman"/>
      <w:kern w:val="2"/>
      <w:sz w:val="28"/>
      <w:lang w:val="en-US" w:eastAsia="zh-CN" w:bidi="ar-SA"/>
    </w:rPr>
  </w:style>
  <w:style w:type="paragraph" w:customStyle="1" w:styleId="533">
    <w:name w:val="标题4"/>
    <w:basedOn w:val="1"/>
    <w:qFormat/>
    <w:uiPriority w:val="0"/>
    <w:rPr>
      <w:rFonts w:eastAsia="仿宋_GB2312"/>
      <w:sz w:val="32"/>
    </w:rPr>
  </w:style>
  <w:style w:type="paragraph" w:customStyle="1" w:styleId="534">
    <w:name w:val="3级"/>
    <w:basedOn w:val="1"/>
    <w:qFormat/>
    <w:uiPriority w:val="0"/>
    <w:pPr>
      <w:snapToGrid w:val="0"/>
      <w:spacing w:afterLines="30" w:line="360" w:lineRule="auto"/>
      <w:ind w:firstLine="200" w:firstLineChars="200"/>
    </w:pPr>
    <w:rPr>
      <w:rFonts w:ascii="宋体" w:hAnsi="Tahoma"/>
      <w:b/>
      <w:color w:val="0000FF"/>
    </w:rPr>
  </w:style>
  <w:style w:type="paragraph" w:customStyle="1" w:styleId="535">
    <w:name w:val="章标题"/>
    <w:next w:val="359"/>
    <w:qFormat/>
    <w:uiPriority w:val="0"/>
    <w:pPr>
      <w:tabs>
        <w:tab w:val="left" w:pos="420"/>
        <w:tab w:val="left" w:pos="480"/>
      </w:tabs>
      <w:spacing w:beforeLines="50" w:afterLines="50"/>
      <w:ind w:left="480" w:hanging="480"/>
      <w:jc w:val="both"/>
      <w:outlineLvl w:val="1"/>
    </w:pPr>
    <w:rPr>
      <w:rFonts w:ascii="黑体" w:hAnsi="Calibri" w:eastAsia="黑体" w:cs="Times New Roman"/>
      <w:b/>
      <w:lang w:val="en-US" w:eastAsia="zh-CN" w:bidi="ar-SA"/>
    </w:rPr>
  </w:style>
  <w:style w:type="paragraph" w:customStyle="1" w:styleId="536">
    <w:name w:val="xl3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37">
    <w:name w:val="图表小四中对齐"/>
    <w:basedOn w:val="1"/>
    <w:qFormat/>
    <w:uiPriority w:val="0"/>
    <w:pPr>
      <w:adjustRightInd w:val="0"/>
      <w:spacing w:line="360" w:lineRule="exact"/>
      <w:jc w:val="center"/>
      <w:textAlignment w:val="baseline"/>
    </w:pPr>
    <w:rPr>
      <w:color w:val="000000"/>
      <w:spacing w:val="-10"/>
      <w:sz w:val="24"/>
    </w:rPr>
  </w:style>
  <w:style w:type="paragraph" w:customStyle="1" w:styleId="538">
    <w:name w:val="标准书眉一"/>
    <w:qFormat/>
    <w:uiPriority w:val="0"/>
    <w:pPr>
      <w:jc w:val="both"/>
    </w:pPr>
    <w:rPr>
      <w:rFonts w:ascii="Calibri" w:hAnsi="Calibri" w:eastAsia="宋体" w:cs="Times New Roman"/>
      <w:lang w:val="en-US" w:eastAsia="zh-CN" w:bidi="ar-SA"/>
    </w:rPr>
  </w:style>
  <w:style w:type="paragraph" w:customStyle="1" w:styleId="539">
    <w:name w:val="Char Char Char Char Char Char3 Char Char Char Char Char Char Char Char Char Char"/>
    <w:basedOn w:val="1"/>
    <w:next w:val="1"/>
    <w:qFormat/>
    <w:uiPriority w:val="0"/>
    <w:rPr>
      <w:rFonts w:eastAsia="黑体"/>
    </w:rPr>
  </w:style>
  <w:style w:type="paragraph" w:customStyle="1" w:styleId="540">
    <w:name w:val="xl5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41">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542">
    <w:name w:val="Char Char Char Char1"/>
    <w:basedOn w:val="1"/>
    <w:qFormat/>
    <w:uiPriority w:val="0"/>
    <w:rPr>
      <w:sz w:val="21"/>
    </w:rPr>
  </w:style>
  <w:style w:type="paragraph" w:customStyle="1" w:styleId="543">
    <w:name w:val="表文C"/>
    <w:basedOn w:val="1"/>
    <w:qFormat/>
    <w:uiPriority w:val="0"/>
    <w:pPr>
      <w:widowControl/>
      <w:tabs>
        <w:tab w:val="left" w:pos="0"/>
      </w:tabs>
      <w:adjustRightInd w:val="0"/>
      <w:snapToGrid w:val="0"/>
    </w:pPr>
    <w:rPr>
      <w:snapToGrid w:val="0"/>
      <w:kern w:val="0"/>
      <w:sz w:val="21"/>
    </w:rPr>
  </w:style>
  <w:style w:type="paragraph" w:customStyle="1" w:styleId="544">
    <w:name w:val="_Style 3"/>
    <w:qFormat/>
    <w:uiPriority w:val="0"/>
    <w:rPr>
      <w:rFonts w:ascii="Calibri" w:hAnsi="Calibri" w:eastAsia="宋体" w:cs="Times New Roman"/>
      <w:sz w:val="22"/>
      <w:szCs w:val="22"/>
      <w:lang w:val="en-US" w:eastAsia="zh-CN" w:bidi="ar-SA"/>
    </w:rPr>
  </w:style>
  <w:style w:type="paragraph" w:customStyle="1" w:styleId="545">
    <w:name w:val="font0"/>
    <w:basedOn w:val="1"/>
    <w:qFormat/>
    <w:uiPriority w:val="0"/>
    <w:pPr>
      <w:widowControl/>
      <w:spacing w:before="100" w:beforeAutospacing="1" w:after="100" w:afterAutospacing="1"/>
    </w:pPr>
    <w:rPr>
      <w:rFonts w:hint="eastAsia" w:ascii="宋体" w:hAnsi="宋体"/>
      <w:kern w:val="0"/>
      <w:sz w:val="24"/>
    </w:rPr>
  </w:style>
  <w:style w:type="paragraph" w:customStyle="1" w:styleId="546">
    <w:name w:val="注×："/>
    <w:qFormat/>
    <w:uiPriority w:val="0"/>
    <w:pPr>
      <w:widowControl w:val="0"/>
      <w:tabs>
        <w:tab w:val="left" w:pos="630"/>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47">
    <w:name w:val="投标正文"/>
    <w:basedOn w:val="1"/>
    <w:qFormat/>
    <w:uiPriority w:val="0"/>
    <w:pPr>
      <w:spacing w:line="360" w:lineRule="auto"/>
      <w:ind w:left="100" w:firstLine="480" w:firstLineChars="200"/>
    </w:pPr>
    <w:rPr>
      <w:sz w:val="24"/>
      <w:szCs w:val="24"/>
    </w:rPr>
  </w:style>
  <w:style w:type="paragraph" w:customStyle="1" w:styleId="548">
    <w:name w:val="标题 0"/>
    <w:basedOn w:val="6"/>
    <w:qFormat/>
    <w:uiPriority w:val="0"/>
    <w:pPr>
      <w:keepNext w:val="0"/>
      <w:widowControl w:val="0"/>
      <w:autoSpaceDE w:val="0"/>
      <w:autoSpaceDN w:val="0"/>
      <w:adjustRightInd w:val="0"/>
      <w:spacing w:line="240" w:lineRule="auto"/>
      <w:jc w:val="left"/>
    </w:pPr>
    <w:rPr>
      <w:rFonts w:ascii="宋体"/>
      <w:snapToGrid w:val="0"/>
      <w:color w:val="000000"/>
      <w:sz w:val="44"/>
    </w:rPr>
  </w:style>
  <w:style w:type="paragraph" w:customStyle="1" w:styleId="549">
    <w:name w:val="标准标志"/>
    <w:next w:val="1"/>
    <w:qFormat/>
    <w:uiPriority w:val="0"/>
    <w:pPr>
      <w:shd w:val="solid" w:color="FFFFFF" w:fill="FFFFFF"/>
      <w:spacing w:line="0" w:lineRule="atLeast"/>
      <w:jc w:val="right"/>
    </w:pPr>
    <w:rPr>
      <w:rFonts w:ascii="Calibri" w:hAnsi="Calibri" w:eastAsia="宋体" w:cs="Times New Roman"/>
      <w:b/>
      <w:w w:val="130"/>
      <w:sz w:val="96"/>
      <w:lang w:val="en-US" w:eastAsia="zh-CN" w:bidi="ar-SA"/>
    </w:rPr>
  </w:style>
  <w:style w:type="paragraph" w:customStyle="1" w:styleId="550">
    <w:name w:val="条文脚注"/>
    <w:basedOn w:val="69"/>
    <w:qFormat/>
    <w:uiPriority w:val="0"/>
    <w:pPr>
      <w:ind w:left="780" w:leftChars="200" w:hanging="360" w:hangingChars="200"/>
      <w:jc w:val="both"/>
    </w:pPr>
    <w:rPr>
      <w:rFonts w:ascii="宋体"/>
    </w:rPr>
  </w:style>
  <w:style w:type="paragraph" w:customStyle="1" w:styleId="551">
    <w:name w:val="HTML 地址1"/>
    <w:basedOn w:val="1"/>
    <w:qFormat/>
    <w:uiPriority w:val="0"/>
    <w:rPr>
      <w:i/>
      <w:kern w:val="0"/>
      <w:sz w:val="20"/>
    </w:rPr>
  </w:style>
  <w:style w:type="paragraph" w:customStyle="1" w:styleId="552">
    <w:name w:val="表格5"/>
    <w:basedOn w:val="553"/>
    <w:qFormat/>
    <w:uiPriority w:val="0"/>
    <w:pPr>
      <w:ind w:left="1021" w:hanging="284"/>
    </w:pPr>
    <w:rPr>
      <w:rFonts w:ascii="宋体"/>
    </w:rPr>
  </w:style>
  <w:style w:type="paragraph" w:customStyle="1" w:styleId="553">
    <w:name w:val="表格2"/>
    <w:basedOn w:val="1"/>
    <w:qFormat/>
    <w:uiPriority w:val="0"/>
    <w:pPr>
      <w:adjustRightInd w:val="0"/>
      <w:spacing w:line="420" w:lineRule="atLeast"/>
      <w:ind w:left="284" w:firstLine="454"/>
      <w:textAlignment w:val="baseline"/>
    </w:pPr>
    <w:rPr>
      <w:kern w:val="0"/>
      <w:sz w:val="21"/>
    </w:rPr>
  </w:style>
  <w:style w:type="paragraph" w:customStyle="1" w:styleId="554">
    <w:name w:val="_Style 10"/>
    <w:basedOn w:val="1"/>
    <w:next w:val="1"/>
    <w:qFormat/>
    <w:uiPriority w:val="0"/>
    <w:rPr>
      <w:sz w:val="21"/>
    </w:rPr>
  </w:style>
  <w:style w:type="paragraph" w:customStyle="1" w:styleId="555">
    <w:name w:val="Char1"/>
    <w:basedOn w:val="1"/>
    <w:qFormat/>
    <w:uiPriority w:val="0"/>
    <w:rPr>
      <w:rFonts w:ascii="仿宋_GB2312" w:eastAsia="仿宋_GB2312"/>
      <w:b/>
      <w:sz w:val="32"/>
    </w:rPr>
  </w:style>
  <w:style w:type="paragraph" w:customStyle="1" w:styleId="556">
    <w:name w:val="Char Char Char Char Char Char Char Char Char Char Char Char1 Char"/>
    <w:basedOn w:val="29"/>
    <w:qFormat/>
    <w:uiPriority w:val="0"/>
    <w:rPr>
      <w:rFonts w:ascii="等线" w:hAnsi="等线"/>
      <w:sz w:val="21"/>
    </w:rPr>
  </w:style>
  <w:style w:type="paragraph" w:customStyle="1" w:styleId="557">
    <w:name w:val="Char Char2"/>
    <w:basedOn w:val="1"/>
    <w:qFormat/>
    <w:uiPriority w:val="0"/>
    <w:rPr>
      <w:rFonts w:ascii="Tahoma" w:hAnsi="Tahoma"/>
      <w:sz w:val="24"/>
    </w:rPr>
  </w:style>
  <w:style w:type="paragraph" w:customStyle="1" w:styleId="558">
    <w:name w:val="目录1"/>
    <w:basedOn w:val="1"/>
    <w:qFormat/>
    <w:uiPriority w:val="0"/>
    <w:pPr>
      <w:adjustRightInd w:val="0"/>
      <w:spacing w:line="420" w:lineRule="atLeast"/>
      <w:textAlignment w:val="baseline"/>
    </w:pPr>
    <w:rPr>
      <w:rFonts w:eastAsia="黑体"/>
      <w:b/>
      <w:kern w:val="0"/>
      <w:sz w:val="21"/>
    </w:rPr>
  </w:style>
  <w:style w:type="paragraph" w:customStyle="1" w:styleId="559">
    <w:name w:val="收件单位"/>
    <w:basedOn w:val="1"/>
    <w:qFormat/>
    <w:uiPriority w:val="0"/>
    <w:pPr>
      <w:tabs>
        <w:tab w:val="left" w:pos="1365"/>
      </w:tabs>
      <w:spacing w:beforeLines="100"/>
    </w:pPr>
    <w:rPr>
      <w:rFonts w:eastAsia="华文仿宋"/>
      <w:sz w:val="30"/>
    </w:rPr>
  </w:style>
  <w:style w:type="paragraph" w:customStyle="1" w:styleId="560">
    <w:name w:val="表内居中"/>
    <w:qFormat/>
    <w:uiPriority w:val="0"/>
    <w:pPr>
      <w:jc w:val="center"/>
    </w:pPr>
    <w:rPr>
      <w:rFonts w:ascii="Calibri" w:hAnsi="Calibri" w:eastAsia="宋体" w:cs="Times New Roman"/>
      <w:lang w:val="en-US" w:eastAsia="zh-CN" w:bidi="ar-SA"/>
    </w:rPr>
  </w:style>
  <w:style w:type="paragraph" w:customStyle="1" w:styleId="561">
    <w:name w:val="封面标准英文名称"/>
    <w:qFormat/>
    <w:uiPriority w:val="0"/>
    <w:pPr>
      <w:widowControl w:val="0"/>
      <w:spacing w:before="370" w:line="400" w:lineRule="exact"/>
      <w:jc w:val="center"/>
    </w:pPr>
    <w:rPr>
      <w:rFonts w:ascii="Calibri" w:hAnsi="Calibri" w:eastAsia="宋体" w:cs="Times New Roman"/>
      <w:sz w:val="28"/>
      <w:lang w:val="en-US" w:eastAsia="zh-CN" w:bidi="ar-SA"/>
    </w:rPr>
  </w:style>
  <w:style w:type="paragraph" w:customStyle="1" w:styleId="562">
    <w:name w:val="文献分类号"/>
    <w:qFormat/>
    <w:uiPriority w:val="0"/>
    <w:pPr>
      <w:widowControl w:val="0"/>
      <w:textAlignment w:val="center"/>
    </w:pPr>
    <w:rPr>
      <w:rFonts w:ascii="Calibri" w:hAnsi="Calibri" w:eastAsia="黑体" w:cs="Times New Roman"/>
      <w:sz w:val="21"/>
      <w:lang w:val="en-US" w:eastAsia="zh-CN" w:bidi="ar-SA"/>
    </w:rPr>
  </w:style>
  <w:style w:type="paragraph" w:customStyle="1" w:styleId="563">
    <w:name w:val="封面正文"/>
    <w:qFormat/>
    <w:uiPriority w:val="0"/>
    <w:pPr>
      <w:jc w:val="both"/>
    </w:pPr>
    <w:rPr>
      <w:rFonts w:ascii="Calibri" w:hAnsi="Calibri" w:eastAsia="宋体" w:cs="Times New Roman"/>
      <w:lang w:val="en-US" w:eastAsia="zh-CN" w:bidi="ar-SA"/>
    </w:rPr>
  </w:style>
  <w:style w:type="paragraph" w:customStyle="1" w:styleId="564">
    <w:name w:val="表格1"/>
    <w:basedOn w:val="1"/>
    <w:qFormat/>
    <w:uiPriority w:val="0"/>
    <w:pPr>
      <w:adjustRightInd w:val="0"/>
      <w:spacing w:line="420" w:lineRule="atLeast"/>
      <w:ind w:left="284"/>
      <w:textAlignment w:val="baseline"/>
    </w:pPr>
    <w:rPr>
      <w:kern w:val="0"/>
      <w:sz w:val="21"/>
    </w:rPr>
  </w:style>
  <w:style w:type="paragraph" w:customStyle="1" w:styleId="565">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566">
    <w:name w:val="xl27"/>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1"/>
    </w:rPr>
  </w:style>
  <w:style w:type="paragraph" w:customStyle="1" w:styleId="567">
    <w:name w:val="xl28"/>
    <w:basedOn w:val="1"/>
    <w:qFormat/>
    <w:uiPriority w:val="0"/>
    <w:pPr>
      <w:widowControl/>
      <w:pBdr>
        <w:top w:val="single" w:color="auto" w:sz="4" w:space="0"/>
        <w:left w:val="single" w:color="auto" w:sz="4" w:space="0"/>
        <w:bottom w:val="single" w:color="auto" w:sz="4" w:space="0"/>
        <w:right w:val="single" w:color="auto" w:sz="8"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568">
    <w:name w:val="xl51"/>
    <w:basedOn w:val="1"/>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olor w:val="000000"/>
      <w:kern w:val="0"/>
      <w:sz w:val="21"/>
    </w:rPr>
  </w:style>
  <w:style w:type="paragraph" w:customStyle="1" w:styleId="569">
    <w:name w:val="附录表标题"/>
    <w:next w:val="359"/>
    <w:qFormat/>
    <w:uiPriority w:val="0"/>
    <w:pPr>
      <w:tabs>
        <w:tab w:val="left" w:pos="360"/>
        <w:tab w:val="left" w:pos="720"/>
      </w:tabs>
      <w:jc w:val="center"/>
      <w:textAlignment w:val="baseline"/>
    </w:pPr>
    <w:rPr>
      <w:rFonts w:ascii="黑体" w:hAnsi="Calibri" w:eastAsia="黑体" w:cs="Times New Roman"/>
      <w:kern w:val="21"/>
      <w:lang w:val="en-US" w:eastAsia="zh-CN" w:bidi="ar-SA"/>
    </w:rPr>
  </w:style>
  <w:style w:type="paragraph" w:customStyle="1" w:styleId="570">
    <w:name w:val="_Style 32"/>
    <w:basedOn w:val="1"/>
    <w:next w:val="100"/>
    <w:qFormat/>
    <w:uiPriority w:val="34"/>
    <w:pPr>
      <w:ind w:firstLine="420" w:firstLineChars="200"/>
    </w:pPr>
  </w:style>
  <w:style w:type="paragraph" w:customStyle="1" w:styleId="571">
    <w:name w:val="日期1"/>
    <w:basedOn w:val="1"/>
    <w:next w:val="1"/>
    <w:qFormat/>
    <w:uiPriority w:val="0"/>
    <w:pPr>
      <w:ind w:left="100" w:leftChars="2500"/>
    </w:pPr>
    <w:rPr>
      <w:kern w:val="0"/>
      <w:sz w:val="20"/>
    </w:rPr>
  </w:style>
  <w:style w:type="paragraph" w:customStyle="1" w:styleId="572">
    <w:name w:val="xl5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FF0000"/>
      <w:kern w:val="0"/>
      <w:sz w:val="20"/>
    </w:rPr>
  </w:style>
  <w:style w:type="paragraph" w:customStyle="1" w:styleId="573">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574">
    <w:name w:val="font6"/>
    <w:basedOn w:val="1"/>
    <w:qFormat/>
    <w:uiPriority w:val="0"/>
    <w:pPr>
      <w:widowControl/>
      <w:spacing w:before="100" w:beforeAutospacing="1" w:after="100" w:afterAutospacing="1"/>
    </w:pPr>
    <w:rPr>
      <w:rFonts w:hint="eastAsia" w:ascii="宋体" w:hAnsi="宋体"/>
      <w:b/>
      <w:kern w:val="0"/>
      <w:sz w:val="36"/>
      <w:u w:val="single"/>
    </w:rPr>
  </w:style>
  <w:style w:type="paragraph" w:customStyle="1" w:styleId="575">
    <w:name w:val="列项——（一级）"/>
    <w:qFormat/>
    <w:uiPriority w:val="0"/>
    <w:pPr>
      <w:widowControl w:val="0"/>
      <w:tabs>
        <w:tab w:val="left" w:pos="720"/>
        <w:tab w:val="left" w:pos="854"/>
      </w:tabs>
      <w:ind w:left="200" w:leftChars="200" w:hanging="200" w:hangingChars="200"/>
      <w:jc w:val="both"/>
    </w:pPr>
    <w:rPr>
      <w:rFonts w:ascii="宋体" w:hAnsi="Calibri" w:eastAsia="宋体" w:cs="Times New Roman"/>
      <w:lang w:val="en-US" w:eastAsia="zh-CN" w:bidi="ar-SA"/>
    </w:rPr>
  </w:style>
  <w:style w:type="paragraph" w:customStyle="1" w:styleId="576">
    <w:name w:val="19"/>
    <w:basedOn w:val="1"/>
    <w:qFormat/>
    <w:uiPriority w:val="0"/>
    <w:pPr>
      <w:widowControl/>
      <w:snapToGrid w:val="0"/>
      <w:spacing w:before="100" w:beforeAutospacing="1" w:after="120" w:line="360" w:lineRule="atLeast"/>
      <w:jc w:val="left"/>
    </w:pPr>
    <w:rPr>
      <w:rFonts w:ascii="宋体" w:hAnsi="宋体"/>
      <w:kern w:val="0"/>
    </w:rPr>
  </w:style>
  <w:style w:type="paragraph" w:customStyle="1" w:styleId="577">
    <w:name w:val="附录五级条标题"/>
    <w:basedOn w:val="411"/>
    <w:next w:val="359"/>
    <w:qFormat/>
    <w:uiPriority w:val="0"/>
    <w:pPr>
      <w:outlineLvl w:val="6"/>
    </w:pPr>
  </w:style>
  <w:style w:type="paragraph" w:customStyle="1" w:styleId="578">
    <w:name w:val="彩色底纹 - 强调文字颜色 11"/>
    <w:qFormat/>
    <w:uiPriority w:val="0"/>
    <w:rPr>
      <w:rFonts w:ascii="Calibri" w:hAnsi="Calibri" w:eastAsia="宋体" w:cs="Times New Roman"/>
      <w:kern w:val="2"/>
      <w:sz w:val="21"/>
      <w:lang w:val="en-US" w:eastAsia="zh-CN" w:bidi="ar-SA"/>
    </w:rPr>
  </w:style>
  <w:style w:type="paragraph" w:customStyle="1" w:styleId="579">
    <w:name w:val="xl559"/>
    <w:basedOn w:val="1"/>
    <w:qFormat/>
    <w:uiPriority w:val="0"/>
    <w:pPr>
      <w:widowControl/>
      <w:spacing w:before="100" w:beforeAutospacing="1" w:after="100" w:afterAutospacing="1"/>
      <w:jc w:val="center"/>
    </w:pPr>
    <w:rPr>
      <w:rFonts w:ascii="宋体" w:hAnsi="宋体"/>
      <w:color w:val="000000"/>
      <w:kern w:val="0"/>
      <w:sz w:val="20"/>
    </w:rPr>
  </w:style>
  <w:style w:type="paragraph" w:customStyle="1" w:styleId="580">
    <w:name w:val="正文内"/>
    <w:basedOn w:val="1"/>
    <w:qFormat/>
    <w:uiPriority w:val="0"/>
    <w:pPr>
      <w:spacing w:line="400" w:lineRule="exact"/>
      <w:ind w:firstLine="200" w:firstLineChars="200"/>
    </w:pPr>
    <w:rPr>
      <w:rFonts w:ascii="宋体" w:hAnsi="宋体"/>
      <w:sz w:val="21"/>
    </w:rPr>
  </w:style>
  <w:style w:type="paragraph" w:customStyle="1" w:styleId="581">
    <w:name w:val="表"/>
    <w:basedOn w:val="1"/>
    <w:qFormat/>
    <w:uiPriority w:val="0"/>
    <w:pPr>
      <w:spacing w:line="360" w:lineRule="auto"/>
      <w:jc w:val="center"/>
    </w:pPr>
    <w:rPr>
      <w:color w:val="000000"/>
      <w:sz w:val="21"/>
    </w:rPr>
  </w:style>
  <w:style w:type="paragraph" w:customStyle="1" w:styleId="582">
    <w:name w:val="附录标识"/>
    <w:basedOn w:val="447"/>
    <w:qFormat/>
    <w:uiPriority w:val="0"/>
    <w:pPr>
      <w:tabs>
        <w:tab w:val="left" w:pos="720"/>
        <w:tab w:val="left" w:pos="6405"/>
      </w:tabs>
      <w:spacing w:after="200"/>
      <w:ind w:left="360" w:hanging="360"/>
    </w:pPr>
    <w:rPr>
      <w:sz w:val="21"/>
    </w:rPr>
  </w:style>
  <w:style w:type="paragraph" w:customStyle="1" w:styleId="583">
    <w:name w:val="正文 A"/>
    <w:qFormat/>
    <w:uiPriority w:val="0"/>
    <w:rPr>
      <w:rFonts w:ascii="Calibri" w:hAnsi="Calibri" w:eastAsia="ヒラギノ角ゴ Pro W3" w:cs="Times New Roman"/>
      <w:color w:val="000000"/>
      <w:sz w:val="24"/>
      <w:lang w:val="en-US" w:eastAsia="zh-CN" w:bidi="ar-SA"/>
    </w:rPr>
  </w:style>
  <w:style w:type="paragraph" w:customStyle="1" w:styleId="584">
    <w:name w:val="标题C"/>
    <w:qFormat/>
    <w:uiPriority w:val="0"/>
    <w:pPr>
      <w:tabs>
        <w:tab w:val="left" w:pos="0"/>
      </w:tabs>
      <w:adjustRightInd w:val="0"/>
      <w:snapToGrid w:val="0"/>
      <w:spacing w:before="300"/>
      <w:outlineLvl w:val="2"/>
    </w:pPr>
    <w:rPr>
      <w:rFonts w:ascii="Calibri" w:hAnsi="Calibri" w:eastAsia="宋体" w:cs="Times New Roman"/>
      <w:b/>
      <w:snapToGrid w:val="0"/>
      <w:sz w:val="28"/>
      <w:lang w:val="en-US" w:eastAsia="zh-CN" w:bidi="ar-SA"/>
    </w:rPr>
  </w:style>
  <w:style w:type="paragraph" w:customStyle="1" w:styleId="585">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586">
    <w:name w:val="默认段落字体 Para Char"/>
    <w:basedOn w:val="1"/>
    <w:qFormat/>
    <w:uiPriority w:val="0"/>
    <w:pPr>
      <w:tabs>
        <w:tab w:val="left" w:pos="425"/>
      </w:tabs>
      <w:ind w:left="425" w:hanging="425"/>
    </w:pPr>
    <w:rPr>
      <w:sz w:val="21"/>
    </w:rPr>
  </w:style>
  <w:style w:type="paragraph" w:customStyle="1" w:styleId="587">
    <w:name w:val="封面标准文稿类别"/>
    <w:qFormat/>
    <w:uiPriority w:val="0"/>
    <w:pPr>
      <w:spacing w:before="440" w:line="400" w:lineRule="exact"/>
      <w:jc w:val="center"/>
    </w:pPr>
    <w:rPr>
      <w:rFonts w:ascii="宋体" w:hAnsi="Calibri" w:eastAsia="宋体" w:cs="Times New Roman"/>
      <w:sz w:val="24"/>
      <w:lang w:val="en-US" w:eastAsia="zh-CN" w:bidi="ar-SA"/>
    </w:rPr>
  </w:style>
  <w:style w:type="paragraph" w:customStyle="1" w:styleId="588">
    <w:name w:val="_Style 40"/>
    <w:basedOn w:val="1"/>
    <w:qFormat/>
    <w:uiPriority w:val="0"/>
    <w:rPr>
      <w:sz w:val="21"/>
    </w:rPr>
  </w:style>
  <w:style w:type="paragraph" w:customStyle="1" w:styleId="589">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590">
    <w:name w:val="注："/>
    <w:next w:val="359"/>
    <w:qFormat/>
    <w:uiPriority w:val="0"/>
    <w:pPr>
      <w:widowControl w:val="0"/>
      <w:tabs>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91">
    <w:name w:val="font7"/>
    <w:basedOn w:val="1"/>
    <w:qFormat/>
    <w:uiPriority w:val="0"/>
    <w:pPr>
      <w:widowControl/>
      <w:spacing w:before="100" w:beforeAutospacing="1" w:after="100" w:afterAutospacing="1"/>
    </w:pPr>
    <w:rPr>
      <w:rFonts w:hint="eastAsia" w:ascii="宋体" w:hAnsi="宋体"/>
      <w:kern w:val="0"/>
      <w:sz w:val="24"/>
    </w:rPr>
  </w:style>
  <w:style w:type="paragraph" w:customStyle="1" w:styleId="592">
    <w:name w:val="彩色列表 - 强调文字颜色 12"/>
    <w:basedOn w:val="1"/>
    <w:qFormat/>
    <w:uiPriority w:val="0"/>
    <w:pPr>
      <w:ind w:firstLine="420" w:firstLineChars="200"/>
    </w:pPr>
    <w:rPr>
      <w:sz w:val="21"/>
    </w:rPr>
  </w:style>
  <w:style w:type="paragraph" w:customStyle="1" w:styleId="593">
    <w:name w:val="xl5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kern w:val="0"/>
      <w:sz w:val="20"/>
    </w:rPr>
  </w:style>
  <w:style w:type="paragraph" w:customStyle="1" w:styleId="594">
    <w:name w:val="xl37"/>
    <w:basedOn w:val="1"/>
    <w:qFormat/>
    <w:uiPriority w:val="0"/>
    <w:pPr>
      <w:widowControl/>
      <w:pBdr>
        <w:top w:val="single" w:color="auto" w:sz="4"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95">
    <w:name w:val="正文样式"/>
    <w:basedOn w:val="1"/>
    <w:qFormat/>
    <w:uiPriority w:val="0"/>
    <w:pPr>
      <w:ind w:firstLine="480" w:firstLineChars="200"/>
    </w:pPr>
    <w:rPr>
      <w:rFonts w:eastAsia="华文仿宋"/>
      <w:szCs w:val="24"/>
    </w:rPr>
  </w:style>
  <w:style w:type="paragraph" w:customStyle="1" w:styleId="596">
    <w:name w:val="标题D"/>
    <w:qFormat/>
    <w:uiPriority w:val="0"/>
    <w:pPr>
      <w:adjustRightInd w:val="0"/>
      <w:snapToGrid w:val="0"/>
      <w:spacing w:before="240" w:line="360" w:lineRule="auto"/>
      <w:outlineLvl w:val="3"/>
    </w:pPr>
    <w:rPr>
      <w:rFonts w:ascii="Calibri" w:hAnsi="Calibri" w:eastAsia="宋体" w:cs="Times New Roman"/>
      <w:b/>
      <w:sz w:val="24"/>
      <w:lang w:val="en-US" w:eastAsia="zh-CN" w:bidi="ar-SA"/>
    </w:rPr>
  </w:style>
  <w:style w:type="paragraph" w:customStyle="1" w:styleId="597">
    <w:name w:val="正文图标题"/>
    <w:next w:val="359"/>
    <w:qFormat/>
    <w:uiPriority w:val="0"/>
    <w:pPr>
      <w:tabs>
        <w:tab w:val="left" w:pos="720"/>
      </w:tabs>
      <w:ind w:left="780" w:hanging="360"/>
      <w:jc w:val="center"/>
    </w:pPr>
    <w:rPr>
      <w:rFonts w:ascii="黑体" w:hAnsi="Calibri" w:eastAsia="黑体" w:cs="Times New Roman"/>
      <w:lang w:val="en-US" w:eastAsia="zh-CN" w:bidi="ar-SA"/>
    </w:rPr>
  </w:style>
  <w:style w:type="paragraph" w:customStyle="1" w:styleId="598">
    <w:name w:val="表格一"/>
    <w:basedOn w:val="1"/>
    <w:qFormat/>
    <w:uiPriority w:val="0"/>
    <w:pPr>
      <w:spacing w:line="240" w:lineRule="exact"/>
      <w:ind w:left="105" w:leftChars="50"/>
    </w:pPr>
    <w:rPr>
      <w:sz w:val="18"/>
    </w:rPr>
  </w:style>
  <w:style w:type="paragraph" w:customStyle="1" w:styleId="599">
    <w:name w:val="[Normal]"/>
    <w:qFormat/>
    <w:uiPriority w:val="0"/>
    <w:rPr>
      <w:rFonts w:ascii="宋体" w:hAnsi="宋体" w:eastAsia="宋体" w:cs="Times New Roman"/>
      <w:sz w:val="24"/>
      <w:szCs w:val="22"/>
      <w:lang w:val="zh-CN" w:eastAsia="zh-CN" w:bidi="ar-SA"/>
    </w:rPr>
  </w:style>
  <w:style w:type="paragraph" w:customStyle="1" w:styleId="600">
    <w:name w:val="无间隔3"/>
    <w:qFormat/>
    <w:uiPriority w:val="0"/>
    <w:pPr>
      <w:adjustRightInd w:val="0"/>
      <w:snapToGrid w:val="0"/>
    </w:pPr>
    <w:rPr>
      <w:rFonts w:ascii="Tahoma" w:hAnsi="Tahoma" w:eastAsia="微软雅黑" w:cs="Tahoma"/>
      <w:sz w:val="22"/>
      <w:szCs w:val="22"/>
      <w:lang w:val="en-US" w:eastAsia="zh-CN" w:bidi="ar-SA"/>
    </w:rPr>
  </w:style>
  <w:style w:type="paragraph" w:customStyle="1" w:styleId="601">
    <w:name w:val="Heading #2|1"/>
    <w:basedOn w:val="1"/>
    <w:qFormat/>
    <w:uiPriority w:val="0"/>
    <w:pPr>
      <w:spacing w:after="720" w:line="648" w:lineRule="exact"/>
      <w:ind w:firstLine="310"/>
      <w:jc w:val="center"/>
      <w:outlineLvl w:val="1"/>
    </w:pPr>
    <w:rPr>
      <w:rFonts w:ascii="宋体" w:hAnsi="宋体" w:cs="宋体"/>
      <w:sz w:val="42"/>
      <w:szCs w:val="42"/>
      <w:lang w:val="zh-TW" w:eastAsia="zh-TW" w:bidi="zh-TW"/>
    </w:rPr>
  </w:style>
  <w:style w:type="paragraph" w:customStyle="1" w:styleId="602">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603">
    <w:name w:val="Body text|3"/>
    <w:basedOn w:val="1"/>
    <w:qFormat/>
    <w:uiPriority w:val="0"/>
    <w:rPr>
      <w:rFonts w:ascii="宋体" w:hAnsi="宋体" w:cs="宋体"/>
      <w:sz w:val="17"/>
      <w:szCs w:val="17"/>
      <w:lang w:val="zh-TW" w:eastAsia="zh-TW" w:bidi="zh-TW"/>
    </w:rPr>
  </w:style>
  <w:style w:type="paragraph" w:styleId="604">
    <w:name w:val="List Paragraph"/>
    <w:basedOn w:val="1"/>
    <w:qFormat/>
    <w:uiPriority w:val="0"/>
    <w:pPr>
      <w:ind w:firstLine="420" w:firstLineChars="200"/>
    </w:pPr>
    <w:rPr>
      <w:rFonts w:eastAsia="仿宋_GB2312"/>
      <w:szCs w:val="22"/>
    </w:rPr>
  </w:style>
  <w:style w:type="paragraph" w:styleId="605">
    <w:name w:val="No Spacing"/>
    <w:qFormat/>
    <w:uiPriority w:val="0"/>
    <w:rPr>
      <w:rFonts w:ascii="Calibri" w:hAnsi="Calibri" w:eastAsia="宋体" w:cs="Times New Roman"/>
      <w:sz w:val="22"/>
      <w:szCs w:val="22"/>
      <w:lang w:val="en-US" w:eastAsia="en-US" w:bidi="en-US"/>
    </w:rPr>
  </w:style>
  <w:style w:type="paragraph" w:customStyle="1" w:styleId="606">
    <w:name w:val="纯文本11"/>
    <w:qFormat/>
    <w:uiPriority w:val="99"/>
    <w:pPr>
      <w:widowControl w:val="0"/>
      <w:jc w:val="both"/>
    </w:pPr>
    <w:rPr>
      <w:rFonts w:ascii="宋体" w:hAnsi="宋体" w:eastAsia="宋体" w:cs="宋体"/>
      <w:color w:val="000000"/>
      <w:kern w:val="2"/>
      <w:sz w:val="21"/>
      <w:szCs w:val="21"/>
      <w:lang w:val="en-US" w:eastAsia="zh-CN" w:bidi="ar-SA"/>
    </w:rPr>
  </w:style>
  <w:style w:type="paragraph" w:customStyle="1" w:styleId="607">
    <w:name w:val="HtmlNormal"/>
    <w:basedOn w:val="1"/>
    <w:qFormat/>
    <w:uiPriority w:val="0"/>
    <w:pPr>
      <w:spacing w:before="100" w:beforeAutospacing="1" w:after="100" w:afterAutospacing="1" w:line="240" w:lineRule="auto"/>
      <w:ind w:left="0" w:right="0"/>
      <w:jc w:val="left"/>
    </w:pPr>
    <w:rPr>
      <w:rFonts w:ascii="Calibri" w:hAnsi="Calibri" w:eastAsia="宋体"/>
      <w:kern w:val="0"/>
      <w:sz w:val="24"/>
      <w:szCs w:val="24"/>
      <w:lang w:val="en-US" w:eastAsia="zh-CN"/>
    </w:rPr>
  </w:style>
  <w:style w:type="paragraph" w:customStyle="1" w:styleId="608">
    <w:name w:val="Body Text First Indent 21"/>
    <w:basedOn w:val="609"/>
    <w:qFormat/>
    <w:uiPriority w:val="0"/>
    <w:pPr>
      <w:spacing w:after="120" w:line="240" w:lineRule="auto"/>
      <w:ind w:left="420" w:leftChars="200" w:firstLine="420" w:firstLineChars="200"/>
    </w:pPr>
    <w:rPr>
      <w:rFonts w:ascii="等线" w:hAnsi="等线" w:eastAsia="等线"/>
      <w:sz w:val="21"/>
    </w:rPr>
  </w:style>
  <w:style w:type="paragraph" w:customStyle="1" w:styleId="609">
    <w:name w:val="Body Text Indent1"/>
    <w:basedOn w:val="1"/>
    <w:qFormat/>
    <w:uiPriority w:val="0"/>
    <w:pPr>
      <w:spacing w:line="360" w:lineRule="auto"/>
      <w:ind w:firstLine="435"/>
    </w:pPr>
    <w:rPr>
      <w:sz w:val="28"/>
    </w:rPr>
  </w:style>
  <w:style w:type="character" w:customStyle="1" w:styleId="610">
    <w:name w:val="无"/>
    <w:qFormat/>
    <w:uiPriority w:val="99"/>
  </w:style>
  <w:style w:type="paragraph" w:customStyle="1" w:styleId="611">
    <w:name w:val="Fließtext"/>
    <w:basedOn w:val="1"/>
    <w:qFormat/>
    <w:uiPriority w:val="0"/>
    <w:pPr>
      <w:overflowPunct w:val="0"/>
      <w:autoSpaceDE w:val="0"/>
      <w:autoSpaceDN w:val="0"/>
      <w:adjustRightInd w:val="0"/>
      <w:textAlignment w:val="baseline"/>
    </w:pPr>
    <w:rPr>
      <w:rFonts w:ascii="Times New Roman" w:hAnsi="Times New Roman"/>
      <w:kern w:val="28"/>
      <w:szCs w:val="20"/>
    </w:rPr>
  </w:style>
  <w:style w:type="paragraph" w:customStyle="1" w:styleId="61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3">
    <w:name w:val="_Style 64"/>
    <w:basedOn w:val="1"/>
    <w:next w:val="1"/>
    <w:qFormat/>
    <w:uiPriority w:val="0"/>
    <w:pPr>
      <w:widowControl/>
      <w:tabs>
        <w:tab w:val="right" w:leader="middleDot" w:pos="8948"/>
      </w:tabs>
      <w:jc w:val="left"/>
    </w:pPr>
    <w:rPr>
      <w:rFonts w:ascii="宋体" w:hAnsi="宋体"/>
      <w:b/>
      <w:bCs/>
      <w:caps/>
      <w:kern w:val="0"/>
      <w:szCs w:val="21"/>
    </w:rPr>
  </w:style>
  <w:style w:type="paragraph" w:customStyle="1" w:styleId="614">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615">
    <w:name w:val="Table Paragraph"/>
    <w:basedOn w:val="1"/>
    <w:qFormat/>
    <w:uiPriority w:val="1"/>
    <w:rPr>
      <w:rFonts w:ascii="宋体" w:hAnsi="宋体" w:eastAsia="宋体" w:cs="宋体"/>
    </w:rPr>
  </w:style>
  <w:style w:type="paragraph" w:customStyle="1" w:styleId="616">
    <w:name w:val="首行缩进"/>
    <w:basedOn w:val="1"/>
    <w:qFormat/>
    <w:uiPriority w:val="0"/>
    <w:pPr>
      <w:spacing w:line="360" w:lineRule="auto"/>
      <w:ind w:firstLine="480" w:firstLineChars="200"/>
    </w:pPr>
    <w:rPr>
      <w:rFonts w:hAnsi="宋体" w:cs="宋体"/>
      <w:sz w:val="24"/>
    </w:rPr>
  </w:style>
  <w:style w:type="paragraph" w:customStyle="1" w:styleId="617">
    <w:name w:val="Body Text First Indent1"/>
    <w:basedOn w:val="2"/>
    <w:next w:val="1"/>
    <w:qFormat/>
    <w:uiPriority w:val="0"/>
    <w:pPr>
      <w:adjustRightInd w:val="0"/>
      <w:spacing w:line="360" w:lineRule="auto"/>
      <w:ind w:firstLine="420"/>
      <w:textAlignment w:val="baseline"/>
    </w:pPr>
    <w:rPr>
      <w:rFonts w:eastAsia="楷体_GB2312"/>
      <w:sz w:val="24"/>
    </w:rPr>
  </w:style>
  <w:style w:type="paragraph" w:customStyle="1" w:styleId="618">
    <w:name w:val="BodyText1I2"/>
    <w:next w:val="1"/>
    <w:qFormat/>
    <w:uiPriority w:val="0"/>
    <w:pPr>
      <w:widowControl w:val="0"/>
      <w:tabs>
        <w:tab w:val="left" w:pos="435"/>
      </w:tabs>
      <w:spacing w:after="120" w:line="360" w:lineRule="auto"/>
      <w:ind w:left="420" w:leftChars="200" w:firstLine="420" w:firstLineChars="200"/>
      <w:jc w:val="both"/>
      <w:textAlignment w:val="baseline"/>
    </w:pPr>
    <w:rPr>
      <w:rFonts w:ascii="宋体" w:hAnsi="宋体" w:eastAsia="宋体" w:cs="Times New Roman"/>
      <w:kern w:val="2"/>
      <w:sz w:val="28"/>
      <w:szCs w:val="22"/>
      <w:lang w:val="en-US" w:eastAsia="zh-CN" w:bidi="ar-SA"/>
    </w:rPr>
  </w:style>
  <w:style w:type="paragraph" w:customStyle="1" w:styleId="619">
    <w:name w:val="框图"/>
    <w:basedOn w:val="1"/>
    <w:qFormat/>
    <w:uiPriority w:val="0"/>
    <w:pPr>
      <w:kinsoku w:val="0"/>
      <w:overflowPunct w:val="0"/>
      <w:autoSpaceDE w:val="0"/>
      <w:autoSpaceDN w:val="0"/>
      <w:adjustRightInd w:val="0"/>
      <w:snapToGrid w:val="0"/>
      <w:spacing w:line="240" w:lineRule="auto"/>
      <w:jc w:val="center"/>
    </w:pPr>
    <w:rPr>
      <w:rFonts w:ascii="仿宋_GB2312" w:eastAsia="仿宋_GB2312"/>
      <w:sz w:val="24"/>
      <w:szCs w:val="24"/>
      <w:lang w:eastAsia="zh-CN"/>
    </w:rPr>
  </w:style>
  <w:style w:type="paragraph" w:customStyle="1" w:styleId="620">
    <w:name w:val="一级条标题 Char"/>
    <w:next w:val="1"/>
    <w:qFormat/>
    <w:uiPriority w:val="0"/>
    <w:pPr>
      <w:outlineLvl w:val="2"/>
    </w:pPr>
    <w:rPr>
      <w:rFonts w:ascii="Times New Roman" w:hAnsi="Times New Roman" w:eastAsia="黑体" w:cs="Times New Roman"/>
      <w:sz w:val="21"/>
      <w:lang w:val="en-US" w:eastAsia="zh-CN" w:bidi="ar-SA"/>
    </w:rPr>
  </w:style>
  <w:style w:type="paragraph" w:customStyle="1" w:styleId="621">
    <w:name w:val="二级条标题 Char"/>
    <w:basedOn w:val="620"/>
    <w:next w:val="359"/>
    <w:qFormat/>
    <w:uiPriority w:val="0"/>
    <w:pPr>
      <w:outlineLvl w:val="3"/>
    </w:p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108</Pages>
  <Words>23417</Words>
  <Characters>25010</Characters>
  <Lines>251</Lines>
  <Paragraphs>70</Paragraphs>
  <TotalTime>5</TotalTime>
  <ScaleCrop>false</ScaleCrop>
  <LinksUpToDate>false</LinksUpToDate>
  <CharactersWithSpaces>25171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2021-10-29T17:56:00Z</dcterms:created>
  <dc:creator>yht</dc:creator>
  <cp:lastModifiedBy>Administrator</cp:lastModifiedBy>
  <cp:lastPrinted>2024-09-05T04:16:00Z</cp:lastPrinted>
  <dcterms:modified xsi:type="dcterms:W3CDTF">2024-11-08T06:08:57Z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17793C87820D4DFF8316025EB5F986D1_13</vt:lpwstr>
  </property>
</Properties>
</file>