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47B1">
      <w:pPr>
        <w:shd w:val="clear" w:color="auto" w:fill="FFFFFF"/>
        <w:tabs>
          <w:tab w:val="left" w:pos="4500"/>
        </w:tabs>
        <w:snapToGrid w:val="0"/>
        <w:spacing w:line="360" w:lineRule="auto"/>
        <w:textAlignment w:val="bottom"/>
        <w:rPr>
          <w:rFonts w:hint="eastAsia" w:ascii="宋体" w:hAnsi="宋体" w:eastAsia="宋体" w:cs="宋体"/>
          <w:b/>
          <w:bCs/>
          <w:color w:val="auto"/>
          <w:spacing w:val="6"/>
          <w:sz w:val="52"/>
          <w:szCs w:val="52"/>
          <w:highlight w:val="none"/>
        </w:rPr>
      </w:pPr>
      <w:r>
        <w:rPr>
          <w:rFonts w:hint="eastAsia" w:eastAsia="宋体"/>
          <w:b/>
          <w:bCs/>
          <w:color w:val="auto"/>
          <w:sz w:val="48"/>
          <w:szCs w:val="48"/>
          <w:highlight w:val="none"/>
        </w:rPr>
        <w:drawing>
          <wp:inline distT="0" distB="0" distL="114300" distR="114300">
            <wp:extent cx="1609725" cy="1418590"/>
            <wp:effectExtent l="0" t="0" r="9525" b="10160"/>
            <wp:docPr id="13" name="图片 13" descr="acad6a001491df2c9cd3bd9f411f8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cad6a001491df2c9cd3bd9f411f8e5"/>
                    <pic:cNvPicPr>
                      <a:picLocks noChangeAspect="1"/>
                    </pic:cNvPicPr>
                  </pic:nvPicPr>
                  <pic:blipFill>
                    <a:blip r:embed="rId8"/>
                    <a:stretch>
                      <a:fillRect/>
                    </a:stretch>
                  </pic:blipFill>
                  <pic:spPr>
                    <a:xfrm>
                      <a:off x="0" y="0"/>
                      <a:ext cx="1609725" cy="1418590"/>
                    </a:xfrm>
                    <a:prstGeom prst="rect">
                      <a:avLst/>
                    </a:prstGeom>
                  </pic:spPr>
                </pic:pic>
              </a:graphicData>
            </a:graphic>
          </wp:inline>
        </w:drawing>
      </w:r>
    </w:p>
    <w:p w14:paraId="04F232B9">
      <w:pPr>
        <w:widowControl/>
        <w:spacing w:line="360" w:lineRule="auto"/>
        <w:ind w:right="-2"/>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浙江省第五届体育大会开闭幕式</w:t>
      </w:r>
    </w:p>
    <w:p w14:paraId="5E574CA4">
      <w:pPr>
        <w:widowControl/>
        <w:spacing w:line="360" w:lineRule="auto"/>
        <w:ind w:right="-2"/>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52"/>
          <w:szCs w:val="52"/>
          <w:highlight w:val="none"/>
          <w:lang w:eastAsia="zh-CN"/>
        </w:rPr>
        <w:t>策划及执行服务</w:t>
      </w:r>
    </w:p>
    <w:p w14:paraId="676DB97A">
      <w:pPr>
        <w:widowControl/>
        <w:spacing w:line="360" w:lineRule="auto"/>
        <w:ind w:right="-2"/>
        <w:jc w:val="center"/>
        <w:rPr>
          <w:rFonts w:hint="eastAsia" w:ascii="宋体" w:hAnsi="宋体" w:eastAsia="宋体" w:cs="宋体"/>
          <w:b/>
          <w:bCs/>
          <w:color w:val="auto"/>
          <w:sz w:val="72"/>
          <w:szCs w:val="72"/>
          <w:highlight w:val="none"/>
        </w:rPr>
      </w:pPr>
    </w:p>
    <w:p w14:paraId="18461313">
      <w:pPr>
        <w:widowControl/>
        <w:spacing w:line="360" w:lineRule="auto"/>
        <w:ind w:right="-2"/>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竞争性磋商文件</w:t>
      </w:r>
    </w:p>
    <w:p w14:paraId="090A56DA">
      <w:pPr>
        <w:widowControl/>
        <w:spacing w:line="360" w:lineRule="auto"/>
        <w:ind w:right="-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（线上电子招投标）</w:t>
      </w:r>
    </w:p>
    <w:p w14:paraId="34B68EA5">
      <w:pPr>
        <w:shd w:val="clear" w:color="auto" w:fill="FFFFFF"/>
        <w:snapToGrid w:val="0"/>
        <w:spacing w:line="360" w:lineRule="auto"/>
        <w:textAlignment w:val="bottom"/>
        <w:rPr>
          <w:rFonts w:hint="eastAsia" w:ascii="宋体" w:hAnsi="宋体" w:eastAsia="宋体" w:cs="宋体"/>
          <w:b/>
          <w:bCs/>
          <w:color w:val="auto"/>
          <w:sz w:val="30"/>
          <w:szCs w:val="30"/>
          <w:highlight w:val="none"/>
        </w:rPr>
      </w:pPr>
    </w:p>
    <w:p w14:paraId="518239CA">
      <w:pPr>
        <w:shd w:val="clear" w:color="auto" w:fill="FFFFFF"/>
        <w:snapToGrid w:val="0"/>
        <w:spacing w:line="360" w:lineRule="auto"/>
        <w:textAlignment w:val="bottom"/>
        <w:rPr>
          <w:rFonts w:hint="eastAsia" w:ascii="宋体" w:hAnsi="宋体" w:eastAsia="宋体" w:cs="宋体"/>
          <w:b/>
          <w:bCs/>
          <w:color w:val="auto"/>
          <w:sz w:val="48"/>
          <w:szCs w:val="48"/>
          <w:highlight w:val="none"/>
        </w:rPr>
      </w:pPr>
      <w:r>
        <w:rPr>
          <w:rFonts w:ascii="宋体" w:hAnsi="宋体" w:eastAsia="宋体" w:cs="宋体"/>
          <w:color w:val="auto"/>
          <w:sz w:val="48"/>
          <w:szCs w:val="48"/>
          <w:highlight w:val="none"/>
        </w:rPr>
        <mc:AlternateContent>
          <mc:Choice Requires="wps">
            <w:drawing>
              <wp:anchor distT="0" distB="0" distL="114300" distR="114300" simplePos="0" relativeHeight="251659264" behindDoc="0" locked="0" layoutInCell="0" allowOverlap="1">
                <wp:simplePos x="0" y="0"/>
                <wp:positionH relativeFrom="column">
                  <wp:posOffset>4191000</wp:posOffset>
                </wp:positionH>
                <wp:positionV relativeFrom="paragraph">
                  <wp:posOffset>72390</wp:posOffset>
                </wp:positionV>
                <wp:extent cx="635" cy="0"/>
                <wp:effectExtent l="0" t="4445" r="0" b="5080"/>
                <wp:wrapSquare wrapText="bothSides"/>
                <wp:docPr id="6"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30pt;margin-top:5.7pt;height:0pt;width:0.05pt;mso-wrap-distance-bottom:0pt;mso-wrap-distance-left:9pt;mso-wrap-distance-right:9pt;mso-wrap-distance-top:0pt;z-index:251659264;mso-width-relative:page;mso-height-relative:page;" filled="f" stroked="t" coordsize="21600,21600" o:allowincell="f" o:gfxdata="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t5t1AAAAAkBAAAPAAAA&#10;AAAAAAEAIAAAACIAAABkcnMvZG93bnJldi54bWxQSwECFAAUAAAACACHTuJAkEv9peABAADZAwAA&#10;DgAAAAAAAAABACAAAAAjAQAAZHJzL2Uyb0RvYy54bWxQSwUGAAAAAAYABgBZAQAAdQUAAAAA&#10;">
                <v:fill on="f" focussize="0,0"/>
                <v:stroke color="#000000" joinstyle="round"/>
                <v:imagedata o:title=""/>
                <o:lock v:ext="edit" aspectratio="f"/>
                <w10:wrap type="square"/>
              </v:line>
            </w:pict>
          </mc:Fallback>
        </mc:AlternateContent>
      </w:r>
    </w:p>
    <w:p w14:paraId="3248C89A">
      <w:pPr>
        <w:shd w:val="clear" w:color="auto" w:fill="FFFFFF"/>
        <w:snapToGrid w:val="0"/>
        <w:spacing w:line="360" w:lineRule="auto"/>
        <w:jc w:val="center"/>
        <w:textAlignment w:val="bottom"/>
        <w:rPr>
          <w:rFonts w:hint="eastAsia" w:ascii="宋体" w:hAnsi="宋体" w:eastAsia="宋体" w:cs="宋体"/>
          <w:b/>
          <w:bCs/>
          <w:color w:val="auto"/>
          <w:sz w:val="30"/>
          <w:szCs w:val="30"/>
          <w:highlight w:val="none"/>
        </w:rPr>
      </w:pPr>
    </w:p>
    <w:p w14:paraId="5985CE88">
      <w:pPr>
        <w:spacing w:line="360" w:lineRule="auto"/>
        <w:ind w:left="-210" w:leftChars="-100" w:right="-57" w:firstLine="1200" w:firstLineChars="4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lang w:eastAsia="zh-CN"/>
        </w:rPr>
        <w:t>ZGTZZB2025-0403</w:t>
      </w:r>
    </w:p>
    <w:p w14:paraId="6662DF77">
      <w:pPr>
        <w:spacing w:line="360" w:lineRule="auto"/>
        <w:ind w:left="-210" w:leftChars="-100" w:right="-57" w:firstLine="1200" w:firstLineChars="4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采购人：</w:t>
      </w:r>
      <w:r>
        <w:rPr>
          <w:rFonts w:hint="eastAsia" w:ascii="宋体" w:hAnsi="宋体" w:eastAsia="宋体" w:cs="宋体"/>
          <w:color w:val="auto"/>
          <w:sz w:val="30"/>
          <w:szCs w:val="30"/>
          <w:highlight w:val="none"/>
          <w:lang w:eastAsia="zh-CN"/>
        </w:rPr>
        <w:t>台州市体育事业发展中心</w:t>
      </w:r>
    </w:p>
    <w:p w14:paraId="232AA14F">
      <w:pPr>
        <w:spacing w:line="360" w:lineRule="auto"/>
        <w:ind w:left="-210" w:leftChars="-100" w:right="-57"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采购代理机构：中冠工程管理咨询有限公司</w:t>
      </w:r>
    </w:p>
    <w:p w14:paraId="1E0551C1">
      <w:pPr>
        <w:spacing w:line="360" w:lineRule="auto"/>
        <w:ind w:left="-210" w:leftChars="-100" w:right="-57" w:firstLine="1200" w:firstLineChars="4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二〇二五年</w:t>
      </w:r>
      <w:r>
        <w:rPr>
          <w:rFonts w:hint="eastAsia" w:ascii="宋体" w:hAnsi="宋体" w:eastAsia="宋体" w:cs="宋体"/>
          <w:color w:val="auto"/>
          <w:sz w:val="30"/>
          <w:szCs w:val="30"/>
          <w:highlight w:val="none"/>
          <w:lang w:eastAsia="zh-CN"/>
        </w:rPr>
        <w:t>四</w:t>
      </w:r>
      <w:r>
        <w:rPr>
          <w:rFonts w:hint="eastAsia" w:ascii="宋体" w:hAnsi="宋体" w:eastAsia="宋体" w:cs="宋体"/>
          <w:color w:val="auto"/>
          <w:sz w:val="30"/>
          <w:szCs w:val="30"/>
          <w:highlight w:val="none"/>
        </w:rPr>
        <w:t>月</w:t>
      </w:r>
    </w:p>
    <w:p w14:paraId="1C5B4D7F">
      <w:pPr>
        <w:shd w:val="clear" w:color="auto" w:fill="FFFFFF"/>
        <w:snapToGrid w:val="0"/>
        <w:spacing w:line="480" w:lineRule="auto"/>
        <w:ind w:firstLine="425"/>
        <w:textAlignment w:val="bottom"/>
        <w:rPr>
          <w:rFonts w:hint="eastAsia" w:ascii="宋体" w:hAnsi="宋体" w:eastAsia="宋体" w:cs="宋体"/>
          <w:b/>
          <w:bCs/>
          <w:color w:val="auto"/>
          <w:sz w:val="30"/>
          <w:szCs w:val="30"/>
          <w:highlight w:val="none"/>
        </w:rPr>
      </w:pPr>
    </w:p>
    <w:p w14:paraId="5D20FF4A">
      <w:pPr>
        <w:pageBreakBefore/>
        <w:shd w:val="clear" w:color="auto" w:fill="FFFFFF"/>
        <w:snapToGrid w:val="0"/>
        <w:spacing w:line="360" w:lineRule="auto"/>
        <w:jc w:val="center"/>
        <w:rPr>
          <w:rFonts w:hint="eastAsia" w:ascii="宋体" w:hAnsi="宋体" w:eastAsia="宋体" w:cs="宋体"/>
          <w:b/>
          <w:bCs/>
          <w:color w:val="auto"/>
          <w:sz w:val="24"/>
          <w:highlight w:val="none"/>
        </w:rPr>
        <w:sectPr>
          <w:footerReference r:id="rId3" w:type="default"/>
          <w:pgSz w:w="11906" w:h="16838"/>
          <w:pgMar w:top="1440" w:right="1800" w:bottom="1440" w:left="1800" w:header="720" w:footer="720" w:gutter="0"/>
          <w:cols w:space="720" w:num="1"/>
        </w:sectPr>
      </w:pPr>
    </w:p>
    <w:p w14:paraId="7F99BA92">
      <w:pPr>
        <w:jc w:val="center"/>
        <w:rPr>
          <w:rFonts w:hint="eastAsia" w:ascii="宋体" w:hAnsi="宋体" w:eastAsia="宋体" w:cs="宋体"/>
          <w:color w:val="auto"/>
          <w:sz w:val="44"/>
          <w:szCs w:val="44"/>
          <w:highlight w:val="none"/>
        </w:rPr>
      </w:pPr>
    </w:p>
    <w:p w14:paraId="6EAA1CE7">
      <w:pPr>
        <w:jc w:val="center"/>
        <w:rPr>
          <w:rFonts w:hint="eastAsia" w:ascii="宋体" w:hAnsi="宋体" w:eastAsia="宋体" w:cs="宋体"/>
          <w:color w:val="auto"/>
          <w:sz w:val="44"/>
          <w:szCs w:val="44"/>
          <w:highlight w:val="none"/>
        </w:rPr>
      </w:pPr>
    </w:p>
    <w:p w14:paraId="4700F0AE">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目录</w:t>
      </w:r>
    </w:p>
    <w:p w14:paraId="7080648C">
      <w:pPr>
        <w:pStyle w:val="11"/>
        <w:rPr>
          <w:rFonts w:hint="eastAsia" w:ascii="宋体" w:hAnsi="宋体" w:cs="宋体"/>
          <w:color w:val="auto"/>
          <w:highlight w:val="none"/>
        </w:rPr>
      </w:pPr>
    </w:p>
    <w:p w14:paraId="52DA86C3">
      <w:pPr>
        <w:pStyle w:val="19"/>
        <w:tabs>
          <w:tab w:val="right" w:leader="dot" w:pos="8958"/>
          <w:tab w:val="clear" w:pos="8789"/>
        </w:tabs>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"_Toc29838"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_Toc29838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471B8EF">
      <w:pPr>
        <w:pStyle w:val="19"/>
        <w:tabs>
          <w:tab w:val="right" w:leader="dot" w:pos="8958"/>
          <w:tab w:val="clear" w:pos="8789"/>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"_Toc19283" </w:instrText>
      </w:r>
      <w:r>
        <w:rPr>
          <w:color w:val="auto"/>
          <w:highlight w:val="none"/>
        </w:rPr>
        <w:fldChar w:fldCharType="separate"/>
      </w:r>
      <w:r>
        <w:rPr>
          <w:rFonts w:hint="eastAsia" w:ascii="宋体" w:hAnsi="宋体" w:cs="宋体"/>
          <w:color w:val="auto"/>
          <w:sz w:val="28"/>
          <w:szCs w:val="28"/>
          <w:highlight w:val="none"/>
        </w:rPr>
        <w:t>第二章  磋商须知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_Toc19283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1D5F793">
      <w:pPr>
        <w:pStyle w:val="19"/>
        <w:tabs>
          <w:tab w:val="right" w:leader="dot" w:pos="8958"/>
          <w:tab w:val="clear" w:pos="8789"/>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"_Toc14072" </w:instrText>
      </w:r>
      <w:r>
        <w:rPr>
          <w:color w:val="auto"/>
          <w:highlight w:val="none"/>
        </w:rPr>
        <w:fldChar w:fldCharType="separate"/>
      </w:r>
      <w:r>
        <w:rPr>
          <w:rFonts w:hint="eastAsia" w:ascii="宋体" w:hAnsi="宋体" w:cs="宋体"/>
          <w:color w:val="auto"/>
          <w:sz w:val="28"/>
          <w:szCs w:val="28"/>
          <w:highlight w:val="none"/>
        </w:rPr>
        <w:t>第三章  评定成交的标准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_Toc14072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B8A61AA">
      <w:pPr>
        <w:pStyle w:val="19"/>
        <w:tabs>
          <w:tab w:val="right" w:leader="dot" w:pos="8958"/>
          <w:tab w:val="clear" w:pos="8789"/>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"_Toc15065" </w:instrText>
      </w:r>
      <w:r>
        <w:rPr>
          <w:color w:val="auto"/>
          <w:highlight w:val="none"/>
        </w:rPr>
        <w:fldChar w:fldCharType="separate"/>
      </w:r>
      <w:r>
        <w:rPr>
          <w:rFonts w:hint="eastAsia" w:ascii="宋体" w:hAnsi="宋体" w:cs="宋体"/>
          <w:color w:val="auto"/>
          <w:sz w:val="28"/>
          <w:szCs w:val="28"/>
          <w:highlight w:val="none"/>
        </w:rPr>
        <w:t>第四章  用户需求书</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_Toc15065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5B71D15">
      <w:pPr>
        <w:pStyle w:val="19"/>
        <w:tabs>
          <w:tab w:val="right" w:leader="dot" w:pos="8958"/>
          <w:tab w:val="clear" w:pos="8789"/>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"_Toc19801" </w:instrText>
      </w:r>
      <w:r>
        <w:rPr>
          <w:color w:val="auto"/>
          <w:highlight w:val="none"/>
        </w:rPr>
        <w:fldChar w:fldCharType="separate"/>
      </w:r>
      <w:r>
        <w:rPr>
          <w:rFonts w:hint="eastAsia" w:ascii="宋体" w:hAnsi="宋体" w:cs="宋体"/>
          <w:color w:val="auto"/>
          <w:sz w:val="28"/>
          <w:szCs w:val="28"/>
          <w:highlight w:val="none"/>
        </w:rPr>
        <w:t>第五章  商务条款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_Toc19801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CA887AA">
      <w:pPr>
        <w:pStyle w:val="19"/>
        <w:tabs>
          <w:tab w:val="right" w:leader="dot" w:pos="8958"/>
          <w:tab w:val="clear" w:pos="8789"/>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"_Toc19034" </w:instrText>
      </w:r>
      <w:r>
        <w:rPr>
          <w:color w:val="auto"/>
          <w:highlight w:val="none"/>
        </w:rPr>
        <w:fldChar w:fldCharType="separate"/>
      </w:r>
      <w:r>
        <w:rPr>
          <w:rFonts w:hint="eastAsia" w:ascii="宋体" w:hAnsi="宋体" w:cs="宋体"/>
          <w:color w:val="auto"/>
          <w:sz w:val="28"/>
          <w:szCs w:val="28"/>
          <w:highlight w:val="none"/>
        </w:rPr>
        <w:t>第六章  合同草案</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_Toc19034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26095C5">
      <w:pPr>
        <w:pStyle w:val="19"/>
        <w:tabs>
          <w:tab w:val="right" w:leader="dot" w:pos="8958"/>
          <w:tab w:val="clear" w:pos="8789"/>
        </w:tabs>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"_Toc22464" </w:instrText>
      </w:r>
      <w:r>
        <w:rPr>
          <w:color w:val="auto"/>
          <w:highlight w:val="none"/>
        </w:rPr>
        <w:fldChar w:fldCharType="separate"/>
      </w:r>
      <w:r>
        <w:rPr>
          <w:rFonts w:hint="eastAsia" w:ascii="宋体" w:hAnsi="宋体" w:cs="宋体"/>
          <w:color w:val="auto"/>
          <w:sz w:val="28"/>
          <w:szCs w:val="28"/>
          <w:highlight w:val="none"/>
        </w:rPr>
        <w:t>第七章  附件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_Toc22464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B1DAEE0">
      <w:pPr>
        <w:pageBreakBefore/>
        <w:spacing w:line="720" w:lineRule="auto"/>
        <w:jc w:val="center"/>
        <w:outlineLvl w:val="0"/>
        <w:rPr>
          <w:rFonts w:hint="eastAsia" w:ascii="宋体" w:hAnsi="宋体" w:eastAsia="宋体" w:cs="宋体"/>
          <w:color w:val="auto"/>
          <w:sz w:val="28"/>
          <w:szCs w:val="28"/>
          <w:highlight w:val="none"/>
        </w:rPr>
        <w:sectPr>
          <w:pgSz w:w="11907" w:h="16840"/>
          <w:pgMar w:top="1134" w:right="1474" w:bottom="1134" w:left="1474" w:header="709" w:footer="1134" w:gutter="1"/>
          <w:cols w:space="720" w:num="1"/>
          <w:docGrid w:type="lines" w:linePitch="312" w:charSpace="0"/>
        </w:sectPr>
      </w:pPr>
    </w:p>
    <w:p w14:paraId="4CE9E437">
      <w:pPr>
        <w:pageBreakBefore/>
        <w:spacing w:line="720" w:lineRule="auto"/>
        <w:jc w:val="center"/>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bookmarkStart w:id="0" w:name="_Toc29838"/>
      <w:r>
        <w:rPr>
          <w:rFonts w:hint="eastAsia" w:ascii="宋体" w:hAnsi="宋体" w:eastAsia="宋体" w:cs="宋体"/>
          <w:b/>
          <w:color w:val="auto"/>
          <w:sz w:val="28"/>
          <w:szCs w:val="28"/>
          <w:highlight w:val="none"/>
        </w:rPr>
        <w:t>第一章  竞争性磋商公告</w:t>
      </w:r>
      <w:bookmarkEnd w:id="0"/>
    </w:p>
    <w:p w14:paraId="001CBC03">
      <w:pPr>
        <w:pBdr>
          <w:top w:val="single" w:color="auto" w:sz="4" w:space="1"/>
          <w:left w:val="single" w:color="auto" w:sz="4" w:space="4"/>
          <w:bottom w:val="single" w:color="auto" w:sz="4" w:space="1"/>
          <w:right w:val="single" w:color="auto" w:sz="4" w:space="4"/>
        </w:pBdr>
        <w:autoSpaceDN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77E771E">
      <w:pPr>
        <w:pBdr>
          <w:top w:val="single" w:color="auto" w:sz="4" w:space="1"/>
          <w:left w:val="single" w:color="auto" w:sz="4" w:space="4"/>
          <w:bottom w:val="single" w:color="auto" w:sz="4" w:space="1"/>
          <w:right w:val="single" w:color="auto" w:sz="4" w:space="4"/>
        </w:pBdr>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lang w:eastAsia="zh-CN"/>
        </w:rPr>
        <w:t>浙江省第五届体育大会开闭幕式策划及执行服务</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政采云平台（https://www.zcygov.cn/）</w:t>
      </w:r>
      <w:r>
        <w:rPr>
          <w:rFonts w:hint="eastAsia" w:ascii="宋体" w:hAnsi="宋体" w:eastAsia="宋体" w:cs="宋体"/>
          <w:color w:val="auto"/>
          <w:sz w:val="24"/>
          <w:szCs w:val="24"/>
          <w:highlight w:val="none"/>
        </w:rPr>
        <w:t>获取竞争性磋商文件，并于2025年</w:t>
      </w:r>
      <w:r>
        <w:rPr>
          <w:rFonts w:hint="eastAsia" w:ascii="宋体" w:hAnsi="宋体" w:eastAsia="宋体" w:cs="宋体"/>
          <w:bCs/>
          <w:color w:val="auto"/>
          <w:sz w:val="24"/>
          <w:szCs w:val="24"/>
          <w:highlight w:val="none"/>
          <w:u w:val="single"/>
          <w:lang w:val="en-US" w:eastAsia="zh-CN"/>
        </w:rPr>
        <w:t>04月25日</w:t>
      </w:r>
      <w:r>
        <w:rPr>
          <w:rFonts w:hint="eastAsia" w:ascii="宋体" w:hAnsi="宋体" w:eastAsia="宋体" w:cs="宋体"/>
          <w:bCs/>
          <w:color w:val="auto"/>
          <w:sz w:val="24"/>
          <w:szCs w:val="24"/>
          <w:highlight w:val="none"/>
          <w:u w:val="single"/>
        </w:rPr>
        <w:t>09点00分（</w:t>
      </w:r>
      <w:r>
        <w:rPr>
          <w:rFonts w:hint="eastAsia" w:ascii="宋体" w:hAnsi="宋体" w:eastAsia="宋体" w:cs="宋体"/>
          <w:bCs/>
          <w:color w:val="auto"/>
          <w:sz w:val="24"/>
          <w:szCs w:val="24"/>
          <w:highlight w:val="none"/>
        </w:rPr>
        <w:t>北京时间）前提交响应文件</w:t>
      </w:r>
      <w:r>
        <w:rPr>
          <w:rFonts w:hint="eastAsia" w:ascii="宋体" w:hAnsi="宋体" w:eastAsia="宋体" w:cs="宋体"/>
          <w:color w:val="auto"/>
          <w:sz w:val="24"/>
          <w:szCs w:val="24"/>
          <w:highlight w:val="none"/>
        </w:rPr>
        <w:t>。</w:t>
      </w:r>
    </w:p>
    <w:p w14:paraId="38D5D0E4">
      <w:pPr>
        <w:pStyle w:val="22"/>
        <w:autoSpaceDN w:val="0"/>
        <w:spacing w:before="0" w:beforeAutospacing="0" w:after="0" w:afterAutospacing="0" w:line="440" w:lineRule="exact"/>
        <w:rPr>
          <w:rFonts w:hint="eastAsia" w:cs="宋体"/>
          <w:color w:val="auto"/>
          <w:highlight w:val="none"/>
        </w:rPr>
      </w:pPr>
      <w:r>
        <w:rPr>
          <w:rFonts w:cs="宋体"/>
          <w:color w:val="auto"/>
          <w:kern w:val="2"/>
          <w:highlight w:val="none"/>
        </w:rPr>
        <w:t> </w:t>
      </w:r>
    </w:p>
    <w:p w14:paraId="2F3F0A7D">
      <w:pPr>
        <w:widowControl/>
        <w:shd w:val="clear" w:color="auto" w:fill="FFFFFF"/>
        <w:autoSpaceDN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一、项目基本情况</w:t>
      </w:r>
    </w:p>
    <w:p w14:paraId="35B96DBA">
      <w:pPr>
        <w:widowControl/>
        <w:shd w:val="clear" w:color="auto" w:fill="FFFFFF"/>
        <w:autoSpaceDN w:val="0"/>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shd w:val="clear" w:color="auto" w:fill="FFFFFF"/>
        </w:rPr>
        <w:t>项目编号：</w:t>
      </w:r>
      <w:r>
        <w:rPr>
          <w:rFonts w:hint="eastAsia" w:ascii="宋体" w:hAnsi="宋体" w:eastAsia="宋体" w:cs="宋体"/>
          <w:bCs/>
          <w:color w:val="auto"/>
          <w:sz w:val="24"/>
          <w:szCs w:val="24"/>
          <w:highlight w:val="none"/>
          <w:lang w:eastAsia="zh-CN"/>
        </w:rPr>
        <w:t>ZGTZZB2025-0403</w:t>
      </w:r>
    </w:p>
    <w:p w14:paraId="1928D071">
      <w:pPr>
        <w:widowControl/>
        <w:shd w:val="clear" w:color="auto" w:fill="FFFFFF"/>
        <w:autoSpaceDN w:val="0"/>
        <w:spacing w:line="44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shd w:val="clear" w:color="auto" w:fill="FFFFFF"/>
        </w:rPr>
        <w:t>项目名称：</w:t>
      </w:r>
      <w:r>
        <w:rPr>
          <w:rFonts w:hint="eastAsia" w:ascii="宋体" w:hAnsi="宋体" w:eastAsia="宋体" w:cs="宋体"/>
          <w:bCs/>
          <w:color w:val="auto"/>
          <w:sz w:val="24"/>
          <w:szCs w:val="24"/>
          <w:highlight w:val="none"/>
          <w:lang w:eastAsia="zh-CN"/>
        </w:rPr>
        <w:t>浙江省第五届体育大会开闭幕式策划及执行服务</w:t>
      </w:r>
    </w:p>
    <w:p w14:paraId="69703C0B">
      <w:pPr>
        <w:widowControl/>
        <w:spacing w:line="380" w:lineRule="exact"/>
        <w:ind w:firstLine="480" w:firstLineChars="200"/>
        <w:contextualSpacing/>
        <w:jc w:val="left"/>
        <w:rPr>
          <w:rFonts w:hint="eastAsia" w:cs="宋体" w:asciiTheme="minorEastAsia" w:hAnsiTheme="minorEastAsia" w:eastAsiaTheme="minorEastAsia"/>
          <w:color w:val="auto"/>
          <w:sz w:val="24"/>
          <w:szCs w:val="24"/>
          <w:highlight w:val="none"/>
          <w:lang w:eastAsia="zh-CN"/>
        </w:rPr>
      </w:pPr>
      <w:r>
        <w:rPr>
          <w:rFonts w:cs="宋体" w:asciiTheme="minorEastAsia" w:hAnsiTheme="minorEastAsia"/>
          <w:color w:val="auto"/>
          <w:sz w:val="24"/>
          <w:szCs w:val="24"/>
          <w:highlight w:val="none"/>
        </w:rPr>
        <w:t>预算金额</w:t>
      </w:r>
      <w:r>
        <w:rPr>
          <w:rFonts w:hint="eastAsia" w:cs="宋体" w:asciiTheme="minorEastAsia" w:hAnsiTheme="minorEastAsia"/>
          <w:color w:val="auto"/>
          <w:sz w:val="24"/>
          <w:szCs w:val="24"/>
          <w:highlight w:val="none"/>
        </w:rPr>
        <w:t>（元）</w:t>
      </w:r>
      <w:r>
        <w:rPr>
          <w:rFonts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eastAsia="zh-CN"/>
        </w:rPr>
        <w:t>5500000</w:t>
      </w:r>
    </w:p>
    <w:p w14:paraId="6A366A0E">
      <w:pPr>
        <w:widowControl/>
        <w:spacing w:line="380" w:lineRule="exact"/>
        <w:ind w:firstLine="480" w:firstLineChars="200"/>
        <w:contextualSpacing/>
        <w:jc w:val="left"/>
        <w:rPr>
          <w:rFonts w:hint="eastAsia" w:cs="宋体" w:asciiTheme="minorEastAsia" w:hAnsiTheme="minorEastAsia" w:eastAsiaTheme="minorEastAsia"/>
          <w:color w:val="auto"/>
          <w:sz w:val="24"/>
          <w:szCs w:val="24"/>
          <w:highlight w:val="none"/>
          <w:lang w:eastAsia="zh-CN"/>
        </w:rPr>
      </w:pPr>
      <w:r>
        <w:rPr>
          <w:rFonts w:cs="宋体" w:asciiTheme="minorEastAsia" w:hAnsiTheme="minorEastAsia"/>
          <w:color w:val="auto"/>
          <w:sz w:val="24"/>
          <w:szCs w:val="24"/>
          <w:highlight w:val="none"/>
        </w:rPr>
        <w:t>最高限价</w:t>
      </w:r>
      <w:r>
        <w:rPr>
          <w:rFonts w:hint="eastAsia" w:cs="宋体" w:asciiTheme="minorEastAsia" w:hAnsiTheme="minorEastAsia"/>
          <w:color w:val="auto"/>
          <w:sz w:val="24"/>
          <w:szCs w:val="24"/>
          <w:highlight w:val="none"/>
        </w:rPr>
        <w:t>（元）</w:t>
      </w:r>
      <w:r>
        <w:rPr>
          <w:rFonts w:cs="宋体" w:asciiTheme="minorEastAsia" w:hAnsiTheme="minorEastAsia"/>
          <w:color w:val="auto"/>
          <w:sz w:val="24"/>
          <w:szCs w:val="24"/>
          <w:highlight w:val="none"/>
        </w:rPr>
        <w:t>：</w:t>
      </w:r>
      <w:r>
        <w:rPr>
          <w:rFonts w:hint="eastAsia" w:cs="宋体" w:asciiTheme="minorEastAsia" w:hAnsiTheme="minorEastAsia"/>
          <w:color w:val="auto"/>
          <w:sz w:val="24"/>
          <w:szCs w:val="24"/>
          <w:highlight w:val="none"/>
          <w:lang w:eastAsia="zh-CN"/>
        </w:rPr>
        <w:t>5500000</w:t>
      </w:r>
    </w:p>
    <w:p w14:paraId="4D48EBAD">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采购需求</w:t>
      </w:r>
    </w:p>
    <w:p w14:paraId="0F47A810">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数量:</w:t>
      </w:r>
      <w:r>
        <w:rPr>
          <w:rFonts w:hint="eastAsia" w:ascii="宋体" w:hAnsi="宋体" w:eastAsia="宋体" w:cs="宋体"/>
          <w:color w:val="auto"/>
          <w:sz w:val="24"/>
          <w:szCs w:val="24"/>
          <w:highlight w:val="none"/>
          <w:shd w:val="clear" w:color="auto" w:fill="FFFFFF"/>
          <w:lang w:val="en-US" w:eastAsia="zh-CN"/>
        </w:rPr>
        <w:t>1项</w:t>
      </w:r>
      <w:r>
        <w:rPr>
          <w:rFonts w:hint="eastAsia" w:ascii="宋体" w:hAnsi="宋体" w:eastAsia="宋体" w:cs="宋体"/>
          <w:color w:val="auto"/>
          <w:sz w:val="24"/>
          <w:szCs w:val="24"/>
          <w:highlight w:val="none"/>
          <w:shd w:val="clear" w:color="auto" w:fill="FFFFFF"/>
        </w:rPr>
        <w:t> </w:t>
      </w:r>
    </w:p>
    <w:p w14:paraId="5C4635A6">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预算金额（元）:</w:t>
      </w:r>
      <w:r>
        <w:rPr>
          <w:rFonts w:hint="eastAsia" w:eastAsia="宋体" w:cs="宋体" w:asciiTheme="minorEastAsia" w:hAnsiTheme="minorEastAsia"/>
          <w:color w:val="auto"/>
          <w:sz w:val="24"/>
          <w:szCs w:val="24"/>
          <w:highlight w:val="none"/>
          <w:lang w:eastAsia="zh-CN"/>
        </w:rPr>
        <w:t>5500000</w:t>
      </w:r>
    </w:p>
    <w:p w14:paraId="3F855CFB">
      <w:pPr>
        <w:widowControl/>
        <w:shd w:val="clear" w:color="auto" w:fill="FFFFFF"/>
        <w:autoSpaceDN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shd w:val="clear" w:color="auto" w:fill="FFFFFF"/>
        </w:rPr>
        <w:t>简要规格描述或项目基本概况介绍、用途：负责浙江省第五届体育大会开闭幕式和时尚科技体育嘉年华执行服务演出的整体策划、筹备和组织实施工作</w:t>
      </w:r>
      <w:r>
        <w:rPr>
          <w:rFonts w:hint="eastAsia" w:ascii="宋体" w:hAnsi="宋体" w:eastAsia="宋体" w:cs="宋体"/>
          <w:b/>
          <w:color w:val="auto"/>
          <w:sz w:val="24"/>
          <w:szCs w:val="24"/>
          <w:highlight w:val="none"/>
          <w:shd w:val="clear" w:color="auto" w:fill="FFFFFF"/>
          <w:lang w:eastAsia="zh-CN"/>
        </w:rPr>
        <w:t>，</w:t>
      </w:r>
      <w:r>
        <w:rPr>
          <w:rFonts w:hint="eastAsia" w:ascii="宋体" w:hAnsi="宋体" w:eastAsia="宋体" w:cs="宋体"/>
          <w:b/>
          <w:color w:val="auto"/>
          <w:sz w:val="24"/>
          <w:szCs w:val="24"/>
          <w:highlight w:val="none"/>
          <w:shd w:val="clear" w:color="auto" w:fill="FFFFFF"/>
        </w:rPr>
        <w:t>详见第四章</w:t>
      </w:r>
      <w:r>
        <w:rPr>
          <w:rFonts w:hint="eastAsia" w:ascii="宋体" w:hAnsi="宋体" w:eastAsia="宋体" w:cs="宋体"/>
          <w:b/>
          <w:color w:val="auto"/>
          <w:sz w:val="24"/>
          <w:szCs w:val="24"/>
          <w:highlight w:val="none"/>
          <w:shd w:val="clear" w:color="auto" w:fill="FFFFFF"/>
          <w:lang w:val="en-US" w:eastAsia="zh-CN"/>
        </w:rPr>
        <w:t xml:space="preserve"> </w:t>
      </w:r>
      <w:r>
        <w:rPr>
          <w:rFonts w:hint="eastAsia" w:ascii="宋体" w:hAnsi="宋体" w:eastAsia="宋体" w:cs="宋体"/>
          <w:b/>
          <w:color w:val="auto"/>
          <w:sz w:val="24"/>
          <w:szCs w:val="24"/>
          <w:highlight w:val="none"/>
          <w:shd w:val="clear" w:color="auto" w:fill="FFFFFF"/>
        </w:rPr>
        <w:t>用户需求书。</w:t>
      </w:r>
    </w:p>
    <w:p w14:paraId="6E0C952E">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eastAsia" w:ascii="宋体" w:hAnsi="宋体" w:eastAsia="宋体"/>
          <w:bCs/>
          <w:color w:val="auto"/>
          <w:sz w:val="24"/>
          <w:highlight w:val="none"/>
        </w:rPr>
        <w:t>自签订合同之日起至闭幕式圆满结束并妥善清场为止</w:t>
      </w:r>
      <w:r>
        <w:rPr>
          <w:rFonts w:hint="eastAsia" w:ascii="宋体" w:hAnsi="宋体" w:eastAsia="宋体" w:cs="宋体"/>
          <w:color w:val="auto"/>
          <w:sz w:val="24"/>
          <w:szCs w:val="24"/>
          <w:highlight w:val="none"/>
        </w:rPr>
        <w:t>。</w:t>
      </w:r>
    </w:p>
    <w:p w14:paraId="37BFF191">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是否</w:t>
      </w:r>
      <w:r>
        <w:rPr>
          <w:rFonts w:hint="eastAsia" w:ascii="宋体" w:hAnsi="宋体" w:eastAsia="宋体" w:cs="宋体"/>
          <w:color w:val="auto"/>
          <w:sz w:val="24"/>
          <w:szCs w:val="24"/>
          <w:highlight w:val="none"/>
        </w:rPr>
        <w:t>联合</w:t>
      </w:r>
      <w:r>
        <w:rPr>
          <w:rFonts w:hint="eastAsia" w:ascii="宋体" w:hAnsi="宋体" w:eastAsia="宋体"/>
          <w:bCs/>
          <w:color w:val="auto"/>
          <w:sz w:val="24"/>
          <w:highlight w:val="none"/>
        </w:rPr>
        <w:t>体投标</w:t>
      </w:r>
      <w:r>
        <w:rPr>
          <w:rFonts w:hint="eastAsia" w:ascii="宋体" w:hAnsi="宋体" w:eastAsia="宋体"/>
          <w:bCs/>
          <w:color w:val="auto"/>
          <w:sz w:val="24"/>
          <w:highlight w:val="none"/>
          <w:lang w:eastAsia="zh-CN"/>
        </w:rPr>
        <w:t>：</w:t>
      </w:r>
      <w:sdt>
        <w:sdtPr>
          <w:rPr>
            <w:rFonts w:hint="eastAsia" w:ascii="宋体" w:hAnsi="宋体" w:eastAsia="宋体"/>
            <w:b/>
            <w:bCs w:val="0"/>
            <w:color w:val="auto"/>
            <w:sz w:val="24"/>
            <w:highlight w:val="none"/>
          </w:rPr>
          <w:id w:val="-1"/>
          <w14:checkbox>
            <w14:checked w14:val="1"/>
            <w14:checkedState w14:val="00FE" w14:font="Wingdings"/>
            <w14:uncheckedState w14:val="2610" w14:font="MS Gothic"/>
          </w14:checkbox>
        </w:sdtPr>
        <w:sdtEndPr>
          <w:rPr>
            <w:rFonts w:hint="eastAsia" w:ascii="宋体" w:hAnsi="宋体" w:eastAsia="宋体"/>
            <w:b/>
            <w:bCs w:val="0"/>
            <w:color w:val="auto"/>
            <w:sz w:val="24"/>
            <w:highlight w:val="none"/>
          </w:rPr>
        </w:sdtEndPr>
        <w:sdtContent>
          <w:r>
            <w:rPr>
              <w:rFonts w:hint="eastAsia" w:ascii="宋体" w:hAnsi="宋体" w:eastAsia="宋体"/>
              <w:b/>
              <w:bCs w:val="0"/>
              <w:color w:val="auto"/>
              <w:sz w:val="24"/>
              <w:highlight w:val="none"/>
            </w:rPr>
            <w:sym w:font="Wingdings" w:char="F0FE"/>
          </w:r>
        </w:sdtContent>
      </w:sdt>
      <w:r>
        <w:rPr>
          <w:rFonts w:hint="eastAsia" w:ascii="宋体" w:hAnsi="宋体" w:eastAsia="宋体"/>
          <w:b/>
          <w:bCs w:val="0"/>
          <w:color w:val="auto"/>
          <w:sz w:val="24"/>
          <w:highlight w:val="none"/>
        </w:rPr>
        <w:t>是；</w:t>
      </w:r>
      <w:sdt>
        <w:sdtPr>
          <w:rPr>
            <w:rFonts w:hint="eastAsia" w:ascii="宋体" w:hAnsi="宋体" w:eastAsia="宋体"/>
            <w:b/>
            <w:bCs w:val="0"/>
            <w:color w:val="auto"/>
            <w:sz w:val="24"/>
            <w:highlight w:val="none"/>
          </w:rPr>
          <w:id w:val="-642731542"/>
          <w14:checkbox>
            <w14:checked w14:val="0"/>
            <w14:checkedState w14:val="00FE" w14:font="Wingdings"/>
            <w14:uncheckedState w14:val="2610" w14:font="MS Gothic"/>
          </w14:checkbox>
        </w:sdtPr>
        <w:sdtEndPr>
          <w:rPr>
            <w:rFonts w:hint="eastAsia" w:ascii="宋体" w:hAnsi="宋体" w:eastAsia="宋体"/>
            <w:b/>
            <w:bCs w:val="0"/>
            <w:color w:val="auto"/>
            <w:sz w:val="24"/>
            <w:highlight w:val="none"/>
          </w:rPr>
        </w:sdtEndPr>
        <w:sdtContent>
          <w:r>
            <w:rPr>
              <w:rFonts w:hint="eastAsia" w:ascii="宋体" w:hAnsi="宋体" w:eastAsia="宋体"/>
              <w:b/>
              <w:bCs w:val="0"/>
              <w:color w:val="auto"/>
              <w:sz w:val="24"/>
              <w:highlight w:val="none"/>
              <w:lang w:val="en-US" w:eastAsia="zh-CN"/>
            </w:rPr>
            <w:t>☐</w:t>
          </w:r>
        </w:sdtContent>
      </w:sdt>
      <w:r>
        <w:rPr>
          <w:rFonts w:hint="eastAsia" w:ascii="宋体" w:hAnsi="宋体" w:eastAsia="宋体"/>
          <w:b/>
          <w:bCs w:val="0"/>
          <w:color w:val="auto"/>
          <w:sz w:val="24"/>
          <w:highlight w:val="none"/>
        </w:rPr>
        <w:t>否</w:t>
      </w:r>
    </w:p>
    <w:p w14:paraId="1D9D4F41">
      <w:pPr>
        <w:pStyle w:val="22"/>
        <w:spacing w:before="0" w:beforeAutospacing="0" w:after="0" w:afterAutospacing="0" w:line="440" w:lineRule="exact"/>
        <w:ind w:firstLine="480" w:firstLineChars="200"/>
        <w:contextualSpacing/>
        <w:rPr>
          <w:rFonts w:hint="eastAsia" w:eastAsia="宋体" w:cs="宋体"/>
          <w:color w:val="auto"/>
          <w:kern w:val="2"/>
          <w:highlight w:val="none"/>
          <w:lang w:eastAsia="zh-CN"/>
        </w:rPr>
      </w:pPr>
      <w:r>
        <w:rPr>
          <w:rFonts w:cs="宋体"/>
          <w:color w:val="auto"/>
          <w:kern w:val="2"/>
          <w:highlight w:val="none"/>
        </w:rPr>
        <w:t>本项目</w:t>
      </w:r>
      <w:r>
        <w:rPr>
          <w:rFonts w:hint="eastAsia" w:ascii="宋体" w:hAnsi="宋体" w:eastAsia="宋体" w:cs="宋体"/>
          <w:color w:val="auto"/>
          <w:sz w:val="24"/>
          <w:szCs w:val="24"/>
          <w:highlight w:val="none"/>
          <w:lang w:eastAsia="zh-CN"/>
        </w:rPr>
        <w:t>是否</w:t>
      </w:r>
      <w:r>
        <w:rPr>
          <w:rFonts w:cs="宋体"/>
          <w:color w:val="auto"/>
          <w:kern w:val="2"/>
          <w:highlight w:val="none"/>
        </w:rPr>
        <w:t>接受分包</w:t>
      </w:r>
      <w:r>
        <w:rPr>
          <w:rFonts w:hint="eastAsia" w:cs="宋体"/>
          <w:color w:val="auto"/>
          <w:kern w:val="2"/>
          <w:highlight w:val="none"/>
          <w:lang w:eastAsia="zh-CN"/>
        </w:rPr>
        <w:t>：</w:t>
      </w:r>
      <w:sdt>
        <w:sdtPr>
          <w:rPr>
            <w:rFonts w:hint="eastAsia" w:ascii="宋体" w:hAnsi="宋体" w:eastAsia="宋体"/>
            <w:b/>
            <w:bCs w:val="0"/>
            <w:color w:val="auto"/>
            <w:sz w:val="24"/>
            <w:highlight w:val="none"/>
          </w:rPr>
          <w:id w:val="147460147"/>
          <w14:checkbox>
            <w14:checked w14:val="0"/>
            <w14:checkedState w14:val="00FE" w14:font="Wingdings"/>
            <w14:uncheckedState w14:val="2610" w14:font="MS Gothic"/>
          </w14:checkbox>
        </w:sdtPr>
        <w:sdtEndPr>
          <w:rPr>
            <w:rFonts w:hint="eastAsia" w:ascii="宋体" w:hAnsi="宋体" w:eastAsia="宋体"/>
            <w:b/>
            <w:bCs w:val="0"/>
            <w:color w:val="auto"/>
            <w:sz w:val="24"/>
            <w:highlight w:val="none"/>
          </w:rPr>
        </w:sdtEndPr>
        <w:sdtContent>
          <w:r>
            <w:rPr>
              <w:rFonts w:hint="eastAsia" w:ascii="MS Gothic" w:hAnsi="MS Gothic" w:eastAsia="宋体" w:cs="Times New Roman"/>
              <w:b/>
              <w:bCs w:val="0"/>
              <w:color w:val="auto"/>
              <w:kern w:val="0"/>
              <w:sz w:val="24"/>
              <w:szCs w:val="24"/>
              <w:highlight w:val="none"/>
              <w:lang w:val="en-US" w:eastAsia="zh-CN" w:bidi="ar-SA"/>
            </w:rPr>
            <w:t>☐</w:t>
          </w:r>
        </w:sdtContent>
      </w:sdt>
      <w:r>
        <w:rPr>
          <w:rFonts w:hint="eastAsia" w:ascii="宋体" w:hAnsi="宋体" w:eastAsia="宋体"/>
          <w:b/>
          <w:bCs w:val="0"/>
          <w:color w:val="auto"/>
          <w:sz w:val="24"/>
          <w:highlight w:val="none"/>
        </w:rPr>
        <w:t>是；</w:t>
      </w:r>
      <w:sdt>
        <w:sdtPr>
          <w:rPr>
            <w:rFonts w:hint="eastAsia" w:ascii="宋体" w:hAnsi="宋体" w:eastAsia="宋体"/>
            <w:b/>
            <w:bCs w:val="0"/>
            <w:color w:val="auto"/>
            <w:sz w:val="24"/>
            <w:highlight w:val="none"/>
          </w:rPr>
          <w:id w:val="147479276"/>
          <w14:checkbox>
            <w14:checked w14:val="1"/>
            <w14:checkedState w14:val="00FE" w14:font="Wingdings"/>
            <w14:uncheckedState w14:val="2610" w14:font="MS Gothic"/>
          </w14:checkbox>
        </w:sdtPr>
        <w:sdtEndPr>
          <w:rPr>
            <w:rFonts w:hint="eastAsia" w:ascii="宋体" w:hAnsi="宋体" w:eastAsia="宋体"/>
            <w:b/>
            <w:bCs w:val="0"/>
            <w:color w:val="auto"/>
            <w:sz w:val="24"/>
            <w:highlight w:val="none"/>
          </w:rPr>
        </w:sdtEndPr>
        <w:sdtContent>
          <w:r>
            <w:rPr>
              <w:rFonts w:hint="eastAsia" w:ascii="Wingdings" w:hAnsi="Wingdings" w:eastAsia="宋体" w:cs="Times New Roman"/>
              <w:b/>
              <w:bCs w:val="0"/>
              <w:color w:val="auto"/>
              <w:kern w:val="0"/>
              <w:sz w:val="24"/>
              <w:szCs w:val="24"/>
              <w:highlight w:val="none"/>
              <w:lang w:val="en-US" w:eastAsia="zh-CN" w:bidi="ar-SA"/>
            </w:rPr>
            <w:t>þ</w:t>
          </w:r>
        </w:sdtContent>
      </w:sdt>
      <w:r>
        <w:rPr>
          <w:rFonts w:hint="eastAsia" w:ascii="宋体" w:hAnsi="宋体" w:eastAsia="宋体"/>
          <w:b/>
          <w:bCs w:val="0"/>
          <w:color w:val="auto"/>
          <w:sz w:val="24"/>
          <w:highlight w:val="none"/>
        </w:rPr>
        <w:t>否</w:t>
      </w:r>
    </w:p>
    <w:p w14:paraId="306AD881">
      <w:pPr>
        <w:widowControl/>
        <w:shd w:val="clear" w:color="auto" w:fill="FFFFFF"/>
        <w:autoSpaceDN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二、申请人的资格要求：</w:t>
      </w:r>
    </w:p>
    <w:p w14:paraId="5FF7EA5A">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满足《中华人民共和国政府采购法》第二十二条规定；未被“信用中国”（www.creditchina.gov.cn)、中国政府采购网（www.ccgp.gov.cn）列入失信被执行人、重大税收违法失信主体、政府采购严重违法失信行为记录名单。</w:t>
      </w:r>
    </w:p>
    <w:p w14:paraId="13E829C0">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2.以联合体形式投标的，提供联合协议(本项目不接受联合体投标或者投标人不以联合体形式投标的，则不需要提供)；</w:t>
      </w:r>
    </w:p>
    <w:p w14:paraId="5C8654EC">
      <w:pPr>
        <w:widowControl/>
        <w:shd w:val="clear" w:color="auto" w:fill="FFFFFF"/>
        <w:autoSpaceDN w:val="0"/>
        <w:spacing w:line="440" w:lineRule="exact"/>
        <w:ind w:firstLine="480" w:firstLineChars="200"/>
        <w:rPr>
          <w:rFonts w:hint="eastAsia" w:ascii="宋体" w:hAnsi="宋体" w:eastAsia="宋体" w:cs="宋体"/>
          <w:b/>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、落实政府采购政策需满足的资格要求：无</w:t>
      </w:r>
      <w:r>
        <w:rPr>
          <w:rFonts w:hint="eastAsia" w:cs="宋体" w:asciiTheme="minorEastAsia" w:hAnsiTheme="minorEastAsia"/>
          <w:b/>
          <w:bCs/>
          <w:color w:val="auto"/>
          <w:sz w:val="24"/>
          <w:highlight w:val="none"/>
        </w:rPr>
        <w:t>。</w:t>
      </w:r>
    </w:p>
    <w:p w14:paraId="789E021A">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rPr>
        <w:t>、本项目的特定资格要求：无。</w:t>
      </w:r>
    </w:p>
    <w:p w14:paraId="7B6BF49F">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7BB7E9">
      <w:pPr>
        <w:widowControl/>
        <w:shd w:val="clear" w:color="auto" w:fill="FFFFFF"/>
        <w:autoSpaceDN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三、获取（下载）竞争性磋商文件</w:t>
      </w:r>
    </w:p>
    <w:p w14:paraId="48C9CF43">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时间：/至2025年</w:t>
      </w:r>
      <w:r>
        <w:rPr>
          <w:rFonts w:hint="eastAsia" w:ascii="宋体" w:hAnsi="宋体" w:eastAsia="宋体" w:cs="宋体"/>
          <w:bCs/>
          <w:color w:val="auto"/>
          <w:sz w:val="24"/>
          <w:szCs w:val="24"/>
          <w:highlight w:val="none"/>
          <w:u w:val="single"/>
          <w:lang w:val="en-US" w:eastAsia="zh-CN"/>
        </w:rPr>
        <w:t>04月25日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5FB9532D">
      <w:pPr>
        <w:widowControl/>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地点（网址）：政采云平台（https://www.zcygov.cn/）</w:t>
      </w:r>
    </w:p>
    <w:p w14:paraId="4F1B019A">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方式：本项目竞争性磋商文件实行“政府采购云平台”在线获取，不提供竞争性磋商文件纸质版。供应商获取竞争性磋商文件前应先完成“政府采购云平台”的账号注册；</w:t>
      </w:r>
    </w:p>
    <w:p w14:paraId="4C82D231">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潜在供应商登陆政采云平台，在线申请获取竞争性磋商文件（进入“项目采购”应用，在获取竞争性磋商文件菜单中选择项目，申请获取竞争性磋商文件；仅需浏览竞争性磋商文件的供应商可点击“游客，浏览竞争性磋商文件”直接下载竞争性磋商文件浏览）；</w:t>
      </w:r>
    </w:p>
    <w:p w14:paraId="3C50388D">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公告附件内的竞争性磋商文件仅供阅览使用，供应商只有在“政府采购云平台”完成获取竞争性磋商文件申请并下载了竞争性磋商文件后才视作依法获取竞争性磋商文件（法律法规所指的供应商获取竞争性磋商文件时间以供应商完成获取竞争性磋商文件申请后下载竞争性磋商文件的时间为准）。</w:t>
      </w:r>
    </w:p>
    <w:p w14:paraId="2C25E263">
      <w:pPr>
        <w:widowControl/>
        <w:spacing w:line="440" w:lineRule="exact"/>
        <w:ind w:firstLine="590" w:firstLineChars="245"/>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请供应商按上述要求获取竞争性磋商文件，未依法获取竞争性磋商文件的供应商不得对本项目提起质疑、投诉，不得参加本项目的投标活动；如未在“政采云”系统内完成相关流程，引起的投标无效责任自负。</w:t>
      </w:r>
    </w:p>
    <w:p w14:paraId="055EC770">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41657C63">
      <w:pPr>
        <w:widowControl/>
        <w:shd w:val="clear" w:color="auto" w:fill="FFFFFF"/>
        <w:autoSpaceDN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四、响应文件提交</w:t>
      </w:r>
      <w:r>
        <w:rPr>
          <w:rFonts w:hint="eastAsia" w:ascii="宋体" w:hAnsi="宋体" w:eastAsia="宋体" w:cs="宋体"/>
          <w:color w:val="auto"/>
          <w:sz w:val="24"/>
          <w:szCs w:val="24"/>
          <w:highlight w:val="none"/>
          <w:shd w:val="clear" w:color="auto" w:fill="FFFFFF"/>
        </w:rPr>
        <w:t> </w:t>
      </w:r>
    </w:p>
    <w:p w14:paraId="4FD1220F">
      <w:pPr>
        <w:widowControl/>
        <w:spacing w:line="440" w:lineRule="exact"/>
        <w:ind w:firstLine="482" w:firstLineChars="200"/>
        <w:contextualSpacing/>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提交响应文件截止时间：</w:t>
      </w:r>
      <w:r>
        <w:rPr>
          <w:rFonts w:hint="eastAsia" w:ascii="宋体" w:hAnsi="宋体" w:eastAsia="宋体" w:cs="宋体"/>
          <w:color w:val="auto"/>
          <w:sz w:val="24"/>
          <w:szCs w:val="24"/>
          <w:highlight w:val="none"/>
        </w:rPr>
        <w:t>2025年</w:t>
      </w:r>
      <w:r>
        <w:rPr>
          <w:rFonts w:hint="eastAsia" w:ascii="宋体" w:hAnsi="宋体" w:eastAsia="宋体" w:cs="宋体"/>
          <w:bCs/>
          <w:color w:val="auto"/>
          <w:sz w:val="24"/>
          <w:szCs w:val="24"/>
          <w:highlight w:val="none"/>
          <w:u w:val="single"/>
          <w:lang w:val="en-US" w:eastAsia="zh-CN"/>
        </w:rPr>
        <w:t>04月25日</w:t>
      </w:r>
      <w:r>
        <w:rPr>
          <w:rFonts w:hint="eastAsia" w:ascii="宋体" w:hAnsi="宋体" w:eastAsia="宋体" w:cs="宋体"/>
          <w:color w:val="auto"/>
          <w:sz w:val="24"/>
          <w:szCs w:val="24"/>
          <w:highlight w:val="none"/>
        </w:rPr>
        <w:t>09:00（北京时间）</w:t>
      </w:r>
    </w:p>
    <w:p w14:paraId="540D7DFA">
      <w:pPr>
        <w:widowControl/>
        <w:spacing w:line="440" w:lineRule="exact"/>
        <w:ind w:firstLine="482" w:firstLineChars="200"/>
        <w:contextualSpacing/>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通过政采云平台（www.zcygov.cn）”实行在线投标响应（电子投标）</w:t>
      </w:r>
    </w:p>
    <w:p w14:paraId="46C1D3BD">
      <w:pPr>
        <w:widowControl/>
        <w:spacing w:line="440" w:lineRule="exact"/>
        <w:ind w:firstLine="354" w:firstLineChars="147"/>
        <w:contextualSpacing/>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rPr>
        <w:t>2025年</w:t>
      </w:r>
      <w:r>
        <w:rPr>
          <w:rFonts w:hint="eastAsia" w:ascii="宋体" w:hAnsi="宋体" w:eastAsia="宋体" w:cs="宋体"/>
          <w:bCs/>
          <w:color w:val="auto"/>
          <w:sz w:val="24"/>
          <w:szCs w:val="24"/>
          <w:highlight w:val="none"/>
          <w:u w:val="single"/>
          <w:lang w:val="en-US" w:eastAsia="zh-CN"/>
        </w:rPr>
        <w:t>04月25日</w:t>
      </w:r>
      <w:r>
        <w:rPr>
          <w:rFonts w:hint="eastAsia" w:ascii="宋体" w:hAnsi="宋体" w:eastAsia="宋体" w:cs="宋体"/>
          <w:color w:val="auto"/>
          <w:sz w:val="24"/>
          <w:szCs w:val="24"/>
          <w:highlight w:val="none"/>
        </w:rPr>
        <w:t xml:space="preserve">09:00 </w:t>
      </w:r>
    </w:p>
    <w:p w14:paraId="4448DEA4">
      <w:pPr>
        <w:widowControl/>
        <w:spacing w:line="440" w:lineRule="exact"/>
        <w:ind w:firstLine="361" w:firstLineChars="150"/>
        <w:contextualSpacing/>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通过政采云平台（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30"/>
          <w:rFonts w:hint="eastAsia" w:ascii="宋体" w:hAnsi="宋体" w:eastAsia="宋体" w:cs="宋体"/>
          <w:color w:val="auto"/>
          <w:sz w:val="24"/>
          <w:szCs w:val="24"/>
          <w:highlight w:val="none"/>
        </w:rPr>
        <w:t>www.zcygov.cn</w:t>
      </w:r>
      <w:r>
        <w:rPr>
          <w:rStyle w:val="30"/>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303BC15">
      <w:pPr>
        <w:widowControl/>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五、公告期限</w:t>
      </w:r>
    </w:p>
    <w:p w14:paraId="2171B02D">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自本公告发布之日起3个工作日。</w:t>
      </w:r>
    </w:p>
    <w:p w14:paraId="543AE5F5">
      <w:pPr>
        <w:widowControl/>
        <w:shd w:val="clear" w:color="auto" w:fill="FFFFFF"/>
        <w:autoSpaceDN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六、其他补充事宜</w:t>
      </w:r>
      <w:r>
        <w:rPr>
          <w:rFonts w:hint="eastAsia" w:ascii="宋体" w:hAnsi="宋体" w:eastAsia="宋体" w:cs="宋体"/>
          <w:color w:val="auto"/>
          <w:sz w:val="24"/>
          <w:szCs w:val="24"/>
          <w:highlight w:val="none"/>
          <w:shd w:val="clear" w:color="auto" w:fill="FFFFFF"/>
        </w:rPr>
        <w:t> </w:t>
      </w:r>
    </w:p>
    <w:p w14:paraId="3E553D50">
      <w:pPr>
        <w:widowControl/>
        <w:spacing w:line="440" w:lineRule="exact"/>
        <w:ind w:firstLine="480" w:firstLineChars="200"/>
        <w:contextualSpacing/>
        <w:rPr>
          <w:rFonts w:hint="eastAsia" w:ascii="宋体" w:hAnsi="宋体" w:eastAsia="宋体" w:cs="宋体"/>
          <w:color w:val="auto"/>
          <w:sz w:val="24"/>
          <w:szCs w:val="24"/>
          <w:highlight w:val="none"/>
        </w:rPr>
      </w:pPr>
      <w:bookmarkStart w:id="1" w:name="_Toc28359085"/>
      <w:bookmarkStart w:id="2" w:name="_Toc28359008"/>
      <w:bookmarkStart w:id="3" w:name="_Toc35393627"/>
      <w:bookmarkStart w:id="4" w:name="_Toc35393796"/>
      <w:r>
        <w:rPr>
          <w:rFonts w:hint="eastAsia" w:ascii="宋体" w:hAnsi="宋体" w:eastAsia="宋体" w:cs="宋体"/>
          <w:color w:val="auto"/>
          <w:sz w:val="24"/>
          <w:szCs w:val="24"/>
          <w:highlight w:val="none"/>
        </w:rPr>
        <w:t>1、供应商认为竞争性磋商文件使自己的权益受到损害的，可以自获取竞争性磋商文件之日或者竞争性磋商文件公告期限届满之日起</w:t>
      </w:r>
      <w:r>
        <w:rPr>
          <w:rFonts w:hint="eastAsia" w:cs="宋体" w:asciiTheme="minorEastAsia" w:hAnsiTheme="minorEastAsia"/>
          <w:b/>
          <w:color w:val="auto"/>
          <w:sz w:val="24"/>
          <w:szCs w:val="24"/>
          <w:highlight w:val="none"/>
        </w:rPr>
        <w:t>（公告期限届满后获取竞争性磋商文件的，以公告期限届满之日为准）</w:t>
      </w:r>
      <w:r>
        <w:rPr>
          <w:rFonts w:hint="eastAsia" w:ascii="宋体" w:hAnsi="宋体" w:eastAsia="宋体" w:cs="宋体"/>
          <w:color w:val="auto"/>
          <w:sz w:val="24"/>
          <w:szCs w:val="24"/>
          <w:highlight w:val="none"/>
        </w:rPr>
        <w:t>7个工作日内，以书面形式向采购人和采购代理机构提出质疑</w:t>
      </w:r>
      <w:r>
        <w:rPr>
          <w:rFonts w:hint="eastAsia" w:ascii="Times New Roman" w:hAnsi="Times New Roman"/>
          <w:b/>
          <w:color w:val="auto"/>
          <w:sz w:val="24"/>
          <w:szCs w:val="24"/>
          <w:highlight w:val="none"/>
        </w:rPr>
        <w:t>（注</w:t>
      </w:r>
      <w:r>
        <w:rPr>
          <w:rFonts w:ascii="Times New Roman" w:hAnsi="Times New Roman"/>
          <w:b/>
          <w:color w:val="auto"/>
          <w:sz w:val="24"/>
          <w:szCs w:val="24"/>
          <w:highlight w:val="none"/>
        </w:rPr>
        <w:t>：</w:t>
      </w:r>
      <w:r>
        <w:rPr>
          <w:rFonts w:hint="eastAsia" w:ascii="Times New Roman" w:hAnsi="Times New Roman"/>
          <w:b/>
          <w:color w:val="auto"/>
          <w:sz w:val="24"/>
          <w:szCs w:val="24"/>
          <w:highlight w:val="none"/>
        </w:rPr>
        <w:t>供应商须</w:t>
      </w:r>
      <w:r>
        <w:rPr>
          <w:rFonts w:ascii="Times New Roman" w:hAnsi="Times New Roman"/>
          <w:b/>
          <w:color w:val="auto"/>
          <w:sz w:val="24"/>
          <w:szCs w:val="24"/>
          <w:highlight w:val="none"/>
        </w:rPr>
        <w:t>在法定质疑期内一次性提出针对同一采购程序环节的质疑</w:t>
      </w:r>
      <w:r>
        <w:rPr>
          <w:rFonts w:hint="eastAsia" w:ascii="Times New Roman" w:hAnsi="Times New Roman"/>
          <w:b/>
          <w:color w:val="auto"/>
          <w:sz w:val="24"/>
          <w:szCs w:val="24"/>
          <w:highlight w:val="none"/>
        </w:rPr>
        <w:t>）</w:t>
      </w:r>
      <w:r>
        <w:rPr>
          <w:rFonts w:hint="eastAsia" w:ascii="Times New Roman" w:hAnsi="Times New Roman"/>
          <w:color w:val="auto"/>
          <w:sz w:val="24"/>
          <w:szCs w:val="24"/>
          <w:highlight w:val="none"/>
        </w:rPr>
        <w:t>。</w:t>
      </w:r>
      <w:r>
        <w:rPr>
          <w:rFonts w:hint="eastAsia" w:ascii="宋体" w:hAnsi="宋体" w:eastAsia="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1AD3401">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2、其他事项：</w:t>
      </w:r>
    </w:p>
    <w:bookmarkEnd w:id="1"/>
    <w:bookmarkEnd w:id="2"/>
    <w:bookmarkEnd w:id="3"/>
    <w:bookmarkEnd w:id="4"/>
    <w:p w14:paraId="614576A3">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（1）需要落实的政府采购政策：包括节约资源、保护环境、支持创新、促进中小企业发展等。详见竞争性磋商文件的第二章磋商须知。</w:t>
      </w:r>
    </w:p>
    <w:p w14:paraId="2074C844">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（2）电子招投标的说明：</w:t>
      </w:r>
    </w:p>
    <w:p w14:paraId="0D3DC61C">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①电子招投标：本项目以数据电文形式，依托“政府采购云平台（www.zcygov.cn）”进行招投标活动，不接受纸质投标文件；</w:t>
      </w:r>
    </w:p>
    <w:p w14:paraId="05938FD5">
      <w:pPr>
        <w:widowControl/>
        <w:spacing w:line="440" w:lineRule="exact"/>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竞争性磋商文件的获取：使用账号登录或者使用CA登录政采云平台；进入“项目采购”应用，在获取竞争性磋商文件菜单中选择项目，获取竞争性磋商文件；</w:t>
      </w:r>
    </w:p>
    <w:p w14:paraId="7454E7D7">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④投标文件的制作：在“政采云电子交易客户端”中完成“填写基本信息”、“导入投标文件”、“标书关联”、“标书检查”、“电子签名”、“生成电子标书”等操作；</w:t>
      </w:r>
    </w:p>
    <w:p w14:paraId="10AB49CA">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⑤采购人、采购代理机构将依托政采云平台完成本项目的电子交易活动，平台不接受未按上述方式获取竞争性磋商文件的供应商进行投标活动；</w:t>
      </w:r>
    </w:p>
    <w:p w14:paraId="7D1DEF77">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⑥对未按上述方式获取竞争性磋商文件的供应商对该文件提出的质疑，采购人或采购代理机构将不予处理；</w:t>
      </w:r>
    </w:p>
    <w:p w14:paraId="26C54990">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⑦不提供竞争性磋商文件纸质版；</w:t>
      </w:r>
    </w:p>
    <w:p w14:paraId="2C99FBB5">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⑧投标文件的传输递交：投标人在投标截止时间前将加密的投标文件上传至政府采购云平台。备份磋商响应文件的制作、递交详见竞争性磋商文件第二部分“投标资料表”第9条；</w:t>
      </w:r>
    </w:p>
    <w:p w14:paraId="6EB90212">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投标文件的解密：投标人按照平台提示和竞争性磋商文件的规定在半小时内完成在线解密。通过“政府采购云平台”上传递交的投标文件无法按时解密，投标供应商递交了备份磋商响应文件的，以备份磋商响应文件为依据，否则视为投标文件撤回。通过“政府采购云平台”上传递交的投标文件已按时解密的，备份磋商响应文件自动失效。投标人仅提交备份磋商响应文件，没有在电子交易平台传输递交投标文件的，投标无效；</w:t>
      </w:r>
    </w:p>
    <w:p w14:paraId="79CD2D23">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⑩具体操作指南：详见政采云平台“服务中心-帮助文档-项目采购-操作流程-电子招投标-政府采购项目电子交易管理操作指南-供应商”。</w:t>
      </w:r>
    </w:p>
    <w:p w14:paraId="2D6E75BC">
      <w:pPr>
        <w:widowControl/>
        <w:shd w:val="clear" w:color="auto" w:fill="FFFFFF"/>
        <w:autoSpaceDN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shd w:val="clear" w:color="auto" w:fill="FFFFFF"/>
        </w:rPr>
        <w:t>七、凡对本次采购提出询问、质疑、投诉，请按以下方式联系</w:t>
      </w:r>
    </w:p>
    <w:p w14:paraId="13BC3A0E">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1.采购人信息</w:t>
      </w:r>
    </w:p>
    <w:p w14:paraId="69B250BE">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台州市体育事业发展中心</w:t>
      </w:r>
    </w:p>
    <w:p w14:paraId="5F4B8801">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地址：浙江省台州市椒江区市府大道</w:t>
      </w:r>
      <w:r>
        <w:rPr>
          <w:rFonts w:hint="eastAsia" w:cs="Arial" w:asciiTheme="minorEastAsia" w:hAnsiTheme="minorEastAsia" w:eastAsiaTheme="minorEastAsia"/>
          <w:color w:val="auto"/>
          <w:sz w:val="24"/>
          <w:highlight w:val="none"/>
        </w:rPr>
        <w:t>216号</w:t>
      </w:r>
    </w:p>
    <w:p w14:paraId="5E831FDB">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345AC203">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eastAsia="zh-CN"/>
        </w:rPr>
        <w:t>李老师</w:t>
      </w:r>
    </w:p>
    <w:p w14:paraId="7661A999">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项目联系方式（询问）：0576-88055665</w:t>
      </w:r>
    </w:p>
    <w:p w14:paraId="0CF2060D">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质疑联系人：顾老师 </w:t>
      </w:r>
    </w:p>
    <w:p w14:paraId="3ADCF657">
      <w:pPr>
        <w:widowControl/>
        <w:shd w:val="clear" w:color="auto" w:fill="FFFFFF"/>
        <w:autoSpaceDN w:val="0"/>
        <w:spacing w:line="440" w:lineRule="exact"/>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质疑联系方式：0576-88055626</w:t>
      </w:r>
    </w:p>
    <w:p w14:paraId="5D498BA4">
      <w:pPr>
        <w:widowControl/>
        <w:shd w:val="clear" w:color="auto" w:fill="FFFFFF"/>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2.采购代理机构信息</w:t>
      </w:r>
    </w:p>
    <w:p w14:paraId="135EF097">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名    称：中冠工程管理咨询有限公司 </w:t>
      </w:r>
    </w:p>
    <w:p w14:paraId="0C45CEE0">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地    址：</w:t>
      </w:r>
      <w:r>
        <w:rPr>
          <w:rFonts w:hint="eastAsia" w:ascii="宋体" w:hAnsi="宋体" w:eastAsia="宋体" w:cs="宋体"/>
          <w:color w:val="auto"/>
          <w:sz w:val="24"/>
          <w:szCs w:val="24"/>
          <w:highlight w:val="none"/>
        </w:rPr>
        <w:t>浙江省台州市椒江区东海大道378号4楼</w:t>
      </w:r>
    </w:p>
    <w:p w14:paraId="037AAC0C">
      <w:pPr>
        <w:spacing w:line="440" w:lineRule="exact"/>
        <w:ind w:firstLine="470" w:firstLineChars="19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传    真：</w:t>
      </w:r>
      <w:r>
        <w:rPr>
          <w:rFonts w:hint="eastAsia" w:ascii="宋体" w:hAnsi="宋体" w:eastAsia="宋体" w:cs="宋体"/>
          <w:color w:val="auto"/>
          <w:sz w:val="24"/>
          <w:szCs w:val="24"/>
          <w:highlight w:val="none"/>
          <w:lang w:val="en-US" w:eastAsia="zh-CN"/>
        </w:rPr>
        <w:t>/</w:t>
      </w:r>
    </w:p>
    <w:p w14:paraId="0B93D47E">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项目联系人（询问）：陈金泉、戴艳燕、王莎莎</w:t>
      </w:r>
    </w:p>
    <w:p w14:paraId="4F615A8F">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项目联系方式（询问）：</w:t>
      </w:r>
      <w:r>
        <w:rPr>
          <w:rFonts w:hint="eastAsia" w:ascii="宋体" w:hAnsi="宋体" w:eastAsia="宋体" w:cs="宋体"/>
          <w:color w:val="auto"/>
          <w:sz w:val="24"/>
          <w:szCs w:val="24"/>
          <w:highlight w:val="none"/>
        </w:rPr>
        <w:t xml:space="preserve">0576-81810227、18968407875  </w:t>
      </w:r>
    </w:p>
    <w:p w14:paraId="102EF7BB">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rPr>
        <w:t>质疑联系人：</w:t>
      </w:r>
      <w:r>
        <w:rPr>
          <w:rFonts w:hint="eastAsia" w:ascii="宋体" w:hAnsi="宋体" w:eastAsia="宋体" w:cs="宋体"/>
          <w:color w:val="auto"/>
          <w:sz w:val="24"/>
          <w:szCs w:val="24"/>
          <w:highlight w:val="none"/>
          <w:lang w:eastAsia="zh-CN"/>
        </w:rPr>
        <w:t>刘霞</w:t>
      </w:r>
    </w:p>
    <w:p w14:paraId="391D6F41">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质疑联系方式：0576-81810270</w:t>
      </w:r>
    </w:p>
    <w:p w14:paraId="030E62B1">
      <w:pPr>
        <w:widowControl/>
        <w:shd w:val="clear" w:color="auto" w:fill="FFFFFF"/>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3.同级政府采购监督管理部门</w:t>
      </w:r>
    </w:p>
    <w:p w14:paraId="2670B125">
      <w:pPr>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名称：台州市财政局政府采购监管处</w:t>
      </w:r>
    </w:p>
    <w:p w14:paraId="2DF9467B">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地址：浙江省台州市纬一路66号</w:t>
      </w:r>
    </w:p>
    <w:p w14:paraId="1FD415F6">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传真：0576-88206705</w:t>
      </w:r>
    </w:p>
    <w:p w14:paraId="1A822A78">
      <w:pPr>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联系人：陈老师、李老师</w:t>
      </w:r>
    </w:p>
    <w:p w14:paraId="44419607">
      <w:pPr>
        <w:autoSpaceDN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监督投诉电话：0576-88206705 、88206731</w:t>
      </w:r>
    </w:p>
    <w:p w14:paraId="6076B060">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八、成交供应商如有融资需求，可使用以下服务</w:t>
      </w:r>
    </w:p>
    <w:p w14:paraId="3900EEE9">
      <w:pPr>
        <w:pStyle w:val="9"/>
        <w:spacing w:line="440" w:lineRule="exact"/>
        <w:ind w:firstLine="0" w:firstLineChars="0"/>
        <w:jc w:val="center"/>
        <w:rPr>
          <w:rFonts w:hint="eastAsia" w:ascii="宋体" w:hAnsi="宋体" w:cs="宋体"/>
          <w:b/>
          <w:color w:val="auto"/>
          <w:sz w:val="24"/>
          <w:highlight w:val="none"/>
        </w:rPr>
      </w:pPr>
      <w:r>
        <w:rPr>
          <w:rFonts w:hint="eastAsia" w:ascii="宋体" w:hAnsi="宋体" w:cs="宋体"/>
          <w:b/>
          <w:color w:val="auto"/>
          <w:sz w:val="24"/>
          <w:highlight w:val="none"/>
        </w:rPr>
        <w:t>政采贷联系方式</w:t>
      </w:r>
    </w:p>
    <w:tbl>
      <w:tblPr>
        <w:tblStyle w:val="2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691"/>
        <w:gridCol w:w="1830"/>
        <w:gridCol w:w="3991"/>
      </w:tblGrid>
      <w:tr w14:paraId="296E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3569B1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w:t>
            </w:r>
          </w:p>
        </w:tc>
        <w:tc>
          <w:tcPr>
            <w:tcW w:w="1691" w:type="dxa"/>
            <w:vAlign w:val="center"/>
          </w:tcPr>
          <w:p w14:paraId="3A25864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贷款年利率</w:t>
            </w:r>
          </w:p>
        </w:tc>
        <w:tc>
          <w:tcPr>
            <w:tcW w:w="1830" w:type="dxa"/>
            <w:vAlign w:val="center"/>
          </w:tcPr>
          <w:p w14:paraId="0B46C1E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991" w:type="dxa"/>
            <w:vAlign w:val="center"/>
          </w:tcPr>
          <w:p w14:paraId="4B38FCC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25C1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3F7C090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中国工商银行</w:t>
            </w:r>
          </w:p>
        </w:tc>
        <w:tc>
          <w:tcPr>
            <w:tcW w:w="1691" w:type="dxa"/>
            <w:vAlign w:val="center"/>
          </w:tcPr>
          <w:p w14:paraId="36EFB90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830" w:type="dxa"/>
            <w:vAlign w:val="center"/>
          </w:tcPr>
          <w:p w14:paraId="0C760E2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卢嘉诚</w:t>
            </w:r>
          </w:p>
        </w:tc>
        <w:tc>
          <w:tcPr>
            <w:tcW w:w="3991" w:type="dxa"/>
            <w:vAlign w:val="center"/>
          </w:tcPr>
          <w:p w14:paraId="78EC722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13867658508</w:t>
            </w:r>
          </w:p>
        </w:tc>
      </w:tr>
      <w:tr w14:paraId="26C3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F83563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中国农业银行</w:t>
            </w:r>
          </w:p>
        </w:tc>
        <w:tc>
          <w:tcPr>
            <w:tcW w:w="1691" w:type="dxa"/>
            <w:vAlign w:val="center"/>
          </w:tcPr>
          <w:p w14:paraId="227561D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830" w:type="dxa"/>
            <w:vAlign w:val="center"/>
          </w:tcPr>
          <w:p w14:paraId="17A851A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龚盛</w:t>
            </w:r>
          </w:p>
        </w:tc>
        <w:tc>
          <w:tcPr>
            <w:tcW w:w="3991" w:type="dxa"/>
            <w:vAlign w:val="center"/>
          </w:tcPr>
          <w:p w14:paraId="55536B9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15858682216</w:t>
            </w:r>
          </w:p>
        </w:tc>
      </w:tr>
      <w:tr w14:paraId="6BA5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613004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w:t>
            </w:r>
          </w:p>
        </w:tc>
        <w:tc>
          <w:tcPr>
            <w:tcW w:w="1691" w:type="dxa"/>
            <w:vAlign w:val="center"/>
          </w:tcPr>
          <w:p w14:paraId="0FE0366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3.8%起</w:t>
            </w:r>
          </w:p>
        </w:tc>
        <w:tc>
          <w:tcPr>
            <w:tcW w:w="1830" w:type="dxa"/>
            <w:vAlign w:val="center"/>
          </w:tcPr>
          <w:p w14:paraId="25811A0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梅晶晶</w:t>
            </w:r>
          </w:p>
        </w:tc>
        <w:tc>
          <w:tcPr>
            <w:tcW w:w="3991" w:type="dxa"/>
            <w:vAlign w:val="center"/>
          </w:tcPr>
          <w:p w14:paraId="34052C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88525339、13736585303</w:t>
            </w:r>
          </w:p>
        </w:tc>
      </w:tr>
      <w:tr w14:paraId="15A5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8D1C6FF">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中国银行</w:t>
            </w:r>
          </w:p>
        </w:tc>
        <w:tc>
          <w:tcPr>
            <w:tcW w:w="1691" w:type="dxa"/>
            <w:vAlign w:val="center"/>
          </w:tcPr>
          <w:p w14:paraId="15E7CBBD">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3.75%起</w:t>
            </w:r>
          </w:p>
        </w:tc>
        <w:tc>
          <w:tcPr>
            <w:tcW w:w="1830" w:type="dxa"/>
            <w:vAlign w:val="center"/>
          </w:tcPr>
          <w:p w14:paraId="7F83CB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w:t>
            </w:r>
          </w:p>
        </w:tc>
        <w:tc>
          <w:tcPr>
            <w:tcW w:w="3991" w:type="dxa"/>
            <w:vAlign w:val="center"/>
          </w:tcPr>
          <w:p w14:paraId="1E35CBF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13857677798</w:t>
            </w:r>
          </w:p>
        </w:tc>
      </w:tr>
      <w:tr w14:paraId="745D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01357B9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浦发银行台州分行</w:t>
            </w:r>
          </w:p>
        </w:tc>
        <w:tc>
          <w:tcPr>
            <w:tcW w:w="1691" w:type="dxa"/>
            <w:vAlign w:val="center"/>
          </w:tcPr>
          <w:p w14:paraId="456E234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830" w:type="dxa"/>
            <w:vAlign w:val="center"/>
          </w:tcPr>
          <w:p w14:paraId="3C96FF0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王渊</w:t>
            </w:r>
          </w:p>
        </w:tc>
        <w:tc>
          <w:tcPr>
            <w:tcW w:w="3991" w:type="dxa"/>
            <w:vAlign w:val="center"/>
          </w:tcPr>
          <w:p w14:paraId="3DE7EE3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13616676319</w:t>
            </w:r>
          </w:p>
        </w:tc>
      </w:tr>
      <w:tr w14:paraId="2C39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54C805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浦发银行椒江分行</w:t>
            </w:r>
          </w:p>
        </w:tc>
        <w:tc>
          <w:tcPr>
            <w:tcW w:w="1691" w:type="dxa"/>
            <w:vAlign w:val="center"/>
          </w:tcPr>
          <w:p w14:paraId="37F9A91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830" w:type="dxa"/>
            <w:vAlign w:val="center"/>
          </w:tcPr>
          <w:p w14:paraId="1EE605D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孙瑞华</w:t>
            </w:r>
          </w:p>
        </w:tc>
        <w:tc>
          <w:tcPr>
            <w:tcW w:w="3991" w:type="dxa"/>
            <w:vAlign w:val="center"/>
          </w:tcPr>
          <w:p w14:paraId="60D770D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13857688081</w:t>
            </w:r>
          </w:p>
        </w:tc>
      </w:tr>
      <w:tr w14:paraId="4530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2F8EDC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交通银行台州分行</w:t>
            </w:r>
          </w:p>
        </w:tc>
        <w:tc>
          <w:tcPr>
            <w:tcW w:w="1691" w:type="dxa"/>
            <w:vAlign w:val="center"/>
          </w:tcPr>
          <w:p w14:paraId="305523D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3.75%起</w:t>
            </w:r>
          </w:p>
        </w:tc>
        <w:tc>
          <w:tcPr>
            <w:tcW w:w="1830" w:type="dxa"/>
            <w:vAlign w:val="center"/>
          </w:tcPr>
          <w:p w14:paraId="64E4C92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周翔宇</w:t>
            </w:r>
          </w:p>
        </w:tc>
        <w:tc>
          <w:tcPr>
            <w:tcW w:w="3991" w:type="dxa"/>
            <w:vAlign w:val="center"/>
          </w:tcPr>
          <w:p w14:paraId="7684E82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13867697018</w:t>
            </w:r>
          </w:p>
        </w:tc>
      </w:tr>
      <w:tr w14:paraId="6C68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178B19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招商银行台州分行</w:t>
            </w:r>
          </w:p>
        </w:tc>
        <w:tc>
          <w:tcPr>
            <w:tcW w:w="1691" w:type="dxa"/>
            <w:vAlign w:val="center"/>
          </w:tcPr>
          <w:p w14:paraId="6C3A19F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4.32%起</w:t>
            </w:r>
          </w:p>
        </w:tc>
        <w:tc>
          <w:tcPr>
            <w:tcW w:w="1830" w:type="dxa"/>
            <w:vAlign w:val="center"/>
          </w:tcPr>
          <w:p w14:paraId="421C5EA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王海玲</w:t>
            </w:r>
          </w:p>
        </w:tc>
        <w:tc>
          <w:tcPr>
            <w:tcW w:w="3991" w:type="dxa"/>
            <w:vAlign w:val="center"/>
          </w:tcPr>
          <w:p w14:paraId="3851047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13566413827</w:t>
            </w:r>
          </w:p>
        </w:tc>
      </w:tr>
      <w:tr w14:paraId="6A0F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4D2729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浙商银行台州分行</w:t>
            </w:r>
          </w:p>
        </w:tc>
        <w:tc>
          <w:tcPr>
            <w:tcW w:w="1691" w:type="dxa"/>
            <w:vAlign w:val="center"/>
          </w:tcPr>
          <w:p w14:paraId="53CC2E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5.01%起</w:t>
            </w:r>
          </w:p>
        </w:tc>
        <w:tc>
          <w:tcPr>
            <w:tcW w:w="1830" w:type="dxa"/>
            <w:vAlign w:val="center"/>
          </w:tcPr>
          <w:p w14:paraId="4B50B08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章涉漪</w:t>
            </w:r>
          </w:p>
        </w:tc>
        <w:tc>
          <w:tcPr>
            <w:tcW w:w="3991" w:type="dxa"/>
            <w:vAlign w:val="center"/>
          </w:tcPr>
          <w:p w14:paraId="41D938F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81880185、13606681262</w:t>
            </w:r>
          </w:p>
        </w:tc>
      </w:tr>
      <w:tr w14:paraId="7FED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5DFE76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中信银行台州分行</w:t>
            </w:r>
          </w:p>
        </w:tc>
        <w:tc>
          <w:tcPr>
            <w:tcW w:w="1691" w:type="dxa"/>
            <w:vAlign w:val="center"/>
          </w:tcPr>
          <w:p w14:paraId="1C6B3E5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4.15%起</w:t>
            </w:r>
          </w:p>
        </w:tc>
        <w:tc>
          <w:tcPr>
            <w:tcW w:w="1830" w:type="dxa"/>
            <w:vAlign w:val="center"/>
          </w:tcPr>
          <w:p w14:paraId="2637262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陈金园</w:t>
            </w:r>
          </w:p>
        </w:tc>
        <w:tc>
          <w:tcPr>
            <w:tcW w:w="3991" w:type="dxa"/>
            <w:vAlign w:val="center"/>
          </w:tcPr>
          <w:p w14:paraId="1623E84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13586052161</w:t>
            </w:r>
          </w:p>
        </w:tc>
      </w:tr>
      <w:tr w14:paraId="506B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22BE78B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华夏银行台州分行</w:t>
            </w:r>
          </w:p>
        </w:tc>
        <w:tc>
          <w:tcPr>
            <w:tcW w:w="1691" w:type="dxa"/>
            <w:vAlign w:val="center"/>
          </w:tcPr>
          <w:p w14:paraId="552D439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4.5%起</w:t>
            </w:r>
          </w:p>
        </w:tc>
        <w:tc>
          <w:tcPr>
            <w:tcW w:w="1830" w:type="dxa"/>
            <w:vAlign w:val="center"/>
          </w:tcPr>
          <w:p w14:paraId="3A846E2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邱明达</w:t>
            </w:r>
          </w:p>
        </w:tc>
        <w:tc>
          <w:tcPr>
            <w:tcW w:w="3991" w:type="dxa"/>
            <w:vAlign w:val="center"/>
          </w:tcPr>
          <w:p w14:paraId="5C8DD7C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81871518、13736252233</w:t>
            </w:r>
          </w:p>
        </w:tc>
      </w:tr>
      <w:tr w14:paraId="6F5F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138722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泰隆银行开发区支行</w:t>
            </w:r>
          </w:p>
        </w:tc>
        <w:tc>
          <w:tcPr>
            <w:tcW w:w="1691" w:type="dxa"/>
            <w:vAlign w:val="center"/>
          </w:tcPr>
          <w:p w14:paraId="111807F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830" w:type="dxa"/>
            <w:vAlign w:val="center"/>
          </w:tcPr>
          <w:p w14:paraId="362868F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梁宛莉</w:t>
            </w:r>
          </w:p>
        </w:tc>
        <w:tc>
          <w:tcPr>
            <w:tcW w:w="3991" w:type="dxa"/>
            <w:vAlign w:val="center"/>
          </w:tcPr>
          <w:p w14:paraId="12E8611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13306869100</w:t>
            </w:r>
          </w:p>
        </w:tc>
      </w:tr>
      <w:tr w14:paraId="3862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B92446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民泰银行椒江支行</w:t>
            </w:r>
          </w:p>
        </w:tc>
        <w:tc>
          <w:tcPr>
            <w:tcW w:w="1691" w:type="dxa"/>
            <w:vAlign w:val="center"/>
          </w:tcPr>
          <w:p w14:paraId="4C09815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5.8%起</w:t>
            </w:r>
          </w:p>
        </w:tc>
        <w:tc>
          <w:tcPr>
            <w:tcW w:w="1830" w:type="dxa"/>
            <w:vAlign w:val="center"/>
          </w:tcPr>
          <w:p w14:paraId="3F619A1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陈慧珠</w:t>
            </w:r>
          </w:p>
        </w:tc>
        <w:tc>
          <w:tcPr>
            <w:tcW w:w="3991" w:type="dxa"/>
            <w:vAlign w:val="center"/>
          </w:tcPr>
          <w:p w14:paraId="7CFFE44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13857699669</w:t>
            </w:r>
          </w:p>
        </w:tc>
      </w:tr>
      <w:tr w14:paraId="26DA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4334EF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绍兴银行台州分行</w:t>
            </w:r>
          </w:p>
        </w:tc>
        <w:tc>
          <w:tcPr>
            <w:tcW w:w="1691" w:type="dxa"/>
            <w:vAlign w:val="center"/>
          </w:tcPr>
          <w:p w14:paraId="610CCFB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5.1%起</w:t>
            </w:r>
          </w:p>
        </w:tc>
        <w:tc>
          <w:tcPr>
            <w:tcW w:w="1830" w:type="dxa"/>
            <w:vAlign w:val="center"/>
          </w:tcPr>
          <w:p w14:paraId="2214AEA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郭庭斌</w:t>
            </w:r>
          </w:p>
        </w:tc>
        <w:tc>
          <w:tcPr>
            <w:tcW w:w="3991" w:type="dxa"/>
            <w:vAlign w:val="center"/>
          </w:tcPr>
          <w:p w14:paraId="7998A7E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15958633119</w:t>
            </w:r>
          </w:p>
        </w:tc>
      </w:tr>
      <w:tr w14:paraId="213C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53B6A90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温州银行台州分行</w:t>
            </w:r>
          </w:p>
        </w:tc>
        <w:tc>
          <w:tcPr>
            <w:tcW w:w="1691" w:type="dxa"/>
            <w:vAlign w:val="center"/>
          </w:tcPr>
          <w:p w14:paraId="2B3E6C4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4.55%起</w:t>
            </w:r>
          </w:p>
        </w:tc>
        <w:tc>
          <w:tcPr>
            <w:tcW w:w="1830" w:type="dxa"/>
            <w:vAlign w:val="center"/>
          </w:tcPr>
          <w:p w14:paraId="2B17366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王晓波</w:t>
            </w:r>
          </w:p>
        </w:tc>
        <w:tc>
          <w:tcPr>
            <w:tcW w:w="3991" w:type="dxa"/>
            <w:vAlign w:val="center"/>
          </w:tcPr>
          <w:p w14:paraId="24545ED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15824005475</w:t>
            </w:r>
          </w:p>
        </w:tc>
      </w:tr>
      <w:tr w14:paraId="4497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430450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平安银行台州分行</w:t>
            </w:r>
          </w:p>
        </w:tc>
        <w:tc>
          <w:tcPr>
            <w:tcW w:w="1691" w:type="dxa"/>
            <w:vAlign w:val="center"/>
          </w:tcPr>
          <w:p w14:paraId="24F8A4D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6.53%起</w:t>
            </w:r>
          </w:p>
        </w:tc>
        <w:tc>
          <w:tcPr>
            <w:tcW w:w="1830" w:type="dxa"/>
            <w:vAlign w:val="center"/>
          </w:tcPr>
          <w:p w14:paraId="0691BC6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李俊丽</w:t>
            </w:r>
          </w:p>
        </w:tc>
        <w:tc>
          <w:tcPr>
            <w:tcW w:w="3991" w:type="dxa"/>
            <w:vAlign w:val="center"/>
          </w:tcPr>
          <w:p w14:paraId="4DF1DCA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15906861035</w:t>
            </w:r>
          </w:p>
        </w:tc>
      </w:tr>
      <w:tr w14:paraId="034C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161F5F4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宁波银行台州分行</w:t>
            </w:r>
          </w:p>
        </w:tc>
        <w:tc>
          <w:tcPr>
            <w:tcW w:w="1691" w:type="dxa"/>
            <w:vAlign w:val="center"/>
          </w:tcPr>
          <w:p w14:paraId="1C67F2E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4.35%起</w:t>
            </w:r>
          </w:p>
        </w:tc>
        <w:tc>
          <w:tcPr>
            <w:tcW w:w="1830" w:type="dxa"/>
            <w:vAlign w:val="center"/>
          </w:tcPr>
          <w:p w14:paraId="61D47EB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戴莉丽</w:t>
            </w:r>
          </w:p>
        </w:tc>
        <w:tc>
          <w:tcPr>
            <w:tcW w:w="3991" w:type="dxa"/>
            <w:vAlign w:val="center"/>
          </w:tcPr>
          <w:p w14:paraId="1509FD0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13566627207</w:t>
            </w:r>
          </w:p>
        </w:tc>
      </w:tr>
      <w:tr w14:paraId="6A55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6D4769A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金华银行台州分行</w:t>
            </w:r>
          </w:p>
        </w:tc>
        <w:tc>
          <w:tcPr>
            <w:tcW w:w="1691" w:type="dxa"/>
            <w:vAlign w:val="center"/>
          </w:tcPr>
          <w:p w14:paraId="64E53DE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4.05%起</w:t>
            </w:r>
          </w:p>
        </w:tc>
        <w:tc>
          <w:tcPr>
            <w:tcW w:w="1830" w:type="dxa"/>
            <w:vAlign w:val="center"/>
          </w:tcPr>
          <w:p w14:paraId="46D309A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金雪婷</w:t>
            </w:r>
          </w:p>
        </w:tc>
        <w:tc>
          <w:tcPr>
            <w:tcW w:w="3991" w:type="dxa"/>
            <w:vAlign w:val="center"/>
          </w:tcPr>
          <w:p w14:paraId="6104E31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81886670、15968661569</w:t>
            </w:r>
          </w:p>
        </w:tc>
      </w:tr>
      <w:tr w14:paraId="7698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4205B49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台州银行</w:t>
            </w:r>
          </w:p>
        </w:tc>
        <w:tc>
          <w:tcPr>
            <w:tcW w:w="1691" w:type="dxa"/>
            <w:vAlign w:val="center"/>
          </w:tcPr>
          <w:p w14:paraId="491D939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5.6%起</w:t>
            </w:r>
          </w:p>
        </w:tc>
        <w:tc>
          <w:tcPr>
            <w:tcW w:w="1830" w:type="dxa"/>
            <w:vAlign w:val="center"/>
          </w:tcPr>
          <w:p w14:paraId="050791A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洪婷</w:t>
            </w:r>
          </w:p>
        </w:tc>
        <w:tc>
          <w:tcPr>
            <w:tcW w:w="3991" w:type="dxa"/>
            <w:vAlign w:val="center"/>
          </w:tcPr>
          <w:p w14:paraId="57ABF7E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15858624999</w:t>
            </w:r>
          </w:p>
        </w:tc>
      </w:tr>
      <w:tr w14:paraId="0ED6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53" w:type="dxa"/>
            <w:vAlign w:val="center"/>
          </w:tcPr>
          <w:p w14:paraId="776F5B6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邮储银行台州分行</w:t>
            </w:r>
          </w:p>
        </w:tc>
        <w:tc>
          <w:tcPr>
            <w:tcW w:w="1691" w:type="dxa"/>
            <w:vAlign w:val="center"/>
          </w:tcPr>
          <w:p w14:paraId="4D9DE05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3.85%起</w:t>
            </w:r>
          </w:p>
        </w:tc>
        <w:tc>
          <w:tcPr>
            <w:tcW w:w="1830" w:type="dxa"/>
            <w:vAlign w:val="center"/>
          </w:tcPr>
          <w:p w14:paraId="2F776B6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董庆</w:t>
            </w:r>
          </w:p>
        </w:tc>
        <w:tc>
          <w:tcPr>
            <w:tcW w:w="3991" w:type="dxa"/>
            <w:vAlign w:val="center"/>
          </w:tcPr>
          <w:p w14:paraId="661EF77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81888982、18957683757</w:t>
            </w:r>
          </w:p>
        </w:tc>
      </w:tr>
    </w:tbl>
    <w:p w14:paraId="063EEE3A">
      <w:pPr>
        <w:pStyle w:val="13"/>
        <w:spacing w:before="156" w:beforeLines="50" w:after="156" w:afterLines="50" w:line="440" w:lineRule="exact"/>
        <w:outlineLvl w:val="0"/>
        <w:rPr>
          <w:rFonts w:hint="eastAsia" w:ascii="宋体" w:hAnsi="宋体" w:eastAsia="宋体"/>
          <w:color w:val="auto"/>
          <w:sz w:val="24"/>
          <w:szCs w:val="24"/>
          <w:highlight w:val="none"/>
        </w:rPr>
      </w:pPr>
    </w:p>
    <w:p w14:paraId="7F146491">
      <w:pPr>
        <w:pStyle w:val="9"/>
        <w:spacing w:line="440" w:lineRule="exact"/>
        <w:ind w:firstLine="482"/>
        <w:jc w:val="center"/>
        <w:rPr>
          <w:rFonts w:hint="eastAsia" w:ascii="宋体" w:hAnsi="宋体" w:cs="宋体"/>
          <w:b/>
          <w:color w:val="auto"/>
          <w:sz w:val="24"/>
          <w:highlight w:val="none"/>
        </w:rPr>
      </w:pPr>
      <w:r>
        <w:rPr>
          <w:rFonts w:hint="eastAsia" w:ascii="宋体" w:hAnsi="宋体" w:cs="宋体"/>
          <w:b/>
          <w:color w:val="auto"/>
          <w:sz w:val="24"/>
          <w:highlight w:val="none"/>
        </w:rPr>
        <w:t>合同履约保函联系方式</w:t>
      </w:r>
    </w:p>
    <w:tbl>
      <w:tblPr>
        <w:tblStyle w:val="2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3403"/>
        <w:gridCol w:w="1276"/>
        <w:gridCol w:w="1983"/>
      </w:tblGrid>
      <w:tr w14:paraId="0ECE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1D2512A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3403" w:type="dxa"/>
            <w:vAlign w:val="center"/>
          </w:tcPr>
          <w:p w14:paraId="63FB188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1276" w:type="dxa"/>
            <w:vAlign w:val="center"/>
          </w:tcPr>
          <w:p w14:paraId="1B07CB3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983" w:type="dxa"/>
            <w:vAlign w:val="center"/>
          </w:tcPr>
          <w:p w14:paraId="0ADEE48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60CC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17B1133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3403" w:type="dxa"/>
            <w:vAlign w:val="center"/>
          </w:tcPr>
          <w:p w14:paraId="65674CA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14:paraId="01013EC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983" w:type="dxa"/>
            <w:vAlign w:val="center"/>
          </w:tcPr>
          <w:p w14:paraId="61FD2C1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7B77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68686CA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3403" w:type="dxa"/>
            <w:vAlign w:val="center"/>
          </w:tcPr>
          <w:p w14:paraId="2ADB342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1276" w:type="dxa"/>
            <w:vAlign w:val="center"/>
          </w:tcPr>
          <w:p w14:paraId="464996C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983" w:type="dxa"/>
            <w:vAlign w:val="center"/>
          </w:tcPr>
          <w:p w14:paraId="2727AED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14:paraId="4828F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4A91464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3403" w:type="dxa"/>
            <w:vAlign w:val="center"/>
          </w:tcPr>
          <w:p w14:paraId="1F08269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1276" w:type="dxa"/>
            <w:vAlign w:val="center"/>
          </w:tcPr>
          <w:p w14:paraId="5AD82F1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983" w:type="dxa"/>
            <w:vAlign w:val="center"/>
          </w:tcPr>
          <w:p w14:paraId="40769E7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88869818、13586123199</w:t>
            </w:r>
          </w:p>
        </w:tc>
      </w:tr>
      <w:tr w14:paraId="3993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55C2690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3403" w:type="dxa"/>
            <w:vAlign w:val="center"/>
          </w:tcPr>
          <w:p w14:paraId="3B2D209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1276" w:type="dxa"/>
            <w:vAlign w:val="center"/>
          </w:tcPr>
          <w:p w14:paraId="29486BC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983" w:type="dxa"/>
            <w:vAlign w:val="center"/>
          </w:tcPr>
          <w:p w14:paraId="1FB38CB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88552788、13968603112</w:t>
            </w:r>
          </w:p>
        </w:tc>
      </w:tr>
      <w:tr w14:paraId="0F95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7567B10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3403" w:type="dxa"/>
            <w:vAlign w:val="center"/>
          </w:tcPr>
          <w:p w14:paraId="3A955F6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14:paraId="460FD9B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983" w:type="dxa"/>
            <w:vAlign w:val="center"/>
          </w:tcPr>
          <w:p w14:paraId="547322E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2AF0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1206D98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3403" w:type="dxa"/>
            <w:vAlign w:val="center"/>
          </w:tcPr>
          <w:p w14:paraId="1A31ADE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1276" w:type="dxa"/>
            <w:vAlign w:val="center"/>
          </w:tcPr>
          <w:p w14:paraId="2D1D96A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983" w:type="dxa"/>
            <w:vAlign w:val="center"/>
          </w:tcPr>
          <w:p w14:paraId="4C42D42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14:paraId="200E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65F9413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3403" w:type="dxa"/>
            <w:vAlign w:val="center"/>
          </w:tcPr>
          <w:p w14:paraId="3A9C4C0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1276" w:type="dxa"/>
            <w:vAlign w:val="center"/>
          </w:tcPr>
          <w:p w14:paraId="3F30F57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983" w:type="dxa"/>
            <w:vAlign w:val="center"/>
          </w:tcPr>
          <w:p w14:paraId="161A387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14:paraId="3607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03" w:type="dxa"/>
            <w:vAlign w:val="center"/>
          </w:tcPr>
          <w:p w14:paraId="1AC218E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3403" w:type="dxa"/>
            <w:vAlign w:val="center"/>
          </w:tcPr>
          <w:p w14:paraId="73849F3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w:t>
            </w:r>
          </w:p>
        </w:tc>
        <w:tc>
          <w:tcPr>
            <w:tcW w:w="1276" w:type="dxa"/>
            <w:vAlign w:val="center"/>
          </w:tcPr>
          <w:p w14:paraId="0011F61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983" w:type="dxa"/>
            <w:vAlign w:val="center"/>
          </w:tcPr>
          <w:p w14:paraId="779E6D7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14:paraId="10215B11">
      <w:pPr>
        <w:spacing w:line="440" w:lineRule="exact"/>
        <w:ind w:firstLine="843" w:firstLineChars="350"/>
        <w:jc w:val="center"/>
        <w:rPr>
          <w:rFonts w:hint="eastAsia" w:ascii="宋体" w:hAnsi="宋体" w:eastAsia="宋体" w:cs="宋体"/>
          <w:b/>
          <w:color w:val="auto"/>
          <w:sz w:val="24"/>
          <w:szCs w:val="24"/>
          <w:highlight w:val="none"/>
        </w:rPr>
      </w:pPr>
    </w:p>
    <w:p w14:paraId="70713B90">
      <w:pPr>
        <w:spacing w:line="440" w:lineRule="exact"/>
        <w:ind w:firstLine="843" w:firstLineChars="35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预付款保函联系方式</w:t>
      </w:r>
    </w:p>
    <w:tbl>
      <w:tblPr>
        <w:tblStyle w:val="26"/>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4"/>
        <w:gridCol w:w="3300"/>
        <w:gridCol w:w="1275"/>
        <w:gridCol w:w="1966"/>
      </w:tblGrid>
      <w:tr w14:paraId="6C06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24" w:type="dxa"/>
            <w:vAlign w:val="center"/>
          </w:tcPr>
          <w:p w14:paraId="60DF3A7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保险公司名称</w:t>
            </w:r>
          </w:p>
        </w:tc>
        <w:tc>
          <w:tcPr>
            <w:tcW w:w="3300" w:type="dxa"/>
            <w:vAlign w:val="center"/>
          </w:tcPr>
          <w:p w14:paraId="0B6599C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保费率</w:t>
            </w:r>
          </w:p>
        </w:tc>
        <w:tc>
          <w:tcPr>
            <w:tcW w:w="1275" w:type="dxa"/>
            <w:vAlign w:val="center"/>
          </w:tcPr>
          <w:p w14:paraId="1C2DE5A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966" w:type="dxa"/>
            <w:vAlign w:val="center"/>
          </w:tcPr>
          <w:p w14:paraId="7A5EF2A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547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7E316A6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3300" w:type="dxa"/>
            <w:vAlign w:val="center"/>
          </w:tcPr>
          <w:p w14:paraId="206E2A9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1275" w:type="dxa"/>
            <w:vAlign w:val="center"/>
          </w:tcPr>
          <w:p w14:paraId="066F814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966" w:type="dxa"/>
            <w:vAlign w:val="center"/>
          </w:tcPr>
          <w:p w14:paraId="7360AE6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2195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6CFF4F9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3300" w:type="dxa"/>
            <w:vAlign w:val="center"/>
          </w:tcPr>
          <w:p w14:paraId="55E2535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5" w:type="dxa"/>
            <w:vAlign w:val="center"/>
          </w:tcPr>
          <w:p w14:paraId="5135106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966" w:type="dxa"/>
            <w:vAlign w:val="center"/>
          </w:tcPr>
          <w:p w14:paraId="273497D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2465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4" w:type="dxa"/>
            <w:vAlign w:val="center"/>
          </w:tcPr>
          <w:p w14:paraId="335D2C8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3300" w:type="dxa"/>
            <w:vAlign w:val="center"/>
          </w:tcPr>
          <w:p w14:paraId="132F0C5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1275" w:type="dxa"/>
            <w:vAlign w:val="center"/>
          </w:tcPr>
          <w:p w14:paraId="50BD9A4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966" w:type="dxa"/>
            <w:vAlign w:val="center"/>
          </w:tcPr>
          <w:p w14:paraId="698053C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14:paraId="6B0E0A99">
      <w:pPr>
        <w:widowControl/>
        <w:shd w:val="clear" w:color="auto" w:fill="FFFFFF"/>
        <w:autoSpaceDN w:val="0"/>
        <w:spacing w:line="440" w:lineRule="exact"/>
        <w:ind w:firstLine="482" w:firstLineChars="200"/>
        <w:rPr>
          <w:rFonts w:hint="eastAsia" w:ascii="宋体" w:hAnsi="宋体" w:eastAsia="宋体" w:cs="宋体"/>
          <w:b/>
          <w:color w:val="auto"/>
          <w:sz w:val="24"/>
          <w:szCs w:val="24"/>
          <w:highlight w:val="none"/>
        </w:rPr>
      </w:pPr>
    </w:p>
    <w:p w14:paraId="28D47DC7">
      <w:pPr>
        <w:widowControl/>
        <w:shd w:val="clear" w:color="auto" w:fill="FFFFFF"/>
        <w:autoSpaceDN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shd w:val="clear" w:color="auto" w:fill="FFFFFF"/>
        </w:rPr>
        <w:t>若对项目采购电子交易系统操作有疑问，可登录政采云（https://www.zcygov.cn/），点击右侧咨询小采，获取采小蜜智能服务管家帮助，或拨打政采云服务热线400-881-7190获取热线服务帮助。</w:t>
      </w:r>
    </w:p>
    <w:p w14:paraId="7E617810">
      <w:pPr>
        <w:widowControl/>
        <w:shd w:val="clear" w:color="auto" w:fill="FFFFFF"/>
        <w:autoSpaceDN w:val="0"/>
        <w:spacing w:line="44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sz w:val="24"/>
          <w:szCs w:val="24"/>
          <w:highlight w:val="none"/>
          <w:shd w:val="clear" w:color="auto" w:fill="FFFFFF"/>
        </w:rPr>
        <w:t>CA问题联系电话（人工）：汇信CA 400-888-4636；天谷CA 400-087-8198。</w:t>
      </w:r>
    </w:p>
    <w:p w14:paraId="3C8DE01C">
      <w:pPr>
        <w:autoSpaceDN w:val="0"/>
        <w:spacing w:line="440" w:lineRule="exact"/>
        <w:rPr>
          <w:rFonts w:hint="eastAsia" w:ascii="宋体" w:hAnsi="宋体" w:eastAsia="宋体" w:cs="宋体"/>
          <w:b/>
          <w:color w:val="auto"/>
          <w:highlight w:val="none"/>
        </w:rPr>
      </w:pPr>
      <w:r>
        <w:rPr>
          <w:rFonts w:hint="eastAsia" w:ascii="宋体" w:hAnsi="宋体" w:eastAsia="宋体" w:cs="宋体"/>
          <w:b/>
          <w:color w:val="auto"/>
          <w:szCs w:val="21"/>
          <w:highlight w:val="none"/>
        </w:rPr>
        <w:t> </w:t>
      </w:r>
    </w:p>
    <w:p w14:paraId="66ACEF4A">
      <w:pPr>
        <w:autoSpaceDN w:val="0"/>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 </w:t>
      </w:r>
    </w:p>
    <w:p w14:paraId="313E9F38">
      <w:pPr>
        <w:pageBreakBefore/>
        <w:autoSpaceDN w:val="0"/>
        <w:spacing w:line="500" w:lineRule="exact"/>
        <w:jc w:val="center"/>
        <w:outlineLvl w:val="0"/>
        <w:rPr>
          <w:rFonts w:hint="eastAsia" w:ascii="宋体" w:hAnsi="宋体" w:eastAsia="宋体" w:cs="宋体"/>
          <w:b/>
          <w:color w:val="auto"/>
          <w:sz w:val="28"/>
          <w:szCs w:val="28"/>
          <w:highlight w:val="none"/>
        </w:rPr>
      </w:pPr>
      <w:bookmarkStart w:id="5" w:name="_Toc40964229"/>
      <w:bookmarkStart w:id="6" w:name="_Toc19283"/>
      <w:r>
        <w:rPr>
          <w:rFonts w:hint="eastAsia" w:ascii="宋体" w:hAnsi="宋体" w:eastAsia="宋体" w:cs="宋体"/>
          <w:b/>
          <w:color w:val="auto"/>
          <w:sz w:val="28"/>
          <w:szCs w:val="28"/>
          <w:highlight w:val="none"/>
        </w:rPr>
        <w:t>第二章  磋商须知</w:t>
      </w:r>
      <w:bookmarkEnd w:id="5"/>
      <w:bookmarkEnd w:id="6"/>
    </w:p>
    <w:p w14:paraId="64997AB5">
      <w:pPr>
        <w:autoSpaceDN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一、适用范围</w:t>
      </w:r>
    </w:p>
    <w:p w14:paraId="255AC5F9">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1、本竞争性磋商文件仅适用于本项目所叙述的服务的磋商、评审、验收、合同履约、付款等（法律、法规另有规定的，从其规定）。</w:t>
      </w:r>
    </w:p>
    <w:p w14:paraId="266F53F4">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二、定义</w:t>
      </w:r>
    </w:p>
    <w:p w14:paraId="4D61ED3D">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eastAsia="宋体" w:cs="宋体"/>
          <w:color w:val="auto"/>
          <w:sz w:val="24"/>
          <w:szCs w:val="24"/>
          <w:highlight w:val="none"/>
          <w:lang w:eastAsia="zh-CN"/>
        </w:rPr>
        <w:t>台州市体育事业发展中心</w:t>
      </w:r>
      <w:r>
        <w:rPr>
          <w:rFonts w:hint="eastAsia" w:ascii="宋体" w:hAnsi="宋体" w:eastAsia="宋体" w:cs="宋体"/>
          <w:color w:val="auto"/>
          <w:sz w:val="24"/>
          <w:szCs w:val="24"/>
          <w:highlight w:val="none"/>
        </w:rPr>
        <w:t>。</w:t>
      </w:r>
    </w:p>
    <w:p w14:paraId="48434609">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2、“代理机构”系指中冠工程管理咨询有限公司。</w:t>
      </w:r>
    </w:p>
    <w:p w14:paraId="1F0F9B25">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3、“供应商”系指向采购人提交磋商响应文件的供应商。</w:t>
      </w:r>
    </w:p>
    <w:p w14:paraId="084071AD">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4、“货物”系指供应商按竞争性磋商文件规定，须向采购人提供的一切设备、保险、税金、备品备件、工具、手册及其它有关技术资料和材料。</w:t>
      </w:r>
    </w:p>
    <w:p w14:paraId="53CDD5E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5、“服务”系指本竞争性磋商文件规定供应商须承担的</w:t>
      </w:r>
      <w:r>
        <w:rPr>
          <w:rFonts w:hint="eastAsia" w:ascii="宋体" w:hAnsi="宋体" w:eastAsia="宋体" w:cs="宋体"/>
          <w:color w:val="auto"/>
          <w:sz w:val="24"/>
          <w:szCs w:val="24"/>
          <w:highlight w:val="none"/>
          <w:lang w:eastAsia="zh-CN"/>
        </w:rPr>
        <w:t>浙江省第五届体育大会开闭幕式策划及执行服务</w:t>
      </w:r>
      <w:r>
        <w:rPr>
          <w:rFonts w:hint="eastAsia" w:ascii="宋体" w:hAnsi="宋体" w:eastAsia="宋体" w:cs="宋体"/>
          <w:color w:val="auto"/>
          <w:sz w:val="24"/>
          <w:szCs w:val="24"/>
          <w:highlight w:val="none"/>
        </w:rPr>
        <w:t>。</w:t>
      </w:r>
    </w:p>
    <w:p w14:paraId="1FA22B0F">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6、“同级政府采购监管部门”系指台州市财政局政府采购监管处。</w:t>
      </w:r>
    </w:p>
    <w:p w14:paraId="5098E21F">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7、“▲”系指实质性响应条款。</w:t>
      </w:r>
    </w:p>
    <w:p w14:paraId="691F417C">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三、供应商的资格要求</w:t>
      </w:r>
    </w:p>
    <w:p w14:paraId="1ADA8F56">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1、详见竞争性磋商公告。</w:t>
      </w:r>
    </w:p>
    <w:p w14:paraId="2AA28BFF">
      <w:pPr>
        <w:autoSpaceDN w:val="0"/>
        <w:spacing w:line="360" w:lineRule="auto"/>
        <w:ind w:right="141" w:rightChars="6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2、除金融、保险、通讯等特定行业外，法人的分支机构由于不能独立承担民事责任，不能以分支机构的身份参加政府采购，只能法人身份参加。</w:t>
      </w:r>
    </w:p>
    <w:p w14:paraId="3923237D">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四、磋商费用</w:t>
      </w:r>
    </w:p>
    <w:p w14:paraId="04F54F6B">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1、不论磋商的结果如何，供应商自行承担其参加本次磋商活动有关的全部费用。</w:t>
      </w:r>
    </w:p>
    <w:p w14:paraId="6E074D12">
      <w:pPr>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五、磋商报价</w:t>
      </w:r>
    </w:p>
    <w:p w14:paraId="452DEBC0">
      <w:pPr>
        <w:autoSpaceDN w:val="0"/>
        <w:spacing w:line="360" w:lineRule="auto"/>
        <w:ind w:firstLine="480" w:firstLineChars="20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▲1、磋商报价以人民币为结算货币，本项目</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固定总价包干，磋商</w:t>
      </w:r>
      <w:r>
        <w:rPr>
          <w:rFonts w:hint="eastAsia" w:ascii="宋体" w:hAnsi="宋体" w:eastAsia="宋体" w:cs="宋体"/>
          <w:color w:val="auto"/>
          <w:sz w:val="24"/>
          <w:szCs w:val="24"/>
          <w:highlight w:val="none"/>
          <w:lang w:val="zh-CN"/>
        </w:rPr>
        <w:t>报价包含</w:t>
      </w:r>
      <w:r>
        <w:rPr>
          <w:rFonts w:hint="eastAsia" w:ascii="宋体" w:hAnsi="宋体" w:eastAsia="宋体" w:cs="宋体"/>
          <w:color w:val="auto"/>
          <w:sz w:val="24"/>
          <w:szCs w:val="24"/>
          <w:highlight w:val="none"/>
        </w:rPr>
        <w:t>负责承担本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一切费用，包括负责</w:t>
      </w:r>
      <w:r>
        <w:rPr>
          <w:rFonts w:hint="eastAsia" w:ascii="宋体" w:hAnsi="宋体" w:eastAsia="宋体" w:cs="宋体"/>
          <w:color w:val="auto"/>
          <w:sz w:val="24"/>
          <w:szCs w:val="24"/>
          <w:highlight w:val="none"/>
          <w:lang w:eastAsia="zh-CN"/>
        </w:rPr>
        <w:t>浙江省第五届体育大会开闭幕式和时尚科技体育嘉年华（</w:t>
      </w:r>
      <w:r>
        <w:rPr>
          <w:rFonts w:hint="eastAsia" w:ascii="宋体" w:hAnsi="宋体" w:eastAsia="宋体" w:cs="宋体"/>
          <w:color w:val="auto"/>
          <w:sz w:val="24"/>
          <w:szCs w:val="24"/>
          <w:highlight w:val="none"/>
          <w:lang w:val="en-US" w:eastAsia="zh-CN"/>
        </w:rPr>
        <w:t>含彩排期间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所有工作人员（总导演、总撰稿、执行导演、舞美设计、音乐设计以及其他岗位人员</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）和其他完成</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w:t>
      </w:r>
      <w:r>
        <w:rPr>
          <w:rFonts w:hint="eastAsia" w:ascii="宋体" w:hAnsi="宋体" w:eastAsia="宋体" w:cs="宋体"/>
          <w:color w:val="auto"/>
          <w:sz w:val="24"/>
          <w:szCs w:val="24"/>
          <w:highlight w:val="none"/>
          <w:lang w:eastAsia="zh-CN"/>
        </w:rPr>
        <w:t>、时尚科技体育嘉年华活动</w:t>
      </w:r>
      <w:r>
        <w:rPr>
          <w:rFonts w:hint="eastAsia" w:ascii="宋体" w:hAnsi="宋体" w:eastAsia="宋体" w:cs="宋体"/>
          <w:color w:val="auto"/>
          <w:sz w:val="24"/>
          <w:szCs w:val="24"/>
          <w:highlight w:val="none"/>
          <w:lang w:val="en-US" w:eastAsia="zh-CN"/>
        </w:rPr>
        <w:t>及接待</w:t>
      </w:r>
      <w:r>
        <w:rPr>
          <w:rFonts w:hint="eastAsia" w:ascii="宋体" w:hAnsi="宋体" w:eastAsia="宋体" w:cs="宋体"/>
          <w:color w:val="auto"/>
          <w:sz w:val="24"/>
          <w:szCs w:val="24"/>
          <w:highlight w:val="none"/>
        </w:rPr>
        <w:t>工作任务所需的一切费用，包括但不限于人员劳务、交通、食宿、以及相关硬件设备及耗材、音视频素材制作、相关物资、保险、税金等所有费用。投标人须按照项目组委会下达的其他任务要求，无条件、全方位做好一切</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闭幕式领域所需及新增的所有工作任务，采购人不承担本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明确约定由采购人承担之外的任何其他费用</w:t>
      </w:r>
      <w:r>
        <w:rPr>
          <w:rFonts w:hint="eastAsia" w:ascii="宋体" w:hAnsi="宋体" w:eastAsia="宋体" w:cs="宋体"/>
          <w:color w:val="auto"/>
          <w:sz w:val="24"/>
          <w:szCs w:val="24"/>
          <w:highlight w:val="none"/>
          <w:lang w:eastAsia="zh-CN"/>
        </w:rPr>
        <w:t>。</w:t>
      </w:r>
    </w:p>
    <w:p w14:paraId="373E7EBD">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六、磋商有效期</w:t>
      </w:r>
    </w:p>
    <w:p w14:paraId="09CBF2C5">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1、磋商响应文件从磋商之日起，磋商有效期为90个日历日。磋商有效期不能小于竞争性磋商文件的要求。</w:t>
      </w:r>
    </w:p>
    <w:p w14:paraId="7A087AB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2、特殊情况下，采购人可与供应商协商延缓磋商响应文件的有效期，这种要求和答复均以书面形式进行。</w:t>
      </w:r>
    </w:p>
    <w:p w14:paraId="0D9606B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3、供应商可拒绝接受延期要求。同意延长有效期的供应商不能修改磋商响应文件。</w:t>
      </w:r>
    </w:p>
    <w:p w14:paraId="5523B654">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七、磋商响应文件的形式和效力</w:t>
      </w:r>
    </w:p>
    <w:p w14:paraId="6A709F39">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1、磋商响应文件分为电子磋商响应文件（后缀为.jmbs的加密文件）以及备份磋商响应文件（后缀为.bfbs）。</w:t>
      </w:r>
    </w:p>
    <w:p w14:paraId="3E4BA627">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2、电子磋商响应文件，按“项目采购-电子招投标操作指南”及本竞争性磋商文件要求制作，并加密。</w:t>
      </w:r>
    </w:p>
    <w:p w14:paraId="53628FB1">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电子</w:t>
      </w:r>
      <w:r>
        <w:rPr>
          <w:rFonts w:hint="eastAsia" w:ascii="宋体" w:hAnsi="宋体" w:eastAsia="宋体" w:cs="宋体"/>
          <w:color w:val="auto"/>
          <w:sz w:val="24"/>
          <w:szCs w:val="24"/>
          <w:highlight w:val="none"/>
        </w:rPr>
        <w:t>备份磋商响应文件，按“项目采购-电子招投标操作指南”制作的电子备份文件。</w:t>
      </w:r>
    </w:p>
    <w:p w14:paraId="52F06E1E">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4、磋商响应文件填写字迹必须清楚、工整，对不同文字文本磋商响应文件的解释发生异议的，以中文文本为准。</w:t>
      </w:r>
    </w:p>
    <w:p w14:paraId="1F859D8D">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5、磋商响应文件的效力</w:t>
      </w:r>
    </w:p>
    <w:p w14:paraId="1DD310BA">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磋商响应文件的启用，按先后顺位分别为电子磋商响应文件、</w:t>
      </w:r>
      <w:r>
        <w:rPr>
          <w:rFonts w:hint="eastAsia" w:ascii="宋体" w:hAnsi="宋体" w:eastAsia="宋体" w:cs="宋体"/>
          <w:color w:val="auto"/>
          <w:kern w:val="0"/>
          <w:sz w:val="24"/>
          <w:szCs w:val="24"/>
          <w:highlight w:val="none"/>
        </w:rPr>
        <w:t>电子</w:t>
      </w:r>
      <w:r>
        <w:rPr>
          <w:rFonts w:hint="eastAsia" w:ascii="宋体" w:hAnsi="宋体" w:eastAsia="宋体" w:cs="宋体"/>
          <w:color w:val="auto"/>
          <w:sz w:val="24"/>
          <w:szCs w:val="24"/>
          <w:highlight w:val="none"/>
        </w:rPr>
        <w:t>备份磋商响应文件。在下一顺位的磋商响应文件启用时，前一顺位的磋商响应文件自动失效。</w:t>
      </w:r>
    </w:p>
    <w:p w14:paraId="4B1288DB">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电子磋商响应文件未能按时解密，供应商提供了电子备份磋商响应文件的，以电子备份磋商响应文件作为依据，否则视为磋商响应文件撤回。电子磋商响应文件已按时解密的，电子备份磋商响应文件自动失效。</w:t>
      </w:r>
    </w:p>
    <w:p w14:paraId="15690583">
      <w:pPr>
        <w:autoSpaceDN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八、磋商响应文件的组成</w:t>
      </w:r>
    </w:p>
    <w:p w14:paraId="2A15CA16">
      <w:pPr>
        <w:autoSpaceDN w:val="0"/>
        <w:snapToGrid w:val="0"/>
        <w:spacing w:line="360" w:lineRule="auto"/>
        <w:ind w:firstLine="472" w:firstLineChars="196"/>
        <w:jc w:val="left"/>
        <w:rPr>
          <w:rFonts w:hint="eastAsia" w:ascii="宋体" w:hAnsi="宋体" w:eastAsia="宋体" w:cs="宋体"/>
          <w:color w:val="auto"/>
          <w:sz w:val="24"/>
          <w:szCs w:val="24"/>
          <w:highlight w:val="none"/>
        </w:rPr>
      </w:pPr>
      <w:bookmarkStart w:id="7" w:name="_Hlk38989741"/>
      <w:r>
        <w:rPr>
          <w:rFonts w:hint="eastAsia" w:ascii="宋体" w:hAnsi="宋体" w:eastAsia="宋体" w:cs="宋体"/>
          <w:b/>
          <w:color w:val="auto"/>
          <w:sz w:val="24"/>
          <w:szCs w:val="24"/>
          <w:highlight w:val="none"/>
        </w:rPr>
        <w:t>A、第一册：资格文件</w:t>
      </w:r>
    </w:p>
    <w:p w14:paraId="49812AAE">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A1.关于资格的承诺函（格式详见附件）；</w:t>
      </w:r>
    </w:p>
    <w:p w14:paraId="7D9DCEA5">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A2.营业执照副本（或事业法人登记证副本或其他登记证明材料）扫描件加盖供应商公章（供应商如果有名称变更的，应提供由行政主管部门出具的变更证明文件扫描件加盖供应商公章）。</w:t>
      </w:r>
    </w:p>
    <w:p w14:paraId="640ABEF5">
      <w:pPr>
        <w:autoSpaceDN w:val="0"/>
        <w:spacing w:line="360" w:lineRule="auto"/>
        <w:ind w:firstLine="480" w:firstLineChars="200"/>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A3.</w:t>
      </w:r>
      <w:r>
        <w:rPr>
          <w:rFonts w:hint="eastAsia" w:ascii="宋体" w:hAnsi="宋体" w:eastAsia="宋体" w:cs="宋体"/>
          <w:color w:val="auto"/>
          <w:sz w:val="24"/>
          <w:szCs w:val="24"/>
          <w:highlight w:val="none"/>
          <w:shd w:val="clear" w:color="auto" w:fill="FFFFFF"/>
        </w:rPr>
        <w:t>以联合体形式投标的，提供联合协议(本项目不接受联合体投标或者投标人不以联合体形式投标的，则不需要提供</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eastAsia="宋体" w:cs="宋体"/>
          <w:color w:val="auto"/>
          <w:sz w:val="24"/>
          <w:szCs w:val="24"/>
          <w:highlight w:val="none"/>
        </w:rPr>
        <w:t>格式详见附件</w:t>
      </w:r>
      <w:r>
        <w:rPr>
          <w:rFonts w:hint="eastAsia" w:ascii="宋体" w:hAnsi="宋体" w:eastAsia="宋体" w:cs="宋体"/>
          <w:color w:val="auto"/>
          <w:sz w:val="24"/>
          <w:szCs w:val="24"/>
          <w:highlight w:val="none"/>
          <w:shd w:val="clear" w:color="auto" w:fill="FFFFFF"/>
        </w:rPr>
        <w:t>)</w:t>
      </w:r>
    </w:p>
    <w:p w14:paraId="65040EE6">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B、第二册：商务和技术文件</w:t>
      </w:r>
    </w:p>
    <w:p w14:paraId="3877199C">
      <w:pPr>
        <w:autoSpaceDN w:val="0"/>
        <w:spacing w:line="360" w:lineRule="auto"/>
        <w:ind w:firstLine="480" w:firstLineChars="200"/>
        <w:jc w:val="left"/>
        <w:rPr>
          <w:rFonts w:hint="eastAsia" w:ascii="宋体" w:hAnsi="宋体" w:eastAsia="宋体" w:cs="宋体"/>
          <w:color w:val="auto"/>
          <w:sz w:val="24"/>
          <w:szCs w:val="24"/>
          <w:highlight w:val="none"/>
        </w:rPr>
      </w:pPr>
      <w:bookmarkStart w:id="8" w:name="_Hlk42247632"/>
      <w:r>
        <w:rPr>
          <w:rFonts w:hint="eastAsia" w:ascii="宋体" w:hAnsi="宋体" w:eastAsia="宋体" w:cs="宋体"/>
          <w:color w:val="auto"/>
          <w:sz w:val="24"/>
          <w:szCs w:val="24"/>
          <w:highlight w:val="none"/>
        </w:rPr>
        <w:t>B1.商务技术自评表（格式详见附件）；</w:t>
      </w:r>
    </w:p>
    <w:p w14:paraId="5F1A31B5">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B2.磋商函（格式详见附件）；</w:t>
      </w:r>
    </w:p>
    <w:p w14:paraId="2EDFD863">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B3.法定代表人身份证明（格式详见附件）；</w:t>
      </w:r>
    </w:p>
    <w:p w14:paraId="69205FEA">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B4.法定代表人授权书（格式详见附件）；</w:t>
      </w:r>
    </w:p>
    <w:p w14:paraId="36F2C57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B5.商务条款响应表（格式详见附件）；</w:t>
      </w:r>
    </w:p>
    <w:p w14:paraId="585AFCBA">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B6.用户需求书响应表（格式详见附件）；</w:t>
      </w:r>
    </w:p>
    <w:p w14:paraId="4D5BD06E">
      <w:pPr>
        <w:autoSpaceDN w:val="0"/>
        <w:spacing w:line="360" w:lineRule="auto"/>
        <w:ind w:firstLine="480" w:firstLineChars="200"/>
        <w:jc w:val="left"/>
        <w:rPr>
          <w:rFonts w:hint="eastAsia" w:ascii="宋体" w:hAnsi="宋体" w:eastAsia="宋体" w:cs="宋体"/>
          <w:color w:val="auto"/>
          <w:sz w:val="24"/>
          <w:szCs w:val="24"/>
          <w:highlight w:val="none"/>
        </w:rPr>
      </w:pPr>
      <w:bookmarkStart w:id="9" w:name="_Hlk41494001"/>
      <w:bookmarkStart w:id="10" w:name="_Hlk41038472"/>
      <w:r>
        <w:rPr>
          <w:rFonts w:hint="eastAsia" w:ascii="宋体" w:hAnsi="宋体" w:eastAsia="宋体" w:cs="宋体"/>
          <w:color w:val="auto"/>
          <w:sz w:val="24"/>
          <w:szCs w:val="24"/>
          <w:highlight w:val="none"/>
        </w:rPr>
        <w:t>B7.针对本项目拟定的人员配备情况；</w:t>
      </w:r>
    </w:p>
    <w:p w14:paraId="7AAA8AE4">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B8.针对本项目制定的各项服务方案；</w:t>
      </w:r>
    </w:p>
    <w:p w14:paraId="1F63FA92">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B9.第三章“评定成交的标准”中“商务技术评分表”要求提供的资料（如有需提供）；</w:t>
      </w:r>
    </w:p>
    <w:bookmarkEnd w:id="8"/>
    <w:bookmarkEnd w:id="9"/>
    <w:bookmarkEnd w:id="10"/>
    <w:p w14:paraId="6524C694">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B10.供应商认为需要的其他资料（如有需提供）。</w:t>
      </w:r>
    </w:p>
    <w:p w14:paraId="09F1B011">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▲“商务和技术文件”中不得出现涉及报价的内容，否则作无效报价处理。</w:t>
      </w:r>
    </w:p>
    <w:p w14:paraId="0BE1B814">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C、第三册：报价文件</w:t>
      </w:r>
    </w:p>
    <w:bookmarkEnd w:id="7"/>
    <w:p w14:paraId="6F0C42A9">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C1.报价一览表（初次）（格式详见附件）；</w:t>
      </w:r>
    </w:p>
    <w:p w14:paraId="0ABA3266">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C2.中小企业声明函（格式详见附件）或残疾人福利性单位声明函（格式详见附件）或监狱企业的证明文件；(如有)</w:t>
      </w:r>
    </w:p>
    <w:p w14:paraId="1FD67B7E">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C3.供应商认为需要的其他资料（如有需提供）。</w:t>
      </w:r>
    </w:p>
    <w:p w14:paraId="6AEF569E">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供应商应对磋商响应文件编制目录和评分索引表以方便查询。</w:t>
      </w:r>
    </w:p>
    <w:p w14:paraId="54B52640">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九、磋商响应文件的签署盖章</w:t>
      </w:r>
    </w:p>
    <w:p w14:paraId="0AFC506D">
      <w:pPr>
        <w:tabs>
          <w:tab w:val="left" w:pos="900"/>
        </w:tabs>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竞争性磋商文件第七章“附件”中标明加盖公章或签字的，</w:t>
      </w:r>
      <w:r>
        <w:rPr>
          <w:rFonts w:hint="eastAsia" w:ascii="宋体" w:hAnsi="宋体" w:eastAsia="宋体" w:cs="宋体"/>
          <w:bCs/>
          <w:color w:val="auto"/>
          <w:sz w:val="24"/>
          <w:szCs w:val="24"/>
          <w:highlight w:val="none"/>
        </w:rPr>
        <w:t>加盖公章部分采用CA签章</w:t>
      </w:r>
      <w:r>
        <w:rPr>
          <w:rFonts w:hint="eastAsia" w:ascii="宋体" w:hAnsi="宋体" w:eastAsia="宋体" w:cs="宋体"/>
          <w:bCs/>
          <w:color w:val="auto"/>
          <w:sz w:val="24"/>
          <w:szCs w:val="24"/>
          <w:highlight w:val="none"/>
          <w:lang w:eastAsia="zh-CN"/>
        </w:rPr>
        <w:t>或书面盖章后</w:t>
      </w:r>
      <w:r>
        <w:rPr>
          <w:rFonts w:hint="eastAsia" w:ascii="宋体" w:hAnsi="宋体" w:eastAsia="宋体" w:cs="宋体"/>
          <w:color w:val="auto"/>
          <w:sz w:val="24"/>
          <w:szCs w:val="24"/>
          <w:highlight w:val="none"/>
        </w:rPr>
        <w:t>扫描上传</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签字部分由法定代表人或授权代表签字后扫描上传。授权代表签字的，</w:t>
      </w:r>
      <w:r>
        <w:rPr>
          <w:rFonts w:hint="eastAsia" w:ascii="宋体" w:hAnsi="宋体" w:eastAsia="宋体" w:cs="宋体"/>
          <w:color w:val="auto"/>
          <w:kern w:val="0"/>
          <w:sz w:val="24"/>
          <w:szCs w:val="24"/>
          <w:highlight w:val="none"/>
        </w:rPr>
        <w:t>还</w:t>
      </w:r>
      <w:r>
        <w:rPr>
          <w:rFonts w:hint="eastAsia" w:ascii="宋体" w:hAnsi="宋体" w:eastAsia="宋体" w:cs="宋体"/>
          <w:color w:val="auto"/>
          <w:sz w:val="24"/>
          <w:szCs w:val="24"/>
          <w:highlight w:val="none"/>
        </w:rPr>
        <w:t>应附法定代表人签署的法定代表人授权书。</w:t>
      </w:r>
    </w:p>
    <w:p w14:paraId="6F2888A7">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十、磋商响应文件的密封、标记、份数</w:t>
      </w:r>
    </w:p>
    <w:p w14:paraId="44D340EA">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1、电子磋商响应文件：供应商应根据“项目采购-电子招投标操作指南”及本竞争性磋商文件规定的格式和顺序编制电子磋商响应文件并进行关联定位。</w:t>
      </w:r>
    </w:p>
    <w:p w14:paraId="35C077FF">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2、本项目实行网上磋商，供应商应准备以下磋商响应文件：</w:t>
      </w:r>
    </w:p>
    <w:p w14:paraId="5AD63587">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上传到政府采购云平台的电子磋商响应文件（含</w:t>
      </w:r>
      <w:r>
        <w:rPr>
          <w:rFonts w:hint="eastAsia" w:ascii="宋体" w:hAnsi="宋体" w:eastAsia="宋体" w:cs="宋体"/>
          <w:color w:val="auto"/>
          <w:sz w:val="24"/>
          <w:szCs w:val="24"/>
          <w:highlight w:val="none"/>
        </w:rPr>
        <w:t>资格文件、商务和技术文件、报价文件）</w:t>
      </w:r>
      <w:r>
        <w:rPr>
          <w:rFonts w:hint="eastAsia" w:ascii="宋体" w:hAnsi="宋体" w:eastAsia="宋体" w:cs="宋体"/>
          <w:color w:val="auto"/>
          <w:kern w:val="0"/>
          <w:sz w:val="24"/>
          <w:szCs w:val="24"/>
          <w:highlight w:val="none"/>
        </w:rPr>
        <w:t>1份</w:t>
      </w:r>
      <w:r>
        <w:rPr>
          <w:rFonts w:hint="eastAsia" w:ascii="宋体" w:hAnsi="宋体" w:eastAsia="宋体" w:cs="宋体"/>
          <w:color w:val="auto"/>
          <w:sz w:val="24"/>
          <w:szCs w:val="24"/>
          <w:highlight w:val="none"/>
        </w:rPr>
        <w:t>。</w:t>
      </w:r>
    </w:p>
    <w:p w14:paraId="7545563C">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（2）电子备份磋商响应文件（含资格证明文件、技术商务文件、报价文件）1份。备份磋商响应文件是通过政采云电子交易客户端制作投标文件产生的备份文件（bfbs格式），请投标供应商自行妥善保管。</w:t>
      </w:r>
    </w:p>
    <w:p w14:paraId="233CE336">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1" w:name="_Toc237939759"/>
      <w:r>
        <w:rPr>
          <w:rFonts w:hint="eastAsia" w:ascii="宋体" w:hAnsi="宋体" w:eastAsia="宋体" w:cs="宋体"/>
          <w:color w:val="auto"/>
          <w:sz w:val="24"/>
          <w:szCs w:val="24"/>
          <w:highlight w:val="none"/>
        </w:rPr>
        <w:t>成交供应商中标后需提供纸质投标文件给采购人作为备案存档，纸质投标文件系电子投标文件纸质版，两者内容应一致；数量为：资格证明文件2份；资格及商务技术文件2份；报价文件2份。</w:t>
      </w:r>
    </w:p>
    <w:p w14:paraId="71B61B46">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十一、磋商响应文件的递交</w:t>
      </w:r>
      <w:bookmarkEnd w:id="11"/>
    </w:p>
    <w:p w14:paraId="659F34A6">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1、磋商响应文件递交的具体要求：</w:t>
      </w:r>
    </w:p>
    <w:p w14:paraId="1A083597">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w:t>
      </w:r>
      <w:r>
        <w:rPr>
          <w:rFonts w:hint="eastAsia" w:ascii="宋体" w:hAnsi="宋体" w:eastAsia="宋体" w:cs="宋体"/>
          <w:b/>
          <w:bCs/>
          <w:color w:val="auto"/>
          <w:kern w:val="0"/>
          <w:sz w:val="24"/>
          <w:szCs w:val="24"/>
          <w:highlight w:val="none"/>
        </w:rPr>
        <w:t>电子磋商响应文件：</w:t>
      </w:r>
      <w:r>
        <w:rPr>
          <w:rFonts w:hint="eastAsia" w:ascii="宋体" w:hAnsi="宋体" w:eastAsia="宋体" w:cs="宋体"/>
          <w:color w:val="auto"/>
          <w:kern w:val="0"/>
          <w:sz w:val="24"/>
          <w:szCs w:val="24"/>
          <w:highlight w:val="none"/>
        </w:rPr>
        <w:t>供应商应于提交磋商响应文件截止时间前将电子磋商响应文件（含资格文件、商务和技术文件、报价文件）上传到政府采购云平台（</w:t>
      </w:r>
      <w:r>
        <w:rPr>
          <w:color w:val="auto"/>
          <w:highlight w:val="none"/>
        </w:rPr>
        <w:fldChar w:fldCharType="begin"/>
      </w:r>
      <w:r>
        <w:rPr>
          <w:color w:val="auto"/>
          <w:highlight w:val="none"/>
        </w:rPr>
        <w:instrText xml:space="preserve">HYPERLINK "https://www.zcygov.cn/"</w:instrText>
      </w:r>
      <w:r>
        <w:rPr>
          <w:color w:val="auto"/>
          <w:highlight w:val="none"/>
        </w:rPr>
        <w:fldChar w:fldCharType="separate"/>
      </w:r>
      <w:r>
        <w:rPr>
          <w:rStyle w:val="30"/>
          <w:rFonts w:hint="eastAsia" w:ascii="宋体" w:hAnsi="宋体" w:eastAsia="宋体" w:cs="宋体"/>
          <w:color w:val="auto"/>
          <w:kern w:val="0"/>
          <w:sz w:val="24"/>
          <w:szCs w:val="24"/>
          <w:highlight w:val="none"/>
        </w:rPr>
        <w:t>https://www.zcygov.cn/</w:t>
      </w:r>
      <w:r>
        <w:rPr>
          <w:color w:val="auto"/>
          <w:highlight w:val="none"/>
        </w:rPr>
        <w:fldChar w:fldCharType="end"/>
      </w:r>
      <w:r>
        <w:rPr>
          <w:rFonts w:hint="eastAsia" w:ascii="宋体" w:hAnsi="宋体" w:eastAsia="宋体" w:cs="宋体"/>
          <w:color w:val="auto"/>
          <w:kern w:val="0"/>
          <w:sz w:val="24"/>
          <w:szCs w:val="24"/>
          <w:highlight w:val="none"/>
        </w:rPr>
        <w:t>）</w:t>
      </w:r>
    </w:p>
    <w:p w14:paraId="07A9AA6C">
      <w:pPr>
        <w:pStyle w:val="11"/>
        <w:spacing w:line="444" w:lineRule="exact"/>
        <w:ind w:left="0" w:leftChars="0" w:firstLine="720" w:firstLineChars="300"/>
        <w:jc w:val="left"/>
        <w:rPr>
          <w:rFonts w:hint="eastAsia"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b/>
          <w:bCs/>
          <w:color w:val="auto"/>
          <w:kern w:val="0"/>
          <w:sz w:val="24"/>
          <w:highlight w:val="none"/>
        </w:rPr>
        <w:t>电子备份磋商响应文件：</w:t>
      </w:r>
      <w:r>
        <w:rPr>
          <w:rFonts w:hint="eastAsia" w:ascii="宋体" w:hAnsi="宋体" w:cs="宋体"/>
          <w:color w:val="auto"/>
          <w:sz w:val="24"/>
          <w:highlight w:val="none"/>
        </w:rPr>
        <w:t>（含资格证明文件、技术商务文件、报价文件）1份。</w:t>
      </w:r>
      <w:r>
        <w:rPr>
          <w:rFonts w:hint="eastAsia" w:ascii="宋体" w:hAnsi="宋体" w:cs="宋体"/>
          <w:b/>
          <w:bCs/>
          <w:color w:val="auto"/>
          <w:kern w:val="0"/>
          <w:sz w:val="24"/>
          <w:highlight w:val="none"/>
        </w:rPr>
        <w:t>电子备份磋商响应文件</w:t>
      </w:r>
      <w:r>
        <w:rPr>
          <w:rFonts w:hint="eastAsia" w:ascii="宋体" w:hAnsi="宋体" w:cs="宋体"/>
          <w:color w:val="auto"/>
          <w:sz w:val="24"/>
          <w:highlight w:val="none"/>
        </w:rPr>
        <w:t>是通过政采云电子交易客户端制作响应文件产生的备份文件（bfbs格式），请各供应商自行妥善保管。</w:t>
      </w:r>
    </w:p>
    <w:p w14:paraId="5188519C">
      <w:pPr>
        <w:pStyle w:val="11"/>
        <w:spacing w:line="444" w:lineRule="exact"/>
        <w:ind w:left="0" w:leftChars="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①使用前提：供应商自行在线解密操作失败无法按时寻求技术人员帮助解密，或者投标供应商寻求技术人员帮助仍无法按时完成解密。</w:t>
      </w:r>
    </w:p>
    <w:p w14:paraId="44CB1259">
      <w:pPr>
        <w:pStyle w:val="11"/>
        <w:spacing w:line="444" w:lineRule="exact"/>
        <w:ind w:left="0" w:leftChars="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②递交截止时间：同响应截止时间。</w:t>
      </w:r>
    </w:p>
    <w:p w14:paraId="357E3375">
      <w:pPr>
        <w:pStyle w:val="11"/>
        <w:spacing w:line="444" w:lineRule="exact"/>
        <w:ind w:left="0" w:leftChars="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③投递邮箱：</w:t>
      </w:r>
      <w:r>
        <w:rPr>
          <w:color w:val="auto"/>
          <w:highlight w:val="none"/>
        </w:rPr>
        <w:fldChar w:fldCharType="begin"/>
      </w:r>
      <w:r>
        <w:rPr>
          <w:color w:val="auto"/>
          <w:highlight w:val="none"/>
        </w:rPr>
        <w:instrText xml:space="preserve"> HYPERLINK "mailto:zgtzfgs@163.com" </w:instrText>
      </w:r>
      <w:r>
        <w:rPr>
          <w:color w:val="auto"/>
          <w:highlight w:val="none"/>
        </w:rPr>
        <w:fldChar w:fldCharType="separate"/>
      </w:r>
      <w:r>
        <w:rPr>
          <w:rFonts w:hint="eastAsia" w:ascii="宋体" w:hAnsi="宋体" w:cs="宋体"/>
          <w:b/>
          <w:bCs/>
          <w:color w:val="auto"/>
          <w:sz w:val="24"/>
          <w:highlight w:val="none"/>
        </w:rPr>
        <w:t>zgtzfgs@163.com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w:t>
      </w:r>
    </w:p>
    <w:p w14:paraId="14323178">
      <w:pPr>
        <w:pStyle w:val="11"/>
        <w:spacing w:line="444" w:lineRule="exact"/>
        <w:ind w:left="0" w:leftChars="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④电子备份磋商响应文件不强制要求提交，由供应商自行确定是否提交，但因电子磋商响应文件未能按时解密或解密失败，供应商又未提交电子备份磋商响应文件的，将被视为磋商响应文件撤回，投标无效。</w:t>
      </w:r>
    </w:p>
    <w:p w14:paraId="632B5DA4">
      <w:pPr>
        <w:pStyle w:val="11"/>
        <w:spacing w:line="444" w:lineRule="exact"/>
        <w:ind w:left="0" w:leftChars="0" w:firstLine="482"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⑤因电子备份磋商响应文件未加密而造成失密等情况，采购代理机构概不负责。</w:t>
      </w:r>
    </w:p>
    <w:p w14:paraId="2A0B6FEC">
      <w:pPr>
        <w:autoSpaceDN w:val="0"/>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⑥投标响应截止时间前，供应商仅递交了“电子备份磋商响应文件”而未将“电子加密磋商响应文件”成功上传至“政府采购云平台”的，投标无效。</w:t>
      </w:r>
    </w:p>
    <w:p w14:paraId="739C8D96">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2、逾期发送（未在投标响应截止时间前）至投递邮箱的电子备份磋商响应文件，代理机构不予受理。</w:t>
      </w:r>
    </w:p>
    <w:p w14:paraId="6DF89DC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3、磋商响应文件的补充、修改</w:t>
      </w:r>
    </w:p>
    <w:p w14:paraId="2AD9FC10">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供应商可以对递交的磋商响应文件进行补充、修改，补充、修改电子磋商响应文件的，应当先行撤回原文件，补充、修改后重新上传，电子备份磋商响应文件也应重新制作。在响应截止时间之后，供应商不得对其磋商响应文件进行补充、修改。响应截止时间之后供应商要求撤销磋商响应文件的，应向采购人提交正式文件。</w:t>
      </w:r>
    </w:p>
    <w:p w14:paraId="0B1EA9E3">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4、成交供应商中标后需提供纸质磋商响应文件给采购人作为备案存档，纸质磋商响应文件系电子磋商响应文件纸质版，两者内容应一致；数量为：资格证明文件2份；资格及商务技术文件2份；报价文件2份。</w:t>
      </w:r>
    </w:p>
    <w:p w14:paraId="7835051A">
      <w:pPr>
        <w:pStyle w:val="11"/>
        <w:keepNext w:val="0"/>
        <w:keepLines w:val="0"/>
        <w:suppressLineNumbers w:val="0"/>
        <w:spacing w:before="0" w:beforeAutospacing="0" w:after="0" w:afterAutospacing="0" w:line="444"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bCs/>
          <w:color w:val="auto"/>
          <w:sz w:val="24"/>
          <w:szCs w:val="24"/>
          <w:highlight w:val="none"/>
        </w:rPr>
        <w:t>视频演示：</w:t>
      </w:r>
      <w:sdt>
        <w:sdtPr>
          <w:rPr>
            <w:rFonts w:hint="eastAsia" w:ascii="宋体" w:hAnsi="宋体" w:eastAsia="宋体" w:cs="宋体"/>
            <w:b/>
            <w:bCs/>
            <w:color w:val="auto"/>
            <w:kern w:val="0"/>
            <w:sz w:val="24"/>
            <w:szCs w:val="24"/>
            <w:highlight w:val="none"/>
          </w:rPr>
          <w:id w:val="-1859348549"/>
          <w14:checkbox>
            <w14:checked w14:val="0"/>
            <w14:checkedState w14:val="00FE" w14:font="Wingdings"/>
            <w14:uncheckedState w14:val="2610" w14:font="MS Gothic"/>
          </w14:checkbox>
        </w:sdtPr>
        <w:sdtEndPr>
          <w:rPr>
            <w:rFonts w:hint="eastAsia" w:ascii="宋体" w:hAnsi="宋体" w:eastAsia="宋体" w:cs="宋体"/>
            <w:b/>
            <w:bCs/>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szCs w:val="24"/>
          <w:highlight w:val="none"/>
        </w:rPr>
        <w:t>A不组织。</w:t>
      </w:r>
      <w:sdt>
        <w:sdtPr>
          <w:rPr>
            <w:rFonts w:hint="eastAsia" w:ascii="宋体" w:hAnsi="宋体" w:eastAsia="宋体" w:cs="宋体"/>
            <w:b/>
            <w:bCs/>
            <w:color w:val="auto"/>
            <w:kern w:val="0"/>
            <w:sz w:val="24"/>
            <w:szCs w:val="24"/>
            <w:highlight w:val="none"/>
          </w:rPr>
          <w:id w:val="147465679"/>
          <w14:checkbox>
            <w14:checked w14:val="1"/>
            <w14:checkedState w14:val="00FE" w14:font="Wingdings"/>
            <w14:uncheckedState w14:val="2610" w14:font="MS Gothic"/>
          </w14:checkbox>
        </w:sdtPr>
        <w:sdtEndPr>
          <w:rPr>
            <w:rFonts w:hint="eastAsia" w:ascii="宋体" w:hAnsi="宋体" w:eastAsia="宋体" w:cs="宋体"/>
            <w:b/>
            <w:bCs/>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组织：</w:t>
      </w:r>
      <w:r>
        <w:rPr>
          <w:rFonts w:hint="eastAsia" w:cs="Times New Roman" w:asciiTheme="minorEastAsia" w:hAnsiTheme="minorEastAsia" w:eastAsiaTheme="minorEastAsia"/>
          <w:b/>
          <w:bCs/>
          <w:color w:val="auto"/>
          <w:sz w:val="24"/>
          <w:szCs w:val="24"/>
          <w:highlight w:val="none"/>
          <w:lang w:eastAsia="zh-CN"/>
        </w:rPr>
        <w:t>演示时长不超过</w:t>
      </w:r>
      <w:r>
        <w:rPr>
          <w:rFonts w:hint="eastAsia" w:cs="Times New Roman" w:asciiTheme="minorEastAsia" w:hAnsiTheme="minorEastAsia" w:eastAsiaTheme="minorEastAsia"/>
          <w:b/>
          <w:bCs/>
          <w:color w:val="auto"/>
          <w:sz w:val="24"/>
          <w:szCs w:val="24"/>
          <w:highlight w:val="none"/>
          <w:lang w:val="en-US" w:eastAsia="zh-CN"/>
        </w:rPr>
        <w:t>15分钟。</w:t>
      </w:r>
    </w:p>
    <w:p w14:paraId="5A346B03">
      <w:pPr>
        <w:pStyle w:val="11"/>
        <w:keepNext w:val="0"/>
        <w:keepLines w:val="0"/>
        <w:suppressLineNumbers w:val="0"/>
        <w:spacing w:before="0" w:beforeAutospacing="0" w:after="0" w:afterAutospacing="0" w:line="444" w:lineRule="exact"/>
        <w:ind w:left="0" w:right="0"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本项目评分标准中的视频演示，供应商通过政采云“视频评审”系统进行远程</w:t>
      </w:r>
    </w:p>
    <w:p w14:paraId="3DD0D774">
      <w:pPr>
        <w:pStyle w:val="11"/>
        <w:keepNext w:val="0"/>
        <w:keepLines w:val="0"/>
        <w:suppressLineNumbers w:val="0"/>
        <w:spacing w:before="0" w:beforeAutospacing="0" w:after="0" w:afterAutospacing="0" w:line="444" w:lineRule="exact"/>
        <w:ind w:left="0" w:leftChars="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在线演示，每次只邀请一家供应商进入评审室，供应商演示完成后应自动退出评审室。供应商自行准备演示的设备并提前测试耳麦、麦克风是否正常运行。</w:t>
      </w:r>
    </w:p>
    <w:p w14:paraId="775B56CA">
      <w:pPr>
        <w:keepNext w:val="0"/>
        <w:keepLines w:val="0"/>
        <w:suppressLineNumbers w:val="0"/>
        <w:spacing w:before="0" w:beforeAutospacing="0" w:after="0" w:afterAutospacing="0" w:line="444" w:lineRule="exact"/>
        <w:ind w:left="0" w:right="0"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（注：视频演示备份文件：供应商可于提交磋商响应文件截止时间前将视频演示备份文件递交。递交方式参考上述“电子备份磋商响应文件”的递交, 逾期送达的或者未送达指定邮箱的，代理机构不予受理。视频演示备份文件不强制要求提交，但供应商远程在线演示时因自身设备原因无法演示又未递交视频演示备份文件的，视为供应商未提供视频演示。</w:t>
      </w:r>
      <w:r>
        <w:rPr>
          <w:rFonts w:hint="eastAsia" w:ascii="宋体" w:hAnsi="宋体" w:eastAsia="宋体" w:cs="宋体"/>
          <w:b/>
          <w:bCs/>
          <w:color w:val="auto"/>
          <w:kern w:val="2"/>
          <w:sz w:val="24"/>
          <w:szCs w:val="24"/>
          <w:highlight w:val="none"/>
          <w:lang w:val="en-US" w:eastAsia="zh-CN" w:bidi="ar-SA"/>
        </w:rPr>
        <w:t>视频演示备份文件须加设密码，招标代理机构在投标截止时间后联系投标人获取密码进行播放。因视频演示备份文件未加密而造成失密等情况，采购代理机构概不负责。</w:t>
      </w:r>
      <w:r>
        <w:rPr>
          <w:rFonts w:hint="eastAsia" w:ascii="宋体" w:hAnsi="宋体" w:eastAsia="宋体" w:cs="宋体"/>
          <w:color w:val="auto"/>
          <w:kern w:val="2"/>
          <w:sz w:val="24"/>
          <w:szCs w:val="24"/>
          <w:highlight w:val="none"/>
          <w:lang w:val="en-US" w:eastAsia="zh-CN" w:bidi="ar-SA"/>
        </w:rPr>
        <w:t>）</w:t>
      </w:r>
    </w:p>
    <w:p w14:paraId="4BE39367">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十二、竞争性磋商文件的澄清或修改</w:t>
      </w:r>
    </w:p>
    <w:p w14:paraId="300F3CD8">
      <w:pPr>
        <w:autoSpaceDN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采购人可以对已发出的竞争性磋商文件进行必要的澄清或者修改，将以“更正公告”的形式发布在政采云平台，供应商应及时登录政采云平台，进行浏览并下载，未及时浏览下载的责任自负。</w:t>
      </w:r>
      <w:r>
        <w:rPr>
          <w:rFonts w:hint="eastAsia" w:ascii="宋体" w:hAnsi="宋体" w:eastAsia="宋体" w:cs="宋体"/>
          <w:color w:val="auto"/>
          <w:sz w:val="24"/>
          <w:szCs w:val="24"/>
          <w:highlight w:val="none"/>
        </w:rPr>
        <w:t>澄清或者修改的内容可能影响磋商响应文件编制的，采购人应当在</w:t>
      </w:r>
      <w:r>
        <w:rPr>
          <w:rFonts w:hint="eastAsia" w:ascii="宋体" w:hAnsi="宋体" w:eastAsia="宋体" w:cs="宋体"/>
          <w:bCs/>
          <w:iCs/>
          <w:color w:val="auto"/>
          <w:sz w:val="24"/>
          <w:szCs w:val="24"/>
          <w:highlight w:val="none"/>
        </w:rPr>
        <w:t>提交磋商响应文件的截止时间</w:t>
      </w:r>
      <w:r>
        <w:rPr>
          <w:rFonts w:hint="eastAsia" w:ascii="宋体" w:hAnsi="宋体" w:eastAsia="宋体" w:cs="宋体"/>
          <w:color w:val="auto"/>
          <w:sz w:val="24"/>
          <w:szCs w:val="24"/>
          <w:highlight w:val="none"/>
        </w:rPr>
        <w:t>至少5日前，不足5日的，采购人应当顺延</w:t>
      </w:r>
      <w:r>
        <w:rPr>
          <w:rFonts w:hint="eastAsia" w:ascii="宋体" w:hAnsi="宋体" w:eastAsia="宋体" w:cs="宋体"/>
          <w:bCs/>
          <w:iCs/>
          <w:color w:val="auto"/>
          <w:sz w:val="24"/>
          <w:szCs w:val="24"/>
          <w:highlight w:val="none"/>
        </w:rPr>
        <w:t>提交磋商响应文件的截止时间</w:t>
      </w:r>
      <w:r>
        <w:rPr>
          <w:rFonts w:hint="eastAsia" w:ascii="宋体" w:hAnsi="宋体" w:eastAsia="宋体" w:cs="宋体"/>
          <w:color w:val="auto"/>
          <w:sz w:val="24"/>
          <w:szCs w:val="24"/>
          <w:highlight w:val="none"/>
        </w:rPr>
        <w:t>；澄清或者修改的内容不影响磋商响应文件编制的，则不受5日的期限限制。澄清或者修改的内容为竞争性磋商文件的组成部分，对所有供应商具有约束力。</w:t>
      </w:r>
    </w:p>
    <w:p w14:paraId="48CF71CC">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十三、质疑</w:t>
      </w:r>
    </w:p>
    <w:p w14:paraId="721F6F74">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竞争性磋商文件、磋商采购过程、成交结果使自己的权益受到损害的，可以在知道或者应知其权益受到损害之日起7个工作日内，以书面形式向采购人、采购代理机构提出质疑。供应商应当在法定质疑期内一次性提出针对竞争性磋商公告、竞争性磋商文件、磋商采购过程、采购结果等同一采购程序环节的质疑，第二次提出的质疑视为质疑无效，采购人、采购代理机构将不予受理（对于采购人、采购代理机构作出的澄清或者修改的内容提出质疑的除外）。</w:t>
      </w:r>
    </w:p>
    <w:p w14:paraId="6350DA7C">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2、提出质疑的供应商应当是参与所质疑项目采购活动的供应商。未依法获取</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文件的，不得就</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文件提出质疑；未提交磋商响应文件的供应商，视为与采购结果没有利害关系，不得就采购响应截止时间后的采购过程、采购结果提出质疑。</w:t>
      </w:r>
    </w:p>
    <w:p w14:paraId="6EDB0B66">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3、供应商提出质疑应当提交质疑函和必要的证明材料，质疑函应当以书面形式提出，质疑函格式和内容须符合财政部《质疑函范本》要求，供应商可到中国政府采购网自行下载财政部《质疑函范本》。</w:t>
      </w:r>
    </w:p>
    <w:p w14:paraId="3F3A6DFF">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质疑实行实名制，质疑函应当署名，供应商为自然人的，应当由本人签字；供应商为法人或者其他组织的，应当由法定代表人、主要负责人，或者其授权代表（指代理人）签字或者盖章，并加盖公章；代理人提出质疑的，应当提交供应商签署的授权委托书；以联合体形式参加政府采购活动的，其质疑应当由组成联合体的所有供应商共同提出。</w:t>
      </w:r>
    </w:p>
    <w:p w14:paraId="36A8A35B">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5、采购人、采购代理机构接收质疑函的方式：只接收供应商以当面递交、邮寄、传真或电子邮件方式提出的质疑函，以其他方式提出的质疑不予接收。</w:t>
      </w:r>
    </w:p>
    <w:p w14:paraId="029D02D4">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采取邮寄方式的，提出质疑的时间为质疑函原件交邮的时间（以邮戳时间或快递收件时间为准）。</w:t>
      </w:r>
    </w:p>
    <w:p w14:paraId="0743A2B1">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采取传真、电子邮件方式的，供应商应当在传真、电子邮件发出后将质疑函原件邮寄给被质疑人，提出质疑的时间为质疑函原件交邮的时间（以邮戳时间或快递收件时间为准）。</w:t>
      </w:r>
    </w:p>
    <w:p w14:paraId="5B22BED7">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6、采购人、采购代理机构以实际收到质疑函原件之日作为收到质疑函的日期，将在收到质疑函后7个工作日内作出答复。</w:t>
      </w:r>
    </w:p>
    <w:p w14:paraId="4266E865">
      <w:pPr>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7、采购人、采购代理机构接收质疑函的联系人、联系电话和通讯地址等信息详见竞争性磋商公告。</w:t>
      </w:r>
    </w:p>
    <w:p w14:paraId="7DBD3719">
      <w:pPr>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▲十四、预算价及最高限价</w:t>
      </w:r>
    </w:p>
    <w:p w14:paraId="0099430D">
      <w:pPr>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1、本项目设有预算价，预算价为：人民币</w:t>
      </w:r>
      <w:r>
        <w:rPr>
          <w:rFonts w:hint="eastAsia" w:eastAsia="宋体" w:cs="宋体" w:asciiTheme="minorEastAsia" w:hAnsiTheme="minorEastAsia"/>
          <w:color w:val="auto"/>
          <w:sz w:val="24"/>
          <w:szCs w:val="24"/>
          <w:highlight w:val="none"/>
          <w:lang w:eastAsia="zh-CN"/>
        </w:rPr>
        <w:t>5500000</w:t>
      </w:r>
      <w:r>
        <w:rPr>
          <w:rFonts w:hint="eastAsia" w:ascii="宋体" w:hAnsi="宋体" w:eastAsia="宋体" w:cs="宋体"/>
          <w:color w:val="auto"/>
          <w:sz w:val="24"/>
          <w:szCs w:val="24"/>
          <w:highlight w:val="none"/>
        </w:rPr>
        <w:t>元。</w:t>
      </w:r>
    </w:p>
    <w:p w14:paraId="652ACD30">
      <w:pPr>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2、本项目设有最高限价：</w:t>
      </w:r>
      <w:r>
        <w:rPr>
          <w:rFonts w:hint="eastAsia" w:eastAsia="宋体" w:cs="宋体" w:asciiTheme="minorEastAsia" w:hAnsiTheme="minorEastAsia"/>
          <w:color w:val="auto"/>
          <w:sz w:val="24"/>
          <w:szCs w:val="24"/>
          <w:highlight w:val="none"/>
          <w:lang w:eastAsia="zh-CN"/>
        </w:rPr>
        <w:t>5500000</w:t>
      </w:r>
      <w:r>
        <w:rPr>
          <w:rFonts w:hint="eastAsia" w:ascii="宋体" w:hAnsi="宋体" w:eastAsia="宋体" w:cs="宋体"/>
          <w:color w:val="auto"/>
          <w:sz w:val="24"/>
          <w:szCs w:val="24"/>
          <w:highlight w:val="none"/>
        </w:rPr>
        <w:t>元，磋商报价（最后报价）超过最高限价的作无效报价处理。</w:t>
      </w:r>
    </w:p>
    <w:p w14:paraId="25394E38">
      <w:pPr>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十五、评审</w:t>
      </w:r>
    </w:p>
    <w:p w14:paraId="56F2DBDB">
      <w:pPr>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1、具体详见第三章“评定成交的标准”。</w:t>
      </w:r>
    </w:p>
    <w:p w14:paraId="355CC77F">
      <w:pPr>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十六、成交结果通知</w:t>
      </w:r>
    </w:p>
    <w:p w14:paraId="046E54C1">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1、采购人确认评审结果后，代理机构将在相关媒体上发布成交结果公告，并向确定成交供应商发出确定成交通知书。</w:t>
      </w:r>
    </w:p>
    <w:p w14:paraId="6201C432">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2、确定成交通知书发出后，若确定成交供应商放弃成交，应当承担相应的法律责任，确定成交通知书对采购人和确定成交供应商具有同等法律效力。</w:t>
      </w:r>
    </w:p>
    <w:p w14:paraId="74828ECC">
      <w:pPr>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十七、签订合同</w:t>
      </w:r>
    </w:p>
    <w:p w14:paraId="4D88A22A">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定成交供应商在确定成交通知书发出后30日内，应与采购人按照竞争性磋商文件、确定成交供应商的磋商响应文件、磋商过程中有关的澄清文件等约定内容签订书面合同。竞争性磋商文件、确定成交供应商的磋商响应文件、磋商过程中有关的澄清文件等均应作为合同附件。</w:t>
      </w:r>
    </w:p>
    <w:p w14:paraId="270BD65B">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十八、代理服务费</w:t>
      </w:r>
    </w:p>
    <w:p w14:paraId="5AE5CE2D">
      <w:pPr>
        <w:spacing w:line="336" w:lineRule="auto"/>
        <w:ind w:right="420" w:rightChars="200" w:firstLine="600" w:firstLineChars="2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1、代理费金额：本项目招标代理费用参照下表中服务类计算标准</w:t>
      </w:r>
      <w:r>
        <w:rPr>
          <w:rFonts w:hint="eastAsia" w:ascii="宋体" w:hAnsi="宋体" w:eastAsia="宋体" w:cs="宋体"/>
          <w:b w:val="0"/>
          <w:bCs w:val="0"/>
          <w:color w:val="auto"/>
          <w:sz w:val="24"/>
          <w:szCs w:val="24"/>
          <w:highlight w:val="none"/>
          <w:lang w:eastAsia="zh-CN"/>
        </w:rPr>
        <w:t>的</w:t>
      </w:r>
      <w:r>
        <w:rPr>
          <w:rFonts w:hint="eastAsia" w:cs="Times New Roman" w:asciiTheme="minorEastAsia" w:hAnsiTheme="minorEastAsia"/>
          <w:b w:val="0"/>
          <w:bCs w:val="0"/>
          <w:color w:val="auto"/>
          <w:sz w:val="24"/>
          <w:szCs w:val="24"/>
          <w:highlight w:val="none"/>
          <w:lang w:val="en-US" w:eastAsia="zh-CN"/>
        </w:rPr>
        <w:t>57</w:t>
      </w:r>
      <w:r>
        <w:rPr>
          <w:rFonts w:hint="eastAsia" w:cs="Times New Roman" w:asciiTheme="minorEastAsia" w:hAnsiTheme="minorEastAsia" w:eastAsiaTheme="minorEastAsia"/>
          <w:b w:val="0"/>
          <w:bCs w:val="0"/>
          <w:color w:val="auto"/>
          <w:sz w:val="24"/>
          <w:szCs w:val="24"/>
          <w:highlight w:val="none"/>
        </w:rPr>
        <w:t>%</w:t>
      </w:r>
      <w:r>
        <w:rPr>
          <w:rFonts w:hint="eastAsia" w:ascii="宋体" w:hAnsi="宋体" w:eastAsia="宋体" w:cs="宋体"/>
          <w:b w:val="0"/>
          <w:bCs w:val="0"/>
          <w:color w:val="auto"/>
          <w:sz w:val="24"/>
          <w:szCs w:val="24"/>
          <w:highlight w:val="none"/>
        </w:rPr>
        <w:t>（差</w:t>
      </w:r>
      <w:r>
        <w:rPr>
          <w:rFonts w:hint="eastAsia" w:ascii="宋体" w:hAnsi="宋体" w:eastAsia="宋体" w:cs="宋体"/>
          <w:color w:val="auto"/>
          <w:sz w:val="24"/>
          <w:szCs w:val="24"/>
          <w:highlight w:val="none"/>
        </w:rPr>
        <w:t>额定率累进法）计算，按照中标通知书确定的中标金额，向成交供应商收取招标代理服务费</w:t>
      </w:r>
      <w:r>
        <w:rPr>
          <w:rFonts w:hint="eastAsia" w:ascii="宋体" w:hAnsi="宋体" w:eastAsia="宋体" w:cs="宋体"/>
          <w:bCs/>
          <w:color w:val="auto"/>
          <w:sz w:val="24"/>
          <w:szCs w:val="24"/>
          <w:highlight w:val="none"/>
        </w:rPr>
        <w:t>。</w:t>
      </w:r>
    </w:p>
    <w:tbl>
      <w:tblPr>
        <w:tblStyle w:val="26"/>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449"/>
        <w:gridCol w:w="2039"/>
        <w:gridCol w:w="2040"/>
      </w:tblGrid>
      <w:tr w14:paraId="562D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jc w:val="center"/>
        </w:trPr>
        <w:tc>
          <w:tcPr>
            <w:tcW w:w="2630" w:type="dxa"/>
          </w:tcPr>
          <w:p w14:paraId="454E8905">
            <w:pPr>
              <w:spacing w:line="440" w:lineRule="exact"/>
              <w:ind w:firstLine="1320" w:firstLineChars="5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234950</wp:posOffset>
                      </wp:positionH>
                      <wp:positionV relativeFrom="paragraph">
                        <wp:posOffset>1270</wp:posOffset>
                      </wp:positionV>
                      <wp:extent cx="1383665" cy="836930"/>
                      <wp:effectExtent l="2540" t="3810" r="15875" b="12700"/>
                      <wp:wrapNone/>
                      <wp:docPr id="2" name="直线 3"/>
                      <wp:cNvGraphicFramePr/>
                      <a:graphic xmlns:a="http://schemas.openxmlformats.org/drawingml/2006/main">
                        <a:graphicData uri="http://schemas.microsoft.com/office/word/2010/wordprocessingShape">
                          <wps:wsp>
                            <wps:cNvCnPr/>
                            <wps:spPr>
                              <a:xfrm flipH="1" flipV="1">
                                <a:off x="0" y="0"/>
                                <a:ext cx="138366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flip:x y;margin-left:18.5pt;margin-top:0.1pt;height:65.9pt;width:108.95pt;z-index:251660288;mso-width-relative:page;mso-height-relative:page;" filled="f" stroked="t" coordsize="21600,21600" o:gfxdata="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ss5kvTAAAABwEAAA8AAAAAAAAAAQAgAAAAIgAAAGRycy9kb3ducmV2LnhtbFBLAQIUABQA&#10;AAAIAIdO4kCyBTiA9QEAAPYDAAAOAAAAAAAAAAEAIAAAACI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服务类型</w:t>
            </w:r>
          </w:p>
          <w:p w14:paraId="1147D634">
            <w:pPr>
              <w:spacing w:line="440" w:lineRule="exact"/>
              <w:ind w:firstLine="1080" w:firstLineChars="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22860</wp:posOffset>
                      </wp:positionV>
                      <wp:extent cx="1684655" cy="535940"/>
                      <wp:effectExtent l="1270" t="4445" r="5715" b="8255"/>
                      <wp:wrapNone/>
                      <wp:docPr id="3" name="直线 4"/>
                      <wp:cNvGraphicFramePr/>
                      <a:graphic xmlns:a="http://schemas.openxmlformats.org/drawingml/2006/main">
                        <a:graphicData uri="http://schemas.microsoft.com/office/word/2010/wordprocessingShape">
                          <wps:wsp>
                            <wps:cNvCnPr/>
                            <wps:spPr>
                              <a:xfrm flipH="1" flipV="1">
                                <a:off x="0" y="0"/>
                                <a:ext cx="1684655" cy="5359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flip:x y;margin-left:-5.2pt;margin-top:1.8pt;height:42.2pt;width:132.65pt;z-index:251661312;mso-width-relative:page;mso-height-relative:page;" filled="f" stroked="t" coordsize="21600,21600" o:gfxdata="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H7cWtUAAAAIAQAADwAAAAAAAAABACAAAAAiAAAAZHJzL2Rvd25yZXYueG1sUEsB&#10;AhQAFAAAAAgAh07iQPrJvaP4AQAA9gMAAA4AAAAAAAAAAQAgAAAAJA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费率</w:t>
            </w:r>
          </w:p>
          <w:p w14:paraId="71ACE230">
            <w:pPr>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中标金额（万元）</w:t>
            </w:r>
          </w:p>
        </w:tc>
        <w:tc>
          <w:tcPr>
            <w:tcW w:w="1449" w:type="dxa"/>
            <w:vAlign w:val="center"/>
          </w:tcPr>
          <w:p w14:paraId="2D6B3F1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货物招标</w:t>
            </w:r>
          </w:p>
        </w:tc>
        <w:tc>
          <w:tcPr>
            <w:tcW w:w="2039" w:type="dxa"/>
            <w:vAlign w:val="center"/>
          </w:tcPr>
          <w:p w14:paraId="661A26CF">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服务招标</w:t>
            </w:r>
          </w:p>
        </w:tc>
        <w:tc>
          <w:tcPr>
            <w:tcW w:w="2040" w:type="dxa"/>
            <w:vAlign w:val="center"/>
          </w:tcPr>
          <w:p w14:paraId="4730DF7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工程招标</w:t>
            </w:r>
          </w:p>
        </w:tc>
      </w:tr>
      <w:tr w14:paraId="3CE1B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630" w:type="dxa"/>
          </w:tcPr>
          <w:p w14:paraId="53C8569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100以下</w:t>
            </w:r>
          </w:p>
        </w:tc>
        <w:tc>
          <w:tcPr>
            <w:tcW w:w="1449" w:type="dxa"/>
          </w:tcPr>
          <w:p w14:paraId="0FD9401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039" w:type="dxa"/>
          </w:tcPr>
          <w:p w14:paraId="66E70F1D">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2040" w:type="dxa"/>
          </w:tcPr>
          <w:p w14:paraId="2FB6CC91">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r>
      <w:tr w14:paraId="1DB0B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630" w:type="dxa"/>
          </w:tcPr>
          <w:p w14:paraId="67D6C8FB">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100-500</w:t>
            </w:r>
          </w:p>
        </w:tc>
        <w:tc>
          <w:tcPr>
            <w:tcW w:w="1449" w:type="dxa"/>
          </w:tcPr>
          <w:p w14:paraId="14C68F1D">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2039" w:type="dxa"/>
          </w:tcPr>
          <w:p w14:paraId="0BC1F49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w:t>
            </w:r>
          </w:p>
        </w:tc>
        <w:tc>
          <w:tcPr>
            <w:tcW w:w="2040" w:type="dxa"/>
          </w:tcPr>
          <w:p w14:paraId="3933B1B0">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0.7%</w:t>
            </w:r>
          </w:p>
        </w:tc>
      </w:tr>
      <w:tr w14:paraId="734F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630" w:type="dxa"/>
          </w:tcPr>
          <w:p w14:paraId="51CDAEE8">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500-1000</w:t>
            </w:r>
          </w:p>
        </w:tc>
        <w:tc>
          <w:tcPr>
            <w:tcW w:w="1449" w:type="dxa"/>
          </w:tcPr>
          <w:p w14:paraId="43F94DAC">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0.8%</w:t>
            </w:r>
          </w:p>
        </w:tc>
        <w:tc>
          <w:tcPr>
            <w:tcW w:w="2039" w:type="dxa"/>
          </w:tcPr>
          <w:p w14:paraId="51946E69">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0.45%</w:t>
            </w:r>
          </w:p>
        </w:tc>
        <w:tc>
          <w:tcPr>
            <w:tcW w:w="2040" w:type="dxa"/>
          </w:tcPr>
          <w:p w14:paraId="70B52FC7">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0.55%</w:t>
            </w:r>
          </w:p>
        </w:tc>
      </w:tr>
    </w:tbl>
    <w:p w14:paraId="57ABD647">
      <w:pPr>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2、成交供应商应在代理机构发出成交通知书5个工作日内向本代理机构支付代理服务费。</w:t>
      </w:r>
    </w:p>
    <w:p w14:paraId="453A538F">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3、代理服务费只收现金、银行票汇款、电汇款。</w:t>
      </w:r>
    </w:p>
    <w:p w14:paraId="54AA3AF5">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账户名称：中冠工程管理咨询有限公司台州分公司</w:t>
      </w:r>
    </w:p>
    <w:p w14:paraId="1E610BAE">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开户银行：中国农业银行股份有限公司台州经济开发区支行</w:t>
      </w:r>
    </w:p>
    <w:p w14:paraId="09E21B9F">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银行账号：19900101040031566</w:t>
      </w:r>
    </w:p>
    <w:p w14:paraId="40841807">
      <w:pPr>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十九、特别说明</w:t>
      </w:r>
    </w:p>
    <w:p w14:paraId="6218EAF9">
      <w:pPr>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w:t>
      </w:r>
      <w:r>
        <w:rPr>
          <w:rFonts w:hint="eastAsia" w:ascii="宋体" w:hAnsi="宋体" w:eastAsia="宋体" w:cs="宋体"/>
          <w:b/>
          <w:bCs/>
          <w:color w:val="auto"/>
          <w:sz w:val="24"/>
          <w:szCs w:val="24"/>
          <w:highlight w:val="none"/>
          <w:u w:val="single"/>
        </w:rPr>
        <w:t xml:space="preserve">  非  </w:t>
      </w:r>
      <w:r>
        <w:rPr>
          <w:rFonts w:hint="eastAsia" w:ascii="宋体" w:hAnsi="宋体" w:eastAsia="宋体" w:cs="宋体"/>
          <w:color w:val="auto"/>
          <w:sz w:val="24"/>
          <w:szCs w:val="24"/>
          <w:highlight w:val="none"/>
        </w:rPr>
        <w:t>面向中小企业/小微企业采购。</w:t>
      </w:r>
    </w:p>
    <w:p w14:paraId="34D9B6FA">
      <w:pPr>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2、本项目所属行业：</w:t>
      </w:r>
      <w:r>
        <w:rPr>
          <w:rFonts w:hint="eastAsia" w:ascii="宋体" w:hAnsi="宋体" w:eastAsia="宋体" w:cs="宋体"/>
          <w:b/>
          <w:color w:val="auto"/>
          <w:sz w:val="24"/>
          <w:szCs w:val="24"/>
          <w:highlight w:val="none"/>
          <w:u w:val="single"/>
          <w:lang w:eastAsia="zh-CN"/>
        </w:rPr>
        <w:t>其他未列明行业</w:t>
      </w:r>
      <w:r>
        <w:rPr>
          <w:rFonts w:hint="eastAsia" w:ascii="宋体" w:hAnsi="宋体" w:eastAsia="宋体" w:cs="宋体"/>
          <w:b/>
          <w:color w:val="auto"/>
          <w:sz w:val="24"/>
          <w:szCs w:val="24"/>
          <w:highlight w:val="none"/>
          <w:u w:val="single"/>
        </w:rPr>
        <w:t>。</w:t>
      </w:r>
    </w:p>
    <w:p w14:paraId="48051F28">
      <w:pPr>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3、小微企业是指中华人民共和国境内依法设立，依据国务院批准的中小企业划分标准确定的小型企业和微型企业，但与大企业的负责人为同一人，或者与大企业存在直接控股、管理关系的除外。</w:t>
      </w:r>
    </w:p>
    <w:p w14:paraId="27088032">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4CBE8AC3">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国务院批准的中小企业划分标准：具体见工信部联企业[2011]300号。</w:t>
      </w:r>
    </w:p>
    <w:p w14:paraId="52E21976">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4、在政府采购活动中，供应商提供的货物、工程或者服务符合下列情形的，可享受小型、微型企业（以下简称小微企业）的价格扣除：</w:t>
      </w:r>
    </w:p>
    <w:p w14:paraId="2D6A6BD1">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（1）在货物采购项目中，货物由小微企业制造，即货物由小微企业生产且使用该小微企业商号或者注册商标；</w:t>
      </w:r>
    </w:p>
    <w:p w14:paraId="5B91B41A">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（2）在工程采购项目中，工程由小微企业承建，即工程施工单位为小微企业；</w:t>
      </w:r>
    </w:p>
    <w:p w14:paraId="754F4354">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（3）在服务采购项目中，服务由小微企业承接，即提供服务的人员为小微企业依照《中华人民共和国劳动合同法》订立劳动合同的从业人员。</w:t>
      </w:r>
    </w:p>
    <w:p w14:paraId="62014784">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以联合体形式参加政府采购活动，联合体各方均为小微企业的，联合体视同小微企业。</w:t>
      </w:r>
    </w:p>
    <w:p w14:paraId="73F76C9F">
      <w:pPr>
        <w:autoSpaceDN w:val="0"/>
        <w:adjustRightIn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注：本次采购为非专门面向中小企业，本次评标将对中小企业声明函满足</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文件要求的小型和微型企业产品的价格（包括监狱企业）给予10%的扣除，用扣除后的价格参与评审。</w:t>
      </w:r>
      <w:r>
        <w:rPr>
          <w:rFonts w:hint="eastAsia" w:ascii="宋体" w:hAnsi="宋体" w:eastAsia="宋体" w:cs="宋体"/>
          <w:b/>
          <w:bCs/>
          <w:color w:val="auto"/>
          <w:sz w:val="24"/>
          <w:szCs w:val="24"/>
          <w:highlight w:val="none"/>
        </w:rPr>
        <w:t>本次</w:t>
      </w:r>
      <w:r>
        <w:rPr>
          <w:rFonts w:hint="eastAsia" w:ascii="宋体" w:hAnsi="宋体" w:eastAsia="宋体" w:cs="宋体"/>
          <w:b/>
          <w:color w:val="auto"/>
          <w:sz w:val="24"/>
          <w:szCs w:val="24"/>
          <w:highlight w:val="none"/>
        </w:rPr>
        <w:t>采购</w:t>
      </w:r>
      <w:r>
        <w:rPr>
          <w:rFonts w:hint="eastAsia" w:ascii="宋体" w:hAnsi="宋体" w:eastAsia="宋体" w:cs="宋体"/>
          <w:b/>
          <w:bCs/>
          <w:color w:val="auto"/>
          <w:sz w:val="24"/>
          <w:szCs w:val="24"/>
          <w:highlight w:val="none"/>
        </w:rPr>
        <w:t>接受大中型企业与小微企业组成联合体，对于联合协议约定小微企业的合同份额占到合同总金额30%以上的，对联合体的报价给予4%的扣除，用扣除后的价格参加评审。</w:t>
      </w:r>
    </w:p>
    <w:p w14:paraId="7963D452">
      <w:pPr>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5、在货物采购项目中，供应商提供的货物既有中小企业制造货物，也有大型企业制造货物的，不享受的小微企业价格扣除。</w:t>
      </w:r>
    </w:p>
    <w:p w14:paraId="7CFC02F0">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6、小微企业应按照磋商文件格式要求提供《中小企业声明函》。</w:t>
      </w:r>
    </w:p>
    <w:p w14:paraId="7BE9074A">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40693C7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根据《关于促进残疾人就业政府采购政策的通知》（财库[2017]141号）规定，在政府采购活动中，残疾人福利性单位视同小型、微型企业。残疾人福利性单位参加政府采购活动时，提供《残疾人福利性单位声明函》。</w:t>
      </w:r>
    </w:p>
    <w:p w14:paraId="6A686840">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9、按规定享受扶持政策获得政府采购合同的，小微企业不得将合同分包给大中型企业，中型企业不得将合同分包给大型企业。</w:t>
      </w:r>
    </w:p>
    <w:p w14:paraId="04EDAB85">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10、供应商按照《政府采购促进中小企业发展管理办法》（财库﹝2020﹞46号）规定提供声明函内容不实的，属于提供虚假材料谋取中标、成交，依照《中华人民共和国政府采购法》等国家有关规定追究相应责任。</w:t>
      </w:r>
    </w:p>
    <w:p w14:paraId="6E2D1CBD">
      <w:pPr>
        <w:autoSpaceDN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color w:val="auto"/>
          <w:sz w:val="22"/>
          <w:szCs w:val="22"/>
          <w:highlight w:val="none"/>
        </w:rPr>
        <w:t>联合体投标说明</w:t>
      </w:r>
      <w:r>
        <w:rPr>
          <w:rFonts w:hint="eastAsia" w:ascii="宋体" w:hAnsi="宋体" w:eastAsia="宋体" w:cs="宋体"/>
          <w:color w:val="auto"/>
          <w:sz w:val="24"/>
          <w:szCs w:val="24"/>
          <w:highlight w:val="none"/>
          <w:lang w:val="en-US" w:eastAsia="zh-CN"/>
        </w:rPr>
        <w:t>：</w:t>
      </w:r>
    </w:p>
    <w:p w14:paraId="7DEB80B3">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（1）以联合体形式投标的，联合体各方的业绩证明材料均认可。</w:t>
      </w:r>
    </w:p>
    <w:p w14:paraId="6FBDE784">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（2）以联合体形式投标的，联合体中有一方或者联合体成员根据分工按竞争性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文件评标细则要求提供材料的，视为符合评审要求。</w:t>
      </w:r>
    </w:p>
    <w:p w14:paraId="0B02E78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、本竞争性磋商文件未及事项，在签订合同时供需双方友好商定。</w:t>
      </w:r>
    </w:p>
    <w:p w14:paraId="463502A1">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、本竞争性磋商文件解释权归采购人。</w:t>
      </w:r>
    </w:p>
    <w:p w14:paraId="042061E8">
      <w:pPr>
        <w:pageBreakBefore/>
        <w:autoSpaceDE w:val="0"/>
        <w:autoSpaceDN w:val="0"/>
        <w:adjustRightInd w:val="0"/>
        <w:spacing w:line="360" w:lineRule="auto"/>
        <w:ind w:firstLine="422" w:firstLineChars="150"/>
        <w:jc w:val="center"/>
        <w:outlineLvl w:val="0"/>
        <w:rPr>
          <w:rFonts w:hint="eastAsia" w:ascii="宋体" w:hAnsi="宋体" w:eastAsia="宋体" w:cs="宋体"/>
          <w:b/>
          <w:color w:val="auto"/>
          <w:sz w:val="28"/>
          <w:szCs w:val="28"/>
          <w:highlight w:val="none"/>
        </w:rPr>
      </w:pPr>
      <w:bookmarkStart w:id="12" w:name="_Toc14072"/>
      <w:r>
        <w:rPr>
          <w:rFonts w:hint="eastAsia" w:ascii="宋体" w:hAnsi="宋体" w:eastAsia="宋体" w:cs="宋体"/>
          <w:b/>
          <w:color w:val="auto"/>
          <w:sz w:val="28"/>
          <w:szCs w:val="28"/>
          <w:highlight w:val="none"/>
        </w:rPr>
        <w:t>第三章  评定成交的标准</w:t>
      </w:r>
      <w:bookmarkEnd w:id="12"/>
    </w:p>
    <w:p w14:paraId="2278A692">
      <w:pPr>
        <w:autoSpaceDE w:val="0"/>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一、评审方法</w:t>
      </w:r>
    </w:p>
    <w:p w14:paraId="10FAEA46">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bookmarkStart w:id="13" w:name="_Toc462213330"/>
      <w:bookmarkStart w:id="14" w:name="_Toc462213257"/>
      <w:bookmarkStart w:id="15" w:name="_Toc214700230"/>
      <w:bookmarkStart w:id="16" w:name="_Toc462179376"/>
      <w:bookmarkStart w:id="17" w:name="_Toc237939770"/>
      <w:bookmarkStart w:id="18" w:name="_Toc387409459"/>
      <w:bookmarkStart w:id="19" w:name="_Toc214700098"/>
      <w:bookmarkStart w:id="20" w:name="_Toc462213213"/>
      <w:r>
        <w:rPr>
          <w:rFonts w:hint="eastAsia" w:ascii="宋体" w:hAnsi="宋体" w:eastAsia="宋体" w:cs="宋体"/>
          <w:color w:val="auto"/>
          <w:sz w:val="24"/>
          <w:szCs w:val="24"/>
          <w:highlight w:val="none"/>
        </w:rPr>
        <w:t>1、本项目采用综合评分法。评审得分满分100分，磋商小组按照评审得分由高到低顺序进行排序，推荐3名及以上成交候选供应商。若评审得分相同，则最后报价低者列前；若最后报价也相同，则采取抽签方式确定排序，抽取的第一位列前。</w:t>
      </w:r>
    </w:p>
    <w:p w14:paraId="60558A8A">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2、本项目需要落实的政府采购政策：</w:t>
      </w:r>
      <w:bookmarkStart w:id="21" w:name="_Hlk35433721"/>
      <w:r>
        <w:rPr>
          <w:rFonts w:hint="eastAsia" w:ascii="宋体" w:hAnsi="宋体" w:eastAsia="宋体" w:cs="宋体"/>
          <w:color w:val="auto"/>
          <w:sz w:val="24"/>
          <w:szCs w:val="24"/>
          <w:highlight w:val="none"/>
        </w:rPr>
        <w:t>《关于促进残疾人就业政府采购政策的通知》（财库[2017]141号）、《政府采购促进中小企业发展管理办法》（财库﹝2020﹞46号）、《关于政府采购支持监狱企业发展有关问题的通知》（财库[2014]68号）。</w:t>
      </w:r>
    </w:p>
    <w:bookmarkEnd w:id="21"/>
    <w:p w14:paraId="36E276EC">
      <w:pPr>
        <w:autoSpaceDN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3、本次</w:t>
      </w:r>
      <w:r>
        <w:rPr>
          <w:rFonts w:hint="eastAsia" w:ascii="宋体" w:hAnsi="宋体" w:eastAsia="宋体" w:cs="宋体"/>
          <w:b/>
          <w:color w:val="auto"/>
          <w:sz w:val="24"/>
          <w:szCs w:val="24"/>
          <w:highlight w:val="none"/>
        </w:rPr>
        <w:t>采购为非专门面向中小企业，本次评标将对中小企业声明函满足</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文件要求的小型和微型</w:t>
      </w:r>
      <w:r>
        <w:rPr>
          <w:rFonts w:hint="eastAsia" w:ascii="宋体" w:hAnsi="宋体" w:eastAsia="宋体" w:cs="宋体"/>
          <w:b/>
          <w:color w:val="auto"/>
          <w:sz w:val="24"/>
          <w:szCs w:val="24"/>
          <w:highlight w:val="none"/>
          <w:lang w:eastAsia="zh-CN"/>
        </w:rPr>
        <w:t>企业</w:t>
      </w:r>
      <w:r>
        <w:rPr>
          <w:rFonts w:hint="eastAsia" w:ascii="宋体" w:hAnsi="宋体" w:eastAsia="宋体" w:cs="宋体"/>
          <w:b/>
          <w:color w:val="auto"/>
          <w:sz w:val="24"/>
          <w:szCs w:val="24"/>
          <w:highlight w:val="none"/>
        </w:rPr>
        <w:t>的价格（包括监狱企业）给予10%的扣除，用扣除后的价格参与评审</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p>
    <w:p w14:paraId="29752184">
      <w:pPr>
        <w:autoSpaceDN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本次</w:t>
      </w:r>
      <w:r>
        <w:rPr>
          <w:rFonts w:hint="eastAsia" w:ascii="宋体" w:hAnsi="宋体" w:eastAsia="宋体" w:cs="宋体"/>
          <w:b/>
          <w:color w:val="auto"/>
          <w:sz w:val="24"/>
          <w:szCs w:val="24"/>
          <w:highlight w:val="none"/>
        </w:rPr>
        <w:t>采购</w:t>
      </w:r>
      <w:r>
        <w:rPr>
          <w:rFonts w:hint="eastAsia" w:ascii="宋体" w:hAnsi="宋体" w:eastAsia="宋体" w:cs="宋体"/>
          <w:b/>
          <w:bCs/>
          <w:color w:val="auto"/>
          <w:sz w:val="24"/>
          <w:szCs w:val="24"/>
          <w:highlight w:val="none"/>
        </w:rPr>
        <w:t>接受大中型企业与小微企业组成联合体，对于联合协议约定小微企业的合同份额占到合同总金额30%以上的，对联合体的报价给予4%的扣除，用扣除后的价格参加评审。</w:t>
      </w:r>
    </w:p>
    <w:p w14:paraId="6CC14CDC">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磋商小组成员</w:t>
      </w:r>
      <w:r>
        <w:rPr>
          <w:rFonts w:hint="eastAsia" w:ascii="宋体" w:hAnsi="宋体" w:eastAsia="宋体" w:cs="宋体"/>
          <w:color w:val="auto"/>
          <w:sz w:val="24"/>
          <w:szCs w:val="24"/>
          <w:highlight w:val="none"/>
        </w:rPr>
        <w:t>对需要共同认定的事项存在争议的，应当按照少数服从多数的原则作出结论。</w:t>
      </w:r>
    </w:p>
    <w:p w14:paraId="7A98F21B">
      <w:pPr>
        <w:autoSpaceDE w:val="0"/>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二、磋商小组</w:t>
      </w:r>
      <w:bookmarkEnd w:id="13"/>
      <w:bookmarkEnd w:id="14"/>
      <w:bookmarkEnd w:id="15"/>
      <w:bookmarkEnd w:id="16"/>
      <w:bookmarkEnd w:id="17"/>
      <w:bookmarkEnd w:id="18"/>
      <w:bookmarkEnd w:id="19"/>
      <w:bookmarkEnd w:id="20"/>
    </w:p>
    <w:p w14:paraId="2E3C9E12">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bookmarkStart w:id="22" w:name="_Toc214700099"/>
      <w:bookmarkStart w:id="23" w:name="_Toc214700231"/>
      <w:r>
        <w:rPr>
          <w:rFonts w:hint="eastAsia" w:ascii="宋体" w:hAnsi="宋体" w:eastAsia="宋体" w:cs="宋体"/>
          <w:color w:val="auto"/>
          <w:kern w:val="0"/>
          <w:sz w:val="24"/>
          <w:szCs w:val="24"/>
          <w:highlight w:val="none"/>
        </w:rPr>
        <w:t>1、采购人依法组建磋商小组，磋商小组</w:t>
      </w:r>
      <w:r>
        <w:rPr>
          <w:rFonts w:hint="eastAsia" w:ascii="宋体" w:hAnsi="宋体" w:eastAsia="宋体" w:cs="宋体"/>
          <w:color w:val="auto"/>
          <w:sz w:val="24"/>
          <w:szCs w:val="24"/>
          <w:highlight w:val="none"/>
        </w:rPr>
        <w:t>由采购人代表和专家组成，</w:t>
      </w:r>
      <w:r>
        <w:rPr>
          <w:rFonts w:hint="eastAsia" w:ascii="宋体" w:hAnsi="宋体" w:eastAsia="宋体" w:cs="宋体"/>
          <w:color w:val="auto"/>
          <w:kern w:val="0"/>
          <w:sz w:val="24"/>
          <w:szCs w:val="24"/>
          <w:highlight w:val="none"/>
        </w:rPr>
        <w:t>负责对磋商响应文件进行评审。</w:t>
      </w:r>
      <w:bookmarkEnd w:id="22"/>
      <w:bookmarkEnd w:id="23"/>
    </w:p>
    <w:p w14:paraId="59AAF69C">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磋商小组成员应当按照客观、公正、审慎的原则，根据竞争性磋商文件规定的评审程序、评审方法和评审标准进行独立评审。未实质性响应竞争性磋商文件的磋商响应文件按无效文件处理，磋商小组应当告知提交磋商响应文件的供应商。</w:t>
      </w:r>
    </w:p>
    <w:p w14:paraId="682A882D">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3、磋商小组所有成员应当集中与单一供应商分别进行磋商，并给予所有参加磋商的供应商平等的磋商机会。</w:t>
      </w:r>
    </w:p>
    <w:p w14:paraId="529408E2">
      <w:pPr>
        <w:autoSpaceDE w:val="0"/>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三、评审程序</w:t>
      </w:r>
    </w:p>
    <w:p w14:paraId="383DF834">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磋商，采用电子磋商响应文件。磋商截止时间后，供应商登录政府采购云平台，用“项目采购-开标评标”功能对电子磋商响应文件进行在线解密，在线解密电子磋商响应文件时间为磋商时间后30分钟内。供应商按时在线解密电子磋商响应文件的，以在线解密的电子磋商响应文件作为评审依据，若供应商在规定时间内无法解密或解密失败，则以备份磋商响应文件作为评审依据（若备份磋商响应文件与政采云平台上传的电子磋商响应文件被识别为不一致，仍以备份磋商响应文件作为评审依据）。无论是否启用备份磋商响应文件，备份磋商响应文件均不退还供应商。若供应商在规定时间内无法解密或解密失败且未提供备份磋商响应文件或所提供的备份磋商响应文件无法读取的，视为磋商响应文件撤回。供应商在规定的磋商响应文件递交的截止时间之前提交磋商响应文件。</w:t>
      </w:r>
    </w:p>
    <w:p w14:paraId="4D928D51">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2、竞争性磋商不进行公开唱价。磋商小组在磋商开始后对供应商的磋商响应文件进行评审。</w:t>
      </w:r>
    </w:p>
    <w:p w14:paraId="239D7958">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文件、商务和技术文件初步审查：包含资格性审查和符合性审查。资格性审查是指资格审查小组根据“附表1资格性审查表”的要求对磋商响应文件逐一进行评审。符合性审查是指评审小组根据“附表2符合性审查表”的要求对磋商响应文件逐一进行评审。</w:t>
      </w:r>
      <w:r>
        <w:rPr>
          <w:rFonts w:hint="eastAsia" w:ascii="宋体" w:hAnsi="宋体" w:eastAsia="宋体" w:cs="宋体"/>
          <w:b/>
          <w:color w:val="auto"/>
          <w:sz w:val="24"/>
          <w:szCs w:val="24"/>
          <w:highlight w:val="none"/>
        </w:rPr>
        <w:t>资格性审查和符合性审查中，有任意一项审查结论不合格的，作无效报价处理。</w:t>
      </w:r>
    </w:p>
    <w:p w14:paraId="0F17D281">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比较与评价：</w:t>
      </w:r>
      <w:r>
        <w:rPr>
          <w:rFonts w:hint="eastAsia" w:ascii="宋体" w:hAnsi="宋体" w:eastAsia="宋体" w:cs="宋体"/>
          <w:color w:val="auto"/>
          <w:sz w:val="24"/>
          <w:szCs w:val="24"/>
          <w:highlight w:val="none"/>
        </w:rPr>
        <w:t>评审小组根据“附表3商务技术评分表”的要求，</w:t>
      </w:r>
      <w:r>
        <w:rPr>
          <w:rFonts w:hint="eastAsia" w:ascii="宋体" w:hAnsi="宋体" w:eastAsia="宋体" w:cs="宋体"/>
          <w:color w:val="auto"/>
          <w:sz w:val="24"/>
          <w:szCs w:val="24"/>
          <w:highlight w:val="none"/>
          <w:lang w:val="zh-CN"/>
        </w:rPr>
        <w:t>对照磋商响应文件的应答进行比较，判定其偏差性质和程度，</w:t>
      </w:r>
      <w:r>
        <w:rPr>
          <w:rFonts w:hint="eastAsia" w:ascii="宋体" w:hAnsi="宋体" w:eastAsia="宋体" w:cs="宋体"/>
          <w:color w:val="auto"/>
          <w:sz w:val="24"/>
          <w:szCs w:val="24"/>
          <w:highlight w:val="none"/>
        </w:rPr>
        <w:t>由评审小组成员在分值范围内自行评分。供应商商务技术得分为各评审小组成员有效评分的算术平均值（小数点后保留二位数）。</w:t>
      </w:r>
    </w:p>
    <w:p w14:paraId="75F33D4F">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3、报价文件初步审查：报价文件初步审查是指评审小组根据“附表4报价审查表”的要求对磋商响应文件逐一进行评审。</w:t>
      </w:r>
      <w:r>
        <w:rPr>
          <w:rFonts w:hint="eastAsia" w:ascii="宋体" w:hAnsi="宋体" w:eastAsia="宋体" w:cs="宋体"/>
          <w:b/>
          <w:color w:val="auto"/>
          <w:sz w:val="24"/>
          <w:szCs w:val="24"/>
          <w:highlight w:val="none"/>
        </w:rPr>
        <w:t>初步审查中，审查结论不合格的，作无效报价处理。</w:t>
      </w:r>
    </w:p>
    <w:p w14:paraId="2A7A9BAF">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kern w:val="0"/>
          <w:sz w:val="24"/>
          <w:szCs w:val="24"/>
          <w:highlight w:val="none"/>
        </w:rPr>
        <w:t>磋商小组所有成员与单一供应商分别进行磋商，</w:t>
      </w:r>
      <w:r>
        <w:rPr>
          <w:rFonts w:hint="eastAsia" w:ascii="宋体" w:hAnsi="宋体" w:eastAsia="宋体" w:cs="宋体"/>
          <w:color w:val="auto"/>
          <w:sz w:val="24"/>
          <w:szCs w:val="24"/>
          <w:highlight w:val="none"/>
        </w:rPr>
        <w:t>参加磋商的供应商在规定时间内提交最后报价。最后报价须在政采云中完成。</w:t>
      </w:r>
    </w:p>
    <w:p w14:paraId="6F18AF65">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5、磋商小组根据“附表3</w:t>
      </w:r>
      <w:r>
        <w:rPr>
          <w:rFonts w:hint="eastAsia" w:ascii="宋体" w:hAnsi="宋体" w:eastAsia="宋体" w:cs="宋体"/>
          <w:color w:val="auto"/>
          <w:kern w:val="0"/>
          <w:sz w:val="24"/>
          <w:szCs w:val="24"/>
          <w:highlight w:val="none"/>
        </w:rPr>
        <w:t>评分标准（兼评委打分表）</w:t>
      </w:r>
      <w:r>
        <w:rPr>
          <w:rFonts w:hint="eastAsia" w:ascii="宋体" w:hAnsi="宋体" w:eastAsia="宋体" w:cs="宋体"/>
          <w:color w:val="auto"/>
          <w:sz w:val="24"/>
          <w:szCs w:val="24"/>
          <w:highlight w:val="none"/>
        </w:rPr>
        <w:t>”的要求，</w:t>
      </w:r>
      <w:r>
        <w:rPr>
          <w:rFonts w:hint="eastAsia" w:ascii="宋体" w:hAnsi="宋体" w:eastAsia="宋体" w:cs="宋体"/>
          <w:color w:val="auto"/>
          <w:kern w:val="0"/>
          <w:sz w:val="24"/>
          <w:szCs w:val="24"/>
          <w:highlight w:val="none"/>
        </w:rPr>
        <w:t>独立对每个有效响应的供应商</w:t>
      </w:r>
      <w:r>
        <w:rPr>
          <w:rFonts w:hint="eastAsia" w:ascii="宋体" w:hAnsi="宋体" w:eastAsia="宋体" w:cs="宋体"/>
          <w:color w:val="auto"/>
          <w:sz w:val="24"/>
          <w:szCs w:val="24"/>
          <w:highlight w:val="none"/>
        </w:rPr>
        <w:t>的磋商响应文件在分值范围内进行评分，然后汇总磋商小组各成员有效评分的算术平均值（小数点后保留二位数）即为供应商的评审得分。</w:t>
      </w:r>
    </w:p>
    <w:p w14:paraId="29DA20C3">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推荐成交候选供应商：磋商小组按照评审得分由高到低顺序进行排序，推荐3名及以上成交候选供应商。若评审得分相同，则最后报价低者列前，若最后报价也相同时，则技术得分高者列前；若均相同，则采取抽签方式确定排序。</w:t>
      </w:r>
    </w:p>
    <w:p w14:paraId="42B2D5B5">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7、确定成交供应商</w:t>
      </w:r>
    </w:p>
    <w:p w14:paraId="6698C200">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应当自评审结束之日起2个工作日内将评审报告送交采购人。采购人应当自收到评审报告之日起5个工作日内在评审报告推荐的成交候选供应商中按顺序确定1名成交供应商。成交供应商因不可抗力或者自身原因不能履行政府采购合同的，采购人可以按照评审报告推荐的下一成交候选供应商为成交供应商或重新开展政府采购活动。</w:t>
      </w:r>
    </w:p>
    <w:p w14:paraId="5B29BBF6">
      <w:pPr>
        <w:autoSpaceDE w:val="0"/>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四、磋商的澄清</w:t>
      </w:r>
    </w:p>
    <w:p w14:paraId="00226199">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在对磋商响应文件的有效性、完整性和响应程度进行审查时，可以要求供应商对磋商响应文件中含义不明确、同类问题表述不一致或者有明显文字和计算错误的内容等做出必要的澄清。供应商的澄清不得超出竞争性磋商响应文件的范围或者改变竞争性磋商响应文件的实质性内容。</w:t>
      </w:r>
    </w:p>
    <w:p w14:paraId="0A8A0D4D">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2、政采云具体操作如下：</w:t>
      </w:r>
    </w:p>
    <w:p w14:paraId="7AC38438">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审过程中，如评审小组对磋商响应文件有疑问，由评审组长将问题汇总后发函，或由采购代理机构代替发起。供应商在截止时间前，予以回复。此回复将作为磋商响应文件内容的一部分，具有相应的法律效力。</w:t>
      </w:r>
    </w:p>
    <w:p w14:paraId="4716F93B">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路径：用户中心—项目采购—询标澄清</w:t>
      </w:r>
    </w:p>
    <w:p w14:paraId="3DEE648C">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（1）政采云平台通过待办事项和短信提醒供应商在截止时间前完成澄清。</w:t>
      </w:r>
    </w:p>
    <w:p w14:paraId="5E966317">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（2）供应商在“询标澄清-待办理”标签页下选择状态为“待澄清”的项目，点击操作栏【澄清】。</w:t>
      </w:r>
    </w:p>
    <w:p w14:paraId="696FCBBB">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（3）查看函内容，在澄清截止时间前上传澄清文件并对澄清文件进行签章。（注：澄清文件必须以PDF格式上传，文件大小：50M。）</w:t>
      </w:r>
    </w:p>
    <w:p w14:paraId="5318DA79">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（4）签章完成，文件名称处显示“已签章”，供应商可“撤回签章”修改澄清函和“查看文件”。</w:t>
      </w:r>
    </w:p>
    <w:p w14:paraId="530641B7">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1E7B0861">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（6）完成状态：供应商澄清文件提交成功后，在“询标澄清-全部”标签页下显示状态为“已澄清”。</w:t>
      </w:r>
    </w:p>
    <w:p w14:paraId="4E75F909">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3、供应商未在截止时间前完成澄清，将被视作自动放弃。</w:t>
      </w:r>
    </w:p>
    <w:p w14:paraId="50768905">
      <w:pPr>
        <w:autoSpaceDE w:val="0"/>
        <w:autoSpaceDN w:val="0"/>
        <w:adjustRightInd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五、其他说明</w:t>
      </w:r>
    </w:p>
    <w:p w14:paraId="2A9E9AB2">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1、采购人不向未成交供应商解释未成交原因，不退还磋商响应文件。</w:t>
      </w:r>
    </w:p>
    <w:p w14:paraId="7C96AF17">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价格是评审的重要因素之一，但最低报价不是成交的唯一依据。</w:t>
      </w:r>
    </w:p>
    <w:p w14:paraId="4D31BDD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3、在评审过程中，发现的价格计算错误按下述原则修正：</w:t>
      </w:r>
    </w:p>
    <w:p w14:paraId="5F0DC47E">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（1）磋商响应文件中报价一览表内容与磋商响应文件中分项报价表内容不一致的，以报价一览表为准；</w:t>
      </w:r>
    </w:p>
    <w:p w14:paraId="2FC5FE32">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（2）磋商响应文件的大写金额和小写金额不一致的，以大写金额为准；</w:t>
      </w:r>
    </w:p>
    <w:p w14:paraId="45A35A69">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（3）单价金额小数点有明显错位的，应以总价为准，并修改单价；</w:t>
      </w:r>
    </w:p>
    <w:p w14:paraId="465675A7">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7AE40247">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上述顺序修正。修正后的价格若高于磋商报价，则成交价以磋商报价为准，评审价以修正后的价格为准；修正后的价格若低于磋商报价，则成交价以修正后价格为准，评审价以磋商报价为准。如供应商不接受按以上规则确定的评审价和成交价，则其报价将被拒绝。</w:t>
      </w:r>
    </w:p>
    <w:p w14:paraId="4606162D">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0E4B8A3">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核心产品提供相同品牌产品且通过资格性审查、符合性审查的不同供应商参加同一标项磋商的，按一家供应商计算，评审后评审得分最高的同品牌供应商获得成交候选供应商推荐资格；评审得分相同的，由磋商小组采取随机抽取方式确定，其他同品牌供应商不作为成交候选供应商。</w:t>
      </w:r>
    </w:p>
    <w:p w14:paraId="6785C33E">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非单一产品采购项目，多家供应商提供的核心产品品牌相同的，按上述规定处理。</w:t>
      </w:r>
    </w:p>
    <w:p w14:paraId="38497F83">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6、参加采购响应的供应商中，有两家或两家以上供应商的单位负责人为同一人或者存在直接控股、管理关系的，应当按一个供应商认定。评审时，取</w:t>
      </w:r>
      <w:r>
        <w:rPr>
          <w:rFonts w:hint="eastAsia" w:ascii="宋体" w:hAnsi="宋体" w:eastAsia="宋体" w:cs="宋体"/>
          <w:color w:val="auto"/>
          <w:kern w:val="0"/>
          <w:sz w:val="24"/>
          <w:szCs w:val="24"/>
          <w:highlight w:val="none"/>
        </w:rPr>
        <w:t>磋商响应文件评审有效</w:t>
      </w:r>
      <w:r>
        <w:rPr>
          <w:rFonts w:hint="eastAsia" w:ascii="宋体" w:hAnsi="宋体" w:eastAsia="宋体" w:cs="宋体"/>
          <w:color w:val="auto"/>
          <w:sz w:val="24"/>
          <w:szCs w:val="24"/>
          <w:highlight w:val="none"/>
        </w:rPr>
        <w:t>的报价最低一家为有效供应商；当报价相同时，则以技术分最优一家为有效供应商；均相同时，由磋商小组集体决定，并以书面记录磋商小组的决定理由。</w:t>
      </w:r>
    </w:p>
    <w:p w14:paraId="6E5CDF6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7、特别说明：</w:t>
      </w:r>
      <w:r>
        <w:rPr>
          <w:rFonts w:hint="eastAsia" w:ascii="宋体" w:hAnsi="宋体" w:eastAsia="宋体" w:cs="宋体"/>
          <w:color w:val="auto"/>
          <w:kern w:val="0"/>
          <w:sz w:val="24"/>
          <w:szCs w:val="24"/>
          <w:highlight w:val="none"/>
        </w:rPr>
        <w:t>政府采购云平台</w:t>
      </w:r>
      <w:r>
        <w:rPr>
          <w:rFonts w:hint="eastAsia" w:ascii="宋体" w:hAnsi="宋体" w:eastAsia="宋体" w:cs="宋体"/>
          <w:color w:val="auto"/>
          <w:sz w:val="24"/>
          <w:szCs w:val="24"/>
          <w:highlight w:val="none"/>
        </w:rPr>
        <w:t>如对电子化磋商及评审程序有调整的，按调整后的程序操作。</w:t>
      </w:r>
    </w:p>
    <w:p w14:paraId="19C35A94">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本项目原则上采用政采云电子磋商及评审程序，但有下情形之一的，按以下情况处理：</w:t>
      </w:r>
    </w:p>
    <w:p w14:paraId="00A21449">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（1）若供应商在规定时间内无法解密或解密失败，代理机构将开启上述供应商递交的</w:t>
      </w:r>
      <w:r>
        <w:rPr>
          <w:rFonts w:hint="eastAsia" w:ascii="宋体" w:hAnsi="宋体" w:eastAsia="宋体" w:cs="宋体"/>
          <w:color w:val="auto"/>
          <w:kern w:val="0"/>
          <w:sz w:val="24"/>
          <w:szCs w:val="24"/>
          <w:highlight w:val="none"/>
        </w:rPr>
        <w:t>以U盘存储的备份磋商响应文件</w:t>
      </w:r>
      <w:r>
        <w:rPr>
          <w:rFonts w:hint="eastAsia" w:ascii="宋体" w:hAnsi="宋体" w:eastAsia="宋体" w:cs="宋体"/>
          <w:color w:val="auto"/>
          <w:sz w:val="24"/>
          <w:szCs w:val="24"/>
          <w:highlight w:val="none"/>
        </w:rPr>
        <w:t>，上传至政采云平台项目采购模块，以完成磋商，电子磋商响应文件自动失效。</w:t>
      </w:r>
    </w:p>
    <w:p w14:paraId="4A12ECA0">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（2）采购过程中出现以下情形，导致电子交易平台无法正常运行，或者无法保证电子交易的公平、公正和安全时，采购人（或代理机构）可中止电子交易活动：</w:t>
      </w:r>
    </w:p>
    <w:p w14:paraId="521AC241">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①电子交易平台发生故障而无法登录访问的；</w:t>
      </w:r>
    </w:p>
    <w:p w14:paraId="2191BA78">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②电子交易平台应用或数据库出现错误，不能进行正常操作的；</w:t>
      </w:r>
    </w:p>
    <w:p w14:paraId="67EF1443">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③电子交易平台发现严重安全漏洞，有潜在泄密危险的；</w:t>
      </w:r>
    </w:p>
    <w:p w14:paraId="6B4977F1">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④病毒发作导致不能进行正常操作的；</w:t>
      </w:r>
    </w:p>
    <w:p w14:paraId="1A3D605E">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⑤其他无法保证电子交易的公平、公正和安全的情况。</w:t>
      </w:r>
    </w:p>
    <w:p w14:paraId="3DEFA1C3">
      <w:pPr>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出现前款规定情形，不影响采购公平、公正性的，采购人（或代理机构）可以待上述情形消除后继续组织电子交易活动。</w:t>
      </w:r>
    </w:p>
    <w:p w14:paraId="57C8C43F">
      <w:pPr>
        <w:pageBreakBefore/>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附表1：</w:t>
      </w:r>
    </w:p>
    <w:p w14:paraId="2A293381">
      <w:pPr>
        <w:widowControl/>
        <w:autoSpaceDN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资格审查表</w:t>
      </w:r>
    </w:p>
    <w:tbl>
      <w:tblPr>
        <w:tblStyle w:val="26"/>
        <w:tblW w:w="946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4182"/>
        <w:gridCol w:w="4560"/>
      </w:tblGrid>
      <w:tr w14:paraId="3A86D2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3F4E6A0">
            <w:pPr>
              <w:autoSpaceDN w:val="0"/>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4182" w:type="dxa"/>
            <w:tcBorders>
              <w:top w:val="single" w:color="auto" w:sz="4" w:space="0"/>
              <w:left w:val="single" w:color="auto" w:sz="4" w:space="0"/>
              <w:bottom w:val="single" w:color="auto" w:sz="4" w:space="0"/>
              <w:right w:val="single" w:color="auto" w:sz="4" w:space="0"/>
            </w:tcBorders>
            <w:vAlign w:val="center"/>
          </w:tcPr>
          <w:p w14:paraId="09C0B253">
            <w:pPr>
              <w:autoSpaceDN w:val="0"/>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要求说明</w:t>
            </w:r>
          </w:p>
        </w:tc>
        <w:tc>
          <w:tcPr>
            <w:tcW w:w="4560" w:type="dxa"/>
            <w:tcBorders>
              <w:top w:val="single" w:color="auto" w:sz="4" w:space="0"/>
              <w:left w:val="single" w:color="auto" w:sz="4" w:space="0"/>
              <w:bottom w:val="single" w:color="auto" w:sz="4" w:space="0"/>
              <w:right w:val="single" w:color="auto" w:sz="4" w:space="0"/>
            </w:tcBorders>
            <w:vAlign w:val="center"/>
          </w:tcPr>
          <w:p w14:paraId="253083A3">
            <w:pPr>
              <w:autoSpaceDN w:val="0"/>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审查要求</w:t>
            </w:r>
          </w:p>
        </w:tc>
      </w:tr>
      <w:tr w14:paraId="200859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4328E27">
            <w:pPr>
              <w:autoSpaceDN w:val="0"/>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82" w:type="dxa"/>
            <w:tcBorders>
              <w:top w:val="single" w:color="auto" w:sz="4" w:space="0"/>
              <w:left w:val="single" w:color="auto" w:sz="4" w:space="0"/>
              <w:bottom w:val="single" w:color="auto" w:sz="4" w:space="0"/>
              <w:right w:val="single" w:color="auto" w:sz="4" w:space="0"/>
            </w:tcBorders>
            <w:vAlign w:val="center"/>
          </w:tcPr>
          <w:p w14:paraId="0F51C09C">
            <w:pPr>
              <w:autoSpaceDN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4560" w:type="dxa"/>
            <w:tcBorders>
              <w:top w:val="single" w:color="auto" w:sz="4" w:space="0"/>
              <w:left w:val="single" w:color="auto" w:sz="4" w:space="0"/>
              <w:bottom w:val="single" w:color="auto" w:sz="4" w:space="0"/>
              <w:right w:val="single" w:color="auto" w:sz="4" w:space="0"/>
            </w:tcBorders>
            <w:vAlign w:val="center"/>
          </w:tcPr>
          <w:p w14:paraId="4E7D048A">
            <w:pPr>
              <w:autoSpaceDN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A1、关于资格的承诺函（格式见附件）；</w:t>
            </w:r>
          </w:p>
          <w:p w14:paraId="2B8F201F">
            <w:pPr>
              <w:autoSpaceDN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A2、营业执照副本（或事业法人登记证副本或其他登记证明材料）扫描件加盖供应商公章（供应商如果有名称变更的，应提供由行政主管部门出具的变更证明文件扫描件加盖供应商公章）；</w:t>
            </w:r>
          </w:p>
        </w:tc>
      </w:tr>
      <w:tr w14:paraId="07F043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64241C9">
            <w:pPr>
              <w:autoSpaceDN w:val="0"/>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182" w:type="dxa"/>
            <w:tcBorders>
              <w:top w:val="single" w:color="auto" w:sz="4" w:space="0"/>
              <w:left w:val="single" w:color="auto" w:sz="4" w:space="0"/>
              <w:bottom w:val="single" w:color="auto" w:sz="4" w:space="0"/>
              <w:right w:val="single" w:color="auto" w:sz="4" w:space="0"/>
            </w:tcBorders>
            <w:vAlign w:val="center"/>
          </w:tcPr>
          <w:p w14:paraId="56B89382">
            <w:pPr>
              <w:autoSpaceDN w:val="0"/>
              <w:spacing w:line="44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本项目接受</w:t>
            </w:r>
            <w:bookmarkStart w:id="45" w:name="_GoBack"/>
            <w:bookmarkEnd w:id="45"/>
            <w:r>
              <w:rPr>
                <w:rFonts w:hint="eastAsia" w:ascii="宋体" w:hAnsi="宋体" w:eastAsia="宋体" w:cs="宋体"/>
                <w:color w:val="auto"/>
                <w:sz w:val="24"/>
                <w:szCs w:val="24"/>
                <w:highlight w:val="none"/>
                <w:lang w:eastAsia="zh-CN"/>
              </w:rPr>
              <w:t>联合体投标。</w:t>
            </w:r>
          </w:p>
        </w:tc>
        <w:tc>
          <w:tcPr>
            <w:tcW w:w="4560" w:type="dxa"/>
            <w:tcBorders>
              <w:top w:val="single" w:color="auto" w:sz="4" w:space="0"/>
              <w:left w:val="single" w:color="auto" w:sz="4" w:space="0"/>
              <w:bottom w:val="single" w:color="auto" w:sz="4" w:space="0"/>
              <w:right w:val="single" w:color="auto" w:sz="4" w:space="0"/>
            </w:tcBorders>
            <w:vAlign w:val="center"/>
          </w:tcPr>
          <w:p w14:paraId="0CE3A7E7">
            <w:pPr>
              <w:autoSpaceDN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rPr>
              <w:t>以联合体形式投标的，提供联合协议(</w:t>
            </w:r>
            <w:r>
              <w:rPr>
                <w:rFonts w:hint="eastAsia" w:ascii="宋体" w:hAnsi="宋体" w:eastAsia="宋体" w:cs="宋体"/>
                <w:color w:val="auto"/>
                <w:sz w:val="24"/>
                <w:szCs w:val="24"/>
                <w:highlight w:val="none"/>
                <w:shd w:val="clear" w:color="auto" w:fill="FFFFFF"/>
                <w:lang w:eastAsia="zh-CN"/>
              </w:rPr>
              <w:t>供应商</w:t>
            </w:r>
            <w:r>
              <w:rPr>
                <w:rFonts w:hint="eastAsia" w:ascii="宋体" w:hAnsi="宋体" w:eastAsia="宋体" w:cs="宋体"/>
                <w:color w:val="auto"/>
                <w:sz w:val="24"/>
                <w:szCs w:val="24"/>
                <w:highlight w:val="none"/>
                <w:shd w:val="clear" w:color="auto" w:fill="FFFFFF"/>
              </w:rPr>
              <w:t>不以联合体形式投标的，则不需要提供)</w:t>
            </w:r>
          </w:p>
        </w:tc>
      </w:tr>
      <w:tr w14:paraId="62AEC2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8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DB9F83A">
            <w:pPr>
              <w:autoSpaceDN w:val="0"/>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182" w:type="dxa"/>
            <w:tcBorders>
              <w:top w:val="single" w:color="auto" w:sz="4" w:space="0"/>
              <w:left w:val="single" w:color="auto" w:sz="4" w:space="0"/>
              <w:bottom w:val="single" w:color="auto" w:sz="4" w:space="0"/>
              <w:right w:val="single" w:color="auto" w:sz="4" w:space="0"/>
            </w:tcBorders>
            <w:vAlign w:val="center"/>
          </w:tcPr>
          <w:p w14:paraId="4DA1C531">
            <w:pPr>
              <w:autoSpaceDN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本项目不接受分包。</w:t>
            </w:r>
          </w:p>
        </w:tc>
        <w:tc>
          <w:tcPr>
            <w:tcW w:w="4560" w:type="dxa"/>
            <w:tcBorders>
              <w:top w:val="single" w:color="auto" w:sz="4" w:space="0"/>
              <w:left w:val="single" w:color="auto" w:sz="4" w:space="0"/>
              <w:bottom w:val="single" w:color="auto" w:sz="4" w:space="0"/>
              <w:right w:val="single" w:color="auto" w:sz="4" w:space="0"/>
            </w:tcBorders>
            <w:vAlign w:val="center"/>
          </w:tcPr>
          <w:p w14:paraId="781962DA">
            <w:pPr>
              <w:autoSpaceDN w:val="0"/>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027A27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9" w:hRule="atLeast"/>
          <w:jc w:val="center"/>
        </w:trPr>
        <w:tc>
          <w:tcPr>
            <w:tcW w:w="4902" w:type="dxa"/>
            <w:gridSpan w:val="2"/>
            <w:tcBorders>
              <w:top w:val="single" w:color="auto" w:sz="4" w:space="0"/>
              <w:left w:val="single" w:color="auto" w:sz="4" w:space="0"/>
              <w:bottom w:val="single" w:color="auto" w:sz="4" w:space="0"/>
              <w:right w:val="single" w:color="auto" w:sz="4" w:space="0"/>
            </w:tcBorders>
            <w:vAlign w:val="center"/>
          </w:tcPr>
          <w:p w14:paraId="38555576">
            <w:pPr>
              <w:autoSpaceDN w:val="0"/>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资格性审查结论</w:t>
            </w:r>
          </w:p>
        </w:tc>
        <w:tc>
          <w:tcPr>
            <w:tcW w:w="4560" w:type="dxa"/>
            <w:tcBorders>
              <w:top w:val="single" w:color="auto" w:sz="4" w:space="0"/>
              <w:left w:val="single" w:color="auto" w:sz="4" w:space="0"/>
              <w:bottom w:val="single" w:color="auto" w:sz="4" w:space="0"/>
              <w:right w:val="single" w:color="auto" w:sz="4" w:space="0"/>
            </w:tcBorders>
            <w:vAlign w:val="center"/>
          </w:tcPr>
          <w:p w14:paraId="7F3A785A">
            <w:pPr>
              <w:autoSpaceDN w:val="0"/>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4401623C">
      <w:pPr>
        <w:autoSpaceDN w:val="0"/>
        <w:spacing w:line="48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注：1、上述资料未按磋商文件要求附入磋商响应文件中的，资格审查不合格。</w:t>
      </w:r>
    </w:p>
    <w:p w14:paraId="23C7A059">
      <w:pPr>
        <w:autoSpaceDN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2、上述审查项目中，任意一项不符合的，资格审查不合格。</w:t>
      </w:r>
    </w:p>
    <w:p w14:paraId="44D70254">
      <w:pPr>
        <w:autoSpaceDN w:val="0"/>
        <w:spacing w:line="48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资格审查小组将于磋商当天通过“信用中国”网站查询供应商失信被执行人、重大税收违法失信主体信用记录，通过中国政府采购网查询供应商政府采购严重违法失信行为信用记录。若供应商被列入失信被执行人、重大税收违法失信主体、政府采购严重违法失信行为记录名单，其资格审查为不合格，其报价将被认定为无效。若在磋商当天因不可抗力事件导致无法查询且一时无法恢复查询的，可在成交结果公告前对成交候选供应商进行事后查询。成交候选供应商被列入失信被执行人、重大税收违法失信主体、政府采购严重违法失信行为记录名单的，采购人将依法取消其成交资格。</w:t>
      </w:r>
    </w:p>
    <w:p w14:paraId="7015EB59">
      <w:pPr>
        <w:autoSpaceDE w:val="0"/>
        <w:autoSpaceDN w:val="0"/>
        <w:adjustRightInd w:val="0"/>
        <w:spacing w:line="480" w:lineRule="exact"/>
        <w:ind w:firstLine="360" w:firstLineChars="150"/>
        <w:jc w:val="left"/>
        <w:rPr>
          <w:rFonts w:hint="eastAsia" w:ascii="宋体" w:hAnsi="宋体" w:eastAsia="宋体" w:cs="宋体"/>
          <w:color w:val="auto"/>
          <w:kern w:val="0"/>
          <w:sz w:val="24"/>
          <w:szCs w:val="24"/>
          <w:highlight w:val="none"/>
        </w:rPr>
      </w:pPr>
    </w:p>
    <w:p w14:paraId="5F554757">
      <w:pPr>
        <w:autoSpaceDE w:val="0"/>
        <w:autoSpaceDN w:val="0"/>
        <w:adjustRightInd w:val="0"/>
        <w:spacing w:line="360" w:lineRule="auto"/>
        <w:jc w:val="left"/>
        <w:rPr>
          <w:rFonts w:hint="eastAsia" w:ascii="宋体" w:hAnsi="宋体" w:eastAsia="宋体" w:cs="宋体"/>
          <w:color w:val="auto"/>
          <w:kern w:val="0"/>
          <w:sz w:val="24"/>
          <w:szCs w:val="24"/>
          <w:highlight w:val="none"/>
        </w:rPr>
      </w:pPr>
    </w:p>
    <w:p w14:paraId="058FE863">
      <w:pPr>
        <w:pageBreakBefore/>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附表2：</w:t>
      </w:r>
    </w:p>
    <w:p w14:paraId="2CD43ED2">
      <w:pPr>
        <w:widowControl/>
        <w:autoSpaceDN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符合性审查表</w:t>
      </w:r>
    </w:p>
    <w:tbl>
      <w:tblPr>
        <w:tblStyle w:val="26"/>
        <w:tblW w:w="904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2373"/>
        <w:gridCol w:w="5954"/>
      </w:tblGrid>
      <w:tr w14:paraId="4AF168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2" w:hRule="atLeast"/>
          <w:tblHeader/>
          <w:jc w:val="center"/>
        </w:trPr>
        <w:tc>
          <w:tcPr>
            <w:tcW w:w="720" w:type="dxa"/>
            <w:tcBorders>
              <w:top w:val="single" w:color="auto" w:sz="4" w:space="0"/>
              <w:left w:val="single" w:color="auto" w:sz="4" w:space="0"/>
              <w:bottom w:val="single" w:color="auto" w:sz="4" w:space="0"/>
              <w:right w:val="single" w:color="auto" w:sz="4" w:space="0"/>
            </w:tcBorders>
          </w:tcPr>
          <w:p w14:paraId="70D814B9">
            <w:pPr>
              <w:keepNext w:val="0"/>
              <w:keepLines w:val="0"/>
              <w:pageBreakBefore w:val="0"/>
              <w:widowControl w:val="0"/>
              <w:kinsoku/>
              <w:wordWrap/>
              <w:overflowPunct/>
              <w:topLinePunct w:val="0"/>
              <w:autoSpaceDE/>
              <w:autoSpaceDN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2373" w:type="dxa"/>
            <w:tcBorders>
              <w:top w:val="single" w:color="auto" w:sz="4" w:space="0"/>
              <w:left w:val="single" w:color="auto" w:sz="4" w:space="0"/>
              <w:bottom w:val="single" w:color="auto" w:sz="4" w:space="0"/>
              <w:right w:val="single" w:color="auto" w:sz="4" w:space="0"/>
            </w:tcBorders>
          </w:tcPr>
          <w:p w14:paraId="706C30B6">
            <w:pPr>
              <w:keepNext w:val="0"/>
              <w:keepLines w:val="0"/>
              <w:pageBreakBefore w:val="0"/>
              <w:widowControl w:val="0"/>
              <w:kinsoku/>
              <w:wordWrap/>
              <w:overflowPunct/>
              <w:topLinePunct w:val="0"/>
              <w:autoSpaceDE/>
              <w:autoSpaceDN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审查项目</w:t>
            </w:r>
          </w:p>
        </w:tc>
        <w:tc>
          <w:tcPr>
            <w:tcW w:w="5954" w:type="dxa"/>
            <w:tcBorders>
              <w:top w:val="single" w:color="auto" w:sz="4" w:space="0"/>
              <w:left w:val="single" w:color="auto" w:sz="4" w:space="0"/>
              <w:bottom w:val="single" w:color="auto" w:sz="4" w:space="0"/>
              <w:right w:val="single" w:color="auto" w:sz="4" w:space="0"/>
            </w:tcBorders>
          </w:tcPr>
          <w:p w14:paraId="3C09A2A2">
            <w:pPr>
              <w:keepNext w:val="0"/>
              <w:keepLines w:val="0"/>
              <w:pageBreakBefore w:val="0"/>
              <w:widowControl w:val="0"/>
              <w:kinsoku/>
              <w:wordWrap/>
              <w:overflowPunct/>
              <w:topLinePunct w:val="0"/>
              <w:autoSpaceDE/>
              <w:autoSpaceDN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要求</w:t>
            </w:r>
          </w:p>
        </w:tc>
      </w:tr>
      <w:tr w14:paraId="2689FD1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CA8AC5E">
            <w:pPr>
              <w:keepNext w:val="0"/>
              <w:keepLines w:val="0"/>
              <w:pageBreakBefore w:val="0"/>
              <w:widowControl w:val="0"/>
              <w:kinsoku/>
              <w:wordWrap/>
              <w:overflowPunct/>
              <w:topLinePunct w:val="0"/>
              <w:autoSpaceDE/>
              <w:autoSpaceDN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73" w:type="dxa"/>
            <w:tcBorders>
              <w:top w:val="single" w:color="auto" w:sz="4" w:space="0"/>
              <w:left w:val="single" w:color="auto" w:sz="4" w:space="0"/>
              <w:bottom w:val="single" w:color="auto" w:sz="4" w:space="0"/>
              <w:right w:val="single" w:color="auto" w:sz="4" w:space="0"/>
            </w:tcBorders>
            <w:vAlign w:val="center"/>
          </w:tcPr>
          <w:p w14:paraId="2DBB4B3C">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磋商有效期：符合第二章第六条的要求。</w:t>
            </w:r>
          </w:p>
        </w:tc>
        <w:tc>
          <w:tcPr>
            <w:tcW w:w="5954" w:type="dxa"/>
            <w:tcBorders>
              <w:top w:val="single" w:color="auto" w:sz="4" w:space="0"/>
              <w:left w:val="single" w:color="auto" w:sz="4" w:space="0"/>
              <w:bottom w:val="single" w:color="auto" w:sz="4" w:space="0"/>
              <w:right w:val="single" w:color="auto" w:sz="4" w:space="0"/>
            </w:tcBorders>
            <w:vAlign w:val="center"/>
          </w:tcPr>
          <w:p w14:paraId="62C69A28">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提供“磋商函”。</w:t>
            </w:r>
          </w:p>
        </w:tc>
      </w:tr>
      <w:tr w14:paraId="16D609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E9EB997">
            <w:pPr>
              <w:keepNext w:val="0"/>
              <w:keepLines w:val="0"/>
              <w:pageBreakBefore w:val="0"/>
              <w:widowControl w:val="0"/>
              <w:kinsoku/>
              <w:wordWrap/>
              <w:overflowPunct/>
              <w:topLinePunct w:val="0"/>
              <w:autoSpaceDE/>
              <w:autoSpaceDN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73" w:type="dxa"/>
            <w:tcBorders>
              <w:top w:val="single" w:color="auto" w:sz="4" w:space="0"/>
              <w:left w:val="single" w:color="auto" w:sz="4" w:space="0"/>
              <w:bottom w:val="single" w:color="auto" w:sz="4" w:space="0"/>
              <w:right w:val="single" w:color="auto" w:sz="4" w:space="0"/>
            </w:tcBorders>
            <w:vAlign w:val="center"/>
          </w:tcPr>
          <w:p w14:paraId="5B0F5AB2">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法定代表人身份证明、法定代表人授权书。</w:t>
            </w:r>
          </w:p>
        </w:tc>
        <w:tc>
          <w:tcPr>
            <w:tcW w:w="5954" w:type="dxa"/>
            <w:tcBorders>
              <w:top w:val="single" w:color="auto" w:sz="4" w:space="0"/>
              <w:left w:val="single" w:color="auto" w:sz="4" w:space="0"/>
              <w:bottom w:val="single" w:color="auto" w:sz="4" w:space="0"/>
              <w:right w:val="single" w:color="auto" w:sz="4" w:space="0"/>
            </w:tcBorders>
            <w:vAlign w:val="center"/>
          </w:tcPr>
          <w:p w14:paraId="4AB1E38E">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（1）磋商响应文件由法定代表人签字的，提供“法定代表人身份证明”。</w:t>
            </w:r>
          </w:p>
          <w:p w14:paraId="58F5EB38">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（2）磋商响应文件由授权代表签字的，提供“法定代表人身份证明”和“法定代表人授权书”。</w:t>
            </w:r>
          </w:p>
        </w:tc>
      </w:tr>
      <w:tr w14:paraId="20ABDB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5320443">
            <w:pPr>
              <w:keepNext w:val="0"/>
              <w:keepLines w:val="0"/>
              <w:pageBreakBefore w:val="0"/>
              <w:widowControl w:val="0"/>
              <w:kinsoku/>
              <w:wordWrap/>
              <w:overflowPunct/>
              <w:topLinePunct w:val="0"/>
              <w:autoSpaceDE/>
              <w:autoSpaceDN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73" w:type="dxa"/>
            <w:tcBorders>
              <w:top w:val="single" w:color="auto" w:sz="4" w:space="0"/>
              <w:left w:val="single" w:color="auto" w:sz="4" w:space="0"/>
              <w:bottom w:val="single" w:color="auto" w:sz="4" w:space="0"/>
              <w:right w:val="single" w:color="auto" w:sz="4" w:space="0"/>
            </w:tcBorders>
            <w:vAlign w:val="center"/>
          </w:tcPr>
          <w:p w14:paraId="0B387EA1">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磋商响应文件的签署盖章</w:t>
            </w:r>
          </w:p>
        </w:tc>
        <w:tc>
          <w:tcPr>
            <w:tcW w:w="5954" w:type="dxa"/>
            <w:tcBorders>
              <w:top w:val="single" w:color="auto" w:sz="4" w:space="0"/>
              <w:left w:val="single" w:color="auto" w:sz="4" w:space="0"/>
              <w:bottom w:val="single" w:color="auto" w:sz="4" w:space="0"/>
              <w:right w:val="single" w:color="auto" w:sz="4" w:space="0"/>
            </w:tcBorders>
            <w:vAlign w:val="center"/>
          </w:tcPr>
          <w:p w14:paraId="185B7EF2">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符合第二章“磋商须知”第九条的要求</w:t>
            </w:r>
          </w:p>
        </w:tc>
      </w:tr>
      <w:tr w14:paraId="100977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14:paraId="7757D353">
            <w:pPr>
              <w:keepNext w:val="0"/>
              <w:keepLines w:val="0"/>
              <w:pageBreakBefore w:val="0"/>
              <w:widowControl w:val="0"/>
              <w:kinsoku/>
              <w:wordWrap/>
              <w:overflowPunct/>
              <w:topLinePunct w:val="0"/>
              <w:autoSpaceDE/>
              <w:autoSpaceDN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73" w:type="dxa"/>
            <w:vMerge w:val="restart"/>
            <w:tcBorders>
              <w:top w:val="single" w:color="auto" w:sz="4" w:space="0"/>
              <w:left w:val="single" w:color="auto" w:sz="4" w:space="0"/>
              <w:bottom w:val="single" w:color="auto" w:sz="4" w:space="0"/>
              <w:right w:val="single" w:color="auto" w:sz="4" w:space="0"/>
            </w:tcBorders>
            <w:vAlign w:val="center"/>
          </w:tcPr>
          <w:p w14:paraId="2BB241B0">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954" w:type="dxa"/>
            <w:tcBorders>
              <w:top w:val="single" w:color="auto" w:sz="4" w:space="0"/>
              <w:left w:val="single" w:color="auto" w:sz="4" w:space="0"/>
              <w:bottom w:val="single" w:color="auto" w:sz="4" w:space="0"/>
              <w:right w:val="single" w:color="auto" w:sz="4" w:space="0"/>
            </w:tcBorders>
            <w:vAlign w:val="center"/>
          </w:tcPr>
          <w:p w14:paraId="56A20F85">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对同个子包不允许提供两个磋商方案</w:t>
            </w:r>
          </w:p>
        </w:tc>
      </w:tr>
      <w:tr w14:paraId="3DF175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449B7A3E">
            <w:pPr>
              <w:keepNext w:val="0"/>
              <w:keepLines w:val="0"/>
              <w:pageBreakBefore w:val="0"/>
              <w:widowControl w:val="0"/>
              <w:kinsoku/>
              <w:wordWrap/>
              <w:overflowPunct/>
              <w:topLinePunct w:val="0"/>
              <w:autoSpaceDE/>
              <w:bidi w:val="0"/>
              <w:adjustRightInd/>
              <w:snapToGrid/>
              <w:spacing w:line="312" w:lineRule="auto"/>
              <w:textAlignment w:val="auto"/>
              <w:rPr>
                <w:rFonts w:hint="eastAsia" w:ascii="宋体" w:hAnsi="宋体" w:eastAsia="宋体" w:cs="宋体"/>
                <w:color w:val="auto"/>
                <w:sz w:val="24"/>
                <w:szCs w:val="24"/>
                <w:highlight w:val="none"/>
              </w:rPr>
            </w:pPr>
          </w:p>
        </w:tc>
        <w:tc>
          <w:tcPr>
            <w:tcW w:w="2373" w:type="dxa"/>
            <w:vMerge w:val="continue"/>
            <w:tcBorders>
              <w:top w:val="single" w:color="auto" w:sz="4" w:space="0"/>
              <w:left w:val="single" w:color="auto" w:sz="4" w:space="0"/>
              <w:bottom w:val="single" w:color="auto" w:sz="4" w:space="0"/>
              <w:right w:val="single" w:color="auto" w:sz="4" w:space="0"/>
            </w:tcBorders>
            <w:vAlign w:val="center"/>
          </w:tcPr>
          <w:p w14:paraId="67236650">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p>
        </w:tc>
        <w:tc>
          <w:tcPr>
            <w:tcW w:w="5954" w:type="dxa"/>
            <w:tcBorders>
              <w:top w:val="single" w:color="auto" w:sz="4" w:space="0"/>
              <w:left w:val="single" w:color="auto" w:sz="4" w:space="0"/>
              <w:bottom w:val="single" w:color="auto" w:sz="4" w:space="0"/>
              <w:right w:val="single" w:color="auto" w:sz="4" w:space="0"/>
            </w:tcBorders>
            <w:vAlign w:val="center"/>
          </w:tcPr>
          <w:p w14:paraId="56D99866">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不允许出现与磋商文件有重大偏离的磋商响应文件</w:t>
            </w:r>
          </w:p>
        </w:tc>
      </w:tr>
      <w:tr w14:paraId="0B27EB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13B71A55">
            <w:pPr>
              <w:keepNext w:val="0"/>
              <w:keepLines w:val="0"/>
              <w:pageBreakBefore w:val="0"/>
              <w:widowControl w:val="0"/>
              <w:kinsoku/>
              <w:wordWrap/>
              <w:overflowPunct/>
              <w:topLinePunct w:val="0"/>
              <w:autoSpaceDE/>
              <w:bidi w:val="0"/>
              <w:adjustRightInd/>
              <w:snapToGrid/>
              <w:spacing w:line="312" w:lineRule="auto"/>
              <w:textAlignment w:val="auto"/>
              <w:rPr>
                <w:rFonts w:hint="eastAsia" w:ascii="宋体" w:hAnsi="宋体" w:eastAsia="宋体" w:cs="宋体"/>
                <w:color w:val="auto"/>
                <w:sz w:val="24"/>
                <w:szCs w:val="24"/>
                <w:highlight w:val="none"/>
              </w:rPr>
            </w:pPr>
          </w:p>
        </w:tc>
        <w:tc>
          <w:tcPr>
            <w:tcW w:w="2373" w:type="dxa"/>
            <w:vMerge w:val="continue"/>
            <w:tcBorders>
              <w:top w:val="single" w:color="auto" w:sz="4" w:space="0"/>
              <w:left w:val="single" w:color="auto" w:sz="4" w:space="0"/>
              <w:bottom w:val="single" w:color="auto" w:sz="4" w:space="0"/>
              <w:right w:val="single" w:color="auto" w:sz="4" w:space="0"/>
            </w:tcBorders>
            <w:vAlign w:val="center"/>
          </w:tcPr>
          <w:p w14:paraId="1EACD7A0">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p>
        </w:tc>
        <w:tc>
          <w:tcPr>
            <w:tcW w:w="5954" w:type="dxa"/>
            <w:tcBorders>
              <w:top w:val="single" w:color="auto" w:sz="4" w:space="0"/>
              <w:left w:val="single" w:color="auto" w:sz="4" w:space="0"/>
              <w:bottom w:val="single" w:color="auto" w:sz="4" w:space="0"/>
              <w:right w:val="single" w:color="auto" w:sz="4" w:space="0"/>
            </w:tcBorders>
            <w:vAlign w:val="center"/>
          </w:tcPr>
          <w:p w14:paraId="51667FC0">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供应商不得在磋商活动中提供任何虚假材料或从事其他违法活动的</w:t>
            </w:r>
          </w:p>
        </w:tc>
      </w:tr>
      <w:tr w14:paraId="719C4B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7BE3F3F3">
            <w:pPr>
              <w:keepNext w:val="0"/>
              <w:keepLines w:val="0"/>
              <w:pageBreakBefore w:val="0"/>
              <w:widowControl w:val="0"/>
              <w:kinsoku/>
              <w:wordWrap/>
              <w:overflowPunct/>
              <w:topLinePunct w:val="0"/>
              <w:autoSpaceDE/>
              <w:bidi w:val="0"/>
              <w:adjustRightInd/>
              <w:snapToGrid/>
              <w:spacing w:line="312" w:lineRule="auto"/>
              <w:textAlignment w:val="auto"/>
              <w:rPr>
                <w:rFonts w:hint="eastAsia" w:ascii="宋体" w:hAnsi="宋体" w:eastAsia="宋体" w:cs="宋体"/>
                <w:color w:val="auto"/>
                <w:sz w:val="24"/>
                <w:szCs w:val="24"/>
                <w:highlight w:val="none"/>
              </w:rPr>
            </w:pPr>
          </w:p>
        </w:tc>
        <w:tc>
          <w:tcPr>
            <w:tcW w:w="2373" w:type="dxa"/>
            <w:vMerge w:val="continue"/>
            <w:tcBorders>
              <w:top w:val="single" w:color="auto" w:sz="4" w:space="0"/>
              <w:left w:val="single" w:color="auto" w:sz="4" w:space="0"/>
              <w:bottom w:val="single" w:color="auto" w:sz="4" w:space="0"/>
              <w:right w:val="single" w:color="auto" w:sz="4" w:space="0"/>
            </w:tcBorders>
            <w:vAlign w:val="center"/>
          </w:tcPr>
          <w:p w14:paraId="7C8CDE6C">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p>
        </w:tc>
        <w:tc>
          <w:tcPr>
            <w:tcW w:w="5954" w:type="dxa"/>
            <w:tcBorders>
              <w:top w:val="single" w:color="auto" w:sz="4" w:space="0"/>
              <w:left w:val="single" w:color="auto" w:sz="4" w:space="0"/>
              <w:bottom w:val="single" w:color="auto" w:sz="4" w:space="0"/>
              <w:right w:val="single" w:color="auto" w:sz="4" w:space="0"/>
            </w:tcBorders>
            <w:vAlign w:val="center"/>
          </w:tcPr>
          <w:p w14:paraId="20F064DD">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参与同一个采购包（标段）的供应商存在下列情形之一且无法合理解释的，其投标（响应）文件无效：</w:t>
            </w:r>
          </w:p>
          <w:p w14:paraId="33663C3F">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①不同供应商的电子投标（响应）文件上传计算机的网卡MAC地址或硬盘序列号等硬件信息相同的；</w:t>
            </w:r>
          </w:p>
          <w:p w14:paraId="0E76B829">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②上传的电子投标（响应）文件若出现使用本项目其他投标（响应）供应商的数字证书加密的，或者加盖本项目其他投标（响应）供应商的电子印章的；</w:t>
            </w:r>
          </w:p>
          <w:p w14:paraId="1DD82817">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③不同供应商的投标（响应）文件的内容存在3处（含）以上错误一致的；</w:t>
            </w:r>
          </w:p>
          <w:p w14:paraId="4A2B0182">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④不同供应商联系人为同一人或不同联系人的联系电话一致的。</w:t>
            </w:r>
          </w:p>
        </w:tc>
      </w:tr>
      <w:tr w14:paraId="4A4447E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14:paraId="693B268D">
            <w:pPr>
              <w:keepNext w:val="0"/>
              <w:keepLines w:val="0"/>
              <w:pageBreakBefore w:val="0"/>
              <w:widowControl w:val="0"/>
              <w:kinsoku/>
              <w:wordWrap/>
              <w:overflowPunct/>
              <w:topLinePunct w:val="0"/>
              <w:autoSpaceDE/>
              <w:bidi w:val="0"/>
              <w:adjustRightInd/>
              <w:snapToGrid/>
              <w:spacing w:line="312" w:lineRule="auto"/>
              <w:textAlignment w:val="auto"/>
              <w:rPr>
                <w:rFonts w:hint="eastAsia" w:ascii="宋体" w:hAnsi="宋体" w:eastAsia="宋体" w:cs="宋体"/>
                <w:color w:val="auto"/>
                <w:sz w:val="24"/>
                <w:szCs w:val="24"/>
                <w:highlight w:val="none"/>
              </w:rPr>
            </w:pPr>
          </w:p>
        </w:tc>
        <w:tc>
          <w:tcPr>
            <w:tcW w:w="2373" w:type="dxa"/>
            <w:vMerge w:val="continue"/>
            <w:tcBorders>
              <w:top w:val="single" w:color="auto" w:sz="4" w:space="0"/>
              <w:left w:val="single" w:color="auto" w:sz="4" w:space="0"/>
              <w:bottom w:val="single" w:color="auto" w:sz="4" w:space="0"/>
              <w:right w:val="single" w:color="auto" w:sz="4" w:space="0"/>
            </w:tcBorders>
            <w:vAlign w:val="center"/>
          </w:tcPr>
          <w:p w14:paraId="452BD4DA">
            <w:pPr>
              <w:keepNext w:val="0"/>
              <w:keepLines w:val="0"/>
              <w:pageBreakBefore w:val="0"/>
              <w:widowControl w:val="0"/>
              <w:kinsoku/>
              <w:wordWrap/>
              <w:overflowPunct/>
              <w:topLinePunct w:val="0"/>
              <w:autoSpaceDE/>
              <w:bidi w:val="0"/>
              <w:adjustRightInd/>
              <w:snapToGrid/>
              <w:spacing w:line="312" w:lineRule="auto"/>
              <w:textAlignment w:val="auto"/>
              <w:rPr>
                <w:rFonts w:hint="eastAsia" w:ascii="宋体" w:hAnsi="宋体" w:eastAsia="宋体" w:cs="宋体"/>
                <w:color w:val="auto"/>
                <w:sz w:val="24"/>
                <w:szCs w:val="24"/>
                <w:highlight w:val="none"/>
              </w:rPr>
            </w:pPr>
          </w:p>
        </w:tc>
        <w:tc>
          <w:tcPr>
            <w:tcW w:w="5954" w:type="dxa"/>
            <w:tcBorders>
              <w:top w:val="single" w:color="auto" w:sz="4" w:space="0"/>
              <w:left w:val="single" w:color="auto" w:sz="4" w:space="0"/>
              <w:bottom w:val="single" w:color="auto" w:sz="4" w:space="0"/>
              <w:right w:val="single" w:color="auto" w:sz="4" w:space="0"/>
            </w:tcBorders>
            <w:vAlign w:val="center"/>
          </w:tcPr>
          <w:p w14:paraId="41D85A67">
            <w:pPr>
              <w:keepNext w:val="0"/>
              <w:keepLines w:val="0"/>
              <w:pageBreakBefore w:val="0"/>
              <w:widowControl w:val="0"/>
              <w:kinsoku/>
              <w:wordWrap/>
              <w:overflowPunct/>
              <w:topLinePunct w:val="0"/>
              <w:autoSpaceDE/>
              <w:autoSpaceDN w:val="0"/>
              <w:bidi w:val="0"/>
              <w:adjustRightInd/>
              <w:snapToGrid/>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符合法律、法规和磋商文件中规定的其他实质性要求（实质性要求磋商文件中“▲”标记）</w:t>
            </w:r>
          </w:p>
        </w:tc>
      </w:tr>
      <w:tr w14:paraId="275CAF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093" w:type="dxa"/>
            <w:gridSpan w:val="2"/>
            <w:tcBorders>
              <w:top w:val="single" w:color="auto" w:sz="4" w:space="0"/>
              <w:left w:val="single" w:color="auto" w:sz="4" w:space="0"/>
              <w:bottom w:val="single" w:color="auto" w:sz="4" w:space="0"/>
              <w:right w:val="single" w:color="auto" w:sz="4" w:space="0"/>
            </w:tcBorders>
            <w:vAlign w:val="center"/>
          </w:tcPr>
          <w:p w14:paraId="5A48452C">
            <w:pPr>
              <w:keepNext w:val="0"/>
              <w:keepLines w:val="0"/>
              <w:pageBreakBefore w:val="0"/>
              <w:widowControl w:val="0"/>
              <w:kinsoku/>
              <w:wordWrap/>
              <w:overflowPunct/>
              <w:topLinePunct w:val="0"/>
              <w:autoSpaceDE/>
              <w:autoSpaceDN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符合性审查结论</w:t>
            </w:r>
          </w:p>
        </w:tc>
        <w:tc>
          <w:tcPr>
            <w:tcW w:w="5954" w:type="dxa"/>
            <w:tcBorders>
              <w:top w:val="single" w:color="auto" w:sz="4" w:space="0"/>
              <w:left w:val="single" w:color="auto" w:sz="4" w:space="0"/>
              <w:bottom w:val="single" w:color="auto" w:sz="4" w:space="0"/>
              <w:right w:val="single" w:color="auto" w:sz="4" w:space="0"/>
            </w:tcBorders>
            <w:vAlign w:val="center"/>
          </w:tcPr>
          <w:p w14:paraId="44F6061B">
            <w:pPr>
              <w:keepNext w:val="0"/>
              <w:keepLines w:val="0"/>
              <w:pageBreakBefore w:val="0"/>
              <w:widowControl w:val="0"/>
              <w:kinsoku/>
              <w:wordWrap/>
              <w:overflowPunct/>
              <w:topLinePunct w:val="0"/>
              <w:autoSpaceDE/>
              <w:autoSpaceDN w:val="0"/>
              <w:bidi w:val="0"/>
              <w:adjustRightInd/>
              <w:snapToGrid/>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680BC9C5">
      <w:pPr>
        <w:autoSpaceDN w:val="0"/>
        <w:spacing w:line="48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注：1、上述资料未按磋商文件要求附入磋商响应文件中的，符合性审查不合格。</w:t>
      </w:r>
    </w:p>
    <w:p w14:paraId="021AAB52">
      <w:pPr>
        <w:autoSpaceDN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2、上述审查项目中，任意一项不符合的，符合性审查不合格。</w:t>
      </w:r>
    </w:p>
    <w:p w14:paraId="529ACF0D">
      <w:pPr>
        <w:autoSpaceDN w:val="0"/>
        <w:spacing w:line="48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3、上述审查项目中，第3项和第4项，无需在政采云中设置关联点。</w:t>
      </w:r>
    </w:p>
    <w:p w14:paraId="1692CECF">
      <w:pPr>
        <w:autoSpaceDE w:val="0"/>
        <w:autoSpaceDN w:val="0"/>
        <w:adjustRightInd w:val="0"/>
        <w:spacing w:line="480" w:lineRule="exact"/>
        <w:ind w:firstLine="361" w:firstLineChars="150"/>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br w:type="page"/>
      </w:r>
    </w:p>
    <w:p w14:paraId="0BAD839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附表3：</w:t>
      </w:r>
      <w:r>
        <w:rPr>
          <w:rFonts w:hint="eastAsia" w:ascii="宋体" w:hAnsi="宋体" w:eastAsia="宋体" w:cs="宋体"/>
          <w:b/>
          <w:color w:val="auto"/>
          <w:sz w:val="24"/>
          <w:szCs w:val="24"/>
          <w:highlight w:val="none"/>
        </w:rPr>
        <w:t>商务技术评分表（90分）</w:t>
      </w:r>
    </w:p>
    <w:tbl>
      <w:tblPr>
        <w:tblStyle w:val="27"/>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2"/>
        <w:gridCol w:w="921"/>
        <w:gridCol w:w="7340"/>
        <w:gridCol w:w="468"/>
      </w:tblGrid>
      <w:tr w14:paraId="0EF4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492" w:type="dxa"/>
            <w:shd w:val="clear" w:color="auto" w:fill="auto"/>
            <w:vAlign w:val="center"/>
          </w:tcPr>
          <w:p w14:paraId="4BF1EE9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921" w:type="dxa"/>
            <w:shd w:val="clear" w:color="auto" w:fill="auto"/>
            <w:vAlign w:val="center"/>
          </w:tcPr>
          <w:p w14:paraId="1518268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评审因素</w:t>
            </w:r>
          </w:p>
        </w:tc>
        <w:tc>
          <w:tcPr>
            <w:tcW w:w="7340" w:type="dxa"/>
            <w:shd w:val="clear" w:color="auto" w:fill="auto"/>
            <w:vAlign w:val="center"/>
          </w:tcPr>
          <w:p w14:paraId="53C8224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评标标准</w:t>
            </w:r>
          </w:p>
        </w:tc>
        <w:tc>
          <w:tcPr>
            <w:tcW w:w="468" w:type="dxa"/>
            <w:shd w:val="clear" w:color="auto" w:fill="auto"/>
            <w:vAlign w:val="center"/>
          </w:tcPr>
          <w:p w14:paraId="132BD39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权重</w:t>
            </w:r>
          </w:p>
        </w:tc>
      </w:tr>
      <w:tr w14:paraId="1AC4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3" w:hRule="atLeast"/>
          <w:jc w:val="center"/>
        </w:trPr>
        <w:tc>
          <w:tcPr>
            <w:tcW w:w="492" w:type="dxa"/>
            <w:shd w:val="clear" w:color="auto" w:fill="auto"/>
            <w:vAlign w:val="center"/>
          </w:tcPr>
          <w:p w14:paraId="5CF7233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21" w:type="dxa"/>
            <w:shd w:val="clear" w:color="auto" w:fill="auto"/>
            <w:vAlign w:val="center"/>
          </w:tcPr>
          <w:p w14:paraId="54AA393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相关业绩</w:t>
            </w:r>
          </w:p>
        </w:tc>
        <w:tc>
          <w:tcPr>
            <w:tcW w:w="7340" w:type="dxa"/>
            <w:shd w:val="clear" w:color="auto" w:fill="auto"/>
            <w:vAlign w:val="center"/>
          </w:tcPr>
          <w:p w14:paraId="35E16701">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自20</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年1月1日以来至投标截止日（以合同签订日期为准）承接过</w:t>
            </w:r>
            <w:r>
              <w:rPr>
                <w:rFonts w:hint="eastAsia" w:asciiTheme="minorEastAsia" w:hAnsiTheme="minorEastAsia" w:cstheme="minorEastAsia"/>
                <w:color w:val="auto"/>
                <w:sz w:val="24"/>
                <w:szCs w:val="24"/>
                <w:highlight w:val="none"/>
                <w:lang w:eastAsia="zh-CN"/>
              </w:rPr>
              <w:t>类似</w:t>
            </w:r>
            <w:r>
              <w:rPr>
                <w:rFonts w:hint="eastAsia" w:asciiTheme="minorEastAsia" w:hAnsiTheme="minorEastAsia" w:eastAsiaTheme="minorEastAsia" w:cstheme="minorEastAsia"/>
                <w:color w:val="auto"/>
                <w:sz w:val="24"/>
                <w:szCs w:val="24"/>
                <w:highlight w:val="none"/>
              </w:rPr>
              <w:t>开、闭幕式策划及执行服务业绩的，</w:t>
            </w:r>
            <w:r>
              <w:rPr>
                <w:rFonts w:hint="eastAsia" w:asciiTheme="minorEastAsia" w:hAnsiTheme="minorEastAsia" w:eastAsiaTheme="minorEastAsia" w:cstheme="minorEastAsia"/>
                <w:color w:val="auto"/>
                <w:sz w:val="24"/>
                <w:szCs w:val="24"/>
                <w:highlight w:val="none"/>
                <w:lang w:val="en-US" w:eastAsia="zh-CN"/>
              </w:rPr>
              <w:t>每个业绩得0.5分，</w:t>
            </w:r>
            <w:r>
              <w:rPr>
                <w:rFonts w:hint="eastAsia" w:asciiTheme="minorEastAsia" w:hAnsiTheme="minorEastAsia" w:eastAsiaTheme="minorEastAsia" w:cstheme="minorEastAsia"/>
                <w:color w:val="auto"/>
                <w:sz w:val="24"/>
                <w:szCs w:val="24"/>
                <w:highlight w:val="none"/>
              </w:rPr>
              <w:t>本项最高得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14:paraId="22D0F6E1">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注：提供</w:t>
            </w:r>
            <w:r>
              <w:rPr>
                <w:rFonts w:hint="eastAsia" w:asciiTheme="minorEastAsia" w:hAnsiTheme="minorEastAsia" w:eastAsiaTheme="minorEastAsia" w:cstheme="minorEastAsia"/>
                <w:b/>
                <w:bCs/>
                <w:color w:val="auto"/>
                <w:sz w:val="24"/>
                <w:szCs w:val="24"/>
                <w:highlight w:val="none"/>
                <w:lang w:eastAsia="zh-CN"/>
              </w:rPr>
              <w:t>合同扫描件</w:t>
            </w:r>
            <w:r>
              <w:rPr>
                <w:rFonts w:hint="eastAsia" w:asciiTheme="minorEastAsia" w:hAnsiTheme="minorEastAsia" w:eastAsiaTheme="minorEastAsia" w:cstheme="minorEastAsia"/>
                <w:b/>
                <w:bCs/>
                <w:color w:val="auto"/>
                <w:sz w:val="24"/>
                <w:szCs w:val="24"/>
                <w:highlight w:val="none"/>
              </w:rPr>
              <w:t>并加盖投标人公章佐证，如合同中无法体现业绩关键信息的，</w:t>
            </w:r>
            <w:r>
              <w:rPr>
                <w:rFonts w:hint="eastAsia" w:asciiTheme="minorEastAsia" w:hAnsiTheme="minorEastAsia" w:eastAsiaTheme="minorEastAsia" w:cstheme="minorEastAsia"/>
                <w:b/>
                <w:bCs/>
                <w:color w:val="auto"/>
                <w:sz w:val="24"/>
                <w:szCs w:val="24"/>
                <w:highlight w:val="none"/>
                <w:lang w:eastAsia="zh-CN"/>
              </w:rPr>
              <w:t>还需</w:t>
            </w:r>
            <w:r>
              <w:rPr>
                <w:rFonts w:hint="eastAsia" w:asciiTheme="minorEastAsia" w:hAnsiTheme="minorEastAsia" w:eastAsiaTheme="minorEastAsia" w:cstheme="minorEastAsia"/>
                <w:b/>
                <w:bCs/>
                <w:color w:val="auto"/>
                <w:sz w:val="24"/>
                <w:szCs w:val="24"/>
                <w:highlight w:val="none"/>
              </w:rPr>
              <w:t>提供主办单位出具的证明材料</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未提供或不满足不得分。</w:t>
            </w:r>
          </w:p>
        </w:tc>
        <w:tc>
          <w:tcPr>
            <w:tcW w:w="468" w:type="dxa"/>
            <w:shd w:val="clear" w:color="auto" w:fill="auto"/>
            <w:vAlign w:val="center"/>
          </w:tcPr>
          <w:p w14:paraId="5C918A0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r>
      <w:tr w14:paraId="29AD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2" w:type="dxa"/>
            <w:shd w:val="clear" w:color="auto" w:fill="auto"/>
            <w:vAlign w:val="center"/>
          </w:tcPr>
          <w:p w14:paraId="6180C3F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921" w:type="dxa"/>
            <w:shd w:val="clear" w:color="auto" w:fill="auto"/>
            <w:vAlign w:val="center"/>
          </w:tcPr>
          <w:p w14:paraId="7C8AFAB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管理体系证书</w:t>
            </w:r>
          </w:p>
        </w:tc>
        <w:tc>
          <w:tcPr>
            <w:tcW w:w="7340" w:type="dxa"/>
            <w:shd w:val="clear" w:color="auto" w:fill="auto"/>
            <w:vAlign w:val="center"/>
          </w:tcPr>
          <w:p w14:paraId="6C6ED613">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rPr>
              <w:t>投标人具有有效的ISO9001质量管理体系认证、</w:t>
            </w:r>
            <w:r>
              <w:rPr>
                <w:rFonts w:hint="eastAsia" w:asciiTheme="minorEastAsia" w:hAnsiTheme="minorEastAsia" w:eastAsiaTheme="minorEastAsia" w:cstheme="minorEastAsia"/>
                <w:strike w:val="0"/>
                <w:dstrike w:val="0"/>
                <w:color w:val="auto"/>
                <w:sz w:val="24"/>
                <w:szCs w:val="24"/>
                <w:highlight w:val="none"/>
                <w:lang w:val="en-US" w:eastAsia="zh-CN"/>
              </w:rPr>
              <w:t>I</w:t>
            </w:r>
            <w:r>
              <w:rPr>
                <w:rFonts w:hint="eastAsia" w:asciiTheme="minorEastAsia" w:hAnsiTheme="minorEastAsia" w:eastAsiaTheme="minorEastAsia" w:cstheme="minorEastAsia"/>
                <w:strike w:val="0"/>
                <w:dstrike w:val="0"/>
                <w:color w:val="auto"/>
                <w:sz w:val="24"/>
                <w:szCs w:val="24"/>
                <w:highlight w:val="none"/>
              </w:rPr>
              <w:t>SO14001环境管理认证，每项得1分。本项最高得</w:t>
            </w:r>
            <w:r>
              <w:rPr>
                <w:rFonts w:hint="eastAsia" w:asciiTheme="minorEastAsia" w:hAnsiTheme="minorEastAsia" w:eastAsiaTheme="minorEastAsia" w:cstheme="minorEastAsia"/>
                <w:strike w:val="0"/>
                <w:dstrike w:val="0"/>
                <w:color w:val="auto"/>
                <w:sz w:val="24"/>
                <w:szCs w:val="24"/>
                <w:highlight w:val="none"/>
                <w:lang w:val="en-US" w:eastAsia="zh-CN"/>
              </w:rPr>
              <w:t>2</w:t>
            </w:r>
            <w:r>
              <w:rPr>
                <w:rFonts w:hint="eastAsia" w:asciiTheme="minorEastAsia" w:hAnsiTheme="minorEastAsia" w:eastAsiaTheme="minorEastAsia" w:cstheme="minorEastAsia"/>
                <w:strike w:val="0"/>
                <w:dstrike w:val="0"/>
                <w:color w:val="auto"/>
                <w:sz w:val="24"/>
                <w:szCs w:val="24"/>
                <w:highlight w:val="none"/>
              </w:rPr>
              <w:t>分；</w:t>
            </w:r>
          </w:p>
          <w:p w14:paraId="04457C85">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strike w:val="0"/>
                <w:dstrike w:val="0"/>
                <w:color w:val="auto"/>
                <w:sz w:val="24"/>
                <w:szCs w:val="24"/>
                <w:highlight w:val="none"/>
              </w:rPr>
            </w:pPr>
            <w:r>
              <w:rPr>
                <w:rFonts w:hint="eastAsia" w:asciiTheme="minorEastAsia" w:hAnsiTheme="minorEastAsia" w:eastAsiaTheme="minorEastAsia" w:cstheme="minorEastAsia"/>
                <w:b/>
                <w:bCs/>
                <w:strike w:val="0"/>
                <w:dstrike w:val="0"/>
                <w:color w:val="auto"/>
                <w:sz w:val="24"/>
                <w:szCs w:val="24"/>
                <w:highlight w:val="none"/>
              </w:rPr>
              <w:t>注：</w:t>
            </w:r>
            <w:r>
              <w:rPr>
                <w:rFonts w:hint="eastAsia" w:asciiTheme="minorEastAsia" w:hAnsiTheme="minorEastAsia" w:eastAsiaTheme="minorEastAsia" w:cstheme="minorEastAsia"/>
                <w:b/>
                <w:bCs/>
                <w:strike w:val="0"/>
                <w:dstrike w:val="0"/>
                <w:color w:val="auto"/>
                <w:sz w:val="24"/>
                <w:szCs w:val="24"/>
                <w:highlight w:val="none"/>
                <w:lang w:bidi="ar"/>
              </w:rPr>
              <w:t>须</w:t>
            </w:r>
            <w:r>
              <w:rPr>
                <w:rFonts w:hint="eastAsia" w:asciiTheme="minorEastAsia" w:hAnsiTheme="minorEastAsia" w:eastAsiaTheme="minorEastAsia" w:cstheme="minorEastAsia"/>
                <w:b/>
                <w:bCs/>
                <w:strike w:val="0"/>
                <w:dstrike w:val="0"/>
                <w:snapToGrid w:val="0"/>
                <w:color w:val="auto"/>
                <w:spacing w:val="2"/>
                <w:kern w:val="0"/>
                <w:sz w:val="24"/>
                <w:szCs w:val="24"/>
                <w:highlight w:val="none"/>
                <w:lang w:val="en-US" w:eastAsia="zh-CN" w:bidi="ar-SA"/>
              </w:rPr>
              <w:t>提供有效期内证书原件扫描件以及在国家认证认可监督管理委员会官方网站（http://www.cnca.gov.cn/）查询的认证结果截图扫描件，未提供或缺项不得分</w:t>
            </w:r>
            <w:r>
              <w:rPr>
                <w:rFonts w:hint="eastAsia" w:asciiTheme="minorEastAsia" w:hAnsiTheme="minorEastAsia" w:eastAsiaTheme="minorEastAsia" w:cstheme="minorEastAsia"/>
                <w:b/>
                <w:bCs/>
                <w:strike w:val="0"/>
                <w:dstrike w:val="0"/>
                <w:color w:val="auto"/>
                <w:sz w:val="24"/>
                <w:szCs w:val="24"/>
                <w:highlight w:val="none"/>
              </w:rPr>
              <w:t>。</w:t>
            </w:r>
          </w:p>
        </w:tc>
        <w:tc>
          <w:tcPr>
            <w:tcW w:w="468" w:type="dxa"/>
            <w:shd w:val="clear" w:color="auto" w:fill="auto"/>
            <w:vAlign w:val="center"/>
          </w:tcPr>
          <w:p w14:paraId="7A12B78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strike/>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2</w:t>
            </w:r>
          </w:p>
        </w:tc>
      </w:tr>
      <w:tr w14:paraId="765C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2" w:type="dxa"/>
            <w:shd w:val="clear" w:color="auto" w:fill="auto"/>
            <w:vAlign w:val="center"/>
          </w:tcPr>
          <w:p w14:paraId="7934FE8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21" w:type="dxa"/>
            <w:vMerge w:val="restart"/>
            <w:shd w:val="clear" w:color="auto" w:fill="auto"/>
            <w:vAlign w:val="center"/>
          </w:tcPr>
          <w:p w14:paraId="34F0E0A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开闭幕式</w:t>
            </w:r>
            <w:r>
              <w:rPr>
                <w:rFonts w:hint="eastAsia" w:asciiTheme="minorEastAsia" w:hAnsiTheme="minorEastAsia" w:eastAsiaTheme="minorEastAsia" w:cstheme="minorEastAsia"/>
                <w:color w:val="auto"/>
                <w:sz w:val="24"/>
                <w:szCs w:val="24"/>
                <w:highlight w:val="none"/>
              </w:rPr>
              <w:t>策划及执行服务</w:t>
            </w:r>
          </w:p>
        </w:tc>
        <w:tc>
          <w:tcPr>
            <w:tcW w:w="7340" w:type="dxa"/>
            <w:shd w:val="clear" w:color="auto" w:fill="auto"/>
            <w:vAlign w:val="center"/>
          </w:tcPr>
          <w:p w14:paraId="42487F5F">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提供的创意策划方案，包括但不限于总体思路、</w:t>
            </w:r>
            <w:r>
              <w:rPr>
                <w:rFonts w:hint="eastAsia" w:asciiTheme="minorEastAsia" w:hAnsiTheme="minorEastAsia" w:eastAsiaTheme="minorEastAsia" w:cstheme="minorEastAsia"/>
                <w:b/>
                <w:bCs/>
                <w:color w:val="auto"/>
                <w:sz w:val="24"/>
                <w:szCs w:val="24"/>
                <w:highlight w:val="none"/>
                <w:lang w:eastAsia="zh-CN"/>
              </w:rPr>
              <w:t>开</w:t>
            </w:r>
            <w:r>
              <w:rPr>
                <w:rFonts w:hint="eastAsia" w:asciiTheme="minorEastAsia" w:hAnsiTheme="minorEastAsia" w:eastAsiaTheme="minorEastAsia" w:cstheme="minorEastAsia"/>
                <w:b/>
                <w:bCs/>
                <w:color w:val="auto"/>
                <w:sz w:val="24"/>
                <w:szCs w:val="24"/>
                <w:highlight w:val="none"/>
              </w:rPr>
              <w:t>闭幕式主题、核心要点、活动亮点、活动流程、展演内容</w:t>
            </w:r>
            <w:r>
              <w:rPr>
                <w:rFonts w:hint="eastAsia" w:asciiTheme="minorEastAsia" w:hAnsiTheme="minorEastAsia" w:cstheme="minorEastAsia"/>
                <w:b/>
                <w:bCs/>
                <w:color w:val="auto"/>
                <w:sz w:val="24"/>
                <w:szCs w:val="24"/>
                <w:highlight w:val="none"/>
                <w:lang w:eastAsia="zh-CN"/>
              </w:rPr>
              <w:t>、开闭幕式主场馆及活动区域环境提升</w:t>
            </w:r>
            <w:r>
              <w:rPr>
                <w:rFonts w:hint="eastAsia" w:asciiTheme="minorEastAsia" w:hAnsiTheme="minorEastAsia" w:eastAsiaTheme="minorEastAsia" w:cstheme="minorEastAsia"/>
                <w:b/>
                <w:bCs/>
                <w:color w:val="auto"/>
                <w:sz w:val="24"/>
                <w:szCs w:val="24"/>
                <w:highlight w:val="none"/>
              </w:rPr>
              <w:t>等方面进行评审。</w:t>
            </w:r>
          </w:p>
          <w:p w14:paraId="3DF1D02A">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创意</w:t>
            </w:r>
            <w:r>
              <w:rPr>
                <w:rFonts w:hint="eastAsia" w:asciiTheme="minorEastAsia" w:hAnsiTheme="minorEastAsia" w:eastAsiaTheme="minorEastAsia" w:cstheme="minorEastAsia"/>
                <w:color w:val="auto"/>
                <w:sz w:val="24"/>
                <w:szCs w:val="24"/>
                <w:highlight w:val="none"/>
                <w:lang w:val="en-US" w:eastAsia="zh-CN"/>
              </w:rPr>
              <w:t>策划方案</w:t>
            </w:r>
            <w:r>
              <w:rPr>
                <w:rFonts w:hint="eastAsia" w:asciiTheme="minorEastAsia" w:hAnsiTheme="minorEastAsia" w:eastAsiaTheme="minorEastAsia" w:cstheme="minorEastAsia"/>
                <w:color w:val="auto"/>
                <w:sz w:val="24"/>
                <w:szCs w:val="24"/>
                <w:highlight w:val="none"/>
                <w:lang w:eastAsia="zh-CN"/>
              </w:rPr>
              <w:t>内容详细清晰、有</w:t>
            </w:r>
            <w:r>
              <w:rPr>
                <w:rFonts w:hint="eastAsia" w:asciiTheme="minorEastAsia" w:hAnsiTheme="minorEastAsia" w:eastAsiaTheme="minorEastAsia" w:cstheme="minorEastAsia"/>
                <w:color w:val="auto"/>
                <w:sz w:val="24"/>
                <w:szCs w:val="24"/>
                <w:highlight w:val="none"/>
              </w:rPr>
              <w:t>创意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完整性高、可实施操作性高、与项目实际结合的程度高得7分</w:t>
            </w:r>
            <w:r>
              <w:rPr>
                <w:rFonts w:hint="eastAsia" w:asciiTheme="minorEastAsia" w:hAnsiTheme="minorEastAsia" w:eastAsiaTheme="minorEastAsia" w:cstheme="minorEastAsia"/>
                <w:color w:val="auto"/>
                <w:sz w:val="24"/>
                <w:szCs w:val="24"/>
                <w:highlight w:val="none"/>
                <w:lang w:eastAsia="zh-CN"/>
              </w:rPr>
              <w:t>；</w:t>
            </w:r>
          </w:p>
          <w:p w14:paraId="7D65305E">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创意</w:t>
            </w:r>
            <w:r>
              <w:rPr>
                <w:rFonts w:hint="eastAsia" w:asciiTheme="minorEastAsia" w:hAnsiTheme="minorEastAsia" w:eastAsiaTheme="minorEastAsia" w:cstheme="minorEastAsia"/>
                <w:color w:val="auto"/>
                <w:sz w:val="24"/>
                <w:szCs w:val="24"/>
                <w:highlight w:val="none"/>
                <w:lang w:val="en-US" w:eastAsia="zh-CN"/>
              </w:rPr>
              <w:t>策划方案</w:t>
            </w:r>
            <w:r>
              <w:rPr>
                <w:rFonts w:hint="eastAsia" w:asciiTheme="minorEastAsia" w:hAnsiTheme="minorEastAsia" w:eastAsiaTheme="minorEastAsia" w:cstheme="minorEastAsia"/>
                <w:color w:val="auto"/>
                <w:sz w:val="24"/>
                <w:szCs w:val="24"/>
                <w:highlight w:val="none"/>
                <w:lang w:eastAsia="zh-CN"/>
              </w:rPr>
              <w:t>内容较详细清晰、</w:t>
            </w:r>
            <w:r>
              <w:rPr>
                <w:rFonts w:hint="eastAsia" w:asciiTheme="minorEastAsia" w:hAnsiTheme="minorEastAsia" w:eastAsiaTheme="minorEastAsia" w:cstheme="minorEastAsia"/>
                <w:color w:val="auto"/>
                <w:sz w:val="24"/>
                <w:szCs w:val="24"/>
                <w:highlight w:val="none"/>
                <w:lang w:val="en-US" w:eastAsia="zh-CN"/>
              </w:rPr>
              <w:t>完整性</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lang w:val="en-US" w:eastAsia="zh-CN"/>
              </w:rPr>
              <w:t>高、可实施操作性</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lang w:val="en-US" w:eastAsia="zh-CN"/>
              </w:rPr>
              <w:t>高、与项目实际结合的程度</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lang w:val="en-US" w:eastAsia="zh-CN"/>
              </w:rPr>
              <w:t>高得5分；</w:t>
            </w:r>
          </w:p>
          <w:p w14:paraId="68D8379B">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rPr>
              <w:t>创意</w:t>
            </w:r>
            <w:r>
              <w:rPr>
                <w:rFonts w:hint="eastAsia" w:asciiTheme="minorEastAsia" w:hAnsiTheme="minorEastAsia" w:eastAsiaTheme="minorEastAsia" w:cstheme="minorEastAsia"/>
                <w:color w:val="auto"/>
                <w:sz w:val="24"/>
                <w:szCs w:val="24"/>
                <w:highlight w:val="none"/>
                <w:lang w:val="en-US" w:eastAsia="zh-CN"/>
              </w:rPr>
              <w:t>策划方案</w:t>
            </w:r>
            <w:r>
              <w:rPr>
                <w:rFonts w:hint="eastAsia" w:asciiTheme="minorEastAsia" w:hAnsiTheme="minorEastAsia" w:eastAsiaTheme="minorEastAsia" w:cstheme="minorEastAsia"/>
                <w:color w:val="auto"/>
                <w:sz w:val="24"/>
                <w:szCs w:val="24"/>
                <w:highlight w:val="none"/>
                <w:lang w:eastAsia="zh-CN"/>
              </w:rPr>
              <w:t>内容</w:t>
            </w:r>
            <w:r>
              <w:rPr>
                <w:rFonts w:hint="eastAsia" w:asciiTheme="minorEastAsia" w:hAnsiTheme="minorEastAsia" w:eastAsiaTheme="minorEastAsia" w:cstheme="minorEastAsia"/>
                <w:color w:val="auto"/>
                <w:sz w:val="24"/>
                <w:szCs w:val="24"/>
                <w:highlight w:val="none"/>
                <w:lang w:val="en-US" w:eastAsia="zh-CN"/>
              </w:rPr>
              <w:t>完整性一般、可实施操作性一般、与项目实际结合的程度一般得3分；</w:t>
            </w:r>
          </w:p>
          <w:p w14:paraId="6FF24692">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rPr>
              <w:t>创意</w:t>
            </w:r>
            <w:r>
              <w:rPr>
                <w:rFonts w:hint="eastAsia" w:asciiTheme="minorEastAsia" w:hAnsiTheme="minorEastAsia" w:eastAsiaTheme="minorEastAsia" w:cstheme="minorEastAsia"/>
                <w:color w:val="auto"/>
                <w:sz w:val="24"/>
                <w:szCs w:val="24"/>
                <w:highlight w:val="none"/>
                <w:lang w:val="en-US" w:eastAsia="zh-CN"/>
              </w:rPr>
              <w:t>策划方案</w:t>
            </w:r>
            <w:r>
              <w:rPr>
                <w:rFonts w:hint="eastAsia" w:asciiTheme="minorEastAsia" w:hAnsiTheme="minorEastAsia" w:eastAsiaTheme="minorEastAsia" w:cstheme="minorEastAsia"/>
                <w:color w:val="auto"/>
                <w:sz w:val="24"/>
                <w:szCs w:val="24"/>
                <w:highlight w:val="none"/>
                <w:lang w:eastAsia="zh-CN"/>
              </w:rPr>
              <w:t>内</w:t>
            </w:r>
            <w:r>
              <w:rPr>
                <w:rFonts w:hint="eastAsia" w:asciiTheme="minorEastAsia" w:hAnsiTheme="minorEastAsia" w:eastAsiaTheme="minorEastAsia" w:cstheme="minorEastAsia"/>
                <w:color w:val="auto"/>
                <w:sz w:val="24"/>
                <w:szCs w:val="24"/>
                <w:highlight w:val="none"/>
                <w:lang w:val="en-US" w:eastAsia="zh-CN"/>
              </w:rPr>
              <w:t>容有欠缺、实施操作性较低、与项目实际结合的程度较低得1分；</w:t>
            </w:r>
          </w:p>
          <w:p w14:paraId="362B3F56">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lang w:val="en-US" w:eastAsia="zh-CN"/>
              </w:rPr>
              <w:t>未提供不得分。</w:t>
            </w:r>
          </w:p>
        </w:tc>
        <w:tc>
          <w:tcPr>
            <w:tcW w:w="468" w:type="dxa"/>
            <w:shd w:val="clear" w:color="auto" w:fill="auto"/>
            <w:vAlign w:val="center"/>
          </w:tcPr>
          <w:p w14:paraId="2DC9F85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r>
      <w:tr w14:paraId="217B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2" w:type="dxa"/>
            <w:shd w:val="clear" w:color="auto" w:fill="auto"/>
            <w:vAlign w:val="center"/>
          </w:tcPr>
          <w:p w14:paraId="3A5175B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21" w:type="dxa"/>
            <w:vMerge w:val="continue"/>
            <w:shd w:val="clear" w:color="auto" w:fill="auto"/>
            <w:vAlign w:val="center"/>
          </w:tcPr>
          <w:p w14:paraId="53FAC76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2964C46D">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针对本项目实施过程中可能出现的重点、难点问题分析并提出合理、可行的解决方案进行评审。</w:t>
            </w:r>
          </w:p>
          <w:p w14:paraId="54E298B5">
            <w:pPr>
              <w:keepNext w:val="0"/>
              <w:keepLines w:val="0"/>
              <w:pageBreakBefore w:val="0"/>
              <w:widowControl w:val="0"/>
              <w:numPr>
                <w:ilvl w:val="0"/>
                <w:numId w:val="3"/>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分析内容全面、科学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方案内容完整、可靠可行得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301EBC9B">
            <w:pPr>
              <w:keepNext w:val="0"/>
              <w:keepLines w:val="0"/>
              <w:pageBreakBefore w:val="0"/>
              <w:widowControl w:val="0"/>
              <w:numPr>
                <w:ilvl w:val="0"/>
                <w:numId w:val="3"/>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分析</w:t>
            </w:r>
            <w:r>
              <w:rPr>
                <w:rFonts w:hint="eastAsia" w:asciiTheme="minorEastAsia" w:hAnsiTheme="minorEastAsia" w:eastAsiaTheme="minorEastAsia" w:cstheme="minorEastAsia"/>
                <w:color w:val="auto"/>
                <w:sz w:val="24"/>
                <w:szCs w:val="24"/>
                <w:highlight w:val="none"/>
                <w:lang w:eastAsia="zh-CN"/>
              </w:rPr>
              <w:t>和方案</w:t>
            </w:r>
            <w:r>
              <w:rPr>
                <w:rFonts w:hint="eastAsia" w:asciiTheme="minorEastAsia" w:hAnsiTheme="minorEastAsia" w:eastAsiaTheme="minorEastAsia" w:cstheme="minorEastAsia"/>
                <w:color w:val="auto"/>
                <w:sz w:val="24"/>
                <w:szCs w:val="24"/>
                <w:highlight w:val="none"/>
              </w:rPr>
              <w:t>合理但有所欠缺的得1分</w:t>
            </w:r>
            <w:r>
              <w:rPr>
                <w:rFonts w:hint="eastAsia" w:asciiTheme="minorEastAsia" w:hAnsiTheme="minorEastAsia" w:eastAsiaTheme="minorEastAsia" w:cstheme="minorEastAsia"/>
                <w:color w:val="auto"/>
                <w:sz w:val="24"/>
                <w:szCs w:val="24"/>
                <w:highlight w:val="none"/>
                <w:lang w:eastAsia="zh-CN"/>
              </w:rPr>
              <w:t>；</w:t>
            </w:r>
          </w:p>
          <w:p w14:paraId="4A1BAE68">
            <w:pPr>
              <w:keepNext w:val="0"/>
              <w:keepLines w:val="0"/>
              <w:pageBreakBefore w:val="0"/>
              <w:widowControl w:val="0"/>
              <w:numPr>
                <w:ilvl w:val="0"/>
                <w:numId w:val="3"/>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未提供不得分</w:t>
            </w:r>
            <w:r>
              <w:rPr>
                <w:rFonts w:hint="eastAsia" w:asciiTheme="minorEastAsia" w:hAnsiTheme="minorEastAsia" w:eastAsiaTheme="minorEastAsia" w:cstheme="minorEastAsia"/>
                <w:color w:val="auto"/>
                <w:sz w:val="24"/>
                <w:szCs w:val="24"/>
                <w:highlight w:val="none"/>
                <w:lang w:eastAsia="zh-CN"/>
              </w:rPr>
              <w:t>。</w:t>
            </w:r>
          </w:p>
        </w:tc>
        <w:tc>
          <w:tcPr>
            <w:tcW w:w="468" w:type="dxa"/>
            <w:shd w:val="clear" w:color="auto" w:fill="auto"/>
            <w:vAlign w:val="center"/>
          </w:tcPr>
          <w:p w14:paraId="5488058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r>
      <w:tr w14:paraId="286CF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7" w:hRule="atLeast"/>
          <w:jc w:val="center"/>
        </w:trPr>
        <w:tc>
          <w:tcPr>
            <w:tcW w:w="492" w:type="dxa"/>
            <w:shd w:val="clear" w:color="auto" w:fill="auto"/>
            <w:vAlign w:val="center"/>
          </w:tcPr>
          <w:p w14:paraId="536C83E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21" w:type="dxa"/>
            <w:vMerge w:val="continue"/>
            <w:shd w:val="clear" w:color="auto" w:fill="auto"/>
            <w:vAlign w:val="center"/>
          </w:tcPr>
          <w:p w14:paraId="5450A38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0F358690">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提供的主持台本内容，要求内容完整、描述精准、感染力强、契合</w:t>
            </w:r>
            <w:r>
              <w:rPr>
                <w:rFonts w:hint="eastAsia" w:asciiTheme="minorEastAsia" w:hAnsiTheme="minorEastAsia" w:eastAsiaTheme="minorEastAsia" w:cstheme="minorEastAsia"/>
                <w:b/>
                <w:bCs/>
                <w:color w:val="auto"/>
                <w:sz w:val="24"/>
                <w:szCs w:val="24"/>
                <w:highlight w:val="none"/>
                <w:lang w:eastAsia="zh-CN"/>
              </w:rPr>
              <w:t>本项目</w:t>
            </w:r>
            <w:r>
              <w:rPr>
                <w:rFonts w:hint="eastAsia" w:asciiTheme="minorEastAsia" w:hAnsiTheme="minorEastAsia" w:eastAsiaTheme="minorEastAsia" w:cstheme="minorEastAsia"/>
                <w:b/>
                <w:bCs/>
                <w:color w:val="auto"/>
                <w:sz w:val="24"/>
                <w:szCs w:val="24"/>
                <w:highlight w:val="none"/>
              </w:rPr>
              <w:t>主题等方面进行评审。</w:t>
            </w:r>
          </w:p>
          <w:p w14:paraId="23908B3F">
            <w:pPr>
              <w:keepNext w:val="0"/>
              <w:keepLines w:val="0"/>
              <w:pageBreakBefore w:val="0"/>
              <w:widowControl w:val="0"/>
              <w:numPr>
                <w:ilvl w:val="0"/>
                <w:numId w:val="4"/>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台本内容完整、描述精准、感染力强、契合</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52422839">
            <w:pPr>
              <w:keepNext w:val="0"/>
              <w:keepLines w:val="0"/>
              <w:pageBreakBefore w:val="0"/>
              <w:widowControl w:val="0"/>
              <w:numPr>
                <w:ilvl w:val="0"/>
                <w:numId w:val="4"/>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台本内容</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rPr>
              <w:t>完整、描述</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rPr>
              <w:t>精准、感染力</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rPr>
              <w:t>强、</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rPr>
              <w:t>契合</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B7F5D90">
            <w:pPr>
              <w:keepNext w:val="0"/>
              <w:keepLines w:val="0"/>
              <w:pageBreakBefore w:val="0"/>
              <w:widowControl w:val="0"/>
              <w:numPr>
                <w:ilvl w:val="0"/>
                <w:numId w:val="4"/>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内容欠缺且不合理的得1分</w:t>
            </w:r>
            <w:r>
              <w:rPr>
                <w:rFonts w:hint="eastAsia" w:asciiTheme="minorEastAsia" w:hAnsiTheme="minorEastAsia" w:eastAsiaTheme="minorEastAsia" w:cstheme="minorEastAsia"/>
                <w:color w:val="auto"/>
                <w:sz w:val="24"/>
                <w:szCs w:val="24"/>
                <w:highlight w:val="none"/>
                <w:lang w:eastAsia="zh-CN"/>
              </w:rPr>
              <w:t>；</w:t>
            </w:r>
          </w:p>
          <w:p w14:paraId="59358ECB">
            <w:pPr>
              <w:keepNext w:val="0"/>
              <w:keepLines w:val="0"/>
              <w:pageBreakBefore w:val="0"/>
              <w:widowControl w:val="0"/>
              <w:numPr>
                <w:ilvl w:val="0"/>
                <w:numId w:val="4"/>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未提供不得分</w:t>
            </w:r>
            <w:r>
              <w:rPr>
                <w:rFonts w:hint="eastAsia" w:asciiTheme="minorEastAsia" w:hAnsiTheme="minorEastAsia" w:eastAsiaTheme="minorEastAsia" w:cstheme="minorEastAsia"/>
                <w:color w:val="auto"/>
                <w:sz w:val="24"/>
                <w:szCs w:val="24"/>
                <w:highlight w:val="none"/>
                <w:lang w:eastAsia="zh-CN"/>
              </w:rPr>
              <w:t>。</w:t>
            </w:r>
          </w:p>
        </w:tc>
        <w:tc>
          <w:tcPr>
            <w:tcW w:w="468" w:type="dxa"/>
            <w:shd w:val="clear" w:color="auto" w:fill="auto"/>
            <w:vAlign w:val="center"/>
          </w:tcPr>
          <w:p w14:paraId="103F2D7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282A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jc w:val="center"/>
        </w:trPr>
        <w:tc>
          <w:tcPr>
            <w:tcW w:w="492" w:type="dxa"/>
            <w:shd w:val="clear" w:color="auto" w:fill="auto"/>
            <w:vAlign w:val="center"/>
          </w:tcPr>
          <w:p w14:paraId="4361E47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921" w:type="dxa"/>
            <w:vMerge w:val="continue"/>
            <w:shd w:val="clear" w:color="auto" w:fill="auto"/>
            <w:vAlign w:val="center"/>
          </w:tcPr>
          <w:p w14:paraId="64D991C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0BA6D038">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承诺提供省级及以上媒体平台主持人的，得1分。列明拟投入的人员信息。</w:t>
            </w:r>
          </w:p>
          <w:p w14:paraId="79B8E5E8">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注：投标文件中提供承诺函及未达到承诺的相应违约条款，并加盖投标人公章，未提供或缺项不得分。</w:t>
            </w:r>
          </w:p>
        </w:tc>
        <w:tc>
          <w:tcPr>
            <w:tcW w:w="468" w:type="dxa"/>
            <w:shd w:val="clear" w:color="auto" w:fill="auto"/>
            <w:vAlign w:val="center"/>
          </w:tcPr>
          <w:p w14:paraId="1A9F687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r>
      <w:tr w14:paraId="4995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4" w:hRule="atLeast"/>
          <w:jc w:val="center"/>
        </w:trPr>
        <w:tc>
          <w:tcPr>
            <w:tcW w:w="492" w:type="dxa"/>
            <w:shd w:val="clear" w:color="auto" w:fill="auto"/>
            <w:vAlign w:val="center"/>
          </w:tcPr>
          <w:p w14:paraId="3D75454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921" w:type="dxa"/>
            <w:vMerge w:val="continue"/>
            <w:shd w:val="clear" w:color="auto" w:fill="auto"/>
            <w:vAlign w:val="center"/>
          </w:tcPr>
          <w:p w14:paraId="49F2F8A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4DF46342">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提供的流程设计，包括但不限于总体时长、环节安排、环节具体内容等方面进行评审。</w:t>
            </w:r>
          </w:p>
          <w:p w14:paraId="757DB05A">
            <w:pPr>
              <w:keepNext w:val="0"/>
              <w:keepLines w:val="0"/>
              <w:pageBreakBefore w:val="0"/>
              <w:widowControl w:val="0"/>
              <w:numPr>
                <w:ilvl w:val="0"/>
                <w:numId w:val="5"/>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流程设计科学合理、可行，</w:t>
            </w:r>
            <w:r>
              <w:rPr>
                <w:rFonts w:hint="eastAsia" w:asciiTheme="minorEastAsia" w:hAnsiTheme="minorEastAsia" w:eastAsiaTheme="minorEastAsia" w:cstheme="minorEastAsia"/>
                <w:color w:val="auto"/>
                <w:sz w:val="24"/>
                <w:szCs w:val="24"/>
                <w:highlight w:val="none"/>
                <w:lang w:eastAsia="zh-CN"/>
              </w:rPr>
              <w:t>各环节</w:t>
            </w:r>
            <w:r>
              <w:rPr>
                <w:rFonts w:hint="eastAsia" w:asciiTheme="minorEastAsia" w:hAnsiTheme="minorEastAsia" w:eastAsiaTheme="minorEastAsia" w:cstheme="minorEastAsia"/>
                <w:color w:val="auto"/>
                <w:sz w:val="24"/>
                <w:szCs w:val="24"/>
                <w:highlight w:val="none"/>
              </w:rPr>
              <w:t>要点准确、完善得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1BC5EA94">
            <w:pPr>
              <w:keepNext w:val="0"/>
              <w:keepLines w:val="0"/>
              <w:pageBreakBefore w:val="0"/>
              <w:widowControl w:val="0"/>
              <w:numPr>
                <w:ilvl w:val="0"/>
                <w:numId w:val="5"/>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流程设计比较科学合理、比较可行，</w:t>
            </w:r>
            <w:r>
              <w:rPr>
                <w:rFonts w:hint="eastAsia" w:asciiTheme="minorEastAsia" w:hAnsiTheme="minorEastAsia" w:eastAsiaTheme="minorEastAsia" w:cstheme="minorEastAsia"/>
                <w:color w:val="auto"/>
                <w:sz w:val="24"/>
                <w:szCs w:val="24"/>
                <w:highlight w:val="none"/>
                <w:lang w:eastAsia="zh-CN"/>
              </w:rPr>
              <w:t>各环节</w:t>
            </w:r>
            <w:r>
              <w:rPr>
                <w:rFonts w:hint="eastAsia" w:asciiTheme="minorEastAsia" w:hAnsiTheme="minorEastAsia" w:eastAsiaTheme="minorEastAsia" w:cstheme="minorEastAsia"/>
                <w:color w:val="auto"/>
                <w:sz w:val="24"/>
                <w:szCs w:val="24"/>
                <w:highlight w:val="none"/>
              </w:rPr>
              <w:t>要点比较准确、完善得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7C1B1BDF">
            <w:pPr>
              <w:keepNext w:val="0"/>
              <w:keepLines w:val="0"/>
              <w:pageBreakBefore w:val="0"/>
              <w:widowControl w:val="0"/>
              <w:numPr>
                <w:ilvl w:val="0"/>
                <w:numId w:val="5"/>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流程设计基本合理、基本可行，</w:t>
            </w:r>
            <w:r>
              <w:rPr>
                <w:rFonts w:hint="eastAsia" w:asciiTheme="minorEastAsia" w:hAnsiTheme="minorEastAsia" w:eastAsiaTheme="minorEastAsia" w:cstheme="minorEastAsia"/>
                <w:color w:val="auto"/>
                <w:sz w:val="24"/>
                <w:szCs w:val="24"/>
                <w:highlight w:val="none"/>
                <w:lang w:eastAsia="zh-CN"/>
              </w:rPr>
              <w:t>各环节</w:t>
            </w:r>
            <w:r>
              <w:rPr>
                <w:rFonts w:hint="eastAsia" w:asciiTheme="minorEastAsia" w:hAnsiTheme="minorEastAsia" w:eastAsiaTheme="minorEastAsia" w:cstheme="minorEastAsia"/>
                <w:color w:val="auto"/>
                <w:sz w:val="24"/>
                <w:szCs w:val="24"/>
                <w:highlight w:val="none"/>
              </w:rPr>
              <w:t>要点基本准确完善得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221B9603">
            <w:pPr>
              <w:keepNext w:val="0"/>
              <w:keepLines w:val="0"/>
              <w:pageBreakBefore w:val="0"/>
              <w:widowControl w:val="0"/>
              <w:numPr>
                <w:ilvl w:val="0"/>
                <w:numId w:val="5"/>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未提供不得分</w:t>
            </w:r>
            <w:r>
              <w:rPr>
                <w:rFonts w:hint="eastAsia" w:asciiTheme="minorEastAsia" w:hAnsiTheme="minorEastAsia" w:eastAsiaTheme="minorEastAsia" w:cstheme="minorEastAsia"/>
                <w:color w:val="auto"/>
                <w:sz w:val="24"/>
                <w:szCs w:val="24"/>
                <w:highlight w:val="none"/>
                <w:lang w:eastAsia="zh-CN"/>
              </w:rPr>
              <w:t>。</w:t>
            </w:r>
          </w:p>
        </w:tc>
        <w:tc>
          <w:tcPr>
            <w:tcW w:w="468" w:type="dxa"/>
            <w:shd w:val="clear" w:color="auto" w:fill="auto"/>
            <w:vAlign w:val="center"/>
          </w:tcPr>
          <w:p w14:paraId="5F2B104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p>
        </w:tc>
      </w:tr>
      <w:tr w14:paraId="3EE4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5" w:hRule="atLeast"/>
          <w:jc w:val="center"/>
        </w:trPr>
        <w:tc>
          <w:tcPr>
            <w:tcW w:w="492" w:type="dxa"/>
            <w:shd w:val="clear" w:color="auto" w:fill="auto"/>
            <w:vAlign w:val="center"/>
          </w:tcPr>
          <w:p w14:paraId="21CE35F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p w14:paraId="42646F9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921" w:type="dxa"/>
            <w:vMerge w:val="restart"/>
            <w:shd w:val="clear" w:color="auto" w:fill="auto"/>
            <w:vAlign w:val="center"/>
          </w:tcPr>
          <w:p w14:paraId="7BDF118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开闭幕式展演方案</w:t>
            </w:r>
          </w:p>
        </w:tc>
        <w:tc>
          <w:tcPr>
            <w:tcW w:w="7340" w:type="dxa"/>
            <w:shd w:val="clear" w:color="auto" w:fill="auto"/>
            <w:vAlign w:val="center"/>
          </w:tcPr>
          <w:p w14:paraId="278A1C53">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提供的舞美效果图，包括但不限于顶视图、正视图、侧视图至少3张设计效果图，与</w:t>
            </w:r>
            <w:r>
              <w:rPr>
                <w:rFonts w:hint="eastAsia" w:asciiTheme="minorEastAsia" w:hAnsiTheme="minorEastAsia" w:eastAsiaTheme="minorEastAsia" w:cstheme="minorEastAsia"/>
                <w:b/>
                <w:bCs/>
                <w:color w:val="auto"/>
                <w:sz w:val="24"/>
                <w:szCs w:val="24"/>
                <w:highlight w:val="none"/>
                <w:lang w:eastAsia="zh-CN"/>
              </w:rPr>
              <w:t>本项目</w:t>
            </w:r>
            <w:r>
              <w:rPr>
                <w:rFonts w:hint="eastAsia" w:asciiTheme="minorEastAsia" w:hAnsiTheme="minorEastAsia" w:eastAsiaTheme="minorEastAsia" w:cstheme="minorEastAsia"/>
                <w:b/>
                <w:bCs/>
                <w:color w:val="auto"/>
                <w:sz w:val="24"/>
                <w:szCs w:val="24"/>
                <w:highlight w:val="none"/>
              </w:rPr>
              <w:t>主题贴切、有创意性</w:t>
            </w:r>
            <w:r>
              <w:rPr>
                <w:rFonts w:hint="eastAsia" w:asciiTheme="minorEastAsia" w:hAnsiTheme="minorEastAsia" w:eastAsiaTheme="minorEastAsia" w:cstheme="minorEastAsia"/>
                <w:b/>
                <w:bCs/>
                <w:color w:val="auto"/>
                <w:sz w:val="24"/>
                <w:szCs w:val="24"/>
                <w:highlight w:val="none"/>
                <w:lang w:eastAsia="zh-CN"/>
              </w:rPr>
              <w:t>、有</w:t>
            </w:r>
            <w:r>
              <w:rPr>
                <w:rFonts w:hint="eastAsia" w:asciiTheme="minorEastAsia" w:hAnsiTheme="minorEastAsia" w:eastAsiaTheme="minorEastAsia" w:cstheme="minorEastAsia"/>
                <w:b/>
                <w:bCs/>
                <w:color w:val="auto"/>
                <w:sz w:val="24"/>
                <w:szCs w:val="24"/>
                <w:highlight w:val="none"/>
              </w:rPr>
              <w:t>突破性</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有传播力和感染力</w:t>
            </w:r>
            <w:r>
              <w:rPr>
                <w:rFonts w:hint="eastAsia" w:asciiTheme="minorEastAsia" w:hAnsiTheme="minorEastAsia" w:eastAsiaTheme="minorEastAsia" w:cstheme="minorEastAsia"/>
                <w:b/>
                <w:bCs/>
                <w:color w:val="auto"/>
                <w:sz w:val="24"/>
                <w:szCs w:val="24"/>
                <w:highlight w:val="none"/>
              </w:rPr>
              <w:t>进行评审。</w:t>
            </w:r>
          </w:p>
          <w:p w14:paraId="7A939D2C">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效果图与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主题贴切、有创意性、突破性强</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5A210D51">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rPr>
              <w:t>效果图与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主题比较贴切、比较有创意性、突破性较强得3分；</w:t>
            </w:r>
          </w:p>
          <w:p w14:paraId="181E9BE6">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rPr>
              <w:t>效果图与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主题基本贴切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创意性突破性</w:t>
            </w:r>
            <w:r>
              <w:rPr>
                <w:rFonts w:hint="eastAsia" w:asciiTheme="minorEastAsia" w:hAnsiTheme="minorEastAsia" w:eastAsiaTheme="minorEastAsia" w:cstheme="minorEastAsia"/>
                <w:color w:val="auto"/>
                <w:sz w:val="24"/>
                <w:szCs w:val="24"/>
                <w:highlight w:val="none"/>
                <w:lang w:eastAsia="zh-CN"/>
              </w:rPr>
              <w:t>一般的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5C62A375">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rPr>
              <w:t>效果图与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w:t>
            </w:r>
            <w:r>
              <w:rPr>
                <w:rFonts w:hint="eastAsia" w:asciiTheme="minorEastAsia" w:hAnsiTheme="minorEastAsia" w:eastAsiaTheme="minorEastAsia" w:cstheme="minorEastAsia"/>
                <w:color w:val="auto"/>
                <w:sz w:val="24"/>
                <w:szCs w:val="24"/>
                <w:highlight w:val="none"/>
                <w:lang w:eastAsia="zh-CN"/>
              </w:rPr>
              <w:t>不</w:t>
            </w:r>
            <w:r>
              <w:rPr>
                <w:rFonts w:hint="eastAsia" w:asciiTheme="minorEastAsia" w:hAnsiTheme="minorEastAsia" w:eastAsiaTheme="minorEastAsia" w:cstheme="minorEastAsia"/>
                <w:color w:val="auto"/>
                <w:sz w:val="24"/>
                <w:szCs w:val="24"/>
                <w:highlight w:val="none"/>
              </w:rPr>
              <w:t>贴切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创意性突破性</w:t>
            </w:r>
            <w:r>
              <w:rPr>
                <w:rFonts w:hint="eastAsia" w:asciiTheme="minorEastAsia" w:hAnsiTheme="minorEastAsia" w:eastAsiaTheme="minorEastAsia" w:cstheme="minorEastAsia"/>
                <w:color w:val="auto"/>
                <w:sz w:val="24"/>
                <w:szCs w:val="24"/>
                <w:highlight w:val="none"/>
                <w:lang w:eastAsia="zh-CN"/>
              </w:rPr>
              <w:t>差的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2CE1022F">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rPr>
              <w:t>未提供不得分</w:t>
            </w:r>
            <w:r>
              <w:rPr>
                <w:rFonts w:hint="eastAsia" w:asciiTheme="minorEastAsia" w:hAnsiTheme="minorEastAsia" w:eastAsiaTheme="minorEastAsia" w:cstheme="minorEastAsia"/>
                <w:color w:val="auto"/>
                <w:sz w:val="24"/>
                <w:szCs w:val="24"/>
                <w:highlight w:val="none"/>
                <w:lang w:eastAsia="zh-CN"/>
              </w:rPr>
              <w:t>。</w:t>
            </w:r>
          </w:p>
        </w:tc>
        <w:tc>
          <w:tcPr>
            <w:tcW w:w="468" w:type="dxa"/>
            <w:shd w:val="clear" w:color="auto" w:fill="auto"/>
            <w:vAlign w:val="center"/>
          </w:tcPr>
          <w:p w14:paraId="5A618B1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r>
      <w:tr w14:paraId="722D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8" w:hRule="atLeast"/>
          <w:jc w:val="center"/>
        </w:trPr>
        <w:tc>
          <w:tcPr>
            <w:tcW w:w="492" w:type="dxa"/>
            <w:shd w:val="clear" w:color="auto" w:fill="auto"/>
            <w:vAlign w:val="center"/>
          </w:tcPr>
          <w:p w14:paraId="722B32C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921" w:type="dxa"/>
            <w:vMerge w:val="continue"/>
            <w:shd w:val="clear" w:color="auto" w:fill="auto"/>
            <w:vAlign w:val="center"/>
          </w:tcPr>
          <w:p w14:paraId="3B1284D3">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3E1BE107">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提供的相关平面设计，包括但不限于舞美平面布置图、场地功能区域图、展演人员动线图等，与</w:t>
            </w:r>
            <w:r>
              <w:rPr>
                <w:rFonts w:hint="eastAsia" w:asciiTheme="minorEastAsia" w:hAnsiTheme="minorEastAsia" w:eastAsiaTheme="minorEastAsia" w:cstheme="minorEastAsia"/>
                <w:b/>
                <w:bCs/>
                <w:color w:val="auto"/>
                <w:sz w:val="24"/>
                <w:szCs w:val="24"/>
                <w:highlight w:val="none"/>
                <w:lang w:eastAsia="zh-CN"/>
              </w:rPr>
              <w:t>本项目</w:t>
            </w:r>
            <w:r>
              <w:rPr>
                <w:rFonts w:hint="eastAsia" w:asciiTheme="minorEastAsia" w:hAnsiTheme="minorEastAsia" w:eastAsiaTheme="minorEastAsia" w:cstheme="minorEastAsia"/>
                <w:b/>
                <w:bCs/>
                <w:color w:val="auto"/>
                <w:sz w:val="24"/>
                <w:szCs w:val="24"/>
                <w:highlight w:val="none"/>
              </w:rPr>
              <w:t>主题贴切、有创意性</w:t>
            </w:r>
            <w:r>
              <w:rPr>
                <w:rFonts w:hint="eastAsia" w:asciiTheme="minorEastAsia" w:hAnsiTheme="minorEastAsia" w:eastAsiaTheme="minorEastAsia" w:cstheme="minorEastAsia"/>
                <w:b/>
                <w:bCs/>
                <w:color w:val="auto"/>
                <w:sz w:val="24"/>
                <w:szCs w:val="24"/>
                <w:highlight w:val="none"/>
                <w:lang w:eastAsia="zh-CN"/>
              </w:rPr>
              <w:t>、有</w:t>
            </w:r>
            <w:r>
              <w:rPr>
                <w:rFonts w:hint="eastAsia" w:asciiTheme="minorEastAsia" w:hAnsiTheme="minorEastAsia" w:eastAsiaTheme="minorEastAsia" w:cstheme="minorEastAsia"/>
                <w:b/>
                <w:bCs/>
                <w:color w:val="auto"/>
                <w:sz w:val="24"/>
                <w:szCs w:val="24"/>
                <w:highlight w:val="none"/>
              </w:rPr>
              <w:t>突破性</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有传播力和感染力</w:t>
            </w:r>
            <w:r>
              <w:rPr>
                <w:rFonts w:hint="eastAsia" w:asciiTheme="minorEastAsia" w:hAnsiTheme="minorEastAsia" w:eastAsiaTheme="minorEastAsia" w:cstheme="minorEastAsia"/>
                <w:b/>
                <w:bCs/>
                <w:color w:val="auto"/>
                <w:sz w:val="24"/>
                <w:szCs w:val="24"/>
                <w:highlight w:val="none"/>
              </w:rPr>
              <w:t>进行评审。</w:t>
            </w:r>
          </w:p>
          <w:p w14:paraId="0D6AB4E2">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设计图与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主题贴切、有创意性、突破性强得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25C5CD54">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rPr>
              <w:t>设计图与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主题比较贴切、比较有创意性、突破性较强得3分；</w:t>
            </w:r>
          </w:p>
          <w:p w14:paraId="695742F0">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rPr>
              <w:t>设计图与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主题基本贴切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创意性突破性</w:t>
            </w:r>
            <w:r>
              <w:rPr>
                <w:rFonts w:hint="eastAsia" w:asciiTheme="minorEastAsia" w:hAnsiTheme="minorEastAsia" w:eastAsiaTheme="minorEastAsia" w:cstheme="minorEastAsia"/>
                <w:color w:val="auto"/>
                <w:sz w:val="24"/>
                <w:szCs w:val="24"/>
                <w:highlight w:val="none"/>
                <w:lang w:eastAsia="zh-CN"/>
              </w:rPr>
              <w:t>一般的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596BDDDD">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rPr>
              <w:t>设计图与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w:t>
            </w:r>
            <w:r>
              <w:rPr>
                <w:rFonts w:hint="eastAsia" w:asciiTheme="minorEastAsia" w:hAnsiTheme="minorEastAsia" w:eastAsiaTheme="minorEastAsia" w:cstheme="minorEastAsia"/>
                <w:color w:val="auto"/>
                <w:sz w:val="24"/>
                <w:szCs w:val="24"/>
                <w:highlight w:val="none"/>
                <w:lang w:eastAsia="zh-CN"/>
              </w:rPr>
              <w:t>不</w:t>
            </w:r>
            <w:r>
              <w:rPr>
                <w:rFonts w:hint="eastAsia" w:asciiTheme="minorEastAsia" w:hAnsiTheme="minorEastAsia" w:eastAsiaTheme="minorEastAsia" w:cstheme="minorEastAsia"/>
                <w:color w:val="auto"/>
                <w:sz w:val="24"/>
                <w:szCs w:val="24"/>
                <w:highlight w:val="none"/>
              </w:rPr>
              <w:t>贴切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创意性突破性</w:t>
            </w:r>
            <w:r>
              <w:rPr>
                <w:rFonts w:hint="eastAsia" w:asciiTheme="minorEastAsia" w:hAnsiTheme="minorEastAsia" w:eastAsiaTheme="minorEastAsia" w:cstheme="minorEastAsia"/>
                <w:color w:val="auto"/>
                <w:sz w:val="24"/>
                <w:szCs w:val="24"/>
                <w:highlight w:val="none"/>
                <w:lang w:eastAsia="zh-CN"/>
              </w:rPr>
              <w:t>差的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038E767">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（5）</w:t>
            </w:r>
            <w:r>
              <w:rPr>
                <w:rFonts w:hint="eastAsia" w:asciiTheme="minorEastAsia" w:hAnsiTheme="minorEastAsia" w:eastAsiaTheme="minorEastAsia" w:cstheme="minorEastAsia"/>
                <w:color w:val="auto"/>
                <w:sz w:val="24"/>
                <w:szCs w:val="24"/>
                <w:highlight w:val="none"/>
              </w:rPr>
              <w:t>未提供不得分</w:t>
            </w:r>
            <w:r>
              <w:rPr>
                <w:rFonts w:hint="eastAsia" w:asciiTheme="minorEastAsia" w:hAnsiTheme="minorEastAsia" w:eastAsiaTheme="minorEastAsia" w:cstheme="minorEastAsia"/>
                <w:color w:val="auto"/>
                <w:sz w:val="24"/>
                <w:szCs w:val="24"/>
                <w:highlight w:val="none"/>
                <w:lang w:eastAsia="zh-CN"/>
              </w:rPr>
              <w:t>。</w:t>
            </w:r>
          </w:p>
        </w:tc>
        <w:tc>
          <w:tcPr>
            <w:tcW w:w="468" w:type="dxa"/>
            <w:shd w:val="clear" w:color="auto" w:fill="auto"/>
            <w:vAlign w:val="center"/>
          </w:tcPr>
          <w:p w14:paraId="5C74C3C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r>
      <w:tr w14:paraId="3912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492" w:type="dxa"/>
            <w:shd w:val="clear" w:color="auto" w:fill="auto"/>
            <w:vAlign w:val="center"/>
          </w:tcPr>
          <w:p w14:paraId="49AB010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921" w:type="dxa"/>
            <w:vMerge w:val="continue"/>
            <w:shd w:val="clear" w:color="auto" w:fill="auto"/>
            <w:vAlign w:val="center"/>
          </w:tcPr>
          <w:p w14:paraId="6B63405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3693CD32">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根据投标人提供的排练、彩排方案，包括各类节目排练、彩排以及排练、彩排的时间安排和频率等进行评审</w:t>
            </w:r>
            <w:r>
              <w:rPr>
                <w:rFonts w:hint="eastAsia" w:asciiTheme="minorEastAsia" w:hAnsiTheme="minorEastAsia" w:eastAsiaTheme="minorEastAsia" w:cstheme="minorEastAsia"/>
                <w:b/>
                <w:bCs/>
                <w:color w:val="auto"/>
                <w:sz w:val="24"/>
                <w:szCs w:val="24"/>
                <w:highlight w:val="none"/>
                <w:lang w:eastAsia="zh-CN"/>
              </w:rPr>
              <w:t>。</w:t>
            </w:r>
          </w:p>
          <w:p w14:paraId="0F8C1B4D">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方案设计科学合理、可行性高得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2D8966D6">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rPr>
              <w:t>方案设计比较科学合理、可行性较高得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4D8C0C88">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方案设计科学性合理性一般得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7805F9A2">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未提供不得分</w:t>
            </w:r>
            <w:r>
              <w:rPr>
                <w:rFonts w:hint="eastAsia" w:asciiTheme="minorEastAsia" w:hAnsiTheme="minorEastAsia" w:eastAsiaTheme="minorEastAsia" w:cstheme="minorEastAsia"/>
                <w:color w:val="auto"/>
                <w:sz w:val="24"/>
                <w:szCs w:val="24"/>
                <w:highlight w:val="none"/>
                <w:lang w:eastAsia="zh-CN"/>
              </w:rPr>
              <w:t>。</w:t>
            </w:r>
          </w:p>
        </w:tc>
        <w:tc>
          <w:tcPr>
            <w:tcW w:w="468" w:type="dxa"/>
            <w:shd w:val="clear" w:color="auto" w:fill="auto"/>
            <w:vAlign w:val="center"/>
          </w:tcPr>
          <w:p w14:paraId="69C7108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0281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2" w:hRule="atLeast"/>
          <w:jc w:val="center"/>
        </w:trPr>
        <w:tc>
          <w:tcPr>
            <w:tcW w:w="492" w:type="dxa"/>
            <w:shd w:val="clear" w:color="auto" w:fill="auto"/>
            <w:vAlign w:val="center"/>
          </w:tcPr>
          <w:p w14:paraId="2AC287D9">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921" w:type="dxa"/>
            <w:vMerge w:val="continue"/>
            <w:shd w:val="clear" w:color="auto" w:fill="auto"/>
            <w:vAlign w:val="center"/>
          </w:tcPr>
          <w:p w14:paraId="0E4E9D90">
            <w:pPr>
              <w:pStyle w:val="10"/>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123CCD81">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的团队组织框架方案，包括但不限于职责分工、主创团队架构图、导演团队架构图、主创团队（含总导演、总撰稿、执行导演、舞美设计、音乐设计等）简介、导演组工作计划表、展演排练计划表等进行评审。</w:t>
            </w:r>
          </w:p>
          <w:p w14:paraId="077F9AD9">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（1）人员配置合理、</w:t>
            </w:r>
            <w:r>
              <w:rPr>
                <w:rFonts w:hint="eastAsia" w:asciiTheme="minorEastAsia" w:hAnsiTheme="minorEastAsia" w:eastAsiaTheme="minorEastAsia" w:cstheme="minorEastAsia"/>
                <w:color w:val="auto"/>
                <w:sz w:val="24"/>
                <w:szCs w:val="24"/>
                <w:highlight w:val="none"/>
              </w:rPr>
              <w:t>项目团队</w:t>
            </w:r>
            <w:r>
              <w:rPr>
                <w:rFonts w:hint="eastAsia" w:asciiTheme="minorEastAsia" w:hAnsiTheme="minorEastAsia" w:eastAsiaTheme="minorEastAsia" w:cstheme="minorEastAsia"/>
                <w:color w:val="auto"/>
                <w:sz w:val="24"/>
                <w:szCs w:val="24"/>
                <w:highlight w:val="none"/>
                <w:lang w:eastAsia="zh-CN"/>
              </w:rPr>
              <w:t>工作经验丰富</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职责分工明确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提供明确的执行计划表的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4分；</w:t>
            </w:r>
          </w:p>
          <w:p w14:paraId="67CD4A43">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（2）人员配置较合理、</w:t>
            </w:r>
            <w:r>
              <w:rPr>
                <w:rFonts w:hint="eastAsia" w:asciiTheme="minorEastAsia" w:hAnsiTheme="minorEastAsia" w:eastAsiaTheme="minorEastAsia" w:cstheme="minorEastAsia"/>
                <w:color w:val="auto"/>
                <w:sz w:val="24"/>
                <w:szCs w:val="24"/>
                <w:highlight w:val="none"/>
              </w:rPr>
              <w:t>项目团队</w:t>
            </w:r>
            <w:r>
              <w:rPr>
                <w:rFonts w:hint="eastAsia" w:asciiTheme="minorEastAsia" w:hAnsiTheme="minorEastAsia" w:eastAsiaTheme="minorEastAsia" w:cstheme="minorEastAsia"/>
                <w:color w:val="auto"/>
                <w:sz w:val="24"/>
                <w:szCs w:val="24"/>
                <w:highlight w:val="none"/>
                <w:lang w:eastAsia="zh-CN"/>
              </w:rPr>
              <w:t>工作较经验丰富</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职责分工</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rPr>
              <w:t>明确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提供较明确的执行计划表的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3分；</w:t>
            </w:r>
          </w:p>
          <w:p w14:paraId="1EA98143">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（3）人员配置基本合理、</w:t>
            </w:r>
            <w:r>
              <w:rPr>
                <w:rFonts w:hint="eastAsia" w:asciiTheme="minorEastAsia" w:hAnsiTheme="minorEastAsia" w:eastAsiaTheme="minorEastAsia" w:cstheme="minorEastAsia"/>
                <w:color w:val="auto"/>
                <w:sz w:val="24"/>
                <w:szCs w:val="24"/>
                <w:highlight w:val="none"/>
              </w:rPr>
              <w:t>项目团队</w:t>
            </w:r>
            <w:r>
              <w:rPr>
                <w:rFonts w:hint="eastAsia" w:asciiTheme="minorEastAsia" w:hAnsiTheme="minorEastAsia" w:eastAsiaTheme="minorEastAsia" w:cstheme="minorEastAsia"/>
                <w:color w:val="auto"/>
                <w:sz w:val="24"/>
                <w:szCs w:val="24"/>
                <w:highlight w:val="none"/>
                <w:lang w:eastAsia="zh-CN"/>
              </w:rPr>
              <w:t>有一定的工作经验的得</w:t>
            </w:r>
            <w:r>
              <w:rPr>
                <w:rFonts w:hint="eastAsia" w:asciiTheme="minorEastAsia" w:hAnsiTheme="minorEastAsia" w:eastAsiaTheme="minorEastAsia" w:cstheme="minorEastAsia"/>
                <w:color w:val="auto"/>
                <w:sz w:val="24"/>
                <w:szCs w:val="24"/>
                <w:highlight w:val="none"/>
                <w:lang w:val="en-US" w:eastAsia="zh-CN"/>
              </w:rPr>
              <w:t>2分；</w:t>
            </w:r>
          </w:p>
          <w:p w14:paraId="346105BC">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（4）人员配置不合理、</w:t>
            </w:r>
            <w:r>
              <w:rPr>
                <w:rFonts w:hint="eastAsia" w:asciiTheme="minorEastAsia" w:hAnsiTheme="minorEastAsia" w:eastAsiaTheme="minorEastAsia" w:cstheme="minorEastAsia"/>
                <w:color w:val="auto"/>
                <w:sz w:val="24"/>
                <w:szCs w:val="24"/>
                <w:highlight w:val="none"/>
              </w:rPr>
              <w:t>项目团队</w:t>
            </w:r>
            <w:r>
              <w:rPr>
                <w:rFonts w:hint="eastAsia" w:asciiTheme="minorEastAsia" w:hAnsiTheme="minorEastAsia" w:eastAsiaTheme="minorEastAsia" w:cstheme="minorEastAsia"/>
                <w:color w:val="auto"/>
                <w:sz w:val="24"/>
                <w:szCs w:val="24"/>
                <w:highlight w:val="none"/>
                <w:lang w:eastAsia="zh-CN"/>
              </w:rPr>
              <w:t>工作经验欠缺，分工合作欠明确的得</w:t>
            </w:r>
            <w:r>
              <w:rPr>
                <w:rFonts w:hint="eastAsia" w:asciiTheme="minorEastAsia" w:hAnsiTheme="minorEastAsia" w:eastAsiaTheme="minorEastAsia" w:cstheme="minorEastAsia"/>
                <w:color w:val="auto"/>
                <w:sz w:val="24"/>
                <w:szCs w:val="24"/>
                <w:highlight w:val="none"/>
                <w:lang w:val="en-US" w:eastAsia="zh-CN"/>
              </w:rPr>
              <w:t>1分；</w:t>
            </w:r>
          </w:p>
          <w:p w14:paraId="6463EB81">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投标人针对本项目</w:t>
            </w:r>
            <w:r>
              <w:rPr>
                <w:rFonts w:hint="eastAsia" w:asciiTheme="minorEastAsia" w:hAnsiTheme="minorEastAsia" w:eastAsiaTheme="minorEastAsia" w:cstheme="minorEastAsia"/>
                <w:b/>
                <w:bCs/>
                <w:color w:val="auto"/>
                <w:sz w:val="24"/>
                <w:szCs w:val="24"/>
                <w:highlight w:val="none"/>
              </w:rPr>
              <w:t>拟组建的主创团队人数</w:t>
            </w:r>
            <w:r>
              <w:rPr>
                <w:rFonts w:hint="eastAsia" w:asciiTheme="minorEastAsia" w:hAnsiTheme="minorEastAsia" w:eastAsiaTheme="minorEastAsia" w:cstheme="minorEastAsia"/>
                <w:b/>
                <w:bCs/>
                <w:color w:val="auto"/>
                <w:sz w:val="24"/>
                <w:szCs w:val="24"/>
                <w:highlight w:val="none"/>
                <w:lang w:eastAsia="zh-CN"/>
              </w:rPr>
              <w:t>必须</w:t>
            </w:r>
            <w:r>
              <w:rPr>
                <w:rFonts w:hint="eastAsia" w:asciiTheme="minorEastAsia" w:hAnsiTheme="minorEastAsia" w:eastAsiaTheme="minorEastAsia" w:cstheme="minorEastAsia"/>
                <w:b/>
                <w:bCs/>
                <w:color w:val="auto"/>
                <w:sz w:val="24"/>
                <w:szCs w:val="24"/>
                <w:highlight w:val="none"/>
              </w:rPr>
              <w:t>不少于15人，且均参与过</w:t>
            </w:r>
            <w:r>
              <w:rPr>
                <w:rFonts w:hint="eastAsia" w:asciiTheme="minorEastAsia" w:hAnsiTheme="minorEastAsia" w:eastAsiaTheme="minorEastAsia" w:cstheme="minorEastAsia"/>
                <w:b/>
                <w:bCs/>
                <w:color w:val="auto"/>
                <w:sz w:val="24"/>
                <w:szCs w:val="24"/>
                <w:highlight w:val="none"/>
                <w:lang w:eastAsia="zh-CN"/>
              </w:rPr>
              <w:t>省级</w:t>
            </w:r>
            <w:r>
              <w:rPr>
                <w:rFonts w:hint="eastAsia" w:asciiTheme="minorEastAsia" w:hAnsiTheme="minorEastAsia" w:eastAsiaTheme="minorEastAsia" w:cstheme="minorEastAsia"/>
                <w:b/>
                <w:bCs/>
                <w:color w:val="auto"/>
                <w:sz w:val="24"/>
                <w:szCs w:val="24"/>
                <w:highlight w:val="none"/>
              </w:rPr>
              <w:t>体育类项目开/闭幕式工作，否则</w:t>
            </w:r>
            <w:r>
              <w:rPr>
                <w:rFonts w:hint="eastAsia" w:asciiTheme="minorEastAsia" w:hAnsiTheme="minorEastAsia" w:eastAsiaTheme="minorEastAsia" w:cstheme="minorEastAsia"/>
                <w:b/>
                <w:bCs/>
                <w:color w:val="auto"/>
                <w:sz w:val="24"/>
                <w:szCs w:val="24"/>
                <w:highlight w:val="none"/>
                <w:lang w:eastAsia="zh-CN"/>
              </w:rPr>
              <w:t>本项</w:t>
            </w:r>
            <w:r>
              <w:rPr>
                <w:rFonts w:hint="eastAsia" w:asciiTheme="minorEastAsia" w:hAnsiTheme="minorEastAsia" w:eastAsiaTheme="minorEastAsia" w:cstheme="minorEastAsia"/>
                <w:b/>
                <w:bCs/>
                <w:color w:val="auto"/>
                <w:sz w:val="24"/>
                <w:szCs w:val="24"/>
                <w:highlight w:val="none"/>
              </w:rPr>
              <w:t>不得分。</w:t>
            </w:r>
          </w:p>
          <w:p w14:paraId="21EB987A">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：投标人须提供主创团队人员担任相关活动的证明文件、聘书、证书、与主办方的合同（任选其一）</w:t>
            </w:r>
            <w:r>
              <w:rPr>
                <w:rFonts w:hint="eastAsia" w:asciiTheme="minorEastAsia" w:hAnsiTheme="minorEastAsia" w:eastAsiaTheme="minorEastAsia" w:cstheme="minorEastAsia"/>
                <w:b/>
                <w:bCs/>
                <w:color w:val="auto"/>
                <w:sz w:val="24"/>
                <w:szCs w:val="24"/>
                <w:highlight w:val="none"/>
                <w:lang w:eastAsia="zh-CN"/>
              </w:rPr>
              <w:t>扫描件</w:t>
            </w:r>
            <w:r>
              <w:rPr>
                <w:rFonts w:hint="eastAsia" w:asciiTheme="minorEastAsia" w:hAnsiTheme="minorEastAsia" w:eastAsiaTheme="minorEastAsia" w:cstheme="minorEastAsia"/>
                <w:b/>
                <w:bCs/>
                <w:color w:val="auto"/>
                <w:sz w:val="24"/>
                <w:szCs w:val="24"/>
                <w:highlight w:val="none"/>
              </w:rPr>
              <w:t>并加盖公章，如以上内容无法体现关键信息，另提供主办单位出具的证明材料。同时主创团队中至少有10人提供投标</w:t>
            </w:r>
            <w:r>
              <w:rPr>
                <w:rFonts w:hint="eastAsia" w:asciiTheme="minorEastAsia" w:hAnsiTheme="minorEastAsia" w:eastAsiaTheme="minorEastAsia" w:cstheme="minorEastAsia"/>
                <w:b/>
                <w:bCs/>
                <w:color w:val="auto"/>
                <w:sz w:val="24"/>
                <w:szCs w:val="24"/>
                <w:highlight w:val="none"/>
                <w:lang w:eastAsia="zh-CN"/>
              </w:rPr>
              <w:t>人</w:t>
            </w:r>
            <w:r>
              <w:rPr>
                <w:rFonts w:hint="eastAsia" w:asciiTheme="minorEastAsia" w:hAnsiTheme="minorEastAsia" w:eastAsiaTheme="minorEastAsia" w:cstheme="minorEastAsia"/>
                <w:b/>
                <w:bCs/>
                <w:color w:val="auto"/>
                <w:sz w:val="24"/>
                <w:szCs w:val="24"/>
                <w:highlight w:val="none"/>
              </w:rPr>
              <w:t>为其缴纳的社保证明（近三个月内任意一个月）</w:t>
            </w:r>
            <w:r>
              <w:rPr>
                <w:rFonts w:hint="eastAsia" w:asciiTheme="minorEastAsia" w:hAnsiTheme="minorEastAsia" w:eastAsiaTheme="minorEastAsia" w:cstheme="minorEastAsia"/>
                <w:b/>
                <w:bCs/>
                <w:color w:val="auto"/>
                <w:sz w:val="24"/>
                <w:szCs w:val="24"/>
                <w:highlight w:val="none"/>
                <w:lang w:eastAsia="zh-CN"/>
              </w:rPr>
              <w:t>扫描件</w:t>
            </w:r>
            <w:r>
              <w:rPr>
                <w:rFonts w:hint="eastAsia" w:asciiTheme="minorEastAsia" w:hAnsiTheme="minorEastAsia" w:eastAsiaTheme="minorEastAsia" w:cstheme="minorEastAsia"/>
                <w:b/>
                <w:bCs/>
                <w:color w:val="auto"/>
                <w:sz w:val="24"/>
                <w:szCs w:val="24"/>
                <w:highlight w:val="none"/>
              </w:rPr>
              <w:t>并加盖公章。未提供或提供不全的，不得分。</w:t>
            </w:r>
          </w:p>
        </w:tc>
        <w:tc>
          <w:tcPr>
            <w:tcW w:w="468" w:type="dxa"/>
            <w:shd w:val="clear" w:color="auto" w:fill="auto"/>
            <w:vAlign w:val="center"/>
          </w:tcPr>
          <w:p w14:paraId="2A1C09C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r>
      <w:tr w14:paraId="0212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7" w:hRule="atLeast"/>
          <w:jc w:val="center"/>
        </w:trPr>
        <w:tc>
          <w:tcPr>
            <w:tcW w:w="492" w:type="dxa"/>
            <w:shd w:val="clear" w:color="auto" w:fill="auto"/>
            <w:vAlign w:val="center"/>
          </w:tcPr>
          <w:p w14:paraId="3E133DB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921" w:type="dxa"/>
            <w:vMerge w:val="continue"/>
            <w:shd w:val="clear" w:color="auto" w:fill="auto"/>
            <w:vAlign w:val="center"/>
          </w:tcPr>
          <w:p w14:paraId="17292433">
            <w:pPr>
              <w:pStyle w:val="10"/>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24914D2C">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供应商拟派至本项目的总导演：</w:t>
            </w:r>
          </w:p>
          <w:p w14:paraId="027B14B7">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①担任过省级体育类项目开、闭幕式总导演</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每</w:t>
            </w:r>
            <w:r>
              <w:rPr>
                <w:rFonts w:hint="eastAsia" w:asciiTheme="minorEastAsia" w:hAnsiTheme="minorEastAsia" w:eastAsiaTheme="minorEastAsia" w:cstheme="minorEastAsia"/>
                <w:color w:val="auto"/>
                <w:sz w:val="24"/>
                <w:szCs w:val="24"/>
                <w:highlight w:val="none"/>
              </w:rPr>
              <w:t>担任过1次得1分；无相关经验，得0分；</w:t>
            </w:r>
          </w:p>
          <w:p w14:paraId="08AB43EB">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②担任过国家级及以上体育类项目开、闭幕式总导演的，</w:t>
            </w:r>
            <w:r>
              <w:rPr>
                <w:rFonts w:hint="eastAsia" w:asciiTheme="minorEastAsia" w:hAnsiTheme="minorEastAsia" w:eastAsiaTheme="minorEastAsia" w:cstheme="minorEastAsia"/>
                <w:color w:val="auto"/>
                <w:sz w:val="24"/>
                <w:szCs w:val="24"/>
                <w:highlight w:val="none"/>
                <w:lang w:eastAsia="zh-CN"/>
              </w:rPr>
              <w:t>每</w:t>
            </w:r>
            <w:r>
              <w:rPr>
                <w:rFonts w:hint="eastAsia" w:asciiTheme="minorEastAsia" w:hAnsiTheme="minorEastAsia" w:eastAsiaTheme="minorEastAsia" w:cstheme="minorEastAsia"/>
                <w:color w:val="auto"/>
                <w:sz w:val="24"/>
                <w:szCs w:val="24"/>
                <w:highlight w:val="none"/>
              </w:rPr>
              <w:t>担任过1次得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分；无相关经验，得0分；</w:t>
            </w:r>
          </w:p>
          <w:p w14:paraId="5B010CBC">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本项最高得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78821930">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注：投标人须提供上述人员担任相关活动总导演证明文件、聘书、证书（任选其一）</w:t>
            </w:r>
            <w:r>
              <w:rPr>
                <w:rFonts w:hint="eastAsia" w:asciiTheme="minorEastAsia" w:hAnsiTheme="minorEastAsia" w:eastAsiaTheme="minorEastAsia" w:cstheme="minorEastAsia"/>
                <w:b/>
                <w:bCs/>
                <w:color w:val="auto"/>
                <w:sz w:val="24"/>
                <w:szCs w:val="24"/>
                <w:highlight w:val="none"/>
                <w:lang w:eastAsia="zh-CN"/>
              </w:rPr>
              <w:t>扫描</w:t>
            </w:r>
            <w:r>
              <w:rPr>
                <w:rFonts w:hint="eastAsia" w:asciiTheme="minorEastAsia" w:hAnsiTheme="minorEastAsia" w:eastAsiaTheme="minorEastAsia" w:cstheme="minorEastAsia"/>
                <w:b/>
                <w:bCs/>
                <w:color w:val="auto"/>
                <w:sz w:val="24"/>
                <w:szCs w:val="24"/>
                <w:highlight w:val="none"/>
              </w:rPr>
              <w:t>件并加盖公章。</w:t>
            </w:r>
            <w:r>
              <w:rPr>
                <w:rFonts w:hint="eastAsia" w:asciiTheme="minorEastAsia" w:hAnsiTheme="minorEastAsia" w:eastAsiaTheme="minorEastAsia" w:cstheme="minorEastAsia"/>
                <w:b/>
                <w:bCs/>
                <w:strike w:val="0"/>
                <w:dstrike w:val="0"/>
                <w:color w:val="auto"/>
                <w:sz w:val="24"/>
                <w:szCs w:val="24"/>
                <w:highlight w:val="none"/>
                <w:u w:val="none"/>
                <w:shd w:val="clear" w:color="auto" w:fill="auto"/>
              </w:rPr>
              <w:t>同时提供投标单位为其缴纳的社保证明（近三个月内任意一个月）</w:t>
            </w:r>
            <w:r>
              <w:rPr>
                <w:rFonts w:hint="eastAsia" w:asciiTheme="minorEastAsia" w:hAnsiTheme="minorEastAsia" w:eastAsiaTheme="minorEastAsia" w:cstheme="minorEastAsia"/>
                <w:b/>
                <w:bCs/>
                <w:strike w:val="0"/>
                <w:dstrike w:val="0"/>
                <w:color w:val="auto"/>
                <w:sz w:val="24"/>
                <w:szCs w:val="24"/>
                <w:highlight w:val="none"/>
                <w:u w:val="none"/>
                <w:shd w:val="clear" w:color="auto" w:fill="auto"/>
                <w:lang w:eastAsia="zh-CN"/>
              </w:rPr>
              <w:t>扫描</w:t>
            </w:r>
            <w:r>
              <w:rPr>
                <w:rFonts w:hint="eastAsia" w:asciiTheme="minorEastAsia" w:hAnsiTheme="minorEastAsia" w:eastAsiaTheme="minorEastAsia" w:cstheme="minorEastAsia"/>
                <w:b/>
                <w:bCs/>
                <w:strike w:val="0"/>
                <w:dstrike w:val="0"/>
                <w:color w:val="auto"/>
                <w:sz w:val="24"/>
                <w:szCs w:val="24"/>
                <w:highlight w:val="none"/>
                <w:u w:val="none"/>
                <w:shd w:val="clear" w:color="auto" w:fill="auto"/>
              </w:rPr>
              <w:t>件并加盖公章。</w:t>
            </w:r>
          </w:p>
        </w:tc>
        <w:tc>
          <w:tcPr>
            <w:tcW w:w="468" w:type="dxa"/>
            <w:shd w:val="clear" w:color="auto" w:fill="auto"/>
            <w:vAlign w:val="center"/>
          </w:tcPr>
          <w:p w14:paraId="21F2944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r>
      <w:tr w14:paraId="5E0C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 w:hRule="atLeast"/>
          <w:jc w:val="center"/>
        </w:trPr>
        <w:tc>
          <w:tcPr>
            <w:tcW w:w="492" w:type="dxa"/>
            <w:shd w:val="clear" w:color="auto" w:fill="auto"/>
            <w:vAlign w:val="center"/>
          </w:tcPr>
          <w:p w14:paraId="1D1830EF">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921" w:type="dxa"/>
            <w:vMerge w:val="continue"/>
            <w:shd w:val="clear" w:color="auto" w:fill="auto"/>
            <w:vAlign w:val="center"/>
          </w:tcPr>
          <w:p w14:paraId="021C67DA">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720A0F37">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提供演职人员管理方案，包括但不限于演职人员来源、分组计划、职责分工、管理措施进行评审。</w:t>
            </w:r>
          </w:p>
          <w:p w14:paraId="22BB5C06">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管理方案科学合理、可行性高</w:t>
            </w:r>
            <w:r>
              <w:rPr>
                <w:rFonts w:hint="eastAsia" w:asciiTheme="minorEastAsia" w:hAnsiTheme="minorEastAsia" w:eastAsiaTheme="minorEastAsia" w:cstheme="minorEastAsia"/>
                <w:color w:val="auto"/>
                <w:sz w:val="24"/>
                <w:szCs w:val="24"/>
                <w:highlight w:val="none"/>
                <w:lang w:eastAsia="zh-CN"/>
              </w:rPr>
              <w:t>、人员</w:t>
            </w:r>
            <w:r>
              <w:rPr>
                <w:rFonts w:hint="eastAsia" w:asciiTheme="minorEastAsia" w:hAnsiTheme="minorEastAsia" w:eastAsiaTheme="minorEastAsia" w:cstheme="minorEastAsia"/>
                <w:color w:val="auto"/>
                <w:sz w:val="24"/>
                <w:szCs w:val="24"/>
                <w:highlight w:val="none"/>
              </w:rPr>
              <w:t>职责分工</w:t>
            </w:r>
            <w:r>
              <w:rPr>
                <w:rFonts w:hint="eastAsia" w:asciiTheme="minorEastAsia" w:hAnsiTheme="minorEastAsia" w:eastAsiaTheme="minorEastAsia" w:cstheme="minorEastAsia"/>
                <w:color w:val="auto"/>
                <w:sz w:val="24"/>
                <w:szCs w:val="24"/>
                <w:highlight w:val="none"/>
                <w:lang w:eastAsia="zh-CN"/>
              </w:rPr>
              <w:t>明确</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14:paraId="1C3EB468">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rPr>
              <w:t>管理方案比较科学合理、可行性较高</w:t>
            </w:r>
            <w:r>
              <w:rPr>
                <w:rFonts w:hint="eastAsia" w:asciiTheme="minorEastAsia" w:hAnsiTheme="minorEastAsia" w:eastAsiaTheme="minorEastAsia" w:cstheme="minorEastAsia"/>
                <w:color w:val="auto"/>
                <w:sz w:val="24"/>
                <w:szCs w:val="24"/>
                <w:highlight w:val="none"/>
                <w:lang w:eastAsia="zh-CN"/>
              </w:rPr>
              <w:t>、人员</w:t>
            </w:r>
            <w:r>
              <w:rPr>
                <w:rFonts w:hint="eastAsia" w:asciiTheme="minorEastAsia" w:hAnsiTheme="minorEastAsia" w:eastAsiaTheme="minorEastAsia" w:cstheme="minorEastAsia"/>
                <w:color w:val="auto"/>
                <w:sz w:val="24"/>
                <w:szCs w:val="24"/>
                <w:highlight w:val="none"/>
              </w:rPr>
              <w:t>职责分工</w:t>
            </w:r>
            <w:r>
              <w:rPr>
                <w:rFonts w:hint="eastAsia" w:asciiTheme="minorEastAsia" w:hAnsiTheme="minorEastAsia" w:eastAsiaTheme="minorEastAsia" w:cstheme="minorEastAsia"/>
                <w:color w:val="auto"/>
                <w:sz w:val="24"/>
                <w:szCs w:val="24"/>
                <w:highlight w:val="none"/>
                <w:lang w:eastAsia="zh-CN"/>
              </w:rPr>
              <w:t>较明确的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4B70E36E">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管理方案科学性合理性一般得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68BDBF0E">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未提供不得分</w:t>
            </w:r>
            <w:r>
              <w:rPr>
                <w:rFonts w:hint="eastAsia" w:asciiTheme="minorEastAsia" w:hAnsiTheme="minorEastAsia" w:eastAsiaTheme="minorEastAsia" w:cstheme="minorEastAsia"/>
                <w:color w:val="auto"/>
                <w:sz w:val="24"/>
                <w:szCs w:val="24"/>
                <w:highlight w:val="none"/>
                <w:lang w:eastAsia="zh-CN"/>
              </w:rPr>
              <w:t>。</w:t>
            </w:r>
          </w:p>
        </w:tc>
        <w:tc>
          <w:tcPr>
            <w:tcW w:w="468" w:type="dxa"/>
            <w:shd w:val="clear" w:color="auto" w:fill="auto"/>
            <w:vAlign w:val="center"/>
          </w:tcPr>
          <w:p w14:paraId="2994F85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r w14:paraId="7091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 w:hRule="atLeast"/>
          <w:jc w:val="center"/>
        </w:trPr>
        <w:tc>
          <w:tcPr>
            <w:tcW w:w="492" w:type="dxa"/>
            <w:shd w:val="clear" w:color="auto" w:fill="auto"/>
            <w:vAlign w:val="center"/>
          </w:tcPr>
          <w:p w14:paraId="2FEC0F1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p>
        </w:tc>
        <w:tc>
          <w:tcPr>
            <w:tcW w:w="921" w:type="dxa"/>
            <w:vMerge w:val="restart"/>
            <w:shd w:val="clear" w:color="auto" w:fill="auto"/>
            <w:vAlign w:val="center"/>
          </w:tcPr>
          <w:p w14:paraId="218E2BC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时尚科技体育嘉年华</w:t>
            </w:r>
            <w:r>
              <w:rPr>
                <w:rFonts w:hint="eastAsia" w:asciiTheme="minorEastAsia" w:hAnsiTheme="minorEastAsia" w:eastAsiaTheme="minorEastAsia" w:cstheme="minorEastAsia"/>
                <w:color w:val="auto"/>
                <w:kern w:val="2"/>
                <w:sz w:val="24"/>
                <w:szCs w:val="24"/>
                <w:highlight w:val="none"/>
                <w:lang w:val="en-US" w:eastAsia="zh-CN" w:bidi="ar-SA"/>
              </w:rPr>
              <w:t>策划创意设计</w:t>
            </w:r>
          </w:p>
        </w:tc>
        <w:tc>
          <w:tcPr>
            <w:tcW w:w="7340" w:type="dxa"/>
            <w:shd w:val="clear" w:color="auto" w:fill="auto"/>
            <w:vAlign w:val="center"/>
          </w:tcPr>
          <w:p w14:paraId="7FB7B9C4">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提供的</w:t>
            </w:r>
            <w:r>
              <w:rPr>
                <w:rFonts w:hint="eastAsia" w:asciiTheme="minorEastAsia" w:hAnsiTheme="minorEastAsia" w:eastAsiaTheme="minorEastAsia" w:cstheme="minorEastAsia"/>
                <w:b/>
                <w:bCs/>
                <w:color w:val="auto"/>
                <w:sz w:val="24"/>
                <w:szCs w:val="24"/>
                <w:highlight w:val="none"/>
                <w:lang w:eastAsia="zh-CN"/>
              </w:rPr>
              <w:t>时尚科技体育嘉年华</w:t>
            </w:r>
            <w:r>
              <w:rPr>
                <w:rFonts w:hint="eastAsia" w:asciiTheme="minorEastAsia" w:hAnsiTheme="minorEastAsia" w:eastAsiaTheme="minorEastAsia" w:cstheme="minorEastAsia"/>
                <w:b/>
                <w:bCs/>
                <w:color w:val="auto"/>
                <w:kern w:val="2"/>
                <w:sz w:val="24"/>
                <w:szCs w:val="24"/>
                <w:highlight w:val="none"/>
                <w:lang w:val="en-US" w:eastAsia="zh-CN" w:bidi="ar-SA"/>
              </w:rPr>
              <w:t>策划创意设计方案与开闭幕式策划创意设计方案的契合度等方面</w:t>
            </w:r>
            <w:r>
              <w:rPr>
                <w:rFonts w:hint="eastAsia" w:asciiTheme="minorEastAsia" w:hAnsiTheme="minorEastAsia" w:eastAsiaTheme="minorEastAsia" w:cstheme="minorEastAsia"/>
                <w:b/>
                <w:bCs/>
                <w:color w:val="auto"/>
                <w:sz w:val="24"/>
                <w:szCs w:val="24"/>
                <w:highlight w:val="none"/>
              </w:rPr>
              <w:t>进行评审</w:t>
            </w:r>
            <w:r>
              <w:rPr>
                <w:rFonts w:hint="eastAsia" w:asciiTheme="minorEastAsia" w:hAnsiTheme="minorEastAsia" w:eastAsiaTheme="minorEastAsia" w:cstheme="minorEastAsia"/>
                <w:b/>
                <w:bCs/>
                <w:color w:val="auto"/>
                <w:sz w:val="24"/>
                <w:szCs w:val="24"/>
                <w:highlight w:val="none"/>
                <w:lang w:eastAsia="zh-CN"/>
              </w:rPr>
              <w:t>。</w:t>
            </w:r>
          </w:p>
          <w:p w14:paraId="01608172">
            <w:pPr>
              <w:keepNext w:val="0"/>
              <w:keepLines w:val="0"/>
              <w:pageBreakBefore w:val="0"/>
              <w:widowControl w:val="0"/>
              <w:numPr>
                <w:ilvl w:val="0"/>
                <w:numId w:val="6"/>
              </w:numPr>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契合度高，流程规范有序得2分；</w:t>
            </w:r>
          </w:p>
          <w:p w14:paraId="31A58331">
            <w:pPr>
              <w:keepNext w:val="0"/>
              <w:keepLines w:val="0"/>
              <w:pageBreakBefore w:val="0"/>
              <w:widowControl w:val="0"/>
              <w:numPr>
                <w:ilvl w:val="0"/>
                <w:numId w:val="6"/>
              </w:numPr>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契合度一般，流程规范欠佳得1分；</w:t>
            </w:r>
          </w:p>
          <w:p w14:paraId="06930D96">
            <w:pPr>
              <w:keepNext w:val="0"/>
              <w:keepLines w:val="0"/>
              <w:pageBreakBefore w:val="0"/>
              <w:widowControl w:val="0"/>
              <w:numPr>
                <w:ilvl w:val="0"/>
                <w:numId w:val="6"/>
              </w:numPr>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方案欠妥可行性较差的得0.5分；</w:t>
            </w:r>
          </w:p>
          <w:p w14:paraId="1953EE0A">
            <w:pPr>
              <w:keepNext w:val="0"/>
              <w:keepLines w:val="0"/>
              <w:pageBreakBefore w:val="0"/>
              <w:widowControl w:val="0"/>
              <w:numPr>
                <w:ilvl w:val="0"/>
                <w:numId w:val="6"/>
              </w:numPr>
              <w:kinsoku/>
              <w:wordWrap/>
              <w:overflowPunct/>
              <w:topLinePunct w:val="0"/>
              <w:autoSpaceDE/>
              <w:autoSpaceDN/>
              <w:bidi w:val="0"/>
              <w:adjustRightInd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kern w:val="2"/>
                <w:sz w:val="24"/>
                <w:szCs w:val="24"/>
                <w:highlight w:val="none"/>
                <w:lang w:val="en-US" w:eastAsia="zh-CN" w:bidi="ar-SA"/>
              </w:rPr>
              <w:t>未提供不得分。</w:t>
            </w:r>
          </w:p>
        </w:tc>
        <w:tc>
          <w:tcPr>
            <w:tcW w:w="468" w:type="dxa"/>
            <w:shd w:val="clear" w:color="auto" w:fill="auto"/>
            <w:vAlign w:val="center"/>
          </w:tcPr>
          <w:p w14:paraId="12D5CA0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r>
      <w:tr w14:paraId="387C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7" w:hRule="atLeast"/>
          <w:jc w:val="center"/>
        </w:trPr>
        <w:tc>
          <w:tcPr>
            <w:tcW w:w="492" w:type="dxa"/>
            <w:shd w:val="clear" w:color="auto" w:fill="auto"/>
            <w:vAlign w:val="center"/>
          </w:tcPr>
          <w:p w14:paraId="33FB08F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921" w:type="dxa"/>
            <w:vMerge w:val="continue"/>
            <w:shd w:val="clear" w:color="auto" w:fill="auto"/>
            <w:vAlign w:val="center"/>
          </w:tcPr>
          <w:p w14:paraId="150F2C9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2B0113EC">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提供的</w:t>
            </w:r>
            <w:r>
              <w:rPr>
                <w:rFonts w:hint="eastAsia" w:asciiTheme="minorEastAsia" w:hAnsiTheme="minorEastAsia" w:eastAsiaTheme="minorEastAsia" w:cstheme="minorEastAsia"/>
                <w:b/>
                <w:bCs/>
                <w:color w:val="auto"/>
                <w:sz w:val="24"/>
                <w:szCs w:val="24"/>
                <w:highlight w:val="none"/>
                <w:lang w:val="en-US" w:eastAsia="zh-CN" w:bidi="ar"/>
              </w:rPr>
              <w:t>赛事活动安排方案</w:t>
            </w:r>
            <w:r>
              <w:rPr>
                <w:rFonts w:hint="eastAsia" w:asciiTheme="minorEastAsia" w:hAnsiTheme="minorEastAsia" w:eastAsiaTheme="minorEastAsia" w:cstheme="minorEastAsia"/>
                <w:b/>
                <w:bCs/>
                <w:color w:val="auto"/>
                <w:sz w:val="24"/>
                <w:szCs w:val="24"/>
                <w:highlight w:val="none"/>
              </w:rPr>
              <w:t>进行评审</w:t>
            </w:r>
            <w:r>
              <w:rPr>
                <w:rFonts w:hint="eastAsia" w:asciiTheme="minorEastAsia" w:hAnsiTheme="minorEastAsia" w:eastAsiaTheme="minorEastAsia" w:cstheme="minorEastAsia"/>
                <w:b/>
                <w:bCs/>
                <w:color w:val="auto"/>
                <w:sz w:val="24"/>
                <w:szCs w:val="24"/>
                <w:highlight w:val="none"/>
                <w:lang w:eastAsia="zh-CN"/>
              </w:rPr>
              <w:t>。</w:t>
            </w:r>
          </w:p>
          <w:p w14:paraId="5465FD01">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snapToGrid w:val="0"/>
                <w:color w:val="auto"/>
                <w:sz w:val="24"/>
                <w:szCs w:val="24"/>
                <w:highlight w:val="none"/>
                <w:lang w:eastAsia="zh-CN"/>
              </w:rPr>
            </w:pPr>
            <w:r>
              <w:rPr>
                <w:rFonts w:hint="eastAsia" w:asciiTheme="minorEastAsia" w:hAnsiTheme="minorEastAsia" w:eastAsiaTheme="minorEastAsia" w:cstheme="minorEastAsia"/>
                <w:b w:val="0"/>
                <w:bCs w:val="0"/>
                <w:snapToGrid w:val="0"/>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方案</w:t>
            </w:r>
            <w:r>
              <w:rPr>
                <w:rFonts w:hint="eastAsia" w:asciiTheme="minorEastAsia" w:hAnsiTheme="minorEastAsia" w:eastAsiaTheme="minorEastAsia" w:cstheme="minorEastAsia"/>
                <w:b w:val="0"/>
                <w:bCs w:val="0"/>
                <w:color w:val="auto"/>
                <w:sz w:val="24"/>
                <w:szCs w:val="24"/>
                <w:highlight w:val="none"/>
              </w:rPr>
              <w:t>详细、规划合理、可操作性强，</w:t>
            </w:r>
            <w:r>
              <w:rPr>
                <w:rFonts w:hint="eastAsia" w:asciiTheme="minorEastAsia" w:hAnsiTheme="minorEastAsia" w:eastAsiaTheme="minorEastAsia" w:cstheme="minorEastAsia"/>
                <w:b w:val="0"/>
                <w:bCs w:val="0"/>
                <w:snapToGrid w:val="0"/>
                <w:color w:val="auto"/>
                <w:sz w:val="24"/>
                <w:szCs w:val="24"/>
                <w:highlight w:val="none"/>
              </w:rPr>
              <w:t>保障措施完善可行、计划安排周密的得</w:t>
            </w:r>
            <w:r>
              <w:rPr>
                <w:rFonts w:hint="eastAsia" w:asciiTheme="minorEastAsia" w:hAnsiTheme="minorEastAsia" w:eastAsiaTheme="minorEastAsia" w:cstheme="minorEastAsia"/>
                <w:b w:val="0"/>
                <w:bCs w:val="0"/>
                <w:snapToGrid w:val="0"/>
                <w:color w:val="auto"/>
                <w:sz w:val="24"/>
                <w:szCs w:val="24"/>
                <w:highlight w:val="none"/>
                <w:lang w:val="en-US" w:eastAsia="zh-CN"/>
              </w:rPr>
              <w:t>5</w:t>
            </w:r>
            <w:r>
              <w:rPr>
                <w:rFonts w:hint="eastAsia" w:asciiTheme="minorEastAsia" w:hAnsiTheme="minorEastAsia" w:eastAsiaTheme="minorEastAsia" w:cstheme="minorEastAsia"/>
                <w:b w:val="0"/>
                <w:bCs w:val="0"/>
                <w:snapToGrid w:val="0"/>
                <w:color w:val="auto"/>
                <w:sz w:val="24"/>
                <w:szCs w:val="24"/>
                <w:highlight w:val="none"/>
              </w:rPr>
              <w:t>分</w:t>
            </w:r>
            <w:r>
              <w:rPr>
                <w:rFonts w:hint="eastAsia" w:asciiTheme="minorEastAsia" w:hAnsiTheme="minorEastAsia" w:eastAsiaTheme="minorEastAsia" w:cstheme="minorEastAsia"/>
                <w:b w:val="0"/>
                <w:bCs w:val="0"/>
                <w:snapToGrid w:val="0"/>
                <w:color w:val="auto"/>
                <w:sz w:val="24"/>
                <w:szCs w:val="24"/>
                <w:highlight w:val="none"/>
                <w:lang w:eastAsia="zh-CN"/>
              </w:rPr>
              <w:t>；</w:t>
            </w:r>
          </w:p>
          <w:p w14:paraId="5839FF0C">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b w:val="0"/>
                <w:bCs w:val="0"/>
                <w:snapToGrid w:val="0"/>
                <w:color w:val="auto"/>
                <w:sz w:val="24"/>
                <w:szCs w:val="24"/>
                <w:highlight w:val="none"/>
                <w:lang w:val="en-US" w:eastAsia="zh-CN"/>
              </w:rPr>
              <w:t>方案普通，保障措施不够完善，计划安排得当的得3分；</w:t>
            </w:r>
          </w:p>
          <w:p w14:paraId="067C212E">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b w:val="0"/>
                <w:bCs w:val="0"/>
                <w:snapToGrid w:val="0"/>
                <w:color w:val="auto"/>
                <w:sz w:val="24"/>
                <w:szCs w:val="24"/>
                <w:highlight w:val="none"/>
                <w:lang w:val="en-US" w:eastAsia="zh-CN"/>
              </w:rPr>
              <w:t>方案欠妥可行性较差的得1分</w:t>
            </w:r>
            <w:r>
              <w:rPr>
                <w:rFonts w:hint="eastAsia" w:asciiTheme="minorEastAsia" w:hAnsiTheme="minorEastAsia" w:eastAsiaTheme="minorEastAsia" w:cstheme="minorEastAsia"/>
                <w:b w:val="0"/>
                <w:bCs w:val="0"/>
                <w:snapToGrid w:val="0"/>
                <w:color w:val="auto"/>
                <w:sz w:val="24"/>
                <w:szCs w:val="24"/>
                <w:highlight w:val="none"/>
                <w:lang w:eastAsia="zh-CN"/>
              </w:rPr>
              <w:t>；</w:t>
            </w:r>
          </w:p>
          <w:p w14:paraId="7CF92025">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b w:val="0"/>
                <w:bCs w:val="0"/>
                <w:snapToGrid w:val="0"/>
                <w:color w:val="auto"/>
                <w:sz w:val="24"/>
                <w:szCs w:val="24"/>
                <w:highlight w:val="none"/>
                <w:lang w:val="en-US" w:eastAsia="zh-CN"/>
              </w:rPr>
              <w:t>未提供不得分</w:t>
            </w:r>
            <w:r>
              <w:rPr>
                <w:rFonts w:hint="eastAsia" w:asciiTheme="minorEastAsia" w:hAnsiTheme="minorEastAsia" w:eastAsiaTheme="minorEastAsia" w:cstheme="minorEastAsia"/>
                <w:b w:val="0"/>
                <w:bCs w:val="0"/>
                <w:color w:val="auto"/>
                <w:kern w:val="0"/>
                <w:sz w:val="24"/>
                <w:szCs w:val="24"/>
                <w:highlight w:val="none"/>
              </w:rPr>
              <w:t>。</w:t>
            </w:r>
          </w:p>
        </w:tc>
        <w:tc>
          <w:tcPr>
            <w:tcW w:w="468" w:type="dxa"/>
            <w:shd w:val="clear" w:color="auto" w:fill="auto"/>
            <w:vAlign w:val="center"/>
          </w:tcPr>
          <w:p w14:paraId="25088DE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3045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 w:hRule="atLeast"/>
          <w:jc w:val="center"/>
        </w:trPr>
        <w:tc>
          <w:tcPr>
            <w:tcW w:w="492" w:type="dxa"/>
            <w:shd w:val="clear" w:color="auto" w:fill="auto"/>
            <w:vAlign w:val="center"/>
          </w:tcPr>
          <w:p w14:paraId="0E4732AC">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921" w:type="dxa"/>
            <w:vMerge w:val="continue"/>
            <w:shd w:val="clear" w:color="auto" w:fill="auto"/>
            <w:vAlign w:val="center"/>
          </w:tcPr>
          <w:p w14:paraId="3DD9112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1D6899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提供的</w:t>
            </w:r>
            <w:r>
              <w:rPr>
                <w:rFonts w:hint="eastAsia" w:asciiTheme="minorEastAsia" w:hAnsiTheme="minorEastAsia" w:eastAsiaTheme="minorEastAsia" w:cstheme="minorEastAsia"/>
                <w:b/>
                <w:bCs/>
                <w:color w:val="auto"/>
                <w:kern w:val="2"/>
                <w:sz w:val="24"/>
                <w:szCs w:val="24"/>
                <w:highlight w:val="none"/>
                <w:lang w:val="en-US" w:eastAsia="zh-CN" w:bidi="ar-SA"/>
              </w:rPr>
              <w:t>配套市集方案</w:t>
            </w:r>
            <w:r>
              <w:rPr>
                <w:rFonts w:hint="eastAsia" w:asciiTheme="minorEastAsia" w:hAnsiTheme="minorEastAsia" w:eastAsiaTheme="minorEastAsia" w:cstheme="minorEastAsia"/>
                <w:b/>
                <w:bCs/>
                <w:color w:val="auto"/>
                <w:sz w:val="24"/>
                <w:szCs w:val="24"/>
                <w:highlight w:val="none"/>
              </w:rPr>
              <w:t>进行评审</w:t>
            </w:r>
            <w:r>
              <w:rPr>
                <w:rFonts w:hint="eastAsia" w:asciiTheme="minorEastAsia" w:hAnsiTheme="minorEastAsia" w:eastAsiaTheme="minorEastAsia" w:cstheme="minorEastAsia"/>
                <w:b/>
                <w:bCs/>
                <w:color w:val="auto"/>
                <w:sz w:val="24"/>
                <w:szCs w:val="24"/>
                <w:highlight w:val="none"/>
                <w:lang w:eastAsia="zh-CN"/>
              </w:rPr>
              <w:t>。</w:t>
            </w:r>
          </w:p>
          <w:p w14:paraId="2BC74010">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方案详细、规划合理、可操作性强，保障措施完善可行、计划安排周密的得4分；</w:t>
            </w:r>
          </w:p>
          <w:p w14:paraId="035AE50F">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Hans"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方案普通，保障措施不够完善，计划安排得当的得2分；</w:t>
            </w:r>
          </w:p>
          <w:p w14:paraId="38B96430">
            <w:pPr>
              <w:keepNext w:val="0"/>
              <w:keepLines w:val="0"/>
              <w:pageBreakBefore w:val="0"/>
              <w:widowControl w:val="0"/>
              <w:numPr>
                <w:ilvl w:val="0"/>
                <w:numId w:val="7"/>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Hans"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未提供不得分。</w:t>
            </w:r>
          </w:p>
        </w:tc>
        <w:tc>
          <w:tcPr>
            <w:tcW w:w="468" w:type="dxa"/>
            <w:shd w:val="clear" w:color="auto" w:fill="auto"/>
            <w:vAlign w:val="center"/>
          </w:tcPr>
          <w:p w14:paraId="388D5B3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r>
      <w:tr w14:paraId="41F1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jc w:val="center"/>
        </w:trPr>
        <w:tc>
          <w:tcPr>
            <w:tcW w:w="492" w:type="dxa"/>
            <w:vMerge w:val="restart"/>
            <w:shd w:val="clear" w:color="auto" w:fill="auto"/>
            <w:vAlign w:val="center"/>
          </w:tcPr>
          <w:p w14:paraId="19925C4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921" w:type="dxa"/>
            <w:vMerge w:val="restart"/>
            <w:shd w:val="clear" w:color="auto" w:fill="auto"/>
            <w:vAlign w:val="center"/>
          </w:tcPr>
          <w:p w14:paraId="6A8F698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服务接待</w:t>
            </w:r>
          </w:p>
        </w:tc>
        <w:tc>
          <w:tcPr>
            <w:tcW w:w="7340" w:type="dxa"/>
            <w:shd w:val="clear" w:color="auto" w:fill="auto"/>
            <w:vAlign w:val="center"/>
          </w:tcPr>
          <w:p w14:paraId="7AAD1CD1">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供应商针对接送站、引导人员的数量安排、人员具体划分、岗位培训、着装统一、能力要求等进行评审。</w:t>
            </w:r>
          </w:p>
          <w:p w14:paraId="14C77435">
            <w:pPr>
              <w:keepNext w:val="0"/>
              <w:keepLines w:val="0"/>
              <w:pageBreakBefore w:val="0"/>
              <w:widowControl w:val="0"/>
              <w:numPr>
                <w:ilvl w:val="0"/>
                <w:numId w:val="8"/>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提供随车服务人员、酒店与活动场馆引导人员，且人员配备</w:t>
            </w:r>
            <w:r>
              <w:rPr>
                <w:rFonts w:hint="eastAsia" w:asciiTheme="minorEastAsia" w:hAnsiTheme="minorEastAsia" w:eastAsiaTheme="minorEastAsia" w:cstheme="minorEastAsia"/>
                <w:color w:val="auto"/>
                <w:sz w:val="24"/>
                <w:szCs w:val="24"/>
                <w:highlight w:val="none"/>
              </w:rPr>
              <w:t>科学合理可操作性强的得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744F6577">
            <w:pPr>
              <w:keepNext w:val="0"/>
              <w:keepLines w:val="0"/>
              <w:pageBreakBefore w:val="0"/>
              <w:widowControl w:val="0"/>
              <w:numPr>
                <w:ilvl w:val="0"/>
                <w:numId w:val="8"/>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提供随车服务人员、酒店与活动场馆引导人员，且人员配备基本</w:t>
            </w:r>
            <w:r>
              <w:rPr>
                <w:rFonts w:hint="eastAsia" w:asciiTheme="minorEastAsia" w:hAnsiTheme="minorEastAsia" w:eastAsiaTheme="minorEastAsia" w:cstheme="minorEastAsia"/>
                <w:color w:val="auto"/>
                <w:sz w:val="24"/>
                <w:szCs w:val="24"/>
                <w:highlight w:val="none"/>
              </w:rPr>
              <w:t>科学合理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eastAsia="zh-CN"/>
              </w:rPr>
              <w:t>一般</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500BB1E4">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b w:val="0"/>
                <w:bCs w:val="0"/>
                <w:color w:val="auto"/>
                <w:kern w:val="2"/>
                <w:sz w:val="24"/>
                <w:szCs w:val="24"/>
                <w:highlight w:val="none"/>
                <w:lang w:val="en-US" w:eastAsia="zh-CN" w:bidi="ar-SA"/>
              </w:rPr>
              <w:t>未提供不得分。</w:t>
            </w:r>
          </w:p>
        </w:tc>
        <w:tc>
          <w:tcPr>
            <w:tcW w:w="468" w:type="dxa"/>
            <w:shd w:val="clear" w:color="auto" w:fill="auto"/>
            <w:vAlign w:val="center"/>
          </w:tcPr>
          <w:p w14:paraId="082146C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2</w:t>
            </w:r>
          </w:p>
        </w:tc>
      </w:tr>
      <w:tr w14:paraId="4DC5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3" w:hRule="atLeast"/>
          <w:jc w:val="center"/>
        </w:trPr>
        <w:tc>
          <w:tcPr>
            <w:tcW w:w="492" w:type="dxa"/>
            <w:vMerge w:val="continue"/>
            <w:shd w:val="clear" w:color="auto" w:fill="auto"/>
            <w:vAlign w:val="center"/>
          </w:tcPr>
          <w:p w14:paraId="43E8D67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921" w:type="dxa"/>
            <w:vMerge w:val="continue"/>
            <w:shd w:val="clear" w:color="auto" w:fill="auto"/>
            <w:vAlign w:val="center"/>
          </w:tcPr>
          <w:p w14:paraId="7ACA82E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40" w:type="dxa"/>
            <w:shd w:val="clear" w:color="auto" w:fill="auto"/>
            <w:vAlign w:val="center"/>
          </w:tcPr>
          <w:p w14:paraId="156A618F">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供应商所提供住宿（酒店类型、客房数量、设施设备配备情况、距离情况）、餐饮服务（餐标情况、场地安排、整体环境）等进行评审。</w:t>
            </w:r>
          </w:p>
          <w:p w14:paraId="10C808F1">
            <w:pPr>
              <w:keepNext w:val="0"/>
              <w:keepLines w:val="0"/>
              <w:pageBreakBefore w:val="0"/>
              <w:widowControl w:val="0"/>
              <w:numPr>
                <w:ilvl w:val="0"/>
                <w:numId w:val="9"/>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住宿餐饮安排科学合理便捷，充分考虑嘉宾个性需求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可操作性强且符合要求的得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617BE76A">
            <w:pPr>
              <w:keepNext w:val="0"/>
              <w:keepLines w:val="0"/>
              <w:pageBreakBefore w:val="0"/>
              <w:widowControl w:val="0"/>
              <w:numPr>
                <w:ilvl w:val="0"/>
                <w:numId w:val="9"/>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合理但有所欠缺的得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429D7C95">
            <w:pPr>
              <w:keepNext w:val="0"/>
              <w:keepLines w:val="0"/>
              <w:pageBreakBefore w:val="0"/>
              <w:widowControl w:val="0"/>
              <w:numPr>
                <w:ilvl w:val="0"/>
                <w:numId w:val="9"/>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未提供不得分。</w:t>
            </w:r>
          </w:p>
        </w:tc>
        <w:tc>
          <w:tcPr>
            <w:tcW w:w="468" w:type="dxa"/>
            <w:shd w:val="clear" w:color="auto" w:fill="auto"/>
            <w:vAlign w:val="center"/>
          </w:tcPr>
          <w:p w14:paraId="2B44FAB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4D3D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1" w:hRule="atLeast"/>
          <w:jc w:val="center"/>
        </w:trPr>
        <w:tc>
          <w:tcPr>
            <w:tcW w:w="492" w:type="dxa"/>
            <w:shd w:val="clear" w:color="auto" w:fill="auto"/>
            <w:vAlign w:val="center"/>
          </w:tcPr>
          <w:p w14:paraId="70DBC82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921" w:type="dxa"/>
            <w:shd w:val="clear" w:color="auto" w:fill="auto"/>
            <w:vAlign w:val="center"/>
          </w:tcPr>
          <w:p w14:paraId="4CBD611E">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进度计划安排</w:t>
            </w:r>
          </w:p>
        </w:tc>
        <w:tc>
          <w:tcPr>
            <w:tcW w:w="7340" w:type="dxa"/>
            <w:shd w:val="clear" w:color="auto" w:fill="auto"/>
            <w:vAlign w:val="center"/>
          </w:tcPr>
          <w:p w14:paraId="2913D27E">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针对本项目</w:t>
            </w:r>
            <w:r>
              <w:rPr>
                <w:rFonts w:hint="eastAsia" w:asciiTheme="minorEastAsia" w:hAnsiTheme="minorEastAsia" w:eastAsiaTheme="minorEastAsia" w:cstheme="minorEastAsia"/>
                <w:b/>
                <w:bCs/>
                <w:color w:val="auto"/>
                <w:sz w:val="24"/>
                <w:szCs w:val="24"/>
                <w:highlight w:val="none"/>
                <w:lang w:val="en-US" w:eastAsia="zh-CN"/>
              </w:rPr>
              <w:t>拟定的进度计划安排的合理性、可行性和科学性，</w:t>
            </w:r>
            <w:r>
              <w:rPr>
                <w:rFonts w:hint="eastAsia" w:asciiTheme="minorEastAsia" w:hAnsiTheme="minorEastAsia" w:eastAsiaTheme="minorEastAsia" w:cstheme="minorEastAsia"/>
                <w:b/>
                <w:bCs/>
                <w:color w:val="auto"/>
                <w:sz w:val="24"/>
                <w:szCs w:val="24"/>
                <w:highlight w:val="none"/>
              </w:rPr>
              <w:t>包括</w:t>
            </w:r>
            <w:r>
              <w:rPr>
                <w:rFonts w:hint="eastAsia" w:asciiTheme="minorEastAsia" w:hAnsiTheme="minorEastAsia" w:eastAsiaTheme="minorEastAsia" w:cstheme="minorEastAsia"/>
                <w:b/>
                <w:bCs/>
                <w:color w:val="auto"/>
                <w:sz w:val="24"/>
                <w:szCs w:val="24"/>
                <w:highlight w:val="none"/>
                <w:lang w:val="en-US" w:eastAsia="zh-CN"/>
              </w:rPr>
              <w:t>不限于</w:t>
            </w:r>
            <w:r>
              <w:rPr>
                <w:rFonts w:hint="eastAsia" w:asciiTheme="minorEastAsia" w:hAnsiTheme="minorEastAsia" w:eastAsiaTheme="minorEastAsia" w:cstheme="minorEastAsia"/>
                <w:b/>
                <w:bCs/>
                <w:color w:val="auto"/>
                <w:sz w:val="24"/>
                <w:szCs w:val="24"/>
                <w:highlight w:val="none"/>
              </w:rPr>
              <w:t>组织领导、职责分工、保障措施的可操作性，工作计划措施内容进行</w:t>
            </w:r>
            <w:r>
              <w:rPr>
                <w:rFonts w:hint="eastAsia" w:asciiTheme="minorEastAsia" w:hAnsiTheme="minorEastAsia" w:eastAsiaTheme="minorEastAsia" w:cstheme="minorEastAsia"/>
                <w:b/>
                <w:bCs/>
                <w:color w:val="auto"/>
                <w:sz w:val="24"/>
                <w:szCs w:val="24"/>
                <w:highlight w:val="none"/>
                <w:lang w:eastAsia="zh-CN"/>
              </w:rPr>
              <w:t>综合评审</w:t>
            </w:r>
            <w:r>
              <w:rPr>
                <w:rFonts w:hint="eastAsia" w:asciiTheme="minorEastAsia" w:hAnsiTheme="minorEastAsia" w:eastAsiaTheme="minorEastAsia" w:cstheme="minorEastAsia"/>
                <w:b/>
                <w:bCs/>
                <w:color w:val="auto"/>
                <w:sz w:val="24"/>
                <w:szCs w:val="24"/>
                <w:highlight w:val="none"/>
              </w:rPr>
              <w:t>。</w:t>
            </w:r>
          </w:p>
          <w:p w14:paraId="51B23D91">
            <w:pPr>
              <w:pStyle w:val="25"/>
              <w:keepNext w:val="0"/>
              <w:keepLines w:val="0"/>
              <w:pageBreakBefore w:val="0"/>
              <w:widowControl w:val="0"/>
              <w:numPr>
                <w:ilvl w:val="0"/>
                <w:numId w:val="0"/>
              </w:numPr>
              <w:kinsoku/>
              <w:wordWrap/>
              <w:overflowPunct/>
              <w:topLinePunct w:val="0"/>
              <w:autoSpaceDE/>
              <w:autoSpaceDN/>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进度计划安排科学合理、可行性强、</w:t>
            </w:r>
            <w:r>
              <w:rPr>
                <w:rFonts w:hint="eastAsia" w:asciiTheme="minorEastAsia" w:hAnsiTheme="minorEastAsia" w:eastAsiaTheme="minorEastAsia" w:cstheme="minorEastAsia"/>
                <w:b w:val="0"/>
                <w:bCs w:val="0"/>
                <w:color w:val="auto"/>
                <w:kern w:val="2"/>
                <w:sz w:val="24"/>
                <w:szCs w:val="24"/>
                <w:highlight w:val="none"/>
                <w:lang w:val="en-US" w:eastAsia="zh-CN" w:bidi="ar-SA"/>
              </w:rPr>
              <w:t>可操作性强的得3分；</w:t>
            </w:r>
          </w:p>
          <w:p w14:paraId="567A5034">
            <w:pPr>
              <w:pStyle w:val="25"/>
              <w:keepNext w:val="0"/>
              <w:keepLines w:val="0"/>
              <w:pageBreakBefore w:val="0"/>
              <w:widowControl w:val="0"/>
              <w:numPr>
                <w:ilvl w:val="0"/>
                <w:numId w:val="0"/>
              </w:numPr>
              <w:kinsoku/>
              <w:wordWrap/>
              <w:overflowPunct/>
              <w:topLinePunct w:val="0"/>
              <w:autoSpaceDE/>
              <w:autoSpaceDN/>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进度计划安排较科学合理、可行性较强、</w:t>
            </w:r>
            <w:r>
              <w:rPr>
                <w:rFonts w:hint="eastAsia" w:asciiTheme="minorEastAsia" w:hAnsiTheme="minorEastAsia" w:eastAsiaTheme="minorEastAsia" w:cstheme="minorEastAsia"/>
                <w:b w:val="0"/>
                <w:bCs w:val="0"/>
                <w:color w:val="auto"/>
                <w:kern w:val="2"/>
                <w:sz w:val="24"/>
                <w:szCs w:val="24"/>
                <w:highlight w:val="none"/>
                <w:lang w:val="en-US" w:eastAsia="zh-CN" w:bidi="ar-SA"/>
              </w:rPr>
              <w:t>可操作性</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b w:val="0"/>
                <w:bCs w:val="0"/>
                <w:color w:val="auto"/>
                <w:kern w:val="2"/>
                <w:sz w:val="24"/>
                <w:szCs w:val="24"/>
                <w:highlight w:val="none"/>
                <w:lang w:val="en-US" w:eastAsia="zh-CN" w:bidi="ar-SA"/>
              </w:rPr>
              <w:t>强的得2分；</w:t>
            </w:r>
          </w:p>
          <w:p w14:paraId="68B46274">
            <w:pPr>
              <w:pStyle w:val="25"/>
              <w:keepNext w:val="0"/>
              <w:keepLines w:val="0"/>
              <w:pageBreakBefore w:val="0"/>
              <w:widowControl w:val="0"/>
              <w:numPr>
                <w:ilvl w:val="0"/>
                <w:numId w:val="0"/>
              </w:numPr>
              <w:kinsoku/>
              <w:wordWrap/>
              <w:overflowPunct/>
              <w:topLinePunct w:val="0"/>
              <w:autoSpaceDE/>
              <w:autoSpaceDN/>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进度计划安排不够科学合理、可行性一般、</w:t>
            </w:r>
            <w:r>
              <w:rPr>
                <w:rFonts w:hint="eastAsia" w:asciiTheme="minorEastAsia" w:hAnsiTheme="minorEastAsia" w:eastAsiaTheme="minorEastAsia" w:cstheme="minorEastAsia"/>
                <w:b w:val="0"/>
                <w:bCs w:val="0"/>
                <w:color w:val="auto"/>
                <w:kern w:val="2"/>
                <w:sz w:val="24"/>
                <w:szCs w:val="24"/>
                <w:highlight w:val="none"/>
                <w:lang w:val="en-US" w:eastAsia="zh-CN" w:bidi="ar-SA"/>
              </w:rPr>
              <w:t>可操作性</w:t>
            </w:r>
            <w:r>
              <w:rPr>
                <w:rFonts w:hint="eastAsia" w:asciiTheme="minorEastAsia" w:hAnsiTheme="minorEastAsia" w:eastAsiaTheme="minorEastAsia" w:cstheme="minorEastAsia"/>
                <w:color w:val="auto"/>
                <w:sz w:val="24"/>
                <w:szCs w:val="24"/>
                <w:highlight w:val="none"/>
                <w:lang w:val="en-US" w:eastAsia="zh-CN"/>
              </w:rPr>
              <w:t>一般</w:t>
            </w:r>
            <w:r>
              <w:rPr>
                <w:rFonts w:hint="eastAsia" w:asciiTheme="minorEastAsia" w:hAnsiTheme="minorEastAsia" w:eastAsiaTheme="minorEastAsia" w:cstheme="minorEastAsia"/>
                <w:b w:val="0"/>
                <w:bCs w:val="0"/>
                <w:color w:val="auto"/>
                <w:kern w:val="2"/>
                <w:sz w:val="24"/>
                <w:szCs w:val="24"/>
                <w:highlight w:val="none"/>
                <w:lang w:val="en-US" w:eastAsia="zh-CN" w:bidi="ar-SA"/>
              </w:rPr>
              <w:t>的得1分；</w:t>
            </w:r>
          </w:p>
          <w:p w14:paraId="05964455">
            <w:pPr>
              <w:pStyle w:val="25"/>
              <w:keepNext w:val="0"/>
              <w:keepLines w:val="0"/>
              <w:pageBreakBefore w:val="0"/>
              <w:widowControl w:val="0"/>
              <w:numPr>
                <w:ilvl w:val="0"/>
                <w:numId w:val="0"/>
              </w:numPr>
              <w:kinsoku/>
              <w:wordWrap/>
              <w:overflowPunct/>
              <w:topLinePunct w:val="0"/>
              <w:autoSpaceDE/>
              <w:autoSpaceDN/>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rPr>
              <w:t>未提供不得分。</w:t>
            </w:r>
          </w:p>
        </w:tc>
        <w:tc>
          <w:tcPr>
            <w:tcW w:w="468" w:type="dxa"/>
            <w:shd w:val="clear" w:color="auto" w:fill="auto"/>
            <w:vAlign w:val="center"/>
          </w:tcPr>
          <w:p w14:paraId="347FD9B1">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r>
      <w:tr w14:paraId="198B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92" w:type="dxa"/>
            <w:shd w:val="clear" w:color="auto" w:fill="auto"/>
            <w:vAlign w:val="center"/>
          </w:tcPr>
          <w:p w14:paraId="01AF5D4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921" w:type="dxa"/>
            <w:shd w:val="clear" w:color="auto" w:fill="auto"/>
            <w:vAlign w:val="center"/>
          </w:tcPr>
          <w:p w14:paraId="0F96DC2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应急预案</w:t>
            </w:r>
          </w:p>
        </w:tc>
        <w:tc>
          <w:tcPr>
            <w:tcW w:w="7340" w:type="dxa"/>
            <w:shd w:val="clear" w:color="auto" w:fill="auto"/>
            <w:vAlign w:val="center"/>
          </w:tcPr>
          <w:p w14:paraId="57166688">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针对本项目服务的安全预案及应急预案，包括组织领导、职责分工、保障措施的可操作性，工作计划措施内容进行评审。</w:t>
            </w:r>
          </w:p>
          <w:p w14:paraId="0B9991A6">
            <w:pPr>
              <w:keepNext w:val="0"/>
              <w:keepLines w:val="0"/>
              <w:pageBreakBefore w:val="0"/>
              <w:widowControl w:val="0"/>
              <w:numPr>
                <w:ilvl w:val="0"/>
                <w:numId w:val="1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针对项目实施过程中突发情况列举全面、</w:t>
            </w:r>
            <w:r>
              <w:rPr>
                <w:rFonts w:hint="eastAsia" w:asciiTheme="minorEastAsia" w:hAnsiTheme="minorEastAsia" w:eastAsiaTheme="minorEastAsia" w:cstheme="minorEastAsia"/>
                <w:color w:val="auto"/>
                <w:sz w:val="24"/>
                <w:szCs w:val="24"/>
                <w:highlight w:val="none"/>
              </w:rPr>
              <w:t>安全及</w:t>
            </w:r>
            <w:r>
              <w:rPr>
                <w:rFonts w:hint="eastAsia" w:asciiTheme="minorEastAsia" w:hAnsiTheme="minorEastAsia" w:eastAsiaTheme="minorEastAsia" w:cstheme="minorEastAsia"/>
                <w:color w:val="auto"/>
                <w:sz w:val="24"/>
                <w:szCs w:val="24"/>
                <w:highlight w:val="none"/>
                <w:lang w:val="en-US" w:eastAsia="zh-CN"/>
              </w:rPr>
              <w:t>应急预案解决方案内容全面、应对措施合理有效的得2分；</w:t>
            </w:r>
          </w:p>
          <w:p w14:paraId="0ED32C87">
            <w:pPr>
              <w:keepNext w:val="0"/>
              <w:keepLines w:val="0"/>
              <w:pageBreakBefore w:val="0"/>
              <w:widowControl w:val="0"/>
              <w:numPr>
                <w:ilvl w:val="0"/>
                <w:numId w:val="1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安全及</w:t>
            </w:r>
            <w:r>
              <w:rPr>
                <w:rFonts w:hint="eastAsia" w:asciiTheme="minorEastAsia" w:hAnsiTheme="minorEastAsia" w:eastAsiaTheme="minorEastAsia" w:cstheme="minorEastAsia"/>
                <w:color w:val="auto"/>
                <w:sz w:val="24"/>
                <w:szCs w:val="24"/>
                <w:highlight w:val="none"/>
                <w:lang w:val="en-US" w:eastAsia="zh-CN"/>
              </w:rPr>
              <w:t>应急预案解决方案内容基本全面、应对措施基本合理的得1分；</w:t>
            </w:r>
          </w:p>
          <w:p w14:paraId="70268DC3">
            <w:pPr>
              <w:keepNext w:val="0"/>
              <w:keepLines w:val="0"/>
              <w:pageBreakBefore w:val="0"/>
              <w:widowControl w:val="0"/>
              <w:numPr>
                <w:ilvl w:val="0"/>
                <w:numId w:val="1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未提供的不得分。</w:t>
            </w:r>
          </w:p>
        </w:tc>
        <w:tc>
          <w:tcPr>
            <w:tcW w:w="468" w:type="dxa"/>
            <w:shd w:val="clear" w:color="auto" w:fill="auto"/>
            <w:vAlign w:val="center"/>
          </w:tcPr>
          <w:p w14:paraId="6F846378">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6D66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6" w:hRule="atLeast"/>
          <w:jc w:val="center"/>
        </w:trPr>
        <w:tc>
          <w:tcPr>
            <w:tcW w:w="492" w:type="dxa"/>
            <w:shd w:val="clear" w:color="auto" w:fill="auto"/>
            <w:vAlign w:val="center"/>
          </w:tcPr>
          <w:p w14:paraId="33EF1D9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20</w:t>
            </w:r>
          </w:p>
        </w:tc>
        <w:tc>
          <w:tcPr>
            <w:tcW w:w="921" w:type="dxa"/>
            <w:shd w:val="clear" w:color="auto" w:fill="auto"/>
            <w:vAlign w:val="center"/>
          </w:tcPr>
          <w:p w14:paraId="500E35E0">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安全保障方案</w:t>
            </w:r>
          </w:p>
        </w:tc>
        <w:tc>
          <w:tcPr>
            <w:tcW w:w="7340" w:type="dxa"/>
            <w:shd w:val="clear" w:color="auto" w:fill="auto"/>
            <w:vAlign w:val="center"/>
          </w:tcPr>
          <w:p w14:paraId="595D0CE0">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供应商</w:t>
            </w:r>
            <w:r>
              <w:rPr>
                <w:rFonts w:hint="eastAsia" w:asciiTheme="minorEastAsia" w:hAnsiTheme="minorEastAsia" w:eastAsiaTheme="minorEastAsia" w:cstheme="minorEastAsia"/>
                <w:b/>
                <w:bCs/>
                <w:color w:val="auto"/>
                <w:sz w:val="24"/>
                <w:szCs w:val="24"/>
                <w:highlight w:val="none"/>
              </w:rPr>
              <w:t>针对本项目服务委托</w:t>
            </w:r>
            <w:r>
              <w:rPr>
                <w:rFonts w:hint="eastAsia" w:asciiTheme="minorEastAsia" w:hAnsiTheme="minorEastAsia" w:eastAsiaTheme="minorEastAsia" w:cstheme="minorEastAsia"/>
                <w:b/>
                <w:bCs/>
                <w:color w:val="auto"/>
                <w:sz w:val="24"/>
                <w:szCs w:val="24"/>
                <w:highlight w:val="none"/>
                <w:lang w:val="en-US" w:eastAsia="zh-CN"/>
              </w:rPr>
              <w:t>具备相关</w:t>
            </w:r>
            <w:r>
              <w:rPr>
                <w:rFonts w:hint="eastAsia" w:asciiTheme="minorEastAsia" w:hAnsiTheme="minorEastAsia" w:eastAsiaTheme="minorEastAsia" w:cstheme="minorEastAsia"/>
                <w:b/>
                <w:bCs/>
                <w:color w:val="auto"/>
                <w:sz w:val="24"/>
                <w:szCs w:val="24"/>
                <w:highlight w:val="none"/>
              </w:rPr>
              <w:t>资质的第三方机构完成</w:t>
            </w:r>
            <w:r>
              <w:rPr>
                <w:rFonts w:hint="eastAsia" w:asciiTheme="minorEastAsia" w:hAnsiTheme="minorEastAsia" w:eastAsiaTheme="minorEastAsia" w:cstheme="minorEastAsia"/>
                <w:b/>
                <w:bCs/>
                <w:color w:val="auto"/>
                <w:sz w:val="24"/>
                <w:szCs w:val="24"/>
                <w:highlight w:val="none"/>
                <w:lang w:val="en-US" w:eastAsia="zh-CN"/>
              </w:rPr>
              <w:t>开闭幕式</w:t>
            </w:r>
            <w:r>
              <w:rPr>
                <w:rFonts w:hint="eastAsia" w:asciiTheme="minorEastAsia" w:hAnsiTheme="minorEastAsia" w:eastAsiaTheme="minorEastAsia" w:cstheme="minorEastAsia"/>
                <w:b/>
                <w:bCs/>
                <w:color w:val="auto"/>
                <w:sz w:val="24"/>
                <w:szCs w:val="24"/>
                <w:highlight w:val="none"/>
              </w:rPr>
              <w:t>社会风险评估、安全风险评估并形成报告</w:t>
            </w:r>
            <w:r>
              <w:rPr>
                <w:rFonts w:hint="eastAsia" w:asciiTheme="minorEastAsia" w:hAnsiTheme="minorEastAsia" w:eastAsiaTheme="minorEastAsia" w:cstheme="minorEastAsia"/>
                <w:b/>
                <w:bCs/>
                <w:color w:val="auto"/>
                <w:sz w:val="24"/>
                <w:szCs w:val="24"/>
                <w:highlight w:val="none"/>
                <w:lang w:eastAsia="zh-CN"/>
              </w:rPr>
              <w:t>，积极响应公安、交警、电力、医疗等部门要求，落实安保、医疗、电力等组织方案，确保各项保障措施组织严密，落地落细</w:t>
            </w:r>
            <w:r>
              <w:rPr>
                <w:rFonts w:hint="eastAsia" w:asciiTheme="minorEastAsia" w:hAnsiTheme="minorEastAsia" w:eastAsiaTheme="minorEastAsia" w:cstheme="minorEastAsia"/>
                <w:b/>
                <w:bCs/>
                <w:color w:val="auto"/>
                <w:sz w:val="24"/>
                <w:szCs w:val="24"/>
                <w:highlight w:val="none"/>
              </w:rPr>
              <w:t>进行</w:t>
            </w:r>
            <w:r>
              <w:rPr>
                <w:rFonts w:hint="eastAsia" w:asciiTheme="minorEastAsia" w:hAnsiTheme="minorEastAsia" w:eastAsiaTheme="minorEastAsia" w:cstheme="minorEastAsia"/>
                <w:b/>
                <w:bCs/>
                <w:color w:val="auto"/>
                <w:sz w:val="24"/>
                <w:szCs w:val="24"/>
                <w:highlight w:val="none"/>
                <w:lang w:eastAsia="zh-CN"/>
              </w:rPr>
              <w:t>综合评审。</w:t>
            </w:r>
          </w:p>
          <w:p w14:paraId="4FDCBBE6">
            <w:pPr>
              <w:pStyle w:val="25"/>
              <w:keepNext w:val="0"/>
              <w:keepLines w:val="0"/>
              <w:pageBreakBefore w:val="0"/>
              <w:widowControl w:val="0"/>
              <w:numPr>
                <w:ilvl w:val="0"/>
                <w:numId w:val="0"/>
              </w:numPr>
              <w:kinsoku/>
              <w:wordWrap/>
              <w:overflowPunct/>
              <w:topLinePunct w:val="0"/>
              <w:autoSpaceDE/>
              <w:autoSpaceDN/>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lang w:val="en-US" w:eastAsia="zh-CN"/>
              </w:rPr>
              <w:t>各项保障措施科学合理、可行性强、</w:t>
            </w:r>
            <w:r>
              <w:rPr>
                <w:rFonts w:hint="eastAsia" w:asciiTheme="minorEastAsia" w:hAnsiTheme="minorEastAsia" w:eastAsiaTheme="minorEastAsia" w:cstheme="minorEastAsia"/>
                <w:b w:val="0"/>
                <w:bCs w:val="0"/>
                <w:color w:val="auto"/>
                <w:kern w:val="2"/>
                <w:sz w:val="24"/>
                <w:szCs w:val="24"/>
                <w:highlight w:val="none"/>
                <w:lang w:val="en-US" w:eastAsia="zh-CN" w:bidi="ar-SA"/>
              </w:rPr>
              <w:t>可操作性强的得3分；</w:t>
            </w:r>
          </w:p>
          <w:p w14:paraId="050B0A25">
            <w:pPr>
              <w:pStyle w:val="25"/>
              <w:keepNext w:val="0"/>
              <w:keepLines w:val="0"/>
              <w:pageBreakBefore w:val="0"/>
              <w:widowControl w:val="0"/>
              <w:numPr>
                <w:ilvl w:val="0"/>
                <w:numId w:val="0"/>
              </w:numPr>
              <w:kinsoku/>
              <w:wordWrap/>
              <w:overflowPunct/>
              <w:topLinePunct w:val="0"/>
              <w:autoSpaceDE/>
              <w:autoSpaceDN/>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各项保障措施较科学合理、可行性较强、</w:t>
            </w:r>
            <w:r>
              <w:rPr>
                <w:rFonts w:hint="eastAsia" w:asciiTheme="minorEastAsia" w:hAnsiTheme="minorEastAsia" w:eastAsiaTheme="minorEastAsia" w:cstheme="minorEastAsia"/>
                <w:b w:val="0"/>
                <w:bCs w:val="0"/>
                <w:color w:val="auto"/>
                <w:kern w:val="2"/>
                <w:sz w:val="24"/>
                <w:szCs w:val="24"/>
                <w:highlight w:val="none"/>
                <w:lang w:val="en-US" w:eastAsia="zh-CN" w:bidi="ar-SA"/>
              </w:rPr>
              <w:t>可操作性</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b w:val="0"/>
                <w:bCs w:val="0"/>
                <w:color w:val="auto"/>
                <w:kern w:val="2"/>
                <w:sz w:val="24"/>
                <w:szCs w:val="24"/>
                <w:highlight w:val="none"/>
                <w:lang w:val="en-US" w:eastAsia="zh-CN" w:bidi="ar-SA"/>
              </w:rPr>
              <w:t>强的得2分；</w:t>
            </w:r>
          </w:p>
          <w:p w14:paraId="05A441CA">
            <w:pPr>
              <w:pStyle w:val="25"/>
              <w:keepNext w:val="0"/>
              <w:keepLines w:val="0"/>
              <w:pageBreakBefore w:val="0"/>
              <w:widowControl w:val="0"/>
              <w:numPr>
                <w:ilvl w:val="0"/>
                <w:numId w:val="0"/>
              </w:numPr>
              <w:kinsoku/>
              <w:wordWrap/>
              <w:overflowPunct/>
              <w:topLinePunct w:val="0"/>
              <w:autoSpaceDE/>
              <w:autoSpaceDN/>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各项保障措施不够科学合理、可行性一般、</w:t>
            </w:r>
            <w:r>
              <w:rPr>
                <w:rFonts w:hint="eastAsia" w:asciiTheme="minorEastAsia" w:hAnsiTheme="minorEastAsia" w:eastAsiaTheme="minorEastAsia" w:cstheme="minorEastAsia"/>
                <w:b w:val="0"/>
                <w:bCs w:val="0"/>
                <w:color w:val="auto"/>
                <w:kern w:val="2"/>
                <w:sz w:val="24"/>
                <w:szCs w:val="24"/>
                <w:highlight w:val="none"/>
                <w:lang w:val="en-US" w:eastAsia="zh-CN" w:bidi="ar-SA"/>
              </w:rPr>
              <w:t>可操作性</w:t>
            </w:r>
            <w:r>
              <w:rPr>
                <w:rFonts w:hint="eastAsia" w:asciiTheme="minorEastAsia" w:hAnsiTheme="minorEastAsia" w:eastAsiaTheme="minorEastAsia" w:cstheme="minorEastAsia"/>
                <w:color w:val="auto"/>
                <w:sz w:val="24"/>
                <w:szCs w:val="24"/>
                <w:highlight w:val="none"/>
                <w:lang w:val="en-US" w:eastAsia="zh-CN"/>
              </w:rPr>
              <w:t>一般</w:t>
            </w:r>
            <w:r>
              <w:rPr>
                <w:rFonts w:hint="eastAsia" w:asciiTheme="minorEastAsia" w:hAnsiTheme="minorEastAsia" w:eastAsiaTheme="minorEastAsia" w:cstheme="minorEastAsia"/>
                <w:b w:val="0"/>
                <w:bCs w:val="0"/>
                <w:color w:val="auto"/>
                <w:kern w:val="2"/>
                <w:sz w:val="24"/>
                <w:szCs w:val="24"/>
                <w:highlight w:val="none"/>
                <w:lang w:val="en-US" w:eastAsia="zh-CN" w:bidi="ar-SA"/>
              </w:rPr>
              <w:t>的得1分；</w:t>
            </w:r>
          </w:p>
          <w:p w14:paraId="4C6DAD6F">
            <w:pPr>
              <w:pStyle w:val="2"/>
              <w:keepNext w:val="0"/>
              <w:keepLines w:val="0"/>
              <w:pageBreakBefore w:val="0"/>
              <w:widowControl w:val="0"/>
              <w:kinsoku/>
              <w:wordWrap/>
              <w:overflowPunct/>
              <w:topLinePunct w:val="0"/>
              <w:autoSpaceDE/>
              <w:autoSpaceDN/>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未提供不得分。</w:t>
            </w:r>
          </w:p>
        </w:tc>
        <w:tc>
          <w:tcPr>
            <w:tcW w:w="468" w:type="dxa"/>
            <w:shd w:val="clear" w:color="auto" w:fill="auto"/>
            <w:vAlign w:val="center"/>
          </w:tcPr>
          <w:p w14:paraId="6572C8B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w:t>
            </w:r>
          </w:p>
        </w:tc>
      </w:tr>
      <w:tr w14:paraId="4486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6" w:hRule="atLeast"/>
          <w:jc w:val="center"/>
        </w:trPr>
        <w:tc>
          <w:tcPr>
            <w:tcW w:w="492" w:type="dxa"/>
            <w:shd w:val="clear" w:color="auto" w:fill="auto"/>
            <w:vAlign w:val="center"/>
          </w:tcPr>
          <w:p w14:paraId="7078928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921" w:type="dxa"/>
            <w:shd w:val="clear" w:color="auto" w:fill="auto"/>
            <w:vAlign w:val="center"/>
          </w:tcPr>
          <w:p w14:paraId="27BA7784">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成果方案</w:t>
            </w:r>
          </w:p>
        </w:tc>
        <w:tc>
          <w:tcPr>
            <w:tcW w:w="7340" w:type="dxa"/>
            <w:shd w:val="clear" w:color="auto" w:fill="auto"/>
            <w:vAlign w:val="center"/>
          </w:tcPr>
          <w:p w14:paraId="0FBE16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针对本项目服务提供的舞美搭建、撤场方案</w:t>
            </w:r>
            <w:r>
              <w:rPr>
                <w:rFonts w:hint="eastAsia" w:asciiTheme="minorEastAsia" w:hAnsiTheme="minorEastAsia" w:eastAsiaTheme="minorEastAsia" w:cstheme="minorEastAsia"/>
                <w:b/>
                <w:bCs/>
                <w:color w:val="auto"/>
                <w:sz w:val="24"/>
                <w:szCs w:val="24"/>
                <w:highlight w:val="none"/>
                <w:lang w:val="en-US" w:eastAsia="zh-CN"/>
              </w:rPr>
              <w:t>以及闭幕式后成果制作、计划安排及交付方案</w:t>
            </w:r>
            <w:r>
              <w:rPr>
                <w:rFonts w:hint="eastAsia" w:asciiTheme="minorEastAsia" w:hAnsiTheme="minorEastAsia" w:eastAsiaTheme="minorEastAsia" w:cstheme="minorEastAsia"/>
                <w:b/>
                <w:bCs/>
                <w:color w:val="auto"/>
                <w:sz w:val="24"/>
                <w:szCs w:val="24"/>
                <w:highlight w:val="none"/>
              </w:rPr>
              <w:t>内容等进行评审。</w:t>
            </w:r>
          </w:p>
          <w:p w14:paraId="713CF1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（1）方案详细、科学合理、创意新颖的得3分；</w:t>
            </w:r>
          </w:p>
          <w:p w14:paraId="3C47B34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（2）方案较详细、设计较合理、创意较新颖的得2分；</w:t>
            </w:r>
          </w:p>
          <w:p w14:paraId="2C457A1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（3）方案普通，创意不明显的得1分；</w:t>
            </w:r>
          </w:p>
          <w:p w14:paraId="16C337A5">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lang w:val="en-US" w:eastAsia="zh-CN" w:bidi="ar-SA"/>
              </w:rPr>
              <w:t>（4）未提供不得分</w:t>
            </w:r>
          </w:p>
        </w:tc>
        <w:tc>
          <w:tcPr>
            <w:tcW w:w="468" w:type="dxa"/>
            <w:shd w:val="clear" w:color="auto" w:fill="auto"/>
            <w:vAlign w:val="center"/>
          </w:tcPr>
          <w:p w14:paraId="64D8FD6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r>
      <w:tr w14:paraId="00F9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jc w:val="center"/>
        </w:trPr>
        <w:tc>
          <w:tcPr>
            <w:tcW w:w="492" w:type="dxa"/>
            <w:shd w:val="clear" w:color="auto" w:fill="auto"/>
            <w:vAlign w:val="center"/>
          </w:tcPr>
          <w:p w14:paraId="718846F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921" w:type="dxa"/>
            <w:shd w:val="clear" w:color="auto" w:fill="auto"/>
            <w:vAlign w:val="center"/>
          </w:tcPr>
          <w:p w14:paraId="749F0F5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媒体配置</w:t>
            </w:r>
          </w:p>
        </w:tc>
        <w:tc>
          <w:tcPr>
            <w:tcW w:w="7340" w:type="dxa"/>
            <w:shd w:val="clear" w:color="auto" w:fill="auto"/>
            <w:vAlign w:val="center"/>
          </w:tcPr>
          <w:p w14:paraId="719BCBAF">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根据投标人针对本项目提供的媒体层级、媒体的配置是否合理高效进行</w:t>
            </w:r>
            <w:r>
              <w:rPr>
                <w:rFonts w:hint="eastAsia" w:asciiTheme="minorEastAsia" w:hAnsiTheme="minorEastAsia" w:eastAsiaTheme="minorEastAsia" w:cstheme="minorEastAsia"/>
                <w:b/>
                <w:bCs/>
                <w:color w:val="auto"/>
                <w:sz w:val="24"/>
                <w:szCs w:val="24"/>
                <w:highlight w:val="none"/>
                <w:lang w:val="en-US" w:eastAsia="zh-CN"/>
              </w:rPr>
              <w:t>综合评审</w:t>
            </w:r>
            <w:r>
              <w:rPr>
                <w:rFonts w:hint="eastAsia" w:asciiTheme="minorEastAsia" w:hAnsiTheme="minorEastAsia" w:eastAsiaTheme="minorEastAsia" w:cstheme="minorEastAsia"/>
                <w:b/>
                <w:bCs/>
                <w:color w:val="auto"/>
                <w:sz w:val="24"/>
                <w:szCs w:val="24"/>
                <w:highlight w:val="none"/>
                <w:lang w:eastAsia="zh-CN"/>
              </w:rPr>
              <w:t>。</w:t>
            </w:r>
          </w:p>
          <w:p w14:paraId="608B5809">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（1）配置合理高效、覆盖范围广的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6分；</w:t>
            </w:r>
          </w:p>
          <w:p w14:paraId="7FDF90F0">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（2）配置合理高效性一般、覆盖范围一般的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4分；</w:t>
            </w:r>
          </w:p>
          <w:p w14:paraId="1D091B93">
            <w:pPr>
              <w:pStyle w:val="10"/>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（3）配置合理高效性差、覆盖范围小的得2分；</w:t>
            </w:r>
          </w:p>
          <w:p w14:paraId="494F9421">
            <w:pPr>
              <w:pStyle w:val="2"/>
              <w:keepNext w:val="0"/>
              <w:keepLines w:val="0"/>
              <w:pageBreakBefore w:val="0"/>
              <w:widowControl w:val="0"/>
              <w:kinsoku/>
              <w:wordWrap/>
              <w:overflowPunct/>
              <w:topLinePunct w:val="0"/>
              <w:autoSpaceDE/>
              <w:autoSpaceDN/>
              <w:bidi w:val="0"/>
              <w:snapToGrid/>
              <w:spacing w:after="0" w:line="240" w:lineRule="auto"/>
              <w:ind w:left="0" w:leftChars="0" w:firstLine="0" w:firstLine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未提供不得分。</w:t>
            </w:r>
          </w:p>
        </w:tc>
        <w:tc>
          <w:tcPr>
            <w:tcW w:w="468" w:type="dxa"/>
            <w:shd w:val="clear" w:color="auto" w:fill="auto"/>
            <w:vAlign w:val="center"/>
          </w:tcPr>
          <w:p w14:paraId="3F9D260B">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r>
      <w:tr w14:paraId="57AB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jc w:val="center"/>
        </w:trPr>
        <w:tc>
          <w:tcPr>
            <w:tcW w:w="492" w:type="dxa"/>
            <w:shd w:val="clear" w:color="auto" w:fill="auto"/>
            <w:vAlign w:val="center"/>
          </w:tcPr>
          <w:p w14:paraId="366E44C6">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w:t>
            </w:r>
          </w:p>
        </w:tc>
        <w:tc>
          <w:tcPr>
            <w:tcW w:w="921" w:type="dxa"/>
            <w:shd w:val="clear" w:color="auto" w:fill="auto"/>
            <w:vAlign w:val="center"/>
          </w:tcPr>
          <w:p w14:paraId="4CDF7D85">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宣传方案</w:t>
            </w:r>
          </w:p>
        </w:tc>
        <w:tc>
          <w:tcPr>
            <w:tcW w:w="7340" w:type="dxa"/>
            <w:shd w:val="clear" w:color="auto" w:fill="auto"/>
            <w:vAlign w:val="center"/>
          </w:tcPr>
          <w:p w14:paraId="5657492D">
            <w:pPr>
              <w:keepNext w:val="0"/>
              <w:keepLines w:val="0"/>
              <w:pageBreakBefore w:val="0"/>
              <w:widowControl w:val="0"/>
              <w:shd w:val="clea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shd w:val="clear" w:color="auto" w:fill="auto"/>
              </w:rPr>
            </w:pPr>
            <w:r>
              <w:rPr>
                <w:rFonts w:hint="eastAsia" w:asciiTheme="minorEastAsia" w:hAnsiTheme="minorEastAsia" w:eastAsiaTheme="minorEastAsia" w:cstheme="minorEastAsia"/>
                <w:b/>
                <w:bCs/>
                <w:color w:val="auto"/>
                <w:sz w:val="24"/>
                <w:szCs w:val="24"/>
                <w:highlight w:val="none"/>
                <w:shd w:val="clear" w:color="auto" w:fill="auto"/>
              </w:rPr>
              <w:t>根据</w:t>
            </w:r>
            <w:r>
              <w:rPr>
                <w:rFonts w:hint="eastAsia" w:asciiTheme="minorEastAsia" w:hAnsiTheme="minorEastAsia" w:eastAsiaTheme="minorEastAsia" w:cstheme="minorEastAsia"/>
                <w:b/>
                <w:bCs/>
                <w:color w:val="auto"/>
                <w:sz w:val="24"/>
                <w:szCs w:val="24"/>
                <w:highlight w:val="none"/>
                <w:shd w:val="clear" w:color="auto" w:fill="auto"/>
                <w:lang w:eastAsia="zh-CN"/>
              </w:rPr>
              <w:t>供应商</w:t>
            </w:r>
            <w:r>
              <w:rPr>
                <w:rFonts w:hint="eastAsia" w:asciiTheme="minorEastAsia" w:hAnsiTheme="minorEastAsia" w:eastAsiaTheme="minorEastAsia" w:cstheme="minorEastAsia"/>
                <w:b/>
                <w:bCs/>
                <w:color w:val="auto"/>
                <w:sz w:val="24"/>
                <w:szCs w:val="24"/>
                <w:highlight w:val="none"/>
                <w:shd w:val="clear" w:color="auto" w:fill="auto"/>
              </w:rPr>
              <w:t>提供的宣传渠道及宣传推广方案，包括但不限于官方媒体及其他媒体名单，实施要点，管理要点以及</w:t>
            </w:r>
            <w:r>
              <w:rPr>
                <w:rFonts w:hint="eastAsia" w:asciiTheme="minorEastAsia" w:hAnsiTheme="minorEastAsia" w:eastAsiaTheme="minorEastAsia" w:cstheme="minorEastAsia"/>
                <w:b/>
                <w:bCs/>
                <w:color w:val="auto"/>
                <w:sz w:val="24"/>
                <w:szCs w:val="24"/>
                <w:highlight w:val="none"/>
                <w:shd w:val="clear" w:color="auto" w:fill="auto"/>
                <w:lang w:eastAsia="zh-CN"/>
              </w:rPr>
              <w:t>供应商</w:t>
            </w:r>
            <w:r>
              <w:rPr>
                <w:rFonts w:hint="eastAsia" w:asciiTheme="minorEastAsia" w:hAnsiTheme="minorEastAsia" w:eastAsiaTheme="minorEastAsia" w:cstheme="minorEastAsia"/>
                <w:b/>
                <w:bCs/>
                <w:color w:val="auto"/>
                <w:sz w:val="24"/>
                <w:szCs w:val="24"/>
                <w:highlight w:val="none"/>
                <w:shd w:val="clear" w:color="auto" w:fill="auto"/>
              </w:rPr>
              <w:t>可提供的其他推广途径等进行</w:t>
            </w:r>
            <w:r>
              <w:rPr>
                <w:rFonts w:hint="eastAsia" w:asciiTheme="minorEastAsia" w:hAnsiTheme="minorEastAsia" w:eastAsiaTheme="minorEastAsia" w:cstheme="minorEastAsia"/>
                <w:b/>
                <w:bCs/>
                <w:color w:val="auto"/>
                <w:sz w:val="24"/>
                <w:szCs w:val="24"/>
                <w:highlight w:val="none"/>
                <w:shd w:val="clear" w:color="auto" w:fill="auto"/>
                <w:lang w:eastAsia="zh-CN"/>
              </w:rPr>
              <w:t>综合评审</w:t>
            </w:r>
            <w:r>
              <w:rPr>
                <w:rFonts w:hint="eastAsia" w:asciiTheme="minorEastAsia" w:hAnsiTheme="minorEastAsia" w:eastAsiaTheme="minorEastAsia" w:cstheme="minorEastAsia"/>
                <w:b/>
                <w:bCs/>
                <w:color w:val="auto"/>
                <w:sz w:val="24"/>
                <w:szCs w:val="24"/>
                <w:highlight w:val="none"/>
                <w:shd w:val="clear" w:color="auto" w:fill="auto"/>
              </w:rPr>
              <w:t>。</w:t>
            </w:r>
          </w:p>
          <w:p w14:paraId="28ACEBB2">
            <w:pPr>
              <w:keepNext w:val="0"/>
              <w:keepLines w:val="0"/>
              <w:pageBreakBefore w:val="0"/>
              <w:widowControl w:val="0"/>
              <w:numPr>
                <w:ilvl w:val="0"/>
                <w:numId w:val="0"/>
              </w:numPr>
              <w:shd w:val="clea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lang w:val="en-US" w:eastAsia="zh-CN"/>
              </w:rPr>
              <w:t>1</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方案科学合理、可行，实施要点和管理要点准确、完善</w:t>
            </w:r>
            <w:r>
              <w:rPr>
                <w:rFonts w:hint="eastAsia" w:asciiTheme="minorEastAsia" w:hAnsiTheme="minorEastAsia" w:eastAsiaTheme="minorEastAsia" w:cstheme="minorEastAsia"/>
                <w:color w:val="auto"/>
                <w:sz w:val="24"/>
                <w:szCs w:val="24"/>
                <w:highlight w:val="none"/>
                <w:shd w:val="clear" w:color="auto" w:fill="auto"/>
                <w:lang w:eastAsia="zh-CN"/>
              </w:rPr>
              <w:t>，</w:t>
            </w:r>
            <w:r>
              <w:rPr>
                <w:rFonts w:hint="eastAsia" w:asciiTheme="minorEastAsia" w:hAnsiTheme="minorEastAsia" w:eastAsiaTheme="minorEastAsia" w:cstheme="minorEastAsia"/>
                <w:color w:val="auto"/>
                <w:sz w:val="24"/>
                <w:szCs w:val="24"/>
                <w:highlight w:val="none"/>
                <w:shd w:val="clear" w:color="auto" w:fill="auto"/>
              </w:rPr>
              <w:t>得</w:t>
            </w:r>
            <w:r>
              <w:rPr>
                <w:rFonts w:hint="eastAsia" w:asciiTheme="minorEastAsia" w:hAnsiTheme="minorEastAsia" w:eastAsiaTheme="minorEastAsia" w:cstheme="minorEastAsia"/>
                <w:color w:val="auto"/>
                <w:sz w:val="24"/>
                <w:szCs w:val="24"/>
                <w:highlight w:val="none"/>
                <w:shd w:val="clear" w:color="auto" w:fill="auto"/>
                <w:lang w:val="en-US" w:eastAsia="zh-CN"/>
              </w:rPr>
              <w:t>5</w:t>
            </w:r>
            <w:r>
              <w:rPr>
                <w:rFonts w:hint="eastAsia" w:asciiTheme="minorEastAsia" w:hAnsiTheme="minorEastAsia" w:eastAsiaTheme="minorEastAsia" w:cstheme="minorEastAsia"/>
                <w:color w:val="auto"/>
                <w:sz w:val="24"/>
                <w:szCs w:val="24"/>
                <w:highlight w:val="none"/>
                <w:shd w:val="clear" w:color="auto" w:fill="auto"/>
              </w:rPr>
              <w:t>分；</w:t>
            </w:r>
          </w:p>
          <w:p w14:paraId="77D73EE7">
            <w:pPr>
              <w:keepNext w:val="0"/>
              <w:keepLines w:val="0"/>
              <w:pageBreakBefore w:val="0"/>
              <w:widowControl w:val="0"/>
              <w:numPr>
                <w:ilvl w:val="0"/>
                <w:numId w:val="11"/>
              </w:numPr>
              <w:shd w:val="clea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方案比较科学合理、比较可行，实施要点和管理要点比较准确完善得</w:t>
            </w:r>
            <w:r>
              <w:rPr>
                <w:rFonts w:hint="eastAsia" w:asciiTheme="minorEastAsia" w:hAnsiTheme="minorEastAsia" w:eastAsiaTheme="minorEastAsia" w:cstheme="minorEastAsia"/>
                <w:color w:val="auto"/>
                <w:sz w:val="24"/>
                <w:szCs w:val="24"/>
                <w:highlight w:val="none"/>
                <w:shd w:val="clear" w:color="auto" w:fill="auto"/>
                <w:lang w:val="en-US" w:eastAsia="zh-CN"/>
              </w:rPr>
              <w:t>3</w:t>
            </w:r>
            <w:r>
              <w:rPr>
                <w:rFonts w:hint="eastAsia" w:asciiTheme="minorEastAsia" w:hAnsiTheme="minorEastAsia" w:eastAsiaTheme="minorEastAsia" w:cstheme="minorEastAsia"/>
                <w:color w:val="auto"/>
                <w:sz w:val="24"/>
                <w:szCs w:val="24"/>
                <w:highlight w:val="none"/>
                <w:shd w:val="clear" w:color="auto" w:fill="auto"/>
              </w:rPr>
              <w:t>分；</w:t>
            </w:r>
          </w:p>
          <w:p w14:paraId="59A64A98">
            <w:pPr>
              <w:keepNext w:val="0"/>
              <w:keepLines w:val="0"/>
              <w:pageBreakBefore w:val="0"/>
              <w:widowControl w:val="0"/>
              <w:numPr>
                <w:ilvl w:val="0"/>
                <w:numId w:val="11"/>
              </w:numPr>
              <w:shd w:val="clea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rPr>
              <w:t>方案基本合理、基本可行，实施要点和管理要点基本准确完善得</w:t>
            </w:r>
            <w:r>
              <w:rPr>
                <w:rFonts w:hint="eastAsia" w:asciiTheme="minorEastAsia" w:hAnsiTheme="minorEastAsia" w:eastAsiaTheme="minorEastAsia" w:cstheme="minorEastAsia"/>
                <w:color w:val="auto"/>
                <w:sz w:val="24"/>
                <w:szCs w:val="24"/>
                <w:highlight w:val="none"/>
                <w:shd w:val="clear" w:color="auto" w:fill="auto"/>
                <w:lang w:val="en-US" w:eastAsia="zh-CN"/>
              </w:rPr>
              <w:t>1</w:t>
            </w:r>
            <w:r>
              <w:rPr>
                <w:rFonts w:hint="eastAsia" w:asciiTheme="minorEastAsia" w:hAnsiTheme="minorEastAsia" w:eastAsiaTheme="minorEastAsia" w:cstheme="minorEastAsia"/>
                <w:color w:val="auto"/>
                <w:sz w:val="24"/>
                <w:szCs w:val="24"/>
                <w:highlight w:val="none"/>
                <w:shd w:val="clear" w:color="auto" w:fill="auto"/>
              </w:rPr>
              <w:t>分</w:t>
            </w:r>
            <w:r>
              <w:rPr>
                <w:rFonts w:hint="eastAsia" w:asciiTheme="minorEastAsia" w:hAnsiTheme="minorEastAsia" w:eastAsiaTheme="minorEastAsia" w:cstheme="minorEastAsia"/>
                <w:color w:val="auto"/>
                <w:sz w:val="24"/>
                <w:szCs w:val="24"/>
                <w:highlight w:val="none"/>
                <w:shd w:val="clear" w:color="auto" w:fill="auto"/>
                <w:lang w:eastAsia="zh-CN"/>
              </w:rPr>
              <w:t>；</w:t>
            </w:r>
          </w:p>
          <w:p w14:paraId="36BB414D">
            <w:pPr>
              <w:keepNext w:val="0"/>
              <w:keepLines w:val="0"/>
              <w:pageBreakBefore w:val="0"/>
              <w:widowControl w:val="0"/>
              <w:numPr>
                <w:ilvl w:val="0"/>
                <w:numId w:val="11"/>
              </w:numPr>
              <w:shd w:val="clea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eastAsiaTheme="minorEastAsia" w:cstheme="minorEastAsia"/>
                <w:color w:val="auto"/>
                <w:sz w:val="24"/>
                <w:szCs w:val="24"/>
                <w:highlight w:val="none"/>
                <w:shd w:val="clear" w:color="auto" w:fill="auto"/>
              </w:rPr>
              <w:t>未提供不得分</w:t>
            </w:r>
            <w:r>
              <w:rPr>
                <w:rFonts w:hint="eastAsia" w:asciiTheme="minorEastAsia" w:hAnsiTheme="minorEastAsia" w:eastAsiaTheme="minorEastAsia" w:cstheme="minorEastAsia"/>
                <w:color w:val="auto"/>
                <w:sz w:val="24"/>
                <w:szCs w:val="24"/>
                <w:highlight w:val="none"/>
                <w:shd w:val="clear" w:color="auto" w:fill="auto"/>
                <w:lang w:eastAsia="zh-CN"/>
              </w:rPr>
              <w:t>。</w:t>
            </w:r>
          </w:p>
          <w:p w14:paraId="1D84D76A">
            <w:pPr>
              <w:pStyle w:val="25"/>
              <w:spacing w:line="240" w:lineRule="auto"/>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注：需</w:t>
            </w:r>
            <w:r>
              <w:rPr>
                <w:rFonts w:hint="eastAsia" w:asciiTheme="minorEastAsia" w:hAnsiTheme="minorEastAsia" w:eastAsiaTheme="minorEastAsia" w:cstheme="minorEastAsia"/>
                <w:b/>
                <w:bCs/>
                <w:color w:val="auto"/>
                <w:sz w:val="24"/>
                <w:szCs w:val="24"/>
                <w:highlight w:val="none"/>
                <w:shd w:val="clear" w:color="auto" w:fill="auto"/>
                <w:lang w:val="en-US" w:eastAsia="zh-CN"/>
              </w:rPr>
              <w:t>承诺</w:t>
            </w:r>
            <w:r>
              <w:rPr>
                <w:rFonts w:hint="eastAsia" w:asciiTheme="minorEastAsia" w:hAnsiTheme="minorEastAsia" w:eastAsiaTheme="minorEastAsia" w:cstheme="minorEastAsia"/>
                <w:b/>
                <w:bCs/>
                <w:color w:val="auto"/>
                <w:sz w:val="24"/>
                <w:szCs w:val="24"/>
                <w:highlight w:val="none"/>
                <w:shd w:val="clear" w:color="auto" w:fill="auto"/>
                <w:lang w:eastAsia="zh-CN"/>
              </w:rPr>
              <w:t>全网宣传覆盖面达</w:t>
            </w:r>
            <w:r>
              <w:rPr>
                <w:rFonts w:hint="eastAsia" w:asciiTheme="minorEastAsia" w:hAnsiTheme="minorEastAsia" w:eastAsiaTheme="minorEastAsia" w:cstheme="minorEastAsia"/>
                <w:b/>
                <w:bCs/>
                <w:color w:val="auto"/>
                <w:sz w:val="24"/>
                <w:szCs w:val="24"/>
                <w:highlight w:val="none"/>
                <w:shd w:val="clear" w:color="auto" w:fill="auto"/>
                <w:lang w:val="en-US" w:eastAsia="zh-CN"/>
              </w:rPr>
              <w:t>30000万人次以上。</w:t>
            </w:r>
            <w:r>
              <w:rPr>
                <w:rFonts w:hint="eastAsia" w:asciiTheme="minorEastAsia" w:hAnsiTheme="minorEastAsia" w:eastAsiaTheme="minorEastAsia" w:cstheme="minorEastAsia"/>
                <w:b/>
                <w:bCs/>
                <w:color w:val="auto"/>
                <w:sz w:val="24"/>
                <w:szCs w:val="24"/>
                <w:highlight w:val="none"/>
                <w:lang w:val="en-US" w:eastAsia="zh-CN"/>
              </w:rPr>
              <w:t>投标文件中提供承诺函及未达到承诺的相应违约条款，并加盖投标人公章，未提供或缺项不得分。</w:t>
            </w:r>
          </w:p>
        </w:tc>
        <w:tc>
          <w:tcPr>
            <w:tcW w:w="468" w:type="dxa"/>
            <w:shd w:val="clear" w:color="auto" w:fill="auto"/>
            <w:vAlign w:val="center"/>
          </w:tcPr>
          <w:p w14:paraId="2D977C9D">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388B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jc w:val="center"/>
        </w:trPr>
        <w:tc>
          <w:tcPr>
            <w:tcW w:w="492" w:type="dxa"/>
            <w:shd w:val="clear" w:color="auto" w:fill="auto"/>
            <w:vAlign w:val="center"/>
          </w:tcPr>
          <w:p w14:paraId="2B04B93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w:t>
            </w:r>
          </w:p>
        </w:tc>
        <w:tc>
          <w:tcPr>
            <w:tcW w:w="921" w:type="dxa"/>
            <w:shd w:val="clear" w:color="auto" w:fill="auto"/>
            <w:vAlign w:val="center"/>
          </w:tcPr>
          <w:p w14:paraId="1568ACA2">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讲解演示</w:t>
            </w:r>
          </w:p>
        </w:tc>
        <w:tc>
          <w:tcPr>
            <w:tcW w:w="7340" w:type="dxa"/>
            <w:shd w:val="clear" w:color="auto" w:fill="auto"/>
            <w:vAlign w:val="center"/>
          </w:tcPr>
          <w:p w14:paraId="2389AB78">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根据投标人提供的演示（拟派的项目组总导演以视频或PPT形式对本项目进行演示及讲解</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，评委根据以下评分方面对讲解内容进行评审。（0</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分）</w:t>
            </w:r>
          </w:p>
          <w:p w14:paraId="11DFFB9C">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一、</w:t>
            </w:r>
            <w:r>
              <w:rPr>
                <w:rFonts w:hint="eastAsia" w:asciiTheme="minorEastAsia" w:hAnsiTheme="minorEastAsia" w:eastAsiaTheme="minorEastAsia" w:cstheme="minorEastAsia"/>
                <w:b/>
                <w:bCs/>
                <w:color w:val="auto"/>
                <w:sz w:val="24"/>
                <w:szCs w:val="24"/>
                <w:highlight w:val="none"/>
              </w:rPr>
              <w:t>全案策划，对设计理念、初步方案构思进行解读，且与</w:t>
            </w:r>
            <w:r>
              <w:rPr>
                <w:rFonts w:hint="eastAsia" w:asciiTheme="minorEastAsia" w:hAnsiTheme="minorEastAsia" w:eastAsiaTheme="minorEastAsia" w:cstheme="minorEastAsia"/>
                <w:b/>
                <w:bCs/>
                <w:color w:val="auto"/>
                <w:sz w:val="24"/>
                <w:szCs w:val="24"/>
                <w:highlight w:val="none"/>
                <w:lang w:eastAsia="zh-CN"/>
              </w:rPr>
              <w:t>本项目</w:t>
            </w:r>
            <w:r>
              <w:rPr>
                <w:rFonts w:hint="eastAsia" w:asciiTheme="minorEastAsia" w:hAnsiTheme="minorEastAsia" w:eastAsiaTheme="minorEastAsia" w:cstheme="minorEastAsia"/>
                <w:b/>
                <w:bCs/>
                <w:color w:val="auto"/>
                <w:sz w:val="24"/>
                <w:szCs w:val="24"/>
                <w:highlight w:val="none"/>
              </w:rPr>
              <w:t>主题契合度</w:t>
            </w:r>
            <w:r>
              <w:rPr>
                <w:rFonts w:hint="eastAsia" w:asciiTheme="minorEastAsia" w:hAnsiTheme="minorEastAsia" w:eastAsiaTheme="minorEastAsia" w:cstheme="minorEastAsia"/>
                <w:b/>
                <w:bCs/>
                <w:color w:val="auto"/>
                <w:sz w:val="24"/>
                <w:szCs w:val="24"/>
                <w:highlight w:val="none"/>
                <w:lang w:eastAsia="zh-CN"/>
              </w:rPr>
              <w:t>：</w:t>
            </w:r>
          </w:p>
          <w:p w14:paraId="0FBA00CD">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（1）方案</w:t>
            </w:r>
            <w:r>
              <w:rPr>
                <w:rFonts w:hint="eastAsia" w:asciiTheme="minorEastAsia" w:hAnsiTheme="minorEastAsia" w:eastAsiaTheme="minorEastAsia" w:cstheme="minorEastAsia"/>
                <w:color w:val="auto"/>
                <w:sz w:val="24"/>
                <w:szCs w:val="24"/>
                <w:highlight w:val="none"/>
                <w:lang w:eastAsia="zh-CN"/>
              </w:rPr>
              <w:t>内容详细清晰、</w:t>
            </w:r>
            <w:r>
              <w:rPr>
                <w:rFonts w:hint="eastAsia" w:asciiTheme="minorEastAsia" w:hAnsiTheme="minorEastAsia" w:eastAsiaTheme="minorEastAsia" w:cstheme="minorEastAsia"/>
                <w:color w:val="auto"/>
                <w:sz w:val="24"/>
                <w:szCs w:val="24"/>
                <w:highlight w:val="none"/>
                <w:lang w:val="en-US" w:eastAsia="zh-CN"/>
              </w:rPr>
              <w:t>可实施操作性高、</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主题契合度</w:t>
            </w:r>
            <w:r>
              <w:rPr>
                <w:rFonts w:hint="eastAsia" w:asciiTheme="minorEastAsia" w:hAnsiTheme="minorEastAsia" w:eastAsiaTheme="minorEastAsia" w:cstheme="minorEastAsia"/>
                <w:color w:val="auto"/>
                <w:sz w:val="24"/>
                <w:szCs w:val="24"/>
                <w:highlight w:val="none"/>
                <w:lang w:val="en-US" w:eastAsia="zh-CN"/>
              </w:rPr>
              <w:t>高得4分</w:t>
            </w:r>
            <w:r>
              <w:rPr>
                <w:rFonts w:hint="eastAsia" w:asciiTheme="minorEastAsia" w:hAnsiTheme="minorEastAsia" w:eastAsiaTheme="minorEastAsia" w:cstheme="minorEastAsia"/>
                <w:color w:val="auto"/>
                <w:sz w:val="24"/>
                <w:szCs w:val="24"/>
                <w:highlight w:val="none"/>
                <w:lang w:eastAsia="zh-CN"/>
              </w:rPr>
              <w:t>；</w:t>
            </w:r>
          </w:p>
          <w:p w14:paraId="3CB4BC09">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（2）方案</w:t>
            </w:r>
            <w:r>
              <w:rPr>
                <w:rFonts w:hint="eastAsia" w:asciiTheme="minorEastAsia" w:hAnsiTheme="minorEastAsia" w:eastAsiaTheme="minorEastAsia" w:cstheme="minorEastAsia"/>
                <w:color w:val="auto"/>
                <w:sz w:val="24"/>
                <w:szCs w:val="24"/>
                <w:highlight w:val="none"/>
                <w:lang w:eastAsia="zh-CN"/>
              </w:rPr>
              <w:t>内容较详细清晰、</w:t>
            </w:r>
            <w:r>
              <w:rPr>
                <w:rFonts w:hint="eastAsia" w:asciiTheme="minorEastAsia" w:hAnsiTheme="minorEastAsia" w:eastAsiaTheme="minorEastAsia" w:cstheme="minorEastAsia"/>
                <w:color w:val="auto"/>
                <w:sz w:val="24"/>
                <w:szCs w:val="24"/>
                <w:highlight w:val="none"/>
                <w:lang w:val="en-US" w:eastAsia="zh-CN"/>
              </w:rPr>
              <w:t>可实施操作性</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lang w:val="en-US" w:eastAsia="zh-CN"/>
              </w:rPr>
              <w:t>高、</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主题契合度</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lang w:val="en-US" w:eastAsia="zh-CN"/>
              </w:rPr>
              <w:t>高得3分；</w:t>
            </w:r>
          </w:p>
          <w:p w14:paraId="0CFEF4B2">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lang w:eastAsia="zh-CN"/>
              </w:rPr>
              <w:t>内容</w:t>
            </w:r>
            <w:r>
              <w:rPr>
                <w:rFonts w:hint="eastAsia" w:asciiTheme="minorEastAsia" w:hAnsiTheme="minorEastAsia" w:eastAsiaTheme="minorEastAsia" w:cstheme="minorEastAsia"/>
                <w:color w:val="auto"/>
                <w:sz w:val="24"/>
                <w:szCs w:val="24"/>
                <w:highlight w:val="none"/>
                <w:lang w:val="en-US" w:eastAsia="zh-CN"/>
              </w:rPr>
              <w:t>完整性一般、可实施操作性一般、</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主题契合度</w:t>
            </w:r>
            <w:r>
              <w:rPr>
                <w:rFonts w:hint="eastAsia" w:asciiTheme="minorEastAsia" w:hAnsiTheme="minorEastAsia" w:eastAsiaTheme="minorEastAsia" w:cstheme="minorEastAsia"/>
                <w:color w:val="auto"/>
                <w:sz w:val="24"/>
                <w:szCs w:val="24"/>
                <w:highlight w:val="none"/>
                <w:lang w:val="en-US" w:eastAsia="zh-CN"/>
              </w:rPr>
              <w:t>一般得2分；</w:t>
            </w:r>
          </w:p>
          <w:p w14:paraId="2EC819E7">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lang w:eastAsia="zh-CN"/>
              </w:rPr>
              <w:t>内</w:t>
            </w:r>
            <w:r>
              <w:rPr>
                <w:rFonts w:hint="eastAsia" w:asciiTheme="minorEastAsia" w:hAnsiTheme="minorEastAsia" w:eastAsiaTheme="minorEastAsia" w:cstheme="minorEastAsia"/>
                <w:color w:val="auto"/>
                <w:sz w:val="24"/>
                <w:szCs w:val="24"/>
                <w:highlight w:val="none"/>
                <w:lang w:val="en-US" w:eastAsia="zh-CN"/>
              </w:rPr>
              <w:t>容有欠缺、实施操作性较低、</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主题契合度</w:t>
            </w:r>
            <w:r>
              <w:rPr>
                <w:rFonts w:hint="eastAsia" w:asciiTheme="minorEastAsia" w:hAnsiTheme="minorEastAsia" w:eastAsiaTheme="minorEastAsia" w:cstheme="minorEastAsia"/>
                <w:color w:val="auto"/>
                <w:sz w:val="24"/>
                <w:szCs w:val="24"/>
                <w:highlight w:val="none"/>
                <w:lang w:val="en-US" w:eastAsia="zh-CN"/>
              </w:rPr>
              <w:t>较低得1分；</w:t>
            </w:r>
          </w:p>
          <w:p w14:paraId="20D37005">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文案及创意亮点展示，与</w:t>
            </w:r>
            <w:r>
              <w:rPr>
                <w:rFonts w:hint="eastAsia" w:asciiTheme="minorEastAsia" w:hAnsiTheme="minorEastAsia" w:eastAsiaTheme="minorEastAsia" w:cstheme="minorEastAsia"/>
                <w:b/>
                <w:bCs/>
                <w:color w:val="auto"/>
                <w:sz w:val="24"/>
                <w:szCs w:val="24"/>
                <w:highlight w:val="none"/>
                <w:lang w:eastAsia="zh-CN"/>
              </w:rPr>
              <w:t>本</w:t>
            </w:r>
            <w:r>
              <w:rPr>
                <w:rFonts w:hint="eastAsia" w:asciiTheme="minorEastAsia" w:hAnsiTheme="minorEastAsia" w:eastAsiaTheme="minorEastAsia" w:cstheme="minorEastAsia"/>
                <w:b/>
                <w:bCs/>
                <w:color w:val="auto"/>
                <w:sz w:val="24"/>
                <w:szCs w:val="24"/>
                <w:highlight w:val="none"/>
              </w:rPr>
              <w:t>项目主题匹配度</w:t>
            </w:r>
            <w:r>
              <w:rPr>
                <w:rFonts w:hint="eastAsia" w:asciiTheme="minorEastAsia" w:hAnsiTheme="minorEastAsia" w:eastAsiaTheme="minorEastAsia" w:cstheme="minorEastAsia"/>
                <w:b/>
                <w:bCs/>
                <w:color w:val="auto"/>
                <w:sz w:val="24"/>
                <w:szCs w:val="24"/>
                <w:highlight w:val="none"/>
                <w:lang w:eastAsia="zh-CN"/>
              </w:rPr>
              <w:t>：</w:t>
            </w:r>
          </w:p>
          <w:p w14:paraId="4593E0F7">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（1）方案</w:t>
            </w:r>
            <w:r>
              <w:rPr>
                <w:rFonts w:hint="eastAsia" w:asciiTheme="minorEastAsia" w:hAnsiTheme="minorEastAsia" w:eastAsiaTheme="minorEastAsia" w:cstheme="minorEastAsia"/>
                <w:color w:val="auto"/>
                <w:sz w:val="24"/>
                <w:szCs w:val="24"/>
                <w:highlight w:val="none"/>
                <w:lang w:eastAsia="zh-CN"/>
              </w:rPr>
              <w:t>内容有</w:t>
            </w:r>
            <w:r>
              <w:rPr>
                <w:rFonts w:hint="eastAsia" w:asciiTheme="minorEastAsia" w:hAnsiTheme="minorEastAsia" w:eastAsiaTheme="minorEastAsia" w:cstheme="minorEastAsia"/>
                <w:color w:val="auto"/>
                <w:sz w:val="24"/>
                <w:szCs w:val="24"/>
                <w:highlight w:val="none"/>
              </w:rPr>
              <w:t>创意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亮点突出</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主题契合度</w:t>
            </w:r>
            <w:r>
              <w:rPr>
                <w:rFonts w:hint="eastAsia" w:asciiTheme="minorEastAsia" w:hAnsiTheme="minorEastAsia" w:eastAsiaTheme="minorEastAsia" w:cstheme="minorEastAsia"/>
                <w:color w:val="auto"/>
                <w:sz w:val="24"/>
                <w:szCs w:val="24"/>
                <w:highlight w:val="none"/>
                <w:lang w:val="en-US" w:eastAsia="zh-CN"/>
              </w:rPr>
              <w:t>高得4分</w:t>
            </w:r>
            <w:r>
              <w:rPr>
                <w:rFonts w:hint="eastAsia" w:asciiTheme="minorEastAsia" w:hAnsiTheme="minorEastAsia" w:eastAsiaTheme="minorEastAsia" w:cstheme="minorEastAsia"/>
                <w:color w:val="auto"/>
                <w:sz w:val="24"/>
                <w:szCs w:val="24"/>
                <w:highlight w:val="none"/>
                <w:lang w:eastAsia="zh-CN"/>
              </w:rPr>
              <w:t>；</w:t>
            </w:r>
          </w:p>
          <w:p w14:paraId="38F0A87B">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（2）方案</w:t>
            </w:r>
            <w:r>
              <w:rPr>
                <w:rFonts w:hint="eastAsia" w:asciiTheme="minorEastAsia" w:hAnsiTheme="minorEastAsia" w:eastAsiaTheme="minorEastAsia" w:cstheme="minorEastAsia"/>
                <w:color w:val="auto"/>
                <w:sz w:val="24"/>
                <w:szCs w:val="24"/>
                <w:highlight w:val="none"/>
                <w:lang w:eastAsia="zh-CN"/>
              </w:rPr>
              <w:t>内容较详细清晰、</w:t>
            </w:r>
            <w:r>
              <w:rPr>
                <w:rFonts w:hint="eastAsia" w:asciiTheme="minorEastAsia" w:hAnsiTheme="minorEastAsia" w:eastAsiaTheme="minorEastAsia" w:cstheme="minorEastAsia"/>
                <w:color w:val="auto"/>
                <w:sz w:val="24"/>
                <w:szCs w:val="24"/>
                <w:highlight w:val="none"/>
              </w:rPr>
              <w:t>亮点</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rPr>
              <w:t>突出</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主题契合度</w:t>
            </w:r>
            <w:r>
              <w:rPr>
                <w:rFonts w:hint="eastAsia" w:asciiTheme="minorEastAsia" w:hAnsiTheme="minorEastAsia" w:eastAsiaTheme="minorEastAsia" w:cstheme="minorEastAsia"/>
                <w:color w:val="auto"/>
                <w:sz w:val="24"/>
                <w:szCs w:val="24"/>
                <w:highlight w:val="none"/>
                <w:lang w:eastAsia="zh-CN"/>
              </w:rPr>
              <w:t>较</w:t>
            </w:r>
            <w:r>
              <w:rPr>
                <w:rFonts w:hint="eastAsia" w:asciiTheme="minorEastAsia" w:hAnsiTheme="minorEastAsia" w:eastAsiaTheme="minorEastAsia" w:cstheme="minorEastAsia"/>
                <w:color w:val="auto"/>
                <w:sz w:val="24"/>
                <w:szCs w:val="24"/>
                <w:highlight w:val="none"/>
                <w:lang w:val="en-US" w:eastAsia="zh-CN"/>
              </w:rPr>
              <w:t>高得3分；</w:t>
            </w:r>
          </w:p>
          <w:p w14:paraId="7AF5E586">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lang w:eastAsia="zh-CN"/>
              </w:rPr>
              <w:t>内容</w:t>
            </w:r>
            <w:r>
              <w:rPr>
                <w:rFonts w:hint="eastAsia" w:asciiTheme="minorEastAsia" w:hAnsiTheme="minorEastAsia" w:eastAsiaTheme="minorEastAsia" w:cstheme="minorEastAsia"/>
                <w:color w:val="auto"/>
                <w:sz w:val="24"/>
                <w:szCs w:val="24"/>
                <w:highlight w:val="none"/>
                <w:lang w:val="en-US" w:eastAsia="zh-CN"/>
              </w:rPr>
              <w:t>完整性一般、</w:t>
            </w:r>
            <w:r>
              <w:rPr>
                <w:rFonts w:hint="eastAsia" w:asciiTheme="minorEastAsia" w:hAnsiTheme="minorEastAsia" w:eastAsiaTheme="minorEastAsia" w:cstheme="minorEastAsia"/>
                <w:color w:val="auto"/>
                <w:sz w:val="24"/>
                <w:szCs w:val="24"/>
                <w:highlight w:val="none"/>
              </w:rPr>
              <w:t>亮点</w:t>
            </w:r>
            <w:r>
              <w:rPr>
                <w:rFonts w:hint="eastAsia" w:asciiTheme="minorEastAsia" w:hAnsiTheme="minorEastAsia" w:eastAsiaTheme="minorEastAsia" w:cstheme="minorEastAsia"/>
                <w:color w:val="auto"/>
                <w:sz w:val="24"/>
                <w:szCs w:val="24"/>
                <w:highlight w:val="none"/>
                <w:lang w:eastAsia="zh-CN"/>
              </w:rPr>
              <w:t>一般</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主题契合度</w:t>
            </w:r>
            <w:r>
              <w:rPr>
                <w:rFonts w:hint="eastAsia" w:asciiTheme="minorEastAsia" w:hAnsiTheme="minorEastAsia" w:eastAsiaTheme="minorEastAsia" w:cstheme="minorEastAsia"/>
                <w:color w:val="auto"/>
                <w:sz w:val="24"/>
                <w:szCs w:val="24"/>
                <w:highlight w:val="none"/>
                <w:lang w:val="en-US" w:eastAsia="zh-CN"/>
              </w:rPr>
              <w:t>一般得2分；</w:t>
            </w:r>
          </w:p>
          <w:p w14:paraId="01257049">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lang w:eastAsia="zh-CN"/>
              </w:rPr>
              <w:t>内</w:t>
            </w:r>
            <w:r>
              <w:rPr>
                <w:rFonts w:hint="eastAsia" w:asciiTheme="minorEastAsia" w:hAnsiTheme="minorEastAsia" w:eastAsiaTheme="minorEastAsia" w:cstheme="minorEastAsia"/>
                <w:color w:val="auto"/>
                <w:sz w:val="24"/>
                <w:szCs w:val="24"/>
                <w:highlight w:val="none"/>
                <w:lang w:val="en-US" w:eastAsia="zh-CN"/>
              </w:rPr>
              <w:t>容有欠缺、</w:t>
            </w:r>
            <w:r>
              <w:rPr>
                <w:rFonts w:hint="eastAsia" w:asciiTheme="minorEastAsia" w:hAnsiTheme="minorEastAsia" w:eastAsiaTheme="minorEastAsia" w:cstheme="minorEastAsia"/>
                <w:color w:val="auto"/>
                <w:sz w:val="24"/>
                <w:szCs w:val="24"/>
                <w:highlight w:val="none"/>
              </w:rPr>
              <w:t>亮点</w:t>
            </w:r>
            <w:r>
              <w:rPr>
                <w:rFonts w:hint="eastAsia" w:asciiTheme="minorEastAsia" w:hAnsiTheme="minorEastAsia" w:eastAsiaTheme="minorEastAsia" w:cstheme="minorEastAsia"/>
                <w:color w:val="auto"/>
                <w:sz w:val="24"/>
                <w:szCs w:val="24"/>
                <w:highlight w:val="none"/>
                <w:lang w:val="en-US" w:eastAsia="zh-CN"/>
              </w:rPr>
              <w:t>较低、</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本项目</w:t>
            </w:r>
            <w:r>
              <w:rPr>
                <w:rFonts w:hint="eastAsia" w:asciiTheme="minorEastAsia" w:hAnsiTheme="minorEastAsia" w:eastAsiaTheme="minorEastAsia" w:cstheme="minorEastAsia"/>
                <w:color w:val="auto"/>
                <w:sz w:val="24"/>
                <w:szCs w:val="24"/>
                <w:highlight w:val="none"/>
              </w:rPr>
              <w:t>主题契合度</w:t>
            </w:r>
            <w:r>
              <w:rPr>
                <w:rFonts w:hint="eastAsia" w:asciiTheme="minorEastAsia" w:hAnsiTheme="minorEastAsia" w:eastAsiaTheme="minorEastAsia" w:cstheme="minorEastAsia"/>
                <w:color w:val="auto"/>
                <w:sz w:val="24"/>
                <w:szCs w:val="24"/>
                <w:highlight w:val="none"/>
                <w:lang w:val="en-US" w:eastAsia="zh-CN"/>
              </w:rPr>
              <w:t>较低得1分；</w:t>
            </w:r>
          </w:p>
          <w:p w14:paraId="73F48EBC">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设计、布置、技术手段等效果展示</w:t>
            </w:r>
            <w:r>
              <w:rPr>
                <w:rFonts w:hint="eastAsia" w:asciiTheme="minorEastAsia" w:hAnsiTheme="minorEastAsia" w:eastAsiaTheme="minorEastAsia" w:cstheme="minorEastAsia"/>
                <w:b/>
                <w:bCs/>
                <w:color w:val="auto"/>
                <w:sz w:val="24"/>
                <w:szCs w:val="24"/>
                <w:highlight w:val="none"/>
                <w:lang w:eastAsia="zh-CN"/>
              </w:rPr>
              <w:t>：</w:t>
            </w:r>
          </w:p>
          <w:p w14:paraId="062E1B15">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技术先进、展示手段多样</w:t>
            </w:r>
            <w:r>
              <w:rPr>
                <w:rFonts w:hint="eastAsia" w:asciiTheme="minorEastAsia" w:hAnsiTheme="minorEastAsia" w:eastAsiaTheme="minorEastAsia" w:cstheme="minorEastAsia"/>
                <w:b w:val="0"/>
                <w:bCs w:val="0"/>
                <w:color w:val="auto"/>
                <w:sz w:val="24"/>
                <w:szCs w:val="24"/>
                <w:highlight w:val="none"/>
                <w:lang w:eastAsia="zh-CN"/>
              </w:rPr>
              <w:t>的得</w:t>
            </w:r>
            <w:r>
              <w:rPr>
                <w:rFonts w:hint="eastAsia" w:asciiTheme="minorEastAsia" w:hAnsiTheme="minorEastAsia" w:eastAsiaTheme="minorEastAsia" w:cstheme="minorEastAsia"/>
                <w:b w:val="0"/>
                <w:bCs w:val="0"/>
                <w:color w:val="auto"/>
                <w:sz w:val="24"/>
                <w:szCs w:val="24"/>
                <w:highlight w:val="none"/>
                <w:lang w:val="en-US" w:eastAsia="zh-CN"/>
              </w:rPr>
              <w:t>4分</w:t>
            </w:r>
            <w:r>
              <w:rPr>
                <w:rFonts w:hint="eastAsia" w:asciiTheme="minorEastAsia" w:hAnsiTheme="minorEastAsia" w:eastAsiaTheme="minorEastAsia" w:cstheme="minorEastAsia"/>
                <w:b w:val="0"/>
                <w:bCs w:val="0"/>
                <w:color w:val="auto"/>
                <w:sz w:val="24"/>
                <w:szCs w:val="24"/>
                <w:highlight w:val="none"/>
                <w:lang w:eastAsia="zh-CN"/>
              </w:rPr>
              <w:t>；</w:t>
            </w:r>
          </w:p>
          <w:p w14:paraId="22E14DB8">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技术先进</w:t>
            </w:r>
            <w:r>
              <w:rPr>
                <w:rFonts w:hint="eastAsia" w:asciiTheme="minorEastAsia" w:hAnsiTheme="minorEastAsia" w:eastAsiaTheme="minorEastAsia" w:cstheme="minorEastAsia"/>
                <w:b w:val="0"/>
                <w:bCs w:val="0"/>
                <w:color w:val="auto"/>
                <w:sz w:val="24"/>
                <w:szCs w:val="24"/>
                <w:highlight w:val="none"/>
                <w:lang w:eastAsia="zh-CN"/>
              </w:rPr>
              <w:t>性一般、</w:t>
            </w:r>
            <w:r>
              <w:rPr>
                <w:rFonts w:hint="eastAsia" w:asciiTheme="minorEastAsia" w:hAnsiTheme="minorEastAsia" w:eastAsiaTheme="minorEastAsia" w:cstheme="minorEastAsia"/>
                <w:b w:val="0"/>
                <w:bCs w:val="0"/>
                <w:color w:val="auto"/>
                <w:sz w:val="24"/>
                <w:szCs w:val="24"/>
                <w:highlight w:val="none"/>
              </w:rPr>
              <w:t>展示手段多样</w:t>
            </w:r>
            <w:r>
              <w:rPr>
                <w:rFonts w:hint="eastAsia" w:asciiTheme="minorEastAsia" w:hAnsiTheme="minorEastAsia" w:eastAsiaTheme="minorEastAsia" w:cstheme="minorEastAsia"/>
                <w:b w:val="0"/>
                <w:bCs w:val="0"/>
                <w:color w:val="auto"/>
                <w:sz w:val="24"/>
                <w:szCs w:val="24"/>
                <w:highlight w:val="none"/>
                <w:lang w:eastAsia="zh-CN"/>
              </w:rPr>
              <w:t>化一般的得</w:t>
            </w:r>
            <w:r>
              <w:rPr>
                <w:rFonts w:hint="eastAsia" w:asciiTheme="minorEastAsia" w:hAnsiTheme="minorEastAsia" w:eastAsiaTheme="minorEastAsia" w:cstheme="minorEastAsia"/>
                <w:b w:val="0"/>
                <w:bCs w:val="0"/>
                <w:color w:val="auto"/>
                <w:sz w:val="24"/>
                <w:szCs w:val="24"/>
                <w:highlight w:val="none"/>
                <w:lang w:val="en-US" w:eastAsia="zh-CN"/>
              </w:rPr>
              <w:t>3分</w:t>
            </w:r>
            <w:r>
              <w:rPr>
                <w:rFonts w:hint="eastAsia" w:asciiTheme="minorEastAsia" w:hAnsiTheme="minorEastAsia" w:eastAsiaTheme="minorEastAsia" w:cstheme="minorEastAsia"/>
                <w:color w:val="auto"/>
                <w:sz w:val="24"/>
                <w:szCs w:val="24"/>
                <w:highlight w:val="none"/>
                <w:lang w:val="en-US" w:eastAsia="zh-CN"/>
              </w:rPr>
              <w:t>；</w:t>
            </w:r>
          </w:p>
          <w:p w14:paraId="750B2454">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b w:val="0"/>
                <w:bCs w:val="0"/>
                <w:color w:val="auto"/>
                <w:sz w:val="24"/>
                <w:szCs w:val="24"/>
                <w:highlight w:val="none"/>
              </w:rPr>
              <w:t>技术先进</w:t>
            </w:r>
            <w:r>
              <w:rPr>
                <w:rFonts w:hint="eastAsia" w:asciiTheme="minorEastAsia" w:hAnsiTheme="minorEastAsia" w:eastAsiaTheme="minorEastAsia" w:cstheme="minorEastAsia"/>
                <w:b w:val="0"/>
                <w:bCs w:val="0"/>
                <w:color w:val="auto"/>
                <w:sz w:val="24"/>
                <w:szCs w:val="24"/>
                <w:highlight w:val="none"/>
                <w:lang w:eastAsia="zh-CN"/>
              </w:rPr>
              <w:t>性较差、</w:t>
            </w:r>
            <w:r>
              <w:rPr>
                <w:rFonts w:hint="eastAsia" w:asciiTheme="minorEastAsia" w:hAnsiTheme="minorEastAsia" w:eastAsiaTheme="minorEastAsia" w:cstheme="minorEastAsia"/>
                <w:b w:val="0"/>
                <w:bCs w:val="0"/>
                <w:color w:val="auto"/>
                <w:sz w:val="24"/>
                <w:szCs w:val="24"/>
                <w:highlight w:val="none"/>
              </w:rPr>
              <w:t>展示手段多样</w:t>
            </w:r>
            <w:r>
              <w:rPr>
                <w:rFonts w:hint="eastAsia" w:asciiTheme="minorEastAsia" w:hAnsiTheme="minorEastAsia" w:eastAsiaTheme="minorEastAsia" w:cstheme="minorEastAsia"/>
                <w:b w:val="0"/>
                <w:bCs w:val="0"/>
                <w:color w:val="auto"/>
                <w:sz w:val="24"/>
                <w:szCs w:val="24"/>
                <w:highlight w:val="none"/>
                <w:lang w:eastAsia="zh-CN"/>
              </w:rPr>
              <w:t>化较差的得</w:t>
            </w:r>
            <w:r>
              <w:rPr>
                <w:rFonts w:hint="eastAsia" w:asciiTheme="minorEastAsia" w:hAnsiTheme="minorEastAsia" w:eastAsiaTheme="minorEastAsia" w:cstheme="minorEastAsia"/>
                <w:b w:val="0"/>
                <w:bCs w:val="0"/>
                <w:color w:val="auto"/>
                <w:sz w:val="24"/>
                <w:szCs w:val="24"/>
                <w:highlight w:val="none"/>
                <w:lang w:val="en-US" w:eastAsia="zh-CN"/>
              </w:rPr>
              <w:t>2分</w:t>
            </w:r>
            <w:r>
              <w:rPr>
                <w:rFonts w:hint="eastAsia" w:asciiTheme="minorEastAsia" w:hAnsiTheme="minorEastAsia" w:eastAsiaTheme="minorEastAsia" w:cstheme="minorEastAsia"/>
                <w:color w:val="auto"/>
                <w:sz w:val="24"/>
                <w:szCs w:val="24"/>
                <w:highlight w:val="none"/>
                <w:lang w:val="en-US" w:eastAsia="zh-CN"/>
              </w:rPr>
              <w:t>；</w:t>
            </w:r>
          </w:p>
          <w:p w14:paraId="3A87A76A">
            <w:pPr>
              <w:keepNext w:val="0"/>
              <w:keepLines w:val="0"/>
              <w:pageBreakBefore w:val="0"/>
              <w:widowControl w:val="0"/>
              <w:numPr>
                <w:ilvl w:val="0"/>
                <w:numId w:val="0"/>
              </w:numPr>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Theme="minorEastAsia" w:hAnsiTheme="minorEastAsia" w:eastAsiaTheme="minorEastAsia" w:cstheme="minorEastAsia"/>
                <w:b w:val="0"/>
                <w:bCs w:val="0"/>
                <w:color w:val="auto"/>
                <w:sz w:val="24"/>
                <w:szCs w:val="24"/>
                <w:highlight w:val="none"/>
              </w:rPr>
              <w:t>技术先进</w:t>
            </w:r>
            <w:r>
              <w:rPr>
                <w:rFonts w:hint="eastAsia" w:asciiTheme="minorEastAsia" w:hAnsiTheme="minorEastAsia" w:eastAsiaTheme="minorEastAsia" w:cstheme="minorEastAsia"/>
                <w:b w:val="0"/>
                <w:bCs w:val="0"/>
                <w:color w:val="auto"/>
                <w:sz w:val="24"/>
                <w:szCs w:val="24"/>
                <w:highlight w:val="none"/>
                <w:lang w:eastAsia="zh-CN"/>
              </w:rPr>
              <w:t>性差、</w:t>
            </w:r>
            <w:r>
              <w:rPr>
                <w:rFonts w:hint="eastAsia" w:asciiTheme="minorEastAsia" w:hAnsiTheme="minorEastAsia" w:eastAsiaTheme="minorEastAsia" w:cstheme="minorEastAsia"/>
                <w:b w:val="0"/>
                <w:bCs w:val="0"/>
                <w:color w:val="auto"/>
                <w:sz w:val="24"/>
                <w:szCs w:val="24"/>
                <w:highlight w:val="none"/>
              </w:rPr>
              <w:t>展示手段多样</w:t>
            </w:r>
            <w:r>
              <w:rPr>
                <w:rFonts w:hint="eastAsia" w:asciiTheme="minorEastAsia" w:hAnsiTheme="minorEastAsia" w:eastAsiaTheme="minorEastAsia" w:cstheme="minorEastAsia"/>
                <w:b w:val="0"/>
                <w:bCs w:val="0"/>
                <w:color w:val="auto"/>
                <w:sz w:val="24"/>
                <w:szCs w:val="24"/>
                <w:highlight w:val="none"/>
                <w:lang w:eastAsia="zh-CN"/>
              </w:rPr>
              <w:t>化差的得</w:t>
            </w:r>
            <w:r>
              <w:rPr>
                <w:rFonts w:hint="eastAsia" w:asciiTheme="minorEastAsia" w:hAnsiTheme="minorEastAsia" w:eastAsiaTheme="minorEastAsia" w:cstheme="minorEastAsia"/>
                <w:b w:val="0"/>
                <w:bCs w:val="0"/>
                <w:color w:val="auto"/>
                <w:sz w:val="24"/>
                <w:szCs w:val="24"/>
                <w:highlight w:val="none"/>
                <w:lang w:val="en-US" w:eastAsia="zh-CN"/>
              </w:rPr>
              <w:t>1分</w:t>
            </w:r>
            <w:r>
              <w:rPr>
                <w:rFonts w:hint="eastAsia" w:asciiTheme="minorEastAsia" w:hAnsiTheme="minorEastAsia" w:eastAsiaTheme="minorEastAsia" w:cstheme="minorEastAsia"/>
                <w:color w:val="auto"/>
                <w:sz w:val="24"/>
                <w:szCs w:val="24"/>
                <w:highlight w:val="none"/>
                <w:lang w:val="en-US" w:eastAsia="zh-CN"/>
              </w:rPr>
              <w:t>；</w:t>
            </w:r>
          </w:p>
          <w:p w14:paraId="16D9F549">
            <w:pPr>
              <w:keepNext w:val="0"/>
              <w:keepLines w:val="0"/>
              <w:pageBreakBefore w:val="0"/>
              <w:widowControl w:val="0"/>
              <w:kinsoku/>
              <w:wordWrap/>
              <w:overflowPunct/>
              <w:topLinePunct w:val="0"/>
              <w:autoSpaceDE/>
              <w:autoSpaceDN/>
              <w:bidi w:val="0"/>
              <w:snapToGrid/>
              <w:spacing w:line="24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注：投标人</w:t>
            </w:r>
            <w:r>
              <w:rPr>
                <w:rFonts w:hint="eastAsia" w:asciiTheme="minorEastAsia" w:hAnsiTheme="minorEastAsia" w:eastAsiaTheme="minorEastAsia" w:cstheme="minorEastAsia"/>
                <w:b/>
                <w:bCs/>
                <w:color w:val="auto"/>
                <w:sz w:val="24"/>
                <w:szCs w:val="24"/>
                <w:highlight w:val="none"/>
              </w:rPr>
              <w:t>讲解时间</w:t>
            </w:r>
            <w:r>
              <w:rPr>
                <w:rFonts w:hint="eastAsia" w:asciiTheme="minorEastAsia" w:hAnsiTheme="minorEastAsia" w:eastAsiaTheme="minorEastAsia" w:cstheme="minorEastAsia"/>
                <w:b/>
                <w:bCs/>
                <w:color w:val="auto"/>
                <w:sz w:val="24"/>
                <w:szCs w:val="24"/>
                <w:highlight w:val="none"/>
                <w:lang w:val="en-US" w:eastAsia="zh-CN"/>
              </w:rPr>
              <w:t>应</w:t>
            </w:r>
            <w:r>
              <w:rPr>
                <w:rFonts w:hint="eastAsia" w:asciiTheme="minorEastAsia" w:hAnsiTheme="minorEastAsia" w:eastAsiaTheme="minorEastAsia" w:cstheme="minorEastAsia"/>
                <w:b/>
                <w:bCs/>
                <w:color w:val="auto"/>
                <w:sz w:val="24"/>
                <w:szCs w:val="24"/>
                <w:highlight w:val="none"/>
              </w:rPr>
              <w:t>控制在15分钟以内</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专家按照讲解顺序分别对各</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进行评分，</w:t>
            </w:r>
            <w:r>
              <w:rPr>
                <w:rFonts w:hint="eastAsia" w:asciiTheme="minorEastAsia" w:hAnsiTheme="minorEastAsia" w:eastAsiaTheme="minorEastAsia" w:cstheme="minorEastAsia"/>
                <w:b/>
                <w:bCs/>
                <w:color w:val="auto"/>
                <w:sz w:val="24"/>
                <w:szCs w:val="24"/>
                <w:highlight w:val="none"/>
                <w:lang w:eastAsia="zh-CN"/>
              </w:rPr>
              <w:t>投标人</w:t>
            </w:r>
            <w:r>
              <w:rPr>
                <w:rFonts w:hint="eastAsia" w:asciiTheme="minorEastAsia" w:hAnsiTheme="minorEastAsia" w:eastAsiaTheme="minorEastAsia" w:cstheme="minorEastAsia"/>
                <w:b/>
                <w:bCs/>
                <w:color w:val="auto"/>
                <w:sz w:val="24"/>
                <w:szCs w:val="24"/>
                <w:highlight w:val="none"/>
              </w:rPr>
              <w:t>无讲解演示的，此项不得分。</w:t>
            </w:r>
          </w:p>
        </w:tc>
        <w:tc>
          <w:tcPr>
            <w:tcW w:w="468" w:type="dxa"/>
            <w:shd w:val="clear" w:color="auto" w:fill="auto"/>
            <w:vAlign w:val="center"/>
          </w:tcPr>
          <w:p w14:paraId="37EC8B17">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p>
        </w:tc>
      </w:tr>
    </w:tbl>
    <w:p w14:paraId="1D329B5B">
      <w:pPr>
        <w:ind w:firstLine="3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1、各磋商小组成员自行按以上参考分值评分，评分小数点后保留一位数。</w:t>
      </w:r>
    </w:p>
    <w:p w14:paraId="0441CC3F">
      <w:pPr>
        <w:pageBreakBefore/>
        <w:autoSpaceDN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附表4</w:t>
      </w:r>
    </w:p>
    <w:p w14:paraId="65FA63B1">
      <w:pPr>
        <w:widowControl/>
        <w:autoSpaceDN w:val="0"/>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报价审查表</w:t>
      </w:r>
    </w:p>
    <w:tbl>
      <w:tblPr>
        <w:tblStyle w:val="26"/>
        <w:tblW w:w="88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5859"/>
        <w:gridCol w:w="2296"/>
      </w:tblGrid>
      <w:tr w14:paraId="293F56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2E632940">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5859" w:type="dxa"/>
            <w:tcBorders>
              <w:top w:val="single" w:color="auto" w:sz="4" w:space="0"/>
              <w:left w:val="single" w:color="auto" w:sz="4" w:space="0"/>
              <w:bottom w:val="single" w:color="auto" w:sz="4" w:space="0"/>
              <w:right w:val="single" w:color="auto" w:sz="4" w:space="0"/>
            </w:tcBorders>
            <w:vAlign w:val="center"/>
          </w:tcPr>
          <w:p w14:paraId="13347C7C">
            <w:pPr>
              <w:autoSpaceDN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要求说明</w:t>
            </w:r>
          </w:p>
        </w:tc>
        <w:tc>
          <w:tcPr>
            <w:tcW w:w="2296" w:type="dxa"/>
            <w:tcBorders>
              <w:top w:val="single" w:color="auto" w:sz="4" w:space="0"/>
              <w:left w:val="single" w:color="auto" w:sz="4" w:space="0"/>
              <w:bottom w:val="single" w:color="auto" w:sz="4" w:space="0"/>
              <w:right w:val="single" w:color="auto" w:sz="4" w:space="0"/>
            </w:tcBorders>
            <w:vAlign w:val="center"/>
          </w:tcPr>
          <w:p w14:paraId="2737604E">
            <w:pPr>
              <w:autoSpaceDN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审查要求</w:t>
            </w:r>
          </w:p>
        </w:tc>
      </w:tr>
      <w:tr w14:paraId="1101A1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E9B7968">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859" w:type="dxa"/>
            <w:tcBorders>
              <w:top w:val="single" w:color="auto" w:sz="4" w:space="0"/>
              <w:left w:val="single" w:color="auto" w:sz="4" w:space="0"/>
              <w:bottom w:val="single" w:color="auto" w:sz="4" w:space="0"/>
              <w:right w:val="single" w:color="auto" w:sz="4" w:space="0"/>
            </w:tcBorders>
          </w:tcPr>
          <w:p w14:paraId="7E48D00C">
            <w:pPr>
              <w:autoSpaceDN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本项目最高限价为</w:t>
            </w:r>
            <w:r>
              <w:rPr>
                <w:rFonts w:hint="eastAsia" w:eastAsia="宋体" w:cs="宋体" w:asciiTheme="minorEastAsia" w:hAnsiTheme="minorEastAsia"/>
                <w:color w:val="auto"/>
                <w:sz w:val="24"/>
                <w:szCs w:val="24"/>
                <w:highlight w:val="none"/>
                <w:lang w:eastAsia="zh-CN"/>
              </w:rPr>
              <w:t>5500000</w:t>
            </w:r>
            <w:r>
              <w:rPr>
                <w:rFonts w:hint="eastAsia" w:ascii="宋体" w:hAnsi="宋体" w:eastAsia="宋体" w:cs="宋体"/>
                <w:color w:val="auto"/>
                <w:sz w:val="24"/>
                <w:szCs w:val="24"/>
                <w:highlight w:val="none"/>
              </w:rPr>
              <w:t>元，磋商报价（最后报价）超过最高限价的作无效报价处理。</w:t>
            </w:r>
          </w:p>
        </w:tc>
        <w:tc>
          <w:tcPr>
            <w:tcW w:w="2296" w:type="dxa"/>
            <w:tcBorders>
              <w:top w:val="single" w:color="auto" w:sz="4" w:space="0"/>
              <w:left w:val="single" w:color="auto" w:sz="4" w:space="0"/>
              <w:bottom w:val="single" w:color="auto" w:sz="4" w:space="0"/>
              <w:right w:val="single" w:color="auto" w:sz="4" w:space="0"/>
            </w:tcBorders>
            <w:vAlign w:val="center"/>
          </w:tcPr>
          <w:p w14:paraId="315302E6">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提供“报价一览表”。</w:t>
            </w:r>
          </w:p>
        </w:tc>
      </w:tr>
      <w:tr w14:paraId="7E2E6D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99FB725">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859" w:type="dxa"/>
            <w:tcBorders>
              <w:top w:val="single" w:color="auto" w:sz="4" w:space="0"/>
              <w:left w:val="single" w:color="auto" w:sz="4" w:space="0"/>
              <w:bottom w:val="single" w:color="auto" w:sz="4" w:space="0"/>
              <w:right w:val="single" w:color="auto" w:sz="4" w:space="0"/>
            </w:tcBorders>
            <w:vAlign w:val="center"/>
          </w:tcPr>
          <w:p w14:paraId="58DB4448">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磋商响应文件的签署盖章。</w:t>
            </w:r>
          </w:p>
        </w:tc>
        <w:tc>
          <w:tcPr>
            <w:tcW w:w="2296" w:type="dxa"/>
            <w:tcBorders>
              <w:top w:val="single" w:color="auto" w:sz="4" w:space="0"/>
              <w:left w:val="single" w:color="auto" w:sz="4" w:space="0"/>
              <w:bottom w:val="single" w:color="auto" w:sz="4" w:space="0"/>
              <w:right w:val="single" w:color="auto" w:sz="4" w:space="0"/>
            </w:tcBorders>
            <w:vAlign w:val="center"/>
          </w:tcPr>
          <w:p w14:paraId="58784B3F">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符合第二章“磋商须知”第九条的要求。</w:t>
            </w:r>
          </w:p>
        </w:tc>
      </w:tr>
      <w:tr w14:paraId="6EDCD0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6533051D">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859" w:type="dxa"/>
            <w:tcBorders>
              <w:top w:val="single" w:color="auto" w:sz="4" w:space="0"/>
              <w:left w:val="single" w:color="auto" w:sz="4" w:space="0"/>
              <w:bottom w:val="single" w:color="auto" w:sz="4" w:space="0"/>
              <w:right w:val="single" w:color="auto" w:sz="4" w:space="0"/>
            </w:tcBorders>
            <w:vAlign w:val="center"/>
          </w:tcPr>
          <w:p w14:paraId="36EDFB5B">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认为供应商的报价明显低于其他通过第一阶段评审供应商的报价，有可能影响产品质量或者不能诚信履约的，应当要求其在评审现场合理的时间内提供书面说明，必要时提交相关证明材料；供应商不能证明其报价合理性的，评审小组应当将其作为无效报价处理。</w:t>
            </w:r>
          </w:p>
        </w:tc>
        <w:tc>
          <w:tcPr>
            <w:tcW w:w="2296" w:type="dxa"/>
            <w:tcBorders>
              <w:top w:val="single" w:color="auto" w:sz="4" w:space="0"/>
              <w:left w:val="single" w:color="auto" w:sz="4" w:space="0"/>
              <w:bottom w:val="single" w:color="auto" w:sz="4" w:space="0"/>
              <w:right w:val="single" w:color="auto" w:sz="4" w:space="0"/>
            </w:tcBorders>
            <w:vAlign w:val="center"/>
          </w:tcPr>
          <w:p w14:paraId="40798022">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符合所述要求。</w:t>
            </w:r>
          </w:p>
        </w:tc>
      </w:tr>
      <w:tr w14:paraId="16CA7D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1A9C919">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859" w:type="dxa"/>
            <w:tcBorders>
              <w:top w:val="single" w:color="auto" w:sz="4" w:space="0"/>
              <w:left w:val="single" w:color="auto" w:sz="4" w:space="0"/>
              <w:bottom w:val="single" w:color="auto" w:sz="4" w:space="0"/>
              <w:right w:val="single" w:color="auto" w:sz="4" w:space="0"/>
            </w:tcBorders>
            <w:vAlign w:val="center"/>
          </w:tcPr>
          <w:p w14:paraId="3D3075A1">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符合法律、法规和竞争性磋商文件中规定的其他实质性要求（实质性要求竞争性磋商文件中“</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”标记）</w:t>
            </w:r>
          </w:p>
        </w:tc>
        <w:tc>
          <w:tcPr>
            <w:tcW w:w="2296" w:type="dxa"/>
            <w:tcBorders>
              <w:top w:val="single" w:color="auto" w:sz="4" w:space="0"/>
              <w:left w:val="single" w:color="auto" w:sz="4" w:space="0"/>
              <w:bottom w:val="single" w:color="auto" w:sz="4" w:space="0"/>
              <w:right w:val="single" w:color="auto" w:sz="4" w:space="0"/>
            </w:tcBorders>
            <w:vAlign w:val="center"/>
          </w:tcPr>
          <w:p w14:paraId="3B1D52DE">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符合所述要求。</w:t>
            </w:r>
          </w:p>
        </w:tc>
      </w:tr>
      <w:tr w14:paraId="45677D8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6579" w:type="dxa"/>
            <w:gridSpan w:val="2"/>
            <w:tcBorders>
              <w:top w:val="single" w:color="auto" w:sz="4" w:space="0"/>
              <w:left w:val="single" w:color="auto" w:sz="4" w:space="0"/>
              <w:bottom w:val="single" w:color="auto" w:sz="4" w:space="0"/>
              <w:right w:val="single" w:color="auto" w:sz="4" w:space="0"/>
            </w:tcBorders>
            <w:vAlign w:val="center"/>
          </w:tcPr>
          <w:p w14:paraId="5FC498A1">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报价审查结论</w:t>
            </w:r>
          </w:p>
        </w:tc>
        <w:tc>
          <w:tcPr>
            <w:tcW w:w="2296" w:type="dxa"/>
            <w:tcBorders>
              <w:top w:val="single" w:color="auto" w:sz="4" w:space="0"/>
              <w:left w:val="single" w:color="auto" w:sz="4" w:space="0"/>
              <w:bottom w:val="single" w:color="auto" w:sz="4" w:space="0"/>
              <w:right w:val="single" w:color="auto" w:sz="4" w:space="0"/>
            </w:tcBorders>
            <w:vAlign w:val="center"/>
          </w:tcPr>
          <w:p w14:paraId="08A5D766">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75F18B07">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注：1、上述审查项目中，任意一项不符合的，报价审查不合格。</w:t>
      </w:r>
    </w:p>
    <w:p w14:paraId="7B02D067">
      <w:pPr>
        <w:autoSpaceDN w:val="0"/>
        <w:spacing w:line="36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2、上述审查项目中的第2项至第4项，无需在政采云中设置关联点。</w:t>
      </w:r>
    </w:p>
    <w:p w14:paraId="17FAFF9F">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1548F8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8FA1F48">
      <w:pPr>
        <w:autoSpaceDE w:val="0"/>
        <w:autoSpaceDN w:val="0"/>
        <w:adjustRightInd w:val="0"/>
        <w:spacing w:line="360" w:lineRule="auto"/>
        <w:ind w:firstLine="360" w:firstLineChars="150"/>
        <w:jc w:val="left"/>
        <w:rPr>
          <w:rFonts w:hint="eastAsia" w:ascii="宋体" w:hAnsi="宋体" w:eastAsia="宋体" w:cs="宋体"/>
          <w:color w:val="auto"/>
          <w:kern w:val="0"/>
          <w:sz w:val="24"/>
          <w:szCs w:val="24"/>
          <w:highlight w:val="none"/>
        </w:rPr>
      </w:pPr>
    </w:p>
    <w:p w14:paraId="7C53EB23">
      <w:pPr>
        <w:autoSpaceDE w:val="0"/>
        <w:autoSpaceDN w:val="0"/>
        <w:adjustRightInd w:val="0"/>
        <w:spacing w:line="360" w:lineRule="auto"/>
        <w:ind w:firstLine="360" w:firstLineChars="150"/>
        <w:jc w:val="left"/>
        <w:rPr>
          <w:rFonts w:hint="eastAsia" w:ascii="宋体" w:hAnsi="宋体" w:eastAsia="宋体" w:cs="宋体"/>
          <w:color w:val="auto"/>
          <w:kern w:val="0"/>
          <w:sz w:val="24"/>
          <w:szCs w:val="24"/>
          <w:highlight w:val="none"/>
        </w:rPr>
      </w:pPr>
    </w:p>
    <w:p w14:paraId="0C9220D2">
      <w:pPr>
        <w:pageBreakBefore/>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附表5</w:t>
      </w:r>
    </w:p>
    <w:p w14:paraId="17117FC1">
      <w:pPr>
        <w:widowControl/>
        <w:autoSpaceDN w:val="0"/>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价格评分表</w:t>
      </w:r>
    </w:p>
    <w:p w14:paraId="14BC1C32">
      <w:pPr>
        <w:autoSpaceDN w:val="0"/>
        <w:spacing w:line="320" w:lineRule="exact"/>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eastAsia="zh-CN"/>
        </w:rPr>
        <w:t>ZGTZZB2025-0403</w:t>
      </w:r>
    </w:p>
    <w:tbl>
      <w:tblPr>
        <w:tblStyle w:val="2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660"/>
        <w:gridCol w:w="7295"/>
      </w:tblGrid>
      <w:tr w14:paraId="51A532C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91" w:hRule="atLeast"/>
          <w:jc w:val="center"/>
        </w:trPr>
        <w:tc>
          <w:tcPr>
            <w:tcW w:w="8955" w:type="dxa"/>
            <w:gridSpan w:val="2"/>
            <w:tcBorders>
              <w:top w:val="single" w:color="auto" w:sz="4" w:space="0"/>
              <w:left w:val="single" w:color="auto" w:sz="4" w:space="0"/>
              <w:bottom w:val="single" w:color="auto" w:sz="4" w:space="0"/>
              <w:right w:val="single" w:color="auto" w:sz="4" w:space="0"/>
              <w:tl2br w:val="single" w:color="000000" w:sz="4" w:space="0"/>
            </w:tcBorders>
          </w:tcPr>
          <w:p w14:paraId="174D0617">
            <w:pPr>
              <w:autoSpaceDN w:val="0"/>
              <w:spacing w:line="360" w:lineRule="auto"/>
              <w:ind w:right="420"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p w14:paraId="05A3EC08">
            <w:pPr>
              <w:autoSpaceDN w:val="0"/>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5519FD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411"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70259C64">
            <w:pPr>
              <w:autoSpaceDN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报价得分</w:t>
            </w:r>
          </w:p>
          <w:p w14:paraId="5C39784E">
            <w:pPr>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（10分）</w:t>
            </w:r>
          </w:p>
        </w:tc>
        <w:tc>
          <w:tcPr>
            <w:tcW w:w="7295" w:type="dxa"/>
            <w:tcBorders>
              <w:top w:val="single" w:color="auto" w:sz="4" w:space="0"/>
              <w:left w:val="single" w:color="auto" w:sz="4" w:space="0"/>
              <w:bottom w:val="single" w:color="auto" w:sz="4" w:space="0"/>
              <w:right w:val="single" w:color="auto" w:sz="4" w:space="0"/>
            </w:tcBorders>
            <w:vAlign w:val="center"/>
          </w:tcPr>
          <w:p w14:paraId="0B260987">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参与评审的价格=有效供应商最后报价</w:t>
            </w:r>
          </w:p>
          <w:p w14:paraId="239C389A">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基准价=满足竞争性磋商文件要求且“参与评审的价格”中最低的价格为基准价</w:t>
            </w:r>
          </w:p>
          <w:p w14:paraId="233A992C">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基准价得分为满分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分，其他供应商价格分计算公式如下：</w:t>
            </w:r>
          </w:p>
          <w:p w14:paraId="3D1C7404">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其他供应商价格分=（基准价/参与评审的价格）×</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%×100（小数点后保留两位小数）</w:t>
            </w:r>
          </w:p>
          <w:p w14:paraId="716C2126">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参与评审价格=投标报价-小微企业（包含监狱企业、残疾人福利性单位）价格扣除优惠值（如有）</w:t>
            </w:r>
          </w:p>
          <w:p w14:paraId="1AA44AB6">
            <w:pPr>
              <w:autoSpaceDN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本次</w:t>
            </w:r>
            <w:r>
              <w:rPr>
                <w:rFonts w:hint="eastAsia" w:ascii="宋体" w:hAnsi="宋体" w:eastAsia="宋体" w:cs="宋体"/>
                <w:b/>
                <w:color w:val="auto"/>
                <w:sz w:val="24"/>
                <w:szCs w:val="24"/>
                <w:highlight w:val="none"/>
              </w:rPr>
              <w:t>采购为非专门面向中小企业，本次评标将对中小企业声明函满足</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文件要求的小型和微型</w:t>
            </w:r>
            <w:r>
              <w:rPr>
                <w:rFonts w:hint="eastAsia" w:ascii="宋体" w:hAnsi="宋体" w:eastAsia="宋体" w:cs="宋体"/>
                <w:b/>
                <w:color w:val="auto"/>
                <w:sz w:val="24"/>
                <w:szCs w:val="24"/>
                <w:highlight w:val="none"/>
                <w:lang w:eastAsia="zh-CN"/>
              </w:rPr>
              <w:t>企业</w:t>
            </w:r>
            <w:r>
              <w:rPr>
                <w:rFonts w:hint="eastAsia" w:ascii="宋体" w:hAnsi="宋体" w:eastAsia="宋体" w:cs="宋体"/>
                <w:b/>
                <w:color w:val="auto"/>
                <w:sz w:val="24"/>
                <w:szCs w:val="24"/>
                <w:highlight w:val="none"/>
              </w:rPr>
              <w:t>的价格（包括监狱企业）给予10%的扣除，用扣除后的价格参与评审</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p>
          <w:p w14:paraId="3FACDCEA">
            <w:pPr>
              <w:autoSpaceDN w:val="0"/>
              <w:spacing w:line="360" w:lineRule="auto"/>
              <w:ind w:firstLine="482" w:firstLineChars="200"/>
              <w:rPr>
                <w:rFonts w:hint="eastAsia"/>
                <w:color w:val="auto"/>
                <w:highlight w:val="none"/>
              </w:rPr>
            </w:pPr>
            <w:r>
              <w:rPr>
                <w:rFonts w:hint="eastAsia" w:ascii="宋体" w:hAnsi="宋体" w:eastAsia="宋体" w:cs="宋体"/>
                <w:b/>
                <w:bCs/>
                <w:color w:val="auto"/>
                <w:sz w:val="24"/>
                <w:szCs w:val="24"/>
                <w:highlight w:val="none"/>
              </w:rPr>
              <w:t>本次</w:t>
            </w:r>
            <w:r>
              <w:rPr>
                <w:rFonts w:hint="eastAsia" w:ascii="宋体" w:hAnsi="宋体" w:eastAsia="宋体" w:cs="宋体"/>
                <w:b/>
                <w:color w:val="auto"/>
                <w:sz w:val="24"/>
                <w:szCs w:val="24"/>
                <w:highlight w:val="none"/>
              </w:rPr>
              <w:t>采购</w:t>
            </w:r>
            <w:r>
              <w:rPr>
                <w:rFonts w:hint="eastAsia" w:ascii="宋体" w:hAnsi="宋体" w:eastAsia="宋体" w:cs="宋体"/>
                <w:b/>
                <w:bCs/>
                <w:color w:val="auto"/>
                <w:sz w:val="24"/>
                <w:szCs w:val="24"/>
                <w:highlight w:val="none"/>
              </w:rPr>
              <w:t>接受大中型企业与小微企业组成联合体，对于联合协议约定小微企业的合同份额占到合同总金额30%以上的，对联合体的报价给予4%的扣除，用扣除后的价格参加评审</w:t>
            </w:r>
            <w:r>
              <w:rPr>
                <w:rFonts w:hint="eastAsia" w:ascii="宋体" w:hAnsi="宋体" w:eastAsia="宋体" w:cs="宋体"/>
                <w:color w:val="auto"/>
                <w:sz w:val="24"/>
                <w:szCs w:val="24"/>
                <w:highlight w:val="none"/>
              </w:rPr>
              <w:t>。</w:t>
            </w:r>
          </w:p>
        </w:tc>
      </w:tr>
      <w:tr w14:paraId="1F1860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jc w:val="center"/>
        </w:trPr>
        <w:tc>
          <w:tcPr>
            <w:tcW w:w="8955" w:type="dxa"/>
            <w:gridSpan w:val="2"/>
            <w:tcBorders>
              <w:top w:val="single" w:color="auto" w:sz="4" w:space="0"/>
              <w:left w:val="single" w:color="auto" w:sz="4" w:space="0"/>
              <w:bottom w:val="single" w:color="auto" w:sz="4" w:space="0"/>
              <w:right w:val="single" w:color="auto" w:sz="4" w:space="0"/>
            </w:tcBorders>
            <w:vAlign w:val="center"/>
          </w:tcPr>
          <w:p w14:paraId="5A7F31E7">
            <w:pPr>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报价得分（10分）</w:t>
            </w:r>
          </w:p>
        </w:tc>
      </w:tr>
    </w:tbl>
    <w:p w14:paraId="17033BB1">
      <w:pPr>
        <w:autoSpaceDN w:val="0"/>
        <w:spacing w:line="360" w:lineRule="exact"/>
        <w:rPr>
          <w:rFonts w:hint="eastAsia" w:ascii="宋体" w:hAnsi="宋体" w:eastAsia="宋体" w:cs="宋体"/>
          <w:color w:val="auto"/>
          <w:highlight w:val="none"/>
        </w:rPr>
      </w:pPr>
      <w:r>
        <w:rPr>
          <w:rFonts w:hint="eastAsia" w:ascii="宋体" w:hAnsi="宋体" w:eastAsia="宋体" w:cs="宋体"/>
          <w:b/>
          <w:bCs/>
          <w:color w:val="auto"/>
          <w:szCs w:val="21"/>
          <w:highlight w:val="none"/>
        </w:rPr>
        <w:t> </w:t>
      </w:r>
    </w:p>
    <w:p w14:paraId="7FE61BE9">
      <w:pPr>
        <w:pageBreakBefore/>
        <w:tabs>
          <w:tab w:val="left" w:pos="8280"/>
        </w:tabs>
        <w:autoSpaceDE w:val="0"/>
        <w:autoSpaceDN w:val="0"/>
        <w:adjustRightInd w:val="0"/>
        <w:spacing w:line="360" w:lineRule="auto"/>
        <w:ind w:right="23" w:firstLine="562" w:firstLineChars="200"/>
        <w:jc w:val="center"/>
        <w:outlineLvl w:val="0"/>
        <w:rPr>
          <w:rFonts w:hint="eastAsia" w:ascii="宋体" w:hAnsi="宋体" w:eastAsia="宋体" w:cs="宋体"/>
          <w:b/>
          <w:color w:val="auto"/>
          <w:sz w:val="28"/>
          <w:szCs w:val="28"/>
          <w:highlight w:val="none"/>
        </w:rPr>
      </w:pPr>
      <w:bookmarkStart w:id="24" w:name="_Toc40964241"/>
      <w:bookmarkStart w:id="25" w:name="_Toc15065"/>
      <w:r>
        <w:rPr>
          <w:rFonts w:hint="eastAsia" w:ascii="宋体" w:hAnsi="宋体" w:eastAsia="宋体" w:cs="宋体"/>
          <w:b/>
          <w:color w:val="auto"/>
          <w:sz w:val="28"/>
          <w:szCs w:val="28"/>
          <w:highlight w:val="none"/>
        </w:rPr>
        <w:t>第四章  用户需求书</w:t>
      </w:r>
      <w:bookmarkEnd w:id="24"/>
      <w:bookmarkEnd w:id="25"/>
    </w:p>
    <w:p w14:paraId="6B414F70">
      <w:pPr>
        <w:keepNext w:val="0"/>
        <w:keepLines w:val="0"/>
        <w:pageBreakBefore w:val="0"/>
        <w:widowControl w:val="0"/>
        <w:kinsoku/>
        <w:wordWrap/>
        <w:overflowPunct/>
        <w:topLinePunct w:val="0"/>
        <w:bidi w:val="0"/>
        <w:adjustRightInd w:val="0"/>
        <w:spacing w:line="360" w:lineRule="auto"/>
        <w:ind w:firstLine="482" w:firstLineChars="200"/>
        <w:jc w:val="left"/>
        <w:textAlignment w:val="auto"/>
        <w:outlineLvl w:val="2"/>
        <w:rPr>
          <w:rFonts w:hint="eastAsia" w:asciiTheme="minorEastAsia" w:hAnsiTheme="minorEastAsia" w:eastAsiaTheme="minorEastAsia" w:cstheme="minorEastAsia"/>
          <w:b/>
          <w:bCs/>
          <w:color w:val="auto"/>
          <w:kern w:val="44"/>
          <w:sz w:val="24"/>
          <w:szCs w:val="24"/>
          <w:highlight w:val="none"/>
          <w:lang w:val="en-US" w:eastAsia="zh-CN" w:bidi="ar-SA"/>
        </w:rPr>
      </w:pPr>
      <w:r>
        <w:rPr>
          <w:rFonts w:hint="eastAsia" w:asciiTheme="minorEastAsia" w:hAnsiTheme="minorEastAsia" w:eastAsiaTheme="minorEastAsia" w:cstheme="minorEastAsia"/>
          <w:b/>
          <w:bCs/>
          <w:color w:val="auto"/>
          <w:kern w:val="44"/>
          <w:sz w:val="24"/>
          <w:szCs w:val="24"/>
          <w:highlight w:val="none"/>
          <w:lang w:val="en-US" w:eastAsia="zh-CN" w:bidi="ar-SA"/>
        </w:rPr>
        <w:t>一、基本概况</w:t>
      </w:r>
    </w:p>
    <w:p w14:paraId="0339AB45">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（一）</w:t>
      </w:r>
      <w:r>
        <w:rPr>
          <w:rFonts w:hint="eastAsia" w:asciiTheme="minorEastAsia" w:hAnsiTheme="minorEastAsia" w:eastAsiaTheme="minorEastAsia" w:cstheme="minorEastAsia"/>
          <w:b/>
          <w:bCs/>
          <w:color w:val="auto"/>
          <w:sz w:val="24"/>
          <w:szCs w:val="24"/>
          <w:highlight w:val="none"/>
        </w:rPr>
        <w:t>指导思想</w:t>
      </w:r>
    </w:p>
    <w:p w14:paraId="117987C4">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深入贯彻落实党的二十大精神，贯彻落实习总书记关于体育的重要论述和指示批示精神，以展示党的十八大以来全民健身成果和全国各地全民健身工作特色、亮点为主线，按照“简约、安全、精彩”总体要求，力求通过赛事活动的举办，推动构建更高水平全民健身公共服务体系，打造体育的盛会、人民的节日、欢乐的海洋。</w:t>
      </w:r>
    </w:p>
    <w:p w14:paraId="4D5797E2">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（二）活动时间</w:t>
      </w:r>
    </w:p>
    <w:p w14:paraId="0D5046C1">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开幕式和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lang w:eastAsia="zh-CN"/>
        </w:rPr>
        <w:t>时间</w:t>
      </w:r>
      <w:r>
        <w:rPr>
          <w:rFonts w:hint="eastAsia" w:asciiTheme="minorEastAsia" w:hAnsiTheme="minorEastAsia" w:eastAsiaTheme="minorEastAsia" w:cstheme="minorEastAsia"/>
          <w:color w:val="auto"/>
          <w:sz w:val="24"/>
          <w:szCs w:val="24"/>
          <w:highlight w:val="none"/>
        </w:rPr>
        <w:t>拟于202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eastAsia="zh-CN"/>
        </w:rPr>
        <w:t>份；闭幕式时间</w:t>
      </w:r>
      <w:r>
        <w:rPr>
          <w:rFonts w:hint="eastAsia" w:asciiTheme="minorEastAsia" w:hAnsiTheme="minorEastAsia" w:eastAsiaTheme="minorEastAsia" w:cstheme="minorEastAsia"/>
          <w:color w:val="auto"/>
          <w:sz w:val="24"/>
          <w:szCs w:val="24"/>
          <w:highlight w:val="none"/>
        </w:rPr>
        <w:t>拟于</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eastAsia="zh-CN"/>
        </w:rPr>
        <w:t>份</w:t>
      </w:r>
      <w:r>
        <w:rPr>
          <w:rFonts w:hint="eastAsia" w:asciiTheme="minorEastAsia" w:hAnsiTheme="minorEastAsia" w:eastAsiaTheme="minorEastAsia" w:cstheme="minorEastAsia"/>
          <w:color w:val="auto"/>
          <w:sz w:val="24"/>
          <w:szCs w:val="24"/>
          <w:highlight w:val="none"/>
        </w:rPr>
        <w:t>（具体时间以采购人通知为准）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3A420B17">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（三）活动地点</w:t>
      </w:r>
    </w:p>
    <w:p w14:paraId="0292C5A0">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浙江省</w:t>
      </w:r>
      <w:r>
        <w:rPr>
          <w:rFonts w:hint="eastAsia" w:asciiTheme="minorEastAsia" w:hAnsiTheme="minorEastAsia" w:eastAsiaTheme="minorEastAsia" w:cstheme="minorEastAsia"/>
          <w:color w:val="auto"/>
          <w:sz w:val="24"/>
          <w:szCs w:val="24"/>
          <w:highlight w:val="none"/>
          <w:lang w:eastAsia="zh-CN"/>
        </w:rPr>
        <w:t>台州市体育中心、玉环奥体中心体育馆</w:t>
      </w:r>
    </w:p>
    <w:p w14:paraId="287D7D77">
      <w:pPr>
        <w:keepNext w:val="0"/>
        <w:keepLines w:val="0"/>
        <w:pageBreakBefore w:val="0"/>
        <w:widowControl w:val="0"/>
        <w:kinsoku/>
        <w:wordWrap/>
        <w:overflowPunct/>
        <w:topLinePunct w:val="0"/>
        <w:bidi w:val="0"/>
        <w:adjustRightInd w:val="0"/>
        <w:spacing w:line="360" w:lineRule="auto"/>
        <w:ind w:firstLine="482" w:firstLineChars="200"/>
        <w:jc w:val="left"/>
        <w:textAlignment w:val="auto"/>
        <w:outlineLvl w:val="2"/>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、内容及要求</w:t>
      </w:r>
    </w:p>
    <w:p w14:paraId="206E187F">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（一）采购内容</w:t>
      </w:r>
    </w:p>
    <w:p w14:paraId="1368C6DA">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中标</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负责浙江省第五届体育大会开闭幕式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执行服务演出的整体策划、筹备和组织实施工作，包括但不限于以下内容：</w:t>
      </w:r>
    </w:p>
    <w:p w14:paraId="07CF2A5A">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舞台、灯光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音响等相关演出设施设备及舞美装置的租赁、搭建、维护、清理</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（相关方案需经采购人确认）；</w:t>
      </w:r>
    </w:p>
    <w:p w14:paraId="70B1DCF0">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节目内容设计、流程设计、演职人员邀请及筛选、编排</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排演；</w:t>
      </w:r>
    </w:p>
    <w:p w14:paraId="77C14C3B">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节目背景视频和音频制作、演出全程拍摄和剪辑等；</w:t>
      </w:r>
    </w:p>
    <w:p w14:paraId="52DFAD19">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整体方案撰写、节目单制作、主持词撰写及整体宣传推广等工作（相关方案需经主办</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确认）；</w:t>
      </w:r>
    </w:p>
    <w:p w14:paraId="4C00910D">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负责与</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相关的礼仪、会场管理等人员的配置；</w:t>
      </w:r>
    </w:p>
    <w:p w14:paraId="195E4736">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相关的引导牌、邀请函等相关物料设计与制作；</w:t>
      </w:r>
    </w:p>
    <w:p w14:paraId="07056E4F">
      <w:pPr>
        <w:keepNext w:val="0"/>
        <w:keepLines w:val="0"/>
        <w:pageBreakBefore w:val="0"/>
        <w:widowControl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负责委托</w:t>
      </w:r>
      <w:r>
        <w:rPr>
          <w:rFonts w:hint="eastAsia" w:asciiTheme="minorEastAsia" w:hAnsiTheme="minorEastAsia" w:eastAsiaTheme="minorEastAsia" w:cstheme="minorEastAsia"/>
          <w:color w:val="auto"/>
          <w:sz w:val="24"/>
          <w:szCs w:val="24"/>
          <w:highlight w:val="none"/>
          <w:lang w:val="en-US" w:eastAsia="zh-CN"/>
        </w:rPr>
        <w:t>具备相关</w:t>
      </w:r>
      <w:r>
        <w:rPr>
          <w:rFonts w:hint="eastAsia" w:asciiTheme="minorEastAsia" w:hAnsiTheme="minorEastAsia" w:eastAsiaTheme="minorEastAsia" w:cstheme="minorEastAsia"/>
          <w:color w:val="auto"/>
          <w:sz w:val="24"/>
          <w:szCs w:val="24"/>
          <w:highlight w:val="none"/>
        </w:rPr>
        <w:t>资质的第三方机构完成</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rPr>
        <w:t>社会风险评估、安全风险评估并形成报告</w:t>
      </w:r>
      <w:r>
        <w:rPr>
          <w:rFonts w:hint="eastAsia" w:asciiTheme="minorEastAsia" w:hAnsiTheme="minorEastAsia" w:eastAsiaTheme="minorEastAsia" w:cstheme="minorEastAsia"/>
          <w:color w:val="auto"/>
          <w:sz w:val="24"/>
          <w:szCs w:val="24"/>
          <w:highlight w:val="none"/>
          <w:lang w:eastAsia="zh-CN"/>
        </w:rPr>
        <w:t>，并组织落实安保、医疗、电力等各项保障措施</w:t>
      </w:r>
      <w:r>
        <w:rPr>
          <w:rFonts w:hint="eastAsia" w:asciiTheme="minorEastAsia" w:hAnsiTheme="minorEastAsia" w:eastAsiaTheme="minorEastAsia" w:cstheme="minorEastAsia"/>
          <w:color w:val="auto"/>
          <w:sz w:val="24"/>
          <w:szCs w:val="24"/>
          <w:highlight w:val="none"/>
        </w:rPr>
        <w:t>；</w:t>
      </w:r>
    </w:p>
    <w:p w14:paraId="5177CDF6">
      <w:pPr>
        <w:keepNext w:val="0"/>
        <w:keepLines w:val="0"/>
        <w:pageBreakBefore w:val="0"/>
        <w:widowControl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eastAsia="zh-CN"/>
        </w:rPr>
        <w:t>开</w:t>
      </w:r>
      <w:r>
        <w:rPr>
          <w:rFonts w:hint="eastAsia" w:asciiTheme="minorEastAsia" w:hAnsiTheme="minorEastAsia" w:eastAsiaTheme="minorEastAsia" w:cstheme="minorEastAsia"/>
          <w:color w:val="auto"/>
          <w:sz w:val="24"/>
          <w:szCs w:val="24"/>
          <w:highlight w:val="none"/>
        </w:rPr>
        <w:t>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期间各体育代表团、部分单项体育协会人员、省内市县体育代表、部分新闻媒体工作人员</w:t>
      </w:r>
      <w:r>
        <w:rPr>
          <w:rFonts w:hint="eastAsia" w:asciiTheme="minorEastAsia" w:hAnsiTheme="minorEastAsia" w:eastAsiaTheme="minorEastAsia" w:cstheme="minorEastAsia"/>
          <w:color w:val="auto"/>
          <w:sz w:val="24"/>
          <w:szCs w:val="24"/>
          <w:highlight w:val="none"/>
          <w:lang w:eastAsia="zh-CN"/>
        </w:rPr>
        <w:t>及邀请嘉宾的</w:t>
      </w:r>
      <w:r>
        <w:rPr>
          <w:rFonts w:hint="eastAsia" w:asciiTheme="minorEastAsia" w:hAnsiTheme="minorEastAsia" w:eastAsiaTheme="minorEastAsia" w:cstheme="minorEastAsia"/>
          <w:color w:val="auto"/>
          <w:sz w:val="24"/>
          <w:szCs w:val="24"/>
          <w:highlight w:val="none"/>
        </w:rPr>
        <w:t>接待</w:t>
      </w:r>
      <w:r>
        <w:rPr>
          <w:rFonts w:hint="eastAsia" w:asciiTheme="minorEastAsia" w:hAnsiTheme="minorEastAsia" w:eastAsiaTheme="minorEastAsia" w:cstheme="minorEastAsia"/>
          <w:color w:val="auto"/>
          <w:sz w:val="24"/>
          <w:szCs w:val="24"/>
          <w:highlight w:val="none"/>
          <w:lang w:eastAsia="zh-CN"/>
        </w:rPr>
        <w:t>服务、后勤保障</w:t>
      </w:r>
      <w:r>
        <w:rPr>
          <w:rFonts w:hint="eastAsia" w:asciiTheme="minorEastAsia" w:hAnsiTheme="minorEastAsia" w:eastAsiaTheme="minorEastAsia" w:cstheme="minorEastAsia"/>
          <w:color w:val="auto"/>
          <w:sz w:val="24"/>
          <w:szCs w:val="24"/>
          <w:highlight w:val="none"/>
        </w:rPr>
        <w:t>工作，包括接送站服务、餐饮住宿、用车服务、引导接待等。</w:t>
      </w:r>
    </w:p>
    <w:p w14:paraId="5C8721A9">
      <w:pPr>
        <w:pStyle w:val="2"/>
        <w:keepNext w:val="0"/>
        <w:keepLines w:val="0"/>
        <w:pageBreakBefore w:val="0"/>
        <w:widowControl w:val="0"/>
        <w:shd w:val="clear"/>
        <w:kinsoku/>
        <w:wordWrap/>
        <w:overflowPunct/>
        <w:topLinePunct w:val="0"/>
        <w:bidi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负责做好开闭幕式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时尚科技体育嘉年华活动场地的环境提升，包括但不限于支付场地租赁费、保洁费、电费以及必要的维修费用等。</w:t>
      </w:r>
    </w:p>
    <w:p w14:paraId="7E285A33">
      <w:pPr>
        <w:keepNext w:val="0"/>
        <w:keepLines w:val="0"/>
        <w:pageBreakBefore w:val="0"/>
        <w:widowControl w:val="0"/>
        <w:shd w:val="clear"/>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完成项目组委会下达的其他任务要求。</w:t>
      </w:r>
    </w:p>
    <w:p w14:paraId="4B19F8A4">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（二）策划方案要求</w:t>
      </w:r>
    </w:p>
    <w:p w14:paraId="2D694A0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包括但不限于以下几方面内容：</w:t>
      </w:r>
    </w:p>
    <w:p w14:paraId="432E7F8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1、策划方案要对</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rPr>
        <w:t>进行整体策划，在此基础上按照</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rPr>
        <w:t>总体要求对体育项目展演部分进行重点创意策划，</w:t>
      </w:r>
      <w:r>
        <w:rPr>
          <w:rFonts w:hint="eastAsia" w:asciiTheme="minorEastAsia" w:hAnsiTheme="minorEastAsia" w:eastAsiaTheme="minorEastAsia" w:cstheme="minorEastAsia"/>
          <w:color w:val="auto"/>
          <w:sz w:val="24"/>
          <w:szCs w:val="24"/>
          <w:highlight w:val="none"/>
          <w:lang w:eastAsia="zh-CN"/>
        </w:rPr>
        <w:t>与</w:t>
      </w:r>
      <w:r>
        <w:rPr>
          <w:rFonts w:hint="eastAsia" w:asciiTheme="minorEastAsia" w:hAnsiTheme="minorEastAsia" w:eastAsiaTheme="minorEastAsia" w:cstheme="minorEastAsia"/>
          <w:color w:val="auto"/>
          <w:sz w:val="24"/>
          <w:szCs w:val="24"/>
          <w:highlight w:val="none"/>
          <w:lang w:val="en-US" w:eastAsia="zh-CN"/>
        </w:rPr>
        <w:t>时尚科技体育嘉年华活动</w:t>
      </w:r>
      <w:r>
        <w:rPr>
          <w:rFonts w:hint="eastAsia" w:asciiTheme="minorEastAsia" w:hAnsiTheme="minorEastAsia" w:eastAsiaTheme="minorEastAsia" w:cstheme="minorEastAsia"/>
          <w:color w:val="auto"/>
          <w:sz w:val="24"/>
          <w:szCs w:val="24"/>
          <w:highlight w:val="none"/>
          <w:lang w:eastAsia="zh-CN"/>
        </w:rPr>
        <w:t>要有较</w:t>
      </w:r>
      <w:r>
        <w:rPr>
          <w:rFonts w:hint="eastAsia" w:asciiTheme="minorEastAsia" w:hAnsiTheme="minorEastAsia" w:eastAsiaTheme="minorEastAsia" w:cstheme="minorEastAsia"/>
          <w:color w:val="auto"/>
          <w:sz w:val="24"/>
          <w:szCs w:val="24"/>
          <w:highlight w:val="none"/>
          <w:lang w:val="en-US" w:eastAsia="zh-CN"/>
        </w:rPr>
        <w:t>高的契合度，</w:t>
      </w:r>
      <w:r>
        <w:rPr>
          <w:rFonts w:hint="eastAsia" w:asciiTheme="minorEastAsia" w:hAnsiTheme="minorEastAsia" w:eastAsiaTheme="minorEastAsia" w:cstheme="minorEastAsia"/>
          <w:color w:val="auto"/>
          <w:sz w:val="24"/>
          <w:szCs w:val="24"/>
          <w:highlight w:val="none"/>
        </w:rPr>
        <w:t>并形成较完整的创意文本、舞美构思、设想等。</w:t>
      </w:r>
    </w:p>
    <w:p w14:paraId="5FD6E7D3">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2、提供包含但不限于策划方案内容框架相关的内容介绍，舞美部分附效果图</w:t>
      </w:r>
      <w:r>
        <w:rPr>
          <w:rFonts w:hint="eastAsia" w:asciiTheme="minorEastAsia" w:hAnsiTheme="minorEastAsia" w:eastAsiaTheme="minorEastAsia" w:cstheme="minorEastAsia"/>
          <w:color w:val="auto"/>
          <w:sz w:val="24"/>
          <w:szCs w:val="24"/>
          <w:highlight w:val="none"/>
          <w:lang w:eastAsia="zh-CN"/>
        </w:rPr>
        <w:t>。</w:t>
      </w:r>
    </w:p>
    <w:p w14:paraId="44DACA21">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3、整体活动的创意实施，应遵循原创性的艺术创作理念，为第五届体育大会开闭幕式策划与实施项目量身打造。</w:t>
      </w:r>
    </w:p>
    <w:p w14:paraId="108322AA">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lang w:val="en-US" w:eastAsia="zh-CN"/>
        </w:rPr>
        <w:t>开</w:t>
      </w:r>
      <w:r>
        <w:rPr>
          <w:rFonts w:hint="eastAsia" w:asciiTheme="minorEastAsia" w:hAnsiTheme="minorEastAsia" w:eastAsiaTheme="minorEastAsia" w:cstheme="minorEastAsia"/>
          <w:b/>
          <w:bCs/>
          <w:color w:val="auto"/>
          <w:sz w:val="24"/>
          <w:szCs w:val="24"/>
          <w:highlight w:val="none"/>
          <w:lang w:eastAsia="zh-CN"/>
        </w:rPr>
        <w:t>闭幕式活动要求</w:t>
      </w:r>
    </w:p>
    <w:p w14:paraId="25F8AD2D">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3"/>
        <w:rPr>
          <w:rFonts w:hint="eastAsia" w:asciiTheme="minorEastAsia" w:hAnsiTheme="minorEastAsia" w:eastAsiaTheme="minorEastAsia" w:cstheme="minorEastAsia"/>
          <w:snapToGrid/>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snapToGrid/>
          <w:color w:val="auto"/>
          <w:kern w:val="2"/>
          <w:sz w:val="24"/>
          <w:szCs w:val="24"/>
          <w:highlight w:val="none"/>
          <w:shd w:val="clear" w:color="auto"/>
          <w:lang w:val="en-US" w:eastAsia="zh-CN" w:bidi="ar-SA"/>
        </w:rPr>
        <w:t>开幕式举办场地设在台州市体育中心网球馆；闭幕式举办场地设在玉环市奥体中心体育馆。</w:t>
      </w:r>
      <w:r>
        <w:rPr>
          <w:rFonts w:hint="eastAsia" w:asciiTheme="minorEastAsia" w:hAnsiTheme="minorEastAsia" w:eastAsiaTheme="minorEastAsia" w:cstheme="minorEastAsia"/>
          <w:color w:val="auto"/>
          <w:sz w:val="24"/>
          <w:szCs w:val="24"/>
          <w:highlight w:val="none"/>
        </w:rPr>
        <w:t>总体方案中开幕式暖场表演时长不少于30分钟，仪式及文体展演时长不少于</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分钟；闭幕式暖场表演时长不少于15分钟，仪式及文体展演时长不少于</w:t>
      </w:r>
      <w:r>
        <w:rPr>
          <w:rFonts w:hint="eastAsia" w:asciiTheme="minorEastAsia" w:hAnsiTheme="minorEastAsia" w:eastAsiaTheme="minorEastAsia" w:cstheme="minorEastAsia"/>
          <w:color w:val="auto"/>
          <w:sz w:val="24"/>
          <w:szCs w:val="24"/>
          <w:highlight w:val="none"/>
          <w:lang w:val="en-US" w:eastAsia="zh-CN"/>
        </w:rPr>
        <w:t>45</w:t>
      </w:r>
      <w:r>
        <w:rPr>
          <w:rFonts w:hint="eastAsia" w:asciiTheme="minorEastAsia" w:hAnsiTheme="minorEastAsia" w:eastAsiaTheme="minorEastAsia" w:cstheme="minorEastAsia"/>
          <w:color w:val="auto"/>
          <w:sz w:val="24"/>
          <w:szCs w:val="24"/>
          <w:highlight w:val="none"/>
        </w:rPr>
        <w:t>分钟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最终以采购人批准方案为准</w:t>
      </w:r>
      <w:r>
        <w:rPr>
          <w:rFonts w:hint="eastAsia" w:asciiTheme="minorEastAsia" w:hAnsiTheme="minorEastAsia" w:eastAsiaTheme="minorEastAsia" w:cstheme="minorEastAsia"/>
          <w:color w:val="auto"/>
          <w:sz w:val="24"/>
          <w:szCs w:val="24"/>
          <w:highlight w:val="none"/>
          <w:lang w:eastAsia="zh-CN"/>
        </w:rPr>
        <w:t>）</w:t>
      </w:r>
    </w:p>
    <w:p w14:paraId="02522F2B">
      <w:pPr>
        <w:keepNext w:val="0"/>
        <w:keepLines w:val="0"/>
        <w:pageBreakBefore w:val="0"/>
        <w:widowControl w:val="0"/>
        <w:tabs>
          <w:tab w:val="left" w:pos="4860"/>
        </w:tabs>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闭幕仪式、文体展演节目的策划、挑选、培训、排练、彩排直至正式演出。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具体由</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闭幕式方案自行推荐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并承担所有</w:t>
      </w:r>
      <w:r>
        <w:rPr>
          <w:rFonts w:hint="eastAsia" w:asciiTheme="minorEastAsia" w:hAnsiTheme="minorEastAsia" w:eastAsiaTheme="minorEastAsia" w:cstheme="minorEastAsia"/>
          <w:color w:val="auto"/>
          <w:sz w:val="24"/>
          <w:szCs w:val="24"/>
          <w:highlight w:val="none"/>
          <w:lang w:eastAsia="zh-CN"/>
        </w:rPr>
        <w:t>演员的</w:t>
      </w:r>
      <w:r>
        <w:rPr>
          <w:rFonts w:hint="eastAsia" w:asciiTheme="minorEastAsia" w:hAnsiTheme="minorEastAsia" w:eastAsiaTheme="minorEastAsia" w:cstheme="minorEastAsia"/>
          <w:color w:val="auto"/>
          <w:sz w:val="24"/>
          <w:szCs w:val="24"/>
          <w:highlight w:val="none"/>
          <w:lang w:val="en-US" w:eastAsia="zh-CN"/>
        </w:rPr>
        <w:t>食宿</w:t>
      </w:r>
      <w:r>
        <w:rPr>
          <w:rFonts w:hint="eastAsia" w:asciiTheme="minorEastAsia" w:hAnsiTheme="minorEastAsia" w:eastAsiaTheme="minorEastAsia" w:cstheme="minorEastAsia"/>
          <w:color w:val="auto"/>
          <w:sz w:val="24"/>
          <w:szCs w:val="24"/>
          <w:highlight w:val="none"/>
          <w:lang w:eastAsia="zh-CN"/>
        </w:rPr>
        <w:t>、饮水、交通、医疗、备用雨衣、保险等与</w:t>
      </w:r>
      <w:r>
        <w:rPr>
          <w:rFonts w:hint="eastAsia" w:asciiTheme="minorEastAsia" w:hAnsiTheme="minorEastAsia" w:eastAsiaTheme="minorEastAsia" w:cstheme="minorEastAsia"/>
          <w:color w:val="auto"/>
          <w:sz w:val="24"/>
          <w:szCs w:val="24"/>
          <w:highlight w:val="none"/>
          <w:lang w:val="en-US" w:eastAsia="zh-CN"/>
        </w:rPr>
        <w:t>其</w:t>
      </w:r>
      <w:r>
        <w:rPr>
          <w:rFonts w:hint="eastAsia" w:asciiTheme="minorEastAsia" w:hAnsiTheme="minorEastAsia" w:eastAsiaTheme="minorEastAsia" w:cstheme="minorEastAsia"/>
          <w:color w:val="auto"/>
          <w:sz w:val="24"/>
          <w:szCs w:val="24"/>
          <w:highlight w:val="none"/>
          <w:lang w:eastAsia="zh-CN"/>
        </w:rPr>
        <w:t>相关的后勤保障</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lang w:eastAsia="zh-CN"/>
        </w:rPr>
        <w:t>费用）</w:t>
      </w:r>
    </w:p>
    <w:p w14:paraId="307F6B07">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闭幕式舞美的设计、制作、舞台搭建，整体彩排直至正式演出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（由采购人</w:t>
      </w:r>
      <w:r>
        <w:rPr>
          <w:rFonts w:hint="eastAsia" w:asciiTheme="minorEastAsia" w:hAnsiTheme="minorEastAsia" w:eastAsiaTheme="minorEastAsia" w:cstheme="minorEastAsia"/>
          <w:color w:val="auto"/>
          <w:sz w:val="24"/>
          <w:szCs w:val="24"/>
          <w:highlight w:val="none"/>
          <w:lang w:eastAsia="zh-CN"/>
        </w:rPr>
        <w:t>协助</w:t>
      </w:r>
      <w:r>
        <w:rPr>
          <w:rFonts w:hint="eastAsia" w:asciiTheme="minorEastAsia" w:hAnsiTheme="minorEastAsia" w:cstheme="minorEastAsia"/>
          <w:color w:val="auto"/>
          <w:sz w:val="24"/>
          <w:szCs w:val="24"/>
          <w:highlight w:val="none"/>
          <w:lang w:eastAsia="zh-CN"/>
        </w:rPr>
        <w:t>中标供应商</w:t>
      </w:r>
      <w:r>
        <w:rPr>
          <w:rFonts w:hint="eastAsia" w:asciiTheme="minorEastAsia" w:hAnsiTheme="minorEastAsia" w:eastAsiaTheme="minorEastAsia" w:cstheme="minorEastAsia"/>
          <w:color w:val="auto"/>
          <w:sz w:val="24"/>
          <w:szCs w:val="24"/>
          <w:highlight w:val="none"/>
          <w:lang w:eastAsia="zh-CN"/>
        </w:rPr>
        <w:t>做好</w:t>
      </w:r>
      <w:r>
        <w:rPr>
          <w:rFonts w:hint="eastAsia" w:asciiTheme="minorEastAsia" w:hAnsiTheme="minorEastAsia" w:eastAsiaTheme="minorEastAsia" w:cstheme="minorEastAsia"/>
          <w:color w:val="auto"/>
          <w:sz w:val="24"/>
          <w:szCs w:val="24"/>
          <w:highlight w:val="none"/>
        </w:rPr>
        <w:t>场地的使用、对接、维护、安保、保洁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电力、网络保障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志愿服务</w:t>
      </w:r>
      <w:r>
        <w:rPr>
          <w:rFonts w:hint="eastAsia" w:asciiTheme="minorEastAsia" w:hAnsiTheme="minorEastAsia" w:eastAsiaTheme="minorEastAsia" w:cstheme="minorEastAsia"/>
          <w:color w:val="auto"/>
          <w:sz w:val="24"/>
          <w:szCs w:val="24"/>
          <w:highlight w:val="none"/>
        </w:rPr>
        <w:t>等工作）</w:t>
      </w:r>
    </w:p>
    <w:p w14:paraId="03873636">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闭幕式音乐、视频的创作、修改及制作合成，设备的提供及安装调试，直至正式演出。</w:t>
      </w:r>
    </w:p>
    <w:p w14:paraId="1311F527">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闭幕式道具、服装及造型的设计、修改、制作，直至正式演出。</w:t>
      </w:r>
    </w:p>
    <w:p w14:paraId="1B8775AE">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5、第五届体育大会开闭幕式展演节目的创作、制作及演出。</w:t>
      </w:r>
    </w:p>
    <w:p w14:paraId="5BB81987">
      <w:pPr>
        <w:keepNext w:val="0"/>
        <w:keepLines w:val="0"/>
        <w:pageBreakBefore w:val="0"/>
        <w:widowControl w:val="0"/>
        <w:tabs>
          <w:tab w:val="left" w:pos="4860"/>
        </w:tabs>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闭幕式的排练、合练、集中排练及彩排与带机预演直至正式演出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在台州市与排练、演出相关的场地由采购人协调落实）</w:t>
      </w:r>
    </w:p>
    <w:p w14:paraId="0587B6C1">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负责设计及印制手提袋、荧光棒、拍手器、节目单等，并提供开闭幕式用水。</w:t>
      </w:r>
    </w:p>
    <w:p w14:paraId="45872D93">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闭幕式结束后</w:t>
      </w:r>
      <w:r>
        <w:rPr>
          <w:rFonts w:hint="eastAsia" w:asciiTheme="minorEastAsia" w:hAnsiTheme="minorEastAsia" w:eastAsiaTheme="minorEastAsia" w:cstheme="minorEastAsia"/>
          <w:color w:val="auto"/>
          <w:sz w:val="24"/>
          <w:szCs w:val="24"/>
          <w:highlight w:val="none"/>
          <w:lang w:val="en-US" w:eastAsia="zh-CN"/>
        </w:rPr>
        <w:t>有序地</w:t>
      </w:r>
      <w:r>
        <w:rPr>
          <w:rFonts w:hint="eastAsia" w:asciiTheme="minorEastAsia" w:hAnsiTheme="minorEastAsia" w:eastAsiaTheme="minorEastAsia" w:cstheme="minorEastAsia"/>
          <w:color w:val="auto"/>
          <w:sz w:val="24"/>
          <w:szCs w:val="24"/>
          <w:highlight w:val="none"/>
        </w:rPr>
        <w:t>安全拆卸及清场。</w:t>
      </w:r>
    </w:p>
    <w:p w14:paraId="1ECAB66D">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9、演职人员的管理及自身的后勤保障。</w:t>
      </w:r>
    </w:p>
    <w:p w14:paraId="5F516302">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闭幕式相关的其他事项。</w:t>
      </w:r>
    </w:p>
    <w:p w14:paraId="644D872F">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lang w:val="en-US" w:eastAsia="zh-CN"/>
        </w:rPr>
        <w:t>时尚科技体育嘉年华活动要求</w:t>
      </w:r>
    </w:p>
    <w:p w14:paraId="02E368E6">
      <w:pPr>
        <w:pStyle w:val="2"/>
        <w:keepNext w:val="0"/>
        <w:keepLines w:val="0"/>
        <w:pageBreakBefore w:val="0"/>
        <w:widowControl w:val="0"/>
        <w:shd w:val="clear"/>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时尚科技体育嘉年华活动地址设在台州市体育中心网球馆周边。</w:t>
      </w:r>
    </w:p>
    <w:p w14:paraId="688E426B">
      <w:pPr>
        <w:keepNext w:val="0"/>
        <w:keepLines w:val="0"/>
        <w:pageBreakBefore w:val="0"/>
        <w:widowControl w:val="0"/>
        <w:shd w:val="clear"/>
        <w:kinsoku/>
        <w:wordWrap/>
        <w:overflowPunct/>
        <w:topLinePunct w:val="0"/>
        <w:bidi w:val="0"/>
        <w:adjustRightInd w:val="0"/>
        <w:spacing w:line="360" w:lineRule="auto"/>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时尚科技体育嘉年华与浙江省第五届体育大会开幕式既是一个整体、又是独立的一个单元赛事活动。在浙江省第五届体育大会开幕式期间，时尚科技嘉年华作为开幕式的一个部分，开幕式前后，时尚科技嘉年华是赛事活动，宣传、普及、推广体育项目的载体和平台。</w:t>
      </w:r>
    </w:p>
    <w:p w14:paraId="70C94D28">
      <w:pPr>
        <w:pStyle w:val="3"/>
        <w:keepNext w:val="0"/>
        <w:keepLines w:val="0"/>
        <w:pageBreakBefore w:val="0"/>
        <w:widowControl w:val="0"/>
        <w:numPr>
          <w:ilvl w:val="0"/>
          <w:numId w:val="0"/>
        </w:numPr>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1、时尚科技体育嘉年华要充分体现时尚与科技元素，将时尚体育与科技体育、传统体育有机融合，创意新颖，敢于创新、勇于突破。</w:t>
      </w:r>
    </w:p>
    <w:p w14:paraId="388339B2">
      <w:pPr>
        <w:pStyle w:val="2"/>
        <w:keepNext w:val="0"/>
        <w:keepLines w:val="0"/>
        <w:pageBreakBefore w:val="0"/>
        <w:widowControl w:val="0"/>
        <w:numPr>
          <w:ilvl w:val="0"/>
          <w:numId w:val="0"/>
        </w:numPr>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2、时尚科技体育嘉年华赛事活动时间不少于2天（包括1个晚上）。</w:t>
      </w:r>
    </w:p>
    <w:p w14:paraId="767BFB71">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3、时尚科技体育嘉年华赛事活动项目不少于10个（其中：主题赛事活动不少于3个、配套项目不少于7个），参与人数不少于10000人次。</w:t>
      </w:r>
    </w:p>
    <w:p w14:paraId="1D63B4E2">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时尚科技体育嘉年华活动运行计划系统、全面，项目安排科学合理，活动规程具有可操作性针对性。比赛活动设置“仲裁委员会”，由裁判长、副裁判长、组委会官员担任。比赛活动将对获奖运动员、运动队（代表团）等进行奖励，颁发证书和奖牌。</w:t>
      </w:r>
    </w:p>
    <w:p w14:paraId="405F0D16">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5、活动器材由</w:t>
      </w:r>
      <w:r>
        <w:rPr>
          <w:rFonts w:hint="eastAsia" w:asciiTheme="minorEastAsia" w:hAnsiTheme="minorEastAsia" w:cstheme="minorEastAsia"/>
          <w:color w:val="auto"/>
          <w:sz w:val="24"/>
          <w:szCs w:val="24"/>
          <w:highlight w:val="none"/>
          <w:lang w:val="en-US" w:eastAsia="zh-CN"/>
        </w:rPr>
        <w:t>中标供应商</w:t>
      </w:r>
      <w:r>
        <w:rPr>
          <w:rFonts w:hint="eastAsia" w:asciiTheme="minorEastAsia" w:hAnsiTheme="minorEastAsia" w:eastAsiaTheme="minorEastAsia" w:cstheme="minorEastAsia"/>
          <w:color w:val="auto"/>
          <w:sz w:val="24"/>
          <w:szCs w:val="24"/>
          <w:highlight w:val="none"/>
          <w:lang w:val="en-US" w:eastAsia="zh-CN"/>
        </w:rPr>
        <w:t>按照各项目规定的活动标准和要求配备。</w:t>
      </w:r>
      <w:r>
        <w:rPr>
          <w:rFonts w:hint="eastAsia" w:asciiTheme="minorEastAsia" w:hAnsiTheme="minorEastAsia" w:cstheme="minorEastAsia"/>
          <w:color w:val="auto"/>
          <w:sz w:val="24"/>
          <w:szCs w:val="24"/>
          <w:highlight w:val="none"/>
          <w:lang w:val="en-US" w:eastAsia="zh-CN"/>
        </w:rPr>
        <w:t>中标供应商</w:t>
      </w:r>
      <w:r>
        <w:rPr>
          <w:rFonts w:hint="eastAsia" w:asciiTheme="minorEastAsia" w:hAnsiTheme="minorEastAsia" w:eastAsiaTheme="minorEastAsia" w:cstheme="minorEastAsia"/>
          <w:color w:val="auto"/>
          <w:sz w:val="24"/>
          <w:szCs w:val="24"/>
          <w:highlight w:val="none"/>
          <w:lang w:val="en-US" w:eastAsia="zh-CN"/>
        </w:rPr>
        <w:t>负责勘测赛场、赛场场地布置、辅助器材准备。</w:t>
      </w:r>
    </w:p>
    <w:p w14:paraId="332C4850">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6、按酬金支付标准向裁判员、技术官员等人员支付劳务费。</w:t>
      </w:r>
    </w:p>
    <w:p w14:paraId="5720FB1D">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7、在开幕式主场配套市集，为期不少于2天（包括1个晚上），与时尚科技体育嘉年华同步，结合台州美食美景，汇集众多知名体育健身品牌和优质产品，摊位不少于60个，在活动场地内合理布局。</w:t>
      </w:r>
    </w:p>
    <w:p w14:paraId="1A2C631F">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（五）宣传要求</w:t>
      </w:r>
    </w:p>
    <w:p w14:paraId="1C3F592D">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1、整个</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需充分考虑宣传工作，</w:t>
      </w:r>
      <w:r>
        <w:rPr>
          <w:rFonts w:hint="eastAsia" w:asciiTheme="minorEastAsia" w:hAnsiTheme="minorEastAsia" w:eastAsiaTheme="minorEastAsia" w:cstheme="minorEastAsia"/>
          <w:color w:val="auto"/>
          <w:sz w:val="24"/>
          <w:szCs w:val="24"/>
          <w:highlight w:val="none"/>
          <w:lang w:val="en-US" w:eastAsia="zh-CN"/>
        </w:rPr>
        <w:t>中标单位需在开</w:t>
      </w:r>
      <w:r>
        <w:rPr>
          <w:rFonts w:hint="eastAsia" w:asciiTheme="minorEastAsia" w:hAnsiTheme="minorEastAsia" w:eastAsiaTheme="minorEastAsia" w:cstheme="minorEastAsia"/>
          <w:color w:val="auto"/>
          <w:sz w:val="24"/>
          <w:szCs w:val="24"/>
          <w:highlight w:val="none"/>
        </w:rPr>
        <w:t>闭幕式</w:t>
      </w:r>
      <w:r>
        <w:rPr>
          <w:rFonts w:hint="eastAsia" w:asciiTheme="minorEastAsia" w:hAnsiTheme="minorEastAsia" w:eastAsiaTheme="minorEastAsia" w:cstheme="minorEastAsia"/>
          <w:color w:val="auto"/>
          <w:sz w:val="24"/>
          <w:szCs w:val="24"/>
          <w:highlight w:val="none"/>
          <w:lang w:val="en-US" w:eastAsia="zh-CN"/>
        </w:rPr>
        <w:t>和时尚科技体育嘉年华活动时间确定前一个月做好宣传预热工作。宣传</w:t>
      </w:r>
      <w:r>
        <w:rPr>
          <w:rFonts w:hint="eastAsia" w:asciiTheme="minorEastAsia" w:hAnsiTheme="minorEastAsia" w:eastAsiaTheme="minorEastAsia" w:cstheme="minorEastAsia"/>
          <w:color w:val="auto"/>
          <w:sz w:val="24"/>
          <w:szCs w:val="24"/>
          <w:highlight w:val="none"/>
        </w:rPr>
        <w:t>执行方案中需明确活动期间的宣传渠道、时间、数量，其中数量上要求官方媒体不少于20家，其他媒体不少于30家（如新浪微博、今日头条、腾讯新闻等平台或微信公众号、视频号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抖音等新媒体平台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进行媒体宣传</w:t>
      </w:r>
      <w:r>
        <w:rPr>
          <w:rFonts w:hint="eastAsia" w:asciiTheme="minorEastAsia" w:hAnsiTheme="minorEastAsia" w:eastAsiaTheme="minorEastAsia" w:cstheme="minorEastAsia"/>
          <w:color w:val="auto"/>
          <w:sz w:val="24"/>
          <w:szCs w:val="24"/>
          <w:highlight w:val="none"/>
        </w:rPr>
        <w:t>。</w:t>
      </w:r>
    </w:p>
    <w:p w14:paraId="00E9784B">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开闭</w:t>
      </w:r>
      <w:r>
        <w:rPr>
          <w:rFonts w:hint="eastAsia" w:asciiTheme="minorEastAsia" w:hAnsiTheme="minorEastAsia" w:eastAsiaTheme="minorEastAsia" w:cstheme="minorEastAsia"/>
          <w:color w:val="auto"/>
          <w:sz w:val="24"/>
          <w:szCs w:val="24"/>
          <w:highlight w:val="none"/>
        </w:rPr>
        <w:t>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时尚科技体育嘉年华视频直播，直播平台直播盛况+图片实时直播；主题赛事图片实时直播；不少于20家省级及以上电视、报纸和网络媒体开闭幕式全程跟踪宣传。</w:t>
      </w:r>
    </w:p>
    <w:p w14:paraId="53242711">
      <w:pPr>
        <w:pStyle w:val="2"/>
        <w:keepNext w:val="0"/>
        <w:keepLines w:val="0"/>
        <w:pageBreakBefore w:val="0"/>
        <w:widowControl w:val="0"/>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3、浙江省第五届体育大会开闭幕式和时尚科技嘉年华活动期间，全网宣传覆盖面达30000万人次以上。</w:t>
      </w:r>
    </w:p>
    <w:p w14:paraId="53C873BF">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（六）主创团队要求</w:t>
      </w:r>
    </w:p>
    <w:p w14:paraId="2613A1CD">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应组建</w:t>
      </w:r>
      <w:r>
        <w:rPr>
          <w:rFonts w:hint="eastAsia" w:asciiTheme="minorEastAsia" w:hAnsiTheme="minorEastAsia" w:eastAsiaTheme="minorEastAsia" w:cstheme="minorEastAsia"/>
          <w:color w:val="auto"/>
          <w:sz w:val="24"/>
          <w:szCs w:val="24"/>
          <w:highlight w:val="none"/>
          <w:lang w:eastAsia="zh-CN"/>
        </w:rPr>
        <w:t>主创</w:t>
      </w:r>
      <w:r>
        <w:rPr>
          <w:rFonts w:hint="eastAsia" w:asciiTheme="minorEastAsia" w:hAnsiTheme="minorEastAsia" w:eastAsiaTheme="minorEastAsia" w:cstheme="minorEastAsia"/>
          <w:color w:val="auto"/>
          <w:sz w:val="24"/>
          <w:szCs w:val="24"/>
          <w:highlight w:val="none"/>
        </w:rPr>
        <w:t>团队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包括但不限于总导演、</w:t>
      </w:r>
      <w:r>
        <w:rPr>
          <w:rFonts w:hint="eastAsia" w:asciiTheme="minorEastAsia" w:hAnsiTheme="minorEastAsia" w:eastAsiaTheme="minorEastAsia" w:cstheme="minorEastAsia"/>
          <w:color w:val="auto"/>
          <w:sz w:val="24"/>
          <w:szCs w:val="24"/>
          <w:highlight w:val="none"/>
          <w:lang w:val="en-US" w:eastAsia="zh-CN"/>
        </w:rPr>
        <w:t>总制作人、</w:t>
      </w:r>
      <w:r>
        <w:rPr>
          <w:rFonts w:hint="eastAsia" w:asciiTheme="minorEastAsia" w:hAnsiTheme="minorEastAsia" w:eastAsiaTheme="minorEastAsia" w:cstheme="minorEastAsia"/>
          <w:color w:val="auto"/>
          <w:sz w:val="24"/>
          <w:szCs w:val="24"/>
          <w:highlight w:val="none"/>
        </w:rPr>
        <w:t>总撰稿、执行导演、舞美设计、音乐设计等不少于15人的主创人员团队。</w:t>
      </w:r>
    </w:p>
    <w:p w14:paraId="735AF759">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（七）设施设备技术要求</w:t>
      </w:r>
    </w:p>
    <w:p w14:paraId="617AA30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中标供应商</w:t>
      </w:r>
      <w:r>
        <w:rPr>
          <w:rFonts w:hint="eastAsia" w:asciiTheme="minorEastAsia" w:hAnsiTheme="minorEastAsia" w:eastAsiaTheme="minorEastAsia" w:cstheme="minorEastAsia"/>
          <w:color w:val="auto"/>
          <w:sz w:val="24"/>
          <w:szCs w:val="24"/>
          <w:highlight w:val="none"/>
        </w:rPr>
        <w:t>根据策划方案及舞美效果选择相关演出设施，其中包括但不限于舞台制作与包装、专业音响、LED屏等舞美效果和设施的布置搭建、操作与保障，以上设备取得方式不作限制。</w:t>
      </w:r>
    </w:p>
    <w:p w14:paraId="7C593DBB">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音响扩声系统。整个扩声系统由音源设备、控制设备及功率放大器、音箱等设备组成。要求扩声系统使用时达到良好的语言清晰度和音乐丰满度，对流动扩声系统的设计具有科学性、先进性、稳定性、可靠性及流动系统最需要的易装易拆的方便性。音箱的覆盖角度要包括全部观众席，观众席上有足够的响度。系统应有足够的稳定度和功率余量，具有清晰的听闻条件，良好的方向感和节目的保真度。</w:t>
      </w:r>
    </w:p>
    <w:p w14:paraId="0630DC45">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2、视频设备系统。LED系统设计上要达到能够满足多种数据信息以及影像输出的功能需求，满足演出时图像和文字的显示功能。</w:t>
      </w:r>
    </w:p>
    <w:p w14:paraId="2C38ACB6">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3、拍摄设备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具备高清拍摄机，与摄影机匹配的专业镜头、脚架、云台</w:t>
      </w:r>
      <w:r>
        <w:rPr>
          <w:rFonts w:hint="eastAsia" w:asciiTheme="minorEastAsia" w:hAnsiTheme="minorEastAsia" w:eastAsiaTheme="minorEastAsia" w:cstheme="minorEastAsia"/>
          <w:color w:val="auto"/>
          <w:sz w:val="24"/>
          <w:szCs w:val="24"/>
          <w:highlight w:val="none"/>
          <w:lang w:eastAsia="zh-CN"/>
        </w:rPr>
        <w:t>、摇臂</w:t>
      </w:r>
      <w:r>
        <w:rPr>
          <w:rFonts w:hint="eastAsia" w:asciiTheme="minorEastAsia" w:hAnsiTheme="minorEastAsia" w:eastAsiaTheme="minorEastAsia" w:cstheme="minorEastAsia"/>
          <w:color w:val="auto"/>
          <w:sz w:val="24"/>
          <w:szCs w:val="24"/>
          <w:highlight w:val="none"/>
        </w:rPr>
        <w:t>等设备，满足网络直播的需要。</w:t>
      </w:r>
    </w:p>
    <w:p w14:paraId="44D23D6D">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（八）接待</w:t>
      </w:r>
      <w:r>
        <w:rPr>
          <w:rFonts w:hint="eastAsia" w:asciiTheme="minorEastAsia" w:hAnsiTheme="minorEastAsia" w:eastAsiaTheme="minorEastAsia" w:cstheme="minorEastAsia"/>
          <w:b/>
          <w:bCs/>
          <w:color w:val="auto"/>
          <w:sz w:val="24"/>
          <w:szCs w:val="24"/>
          <w:highlight w:val="none"/>
          <w:lang w:val="en-US" w:eastAsia="zh-CN"/>
        </w:rPr>
        <w:t>服务要求</w:t>
      </w:r>
    </w:p>
    <w:p w14:paraId="375692E1">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1、供应商须负责开闭幕式期间各体育代表团、部分单项体育协会人员、部分新闻媒体工作人员及邀请嘉宾，共计不少于150人的接待服务工作，接待服务时间不少于5天。</w:t>
      </w:r>
    </w:p>
    <w:p w14:paraId="1024CE3C">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2、具备用车服务能力。提供自有或租赁车辆：不少于5辆7座商务用车，不少于10辆50座及以上大巴车，不少于5辆中巴车等，满足用车需求。（最终用车需求根据项目组委会要求确定）</w:t>
      </w:r>
    </w:p>
    <w:p w14:paraId="4A3761A5">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具备接送机站服务及引导接待服务能力。提供随车服务人员不少于20人，酒店与活动场馆引导人员不少于50人。接待人员须思维清晰，积极主动，具有较强的语言表达能力和危机公关意识，善于处理突发事件，行动力强，有责任心，服从采购单位安排的其他相关工作。</w:t>
      </w:r>
    </w:p>
    <w:p w14:paraId="33BBF2A0">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4、具备餐饮住宿保障能力：</w:t>
      </w:r>
    </w:p>
    <w:p w14:paraId="440AA7A1">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（1）为保障统一管理及相关人员活动安排便捷，住宿酒店要求距台州市体育中心直线距离不超过3公里，且安排在同一酒店入住；</w:t>
      </w:r>
    </w:p>
    <w:p w14:paraId="4453CF79">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（2）酒店硬件设施设备齐全，接待能力充足，酒店客房数200间以上，可以一次性接待不少于150人；</w:t>
      </w:r>
    </w:p>
    <w:p w14:paraId="6F9D7C50">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酒店可提供容纳不少于150人的会议室；</w:t>
      </w:r>
    </w:p>
    <w:p w14:paraId="61BF7435">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（4）可提供不少于150人同时就餐，严格遵守《食品卫生法》等相关的食品卫生法律法规，确保食品质量。（最终需求根据项目组委会要求确定）</w:t>
      </w:r>
    </w:p>
    <w:p w14:paraId="3CACD82F">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（九）保险保障要求</w:t>
      </w:r>
    </w:p>
    <w:p w14:paraId="3FA95688">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中标供应商</w:t>
      </w:r>
      <w:r>
        <w:rPr>
          <w:rFonts w:hint="eastAsia" w:asciiTheme="minorEastAsia" w:hAnsiTheme="minorEastAsia" w:eastAsiaTheme="minorEastAsia" w:cstheme="minorEastAsia"/>
          <w:color w:val="auto"/>
          <w:sz w:val="24"/>
          <w:szCs w:val="24"/>
          <w:highlight w:val="none"/>
        </w:rPr>
        <w:t>应在整个合同的有效期内，为</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闭幕式演职人员购买人身伤害意外险，保险理赔金额不低于</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0万元。</w:t>
      </w:r>
      <w:r>
        <w:rPr>
          <w:rFonts w:hint="eastAsia" w:asciiTheme="minorEastAsia" w:hAnsiTheme="minorEastAsia" w:eastAsiaTheme="minorEastAsia" w:cstheme="minorEastAsia"/>
          <w:color w:val="auto"/>
          <w:sz w:val="24"/>
          <w:szCs w:val="24"/>
          <w:highlight w:val="none"/>
          <w:lang w:eastAsia="zh-CN"/>
        </w:rPr>
        <w:t>主动为</w:t>
      </w:r>
      <w:r>
        <w:rPr>
          <w:rFonts w:hint="eastAsia" w:asciiTheme="minorEastAsia" w:hAnsiTheme="minorEastAsia" w:eastAsiaTheme="minorEastAsia" w:cstheme="minorEastAsia"/>
          <w:color w:val="auto"/>
          <w:sz w:val="24"/>
          <w:szCs w:val="24"/>
          <w:highlight w:val="none"/>
          <w:lang w:val="en-US" w:eastAsia="zh-CN"/>
        </w:rPr>
        <w:t>时尚科技体育嘉年华涉及的每名参与者、裁判员、志愿者、工作人员等投保体育意外伤害保险。为确保保险的合法性和有效性，涉及投保产品应在中国政府批准的保险公司投保。</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须提供单独的承诺书并明确以上内容）</w:t>
      </w:r>
    </w:p>
    <w:p w14:paraId="6303838B">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十</w:t>
      </w:r>
      <w:r>
        <w:rPr>
          <w:rFonts w:hint="eastAsia" w:asciiTheme="minorEastAsia" w:hAnsiTheme="minorEastAsia" w:eastAsiaTheme="minorEastAsia" w:cstheme="minorEastAsia"/>
          <w:b/>
          <w:bCs/>
          <w:color w:val="auto"/>
          <w:sz w:val="24"/>
          <w:szCs w:val="24"/>
          <w:highlight w:val="none"/>
          <w:lang w:eastAsia="zh-CN"/>
        </w:rPr>
        <w:t>）文件要求</w:t>
      </w:r>
    </w:p>
    <w:p w14:paraId="47887015">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eastAsia="zh-CN"/>
        </w:rPr>
        <w:t>开</w:t>
      </w:r>
      <w:r>
        <w:rPr>
          <w:rFonts w:hint="eastAsia" w:asciiTheme="minorEastAsia" w:hAnsiTheme="minorEastAsia" w:eastAsiaTheme="minorEastAsia" w:cstheme="minorEastAsia"/>
          <w:color w:val="auto"/>
          <w:sz w:val="24"/>
          <w:szCs w:val="24"/>
          <w:highlight w:val="none"/>
        </w:rPr>
        <w:t>闭幕式需求，提报以下方案和材料：</w:t>
      </w:r>
    </w:p>
    <w:p w14:paraId="357CF2BA">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闭幕式策划创意设计方案</w:t>
      </w:r>
    </w:p>
    <w:p w14:paraId="01C0284A">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闭幕式主持台本</w:t>
      </w:r>
    </w:p>
    <w:p w14:paraId="2ABDD69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闭幕式流程设计</w:t>
      </w:r>
    </w:p>
    <w:p w14:paraId="6CF6C4C5">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闭幕式主会场舞美设计效果图</w:t>
      </w:r>
    </w:p>
    <w:p w14:paraId="0F63C61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闭幕式主题短片脚本</w:t>
      </w:r>
    </w:p>
    <w:p w14:paraId="462E64BE">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6、时尚科技体育嘉年华</w:t>
      </w:r>
      <w:r>
        <w:rPr>
          <w:rFonts w:hint="eastAsia" w:asciiTheme="minorEastAsia" w:hAnsiTheme="minorEastAsia" w:eastAsiaTheme="minorEastAsia" w:cstheme="minorEastAsia"/>
          <w:color w:val="auto"/>
          <w:sz w:val="24"/>
          <w:szCs w:val="24"/>
          <w:highlight w:val="none"/>
        </w:rPr>
        <w:t>策划创意设计方案</w:t>
      </w:r>
    </w:p>
    <w:p w14:paraId="29AC67FE">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流程设计</w:t>
      </w:r>
    </w:p>
    <w:p w14:paraId="683CDAC7">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舞美设计效果图</w:t>
      </w:r>
    </w:p>
    <w:p w14:paraId="65136C9A">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主题短片脚本</w:t>
      </w:r>
    </w:p>
    <w:p w14:paraId="01379320">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10、点火仪式</w:t>
      </w:r>
      <w:r>
        <w:rPr>
          <w:rFonts w:hint="eastAsia" w:asciiTheme="minorEastAsia" w:hAnsiTheme="minorEastAsia" w:eastAsiaTheme="minorEastAsia" w:cstheme="minorEastAsia"/>
          <w:color w:val="auto"/>
          <w:sz w:val="24"/>
          <w:szCs w:val="24"/>
          <w:highlight w:val="none"/>
        </w:rPr>
        <w:t>策划创意设计方案</w:t>
      </w:r>
    </w:p>
    <w:p w14:paraId="57E3C553">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、组织实施方案</w:t>
      </w:r>
    </w:p>
    <w:p w14:paraId="1CFD1E45">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、安全保障方案</w:t>
      </w:r>
      <w:r>
        <w:rPr>
          <w:rFonts w:hint="eastAsia" w:asciiTheme="minorEastAsia" w:hAnsiTheme="minorEastAsia" w:eastAsiaTheme="minorEastAsia" w:cstheme="minorEastAsia"/>
          <w:color w:val="auto"/>
          <w:sz w:val="24"/>
          <w:szCs w:val="24"/>
          <w:highlight w:val="none"/>
          <w:lang w:eastAsia="zh-CN"/>
        </w:rPr>
        <w:t>（不限于安保、医疗、电力等组织方案以及舆情处置方案）</w:t>
      </w:r>
    </w:p>
    <w:p w14:paraId="5AA45D62">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13、宣传方案</w:t>
      </w:r>
    </w:p>
    <w:p w14:paraId="4C05DF37">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、经费预算表</w:t>
      </w:r>
    </w:p>
    <w:p w14:paraId="70C2B356">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十一</w:t>
      </w:r>
      <w:r>
        <w:rPr>
          <w:rFonts w:hint="eastAsia" w:asciiTheme="minorEastAsia" w:hAnsiTheme="minorEastAsia" w:eastAsiaTheme="minorEastAsia" w:cstheme="minorEastAsia"/>
          <w:b/>
          <w:bCs/>
          <w:color w:val="auto"/>
          <w:sz w:val="24"/>
          <w:szCs w:val="24"/>
          <w:highlight w:val="none"/>
          <w:lang w:eastAsia="zh-CN"/>
        </w:rPr>
        <w:t>）其他要求</w:t>
      </w:r>
    </w:p>
    <w:p w14:paraId="08A82945">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1、按采购人最终审核确认的第五届体育大会开闭幕式策划方案投入相应人员和设备。</w:t>
      </w:r>
    </w:p>
    <w:p w14:paraId="008E15FB">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2、总导演在方案汇报及审定、方案重大调整、领导审查等环节必须在场。</w:t>
      </w:r>
    </w:p>
    <w:p w14:paraId="1D848169">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采购人负责创意和执行方案报批的所有手续，中标方须积极配合。</w:t>
      </w:r>
    </w:p>
    <w:p w14:paraId="5DFBFAF6">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（十二）知识产权</w:t>
      </w:r>
    </w:p>
    <w:p w14:paraId="5B8004C5">
      <w:pPr>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采购人使用</w:t>
      </w:r>
      <w:r>
        <w:rPr>
          <w:rFonts w:hint="eastAsia" w:asciiTheme="minorEastAsia" w:hAnsiTheme="minorEastAsia" w:cstheme="minorEastAsia"/>
          <w:color w:val="auto"/>
          <w:sz w:val="24"/>
          <w:szCs w:val="24"/>
          <w:highlight w:val="none"/>
          <w:lang w:eastAsia="zh-CN"/>
        </w:rPr>
        <w:t>中标供应商</w:t>
      </w:r>
      <w:r>
        <w:rPr>
          <w:rFonts w:hint="eastAsia" w:asciiTheme="minorEastAsia" w:hAnsiTheme="minorEastAsia" w:eastAsiaTheme="minorEastAsia" w:cstheme="minorEastAsia"/>
          <w:color w:val="auto"/>
          <w:sz w:val="24"/>
          <w:szCs w:val="24"/>
          <w:highlight w:val="none"/>
        </w:rPr>
        <w:t>提供的服务时免受第三方提出的侵犯其专利权或</w:t>
      </w:r>
      <w:r>
        <w:rPr>
          <w:rFonts w:hint="eastAsia" w:asciiTheme="minorEastAsia" w:hAnsiTheme="minorEastAsia" w:eastAsiaTheme="minorEastAsia" w:cstheme="minorEastAsia"/>
          <w:color w:val="auto"/>
          <w:sz w:val="24"/>
          <w:szCs w:val="24"/>
          <w:highlight w:val="none"/>
          <w:lang w:eastAsia="zh-CN"/>
        </w:rPr>
        <w:t>其他</w:t>
      </w:r>
      <w:r>
        <w:rPr>
          <w:rFonts w:hint="eastAsia" w:asciiTheme="minorEastAsia" w:hAnsiTheme="minorEastAsia" w:eastAsiaTheme="minorEastAsia" w:cstheme="minorEastAsia"/>
          <w:color w:val="auto"/>
          <w:sz w:val="24"/>
          <w:szCs w:val="24"/>
          <w:highlight w:val="none"/>
        </w:rPr>
        <w:t>知识产权的起诉。如果第三方提出侵权指控，</w:t>
      </w:r>
      <w:r>
        <w:rPr>
          <w:rFonts w:hint="eastAsia" w:asciiTheme="minorEastAsia" w:hAnsiTheme="minorEastAsia" w:cstheme="minorEastAsia"/>
          <w:color w:val="auto"/>
          <w:sz w:val="24"/>
          <w:szCs w:val="24"/>
          <w:highlight w:val="none"/>
          <w:lang w:eastAsia="zh-CN"/>
        </w:rPr>
        <w:t>中标供应商</w:t>
      </w:r>
      <w:r>
        <w:rPr>
          <w:rFonts w:hint="eastAsia" w:asciiTheme="minorEastAsia" w:hAnsiTheme="minorEastAsia" w:eastAsiaTheme="minorEastAsia" w:cstheme="minorEastAsia"/>
          <w:color w:val="auto"/>
          <w:sz w:val="24"/>
          <w:szCs w:val="24"/>
          <w:highlight w:val="none"/>
        </w:rPr>
        <w:t>应承担由此而引起的一切法律责任和费用。本项目知识产权归采购人所有</w:t>
      </w:r>
      <w:r>
        <w:rPr>
          <w:rFonts w:hint="eastAsia" w:asciiTheme="minorEastAsia" w:hAnsiTheme="minorEastAsia" w:eastAsiaTheme="minorEastAsia" w:cstheme="minorEastAsia"/>
          <w:color w:val="auto"/>
          <w:sz w:val="24"/>
          <w:szCs w:val="24"/>
          <w:highlight w:val="none"/>
          <w:lang w:val="en-US" w:eastAsia="zh-CN"/>
        </w:rPr>
        <w:t>。</w:t>
      </w:r>
    </w:p>
    <w:p w14:paraId="5CFF76D4">
      <w:pPr>
        <w:spacing w:line="360" w:lineRule="auto"/>
        <w:ind w:firstLine="482" w:firstLineChars="200"/>
        <w:outlineLvl w:val="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lang w:val="en-US" w:eastAsia="zh-CN"/>
        </w:rPr>
        <w:t>、验收</w:t>
      </w:r>
      <w:r>
        <w:rPr>
          <w:rFonts w:hint="eastAsia" w:asciiTheme="minorEastAsia" w:hAnsiTheme="minorEastAsia" w:cstheme="minorEastAsia"/>
          <w:b/>
          <w:bCs/>
          <w:color w:val="auto"/>
          <w:sz w:val="24"/>
          <w:szCs w:val="24"/>
          <w:highlight w:val="none"/>
          <w:lang w:val="en-US" w:eastAsia="zh-CN"/>
        </w:rPr>
        <w:t>考核</w:t>
      </w:r>
      <w:r>
        <w:rPr>
          <w:rFonts w:hint="eastAsia" w:asciiTheme="minorEastAsia" w:hAnsiTheme="minorEastAsia" w:eastAsiaTheme="minorEastAsia" w:cstheme="minorEastAsia"/>
          <w:b/>
          <w:bCs/>
          <w:color w:val="auto"/>
          <w:sz w:val="24"/>
          <w:szCs w:val="24"/>
          <w:highlight w:val="none"/>
          <w:lang w:val="en-US" w:eastAsia="zh-CN"/>
        </w:rPr>
        <w:t>标准</w:t>
      </w:r>
    </w:p>
    <w:p w14:paraId="41EFC0D0">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cstheme="minorEastAsia"/>
          <w:color w:val="auto"/>
          <w:sz w:val="24"/>
          <w:szCs w:val="24"/>
          <w:highlight w:val="none"/>
          <w:lang w:val="en-US" w:eastAsia="zh-CN"/>
        </w:rPr>
        <w:t>中标供应商</w:t>
      </w:r>
      <w:r>
        <w:rPr>
          <w:rFonts w:hint="eastAsia" w:asciiTheme="minorEastAsia" w:hAnsiTheme="minorEastAsia" w:eastAsiaTheme="minorEastAsia" w:cstheme="minorEastAsia"/>
          <w:color w:val="auto"/>
          <w:sz w:val="24"/>
          <w:szCs w:val="24"/>
          <w:highlight w:val="none"/>
          <w:lang w:val="en-US" w:eastAsia="zh-CN"/>
        </w:rPr>
        <w:t>提出验收申请后，</w:t>
      </w:r>
      <w:r>
        <w:rPr>
          <w:rFonts w:hint="eastAsia" w:asciiTheme="minorEastAsia" w:hAnsi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val="en-US" w:eastAsia="zh-CN"/>
        </w:rPr>
        <w:t>按照采购合同规定的技术、服务、标准以及中标时的响应文件、本项目</w:t>
      </w:r>
      <w:r>
        <w:rPr>
          <w:rFonts w:hint="eastAsia" w:asciiTheme="minorEastAsia" w:hAnsi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文件等要求，对供应商履约情况进行验收。 </w:t>
      </w:r>
    </w:p>
    <w:p w14:paraId="47F90F55">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（2）验收流程：①</w:t>
      </w:r>
      <w:r>
        <w:rPr>
          <w:rFonts w:hint="eastAsia" w:asciiTheme="minorEastAsia" w:hAnsiTheme="minorEastAsia" w:cstheme="minorEastAsia"/>
          <w:color w:val="auto"/>
          <w:sz w:val="24"/>
          <w:szCs w:val="24"/>
          <w:highlight w:val="none"/>
          <w:lang w:val="en-US" w:eastAsia="zh-CN"/>
        </w:rPr>
        <w:t>中标供应商</w:t>
      </w:r>
      <w:r>
        <w:rPr>
          <w:rFonts w:hint="eastAsia" w:asciiTheme="minorEastAsia" w:hAnsiTheme="minorEastAsia" w:eastAsiaTheme="minorEastAsia" w:cstheme="minorEastAsia"/>
          <w:color w:val="auto"/>
          <w:sz w:val="24"/>
          <w:szCs w:val="24"/>
          <w:highlight w:val="none"/>
          <w:lang w:val="en-US" w:eastAsia="zh-CN"/>
        </w:rPr>
        <w:t>向</w:t>
      </w:r>
      <w:r>
        <w:rPr>
          <w:rFonts w:hint="eastAsia" w:asciiTheme="minorEastAsia" w:hAnsi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val="en-US" w:eastAsia="zh-CN"/>
        </w:rPr>
        <w:t>提交阶段成果后，须向</w:t>
      </w:r>
      <w:r>
        <w:rPr>
          <w:rFonts w:hint="eastAsia" w:asciiTheme="minorEastAsia" w:hAnsi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lang w:val="en-US" w:eastAsia="zh-CN"/>
        </w:rPr>
        <w:t>发出验收申请，申请包括书面验收申请、相关说明、报告等。②采购人收到中标供应商验收申请后，组织验收。验收的结果为本项目采购人付款依据。</w:t>
      </w:r>
    </w:p>
    <w:p w14:paraId="5C9377FA">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（3）验收细则</w:t>
      </w:r>
    </w:p>
    <w:tbl>
      <w:tblPr>
        <w:tblStyle w:val="26"/>
        <w:tblW w:w="10311" w:type="dxa"/>
        <w:jc w:val="center"/>
        <w:tblLayout w:type="fixed"/>
        <w:tblCellMar>
          <w:top w:w="0" w:type="dxa"/>
          <w:left w:w="108" w:type="dxa"/>
          <w:bottom w:w="0" w:type="dxa"/>
          <w:right w:w="108" w:type="dxa"/>
        </w:tblCellMar>
      </w:tblPr>
      <w:tblGrid>
        <w:gridCol w:w="580"/>
        <w:gridCol w:w="1195"/>
        <w:gridCol w:w="7051"/>
        <w:gridCol w:w="659"/>
        <w:gridCol w:w="826"/>
      </w:tblGrid>
      <w:tr w14:paraId="0897E675">
        <w:tblPrEx>
          <w:tblCellMar>
            <w:top w:w="0" w:type="dxa"/>
            <w:left w:w="108" w:type="dxa"/>
            <w:bottom w:w="0" w:type="dxa"/>
            <w:right w:w="108" w:type="dxa"/>
          </w:tblCellMar>
        </w:tblPrEx>
        <w:trPr>
          <w:trHeight w:val="495" w:hRule="atLeast"/>
          <w:jc w:val="center"/>
        </w:trPr>
        <w:tc>
          <w:tcPr>
            <w:tcW w:w="580" w:type="dxa"/>
            <w:tcBorders>
              <w:top w:val="single" w:color="000000" w:sz="8" w:space="0"/>
              <w:left w:val="single" w:color="000000" w:sz="8" w:space="0"/>
              <w:bottom w:val="single" w:color="000000" w:sz="4" w:space="0"/>
              <w:right w:val="single" w:color="000000" w:sz="4" w:space="0"/>
            </w:tcBorders>
            <w:vAlign w:val="center"/>
          </w:tcPr>
          <w:p w14:paraId="0118D4F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195" w:type="dxa"/>
            <w:tcBorders>
              <w:top w:val="single" w:color="000000" w:sz="8" w:space="0"/>
              <w:left w:val="single" w:color="000000" w:sz="4" w:space="0"/>
              <w:bottom w:val="single" w:color="000000" w:sz="4" w:space="0"/>
              <w:right w:val="single" w:color="000000" w:sz="4" w:space="0"/>
            </w:tcBorders>
            <w:vAlign w:val="center"/>
          </w:tcPr>
          <w:p w14:paraId="0E60BB0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一级指标</w:t>
            </w:r>
          </w:p>
        </w:tc>
        <w:tc>
          <w:tcPr>
            <w:tcW w:w="7051" w:type="dxa"/>
            <w:tcBorders>
              <w:top w:val="single" w:color="000000" w:sz="8" w:space="0"/>
              <w:left w:val="single" w:color="000000" w:sz="4" w:space="0"/>
              <w:bottom w:val="single" w:color="000000" w:sz="4" w:space="0"/>
              <w:right w:val="single" w:color="000000" w:sz="4" w:space="0"/>
            </w:tcBorders>
            <w:vAlign w:val="center"/>
          </w:tcPr>
          <w:p w14:paraId="0CC606D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二级指标</w:t>
            </w:r>
          </w:p>
        </w:tc>
        <w:tc>
          <w:tcPr>
            <w:tcW w:w="659" w:type="dxa"/>
            <w:tcBorders>
              <w:top w:val="single" w:color="000000" w:sz="8" w:space="0"/>
              <w:left w:val="single" w:color="000000" w:sz="4" w:space="0"/>
              <w:bottom w:val="single" w:color="000000" w:sz="4" w:space="0"/>
              <w:right w:val="single" w:color="000000" w:sz="8" w:space="0"/>
            </w:tcBorders>
            <w:vAlign w:val="center"/>
          </w:tcPr>
          <w:p w14:paraId="7329F3E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c>
          <w:tcPr>
            <w:tcW w:w="826" w:type="dxa"/>
            <w:tcBorders>
              <w:top w:val="single" w:color="000000" w:sz="8" w:space="0"/>
              <w:left w:val="single" w:color="000000" w:sz="4" w:space="0"/>
              <w:bottom w:val="single" w:color="000000" w:sz="4" w:space="0"/>
              <w:right w:val="single" w:color="000000" w:sz="8" w:space="0"/>
            </w:tcBorders>
            <w:vAlign w:val="center"/>
          </w:tcPr>
          <w:p w14:paraId="543573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支付比例</w:t>
            </w:r>
          </w:p>
        </w:tc>
      </w:tr>
      <w:tr w14:paraId="05F4DC12">
        <w:tblPrEx>
          <w:tblCellMar>
            <w:top w:w="0" w:type="dxa"/>
            <w:left w:w="108" w:type="dxa"/>
            <w:bottom w:w="0" w:type="dxa"/>
            <w:right w:w="108" w:type="dxa"/>
          </w:tblCellMar>
        </w:tblPrEx>
        <w:trPr>
          <w:trHeight w:val="2365" w:hRule="atLeast"/>
          <w:jc w:val="center"/>
        </w:trPr>
        <w:tc>
          <w:tcPr>
            <w:tcW w:w="580" w:type="dxa"/>
            <w:tcBorders>
              <w:top w:val="single" w:color="000000" w:sz="4" w:space="0"/>
              <w:left w:val="single" w:color="000000" w:sz="8" w:space="0"/>
              <w:bottom w:val="single" w:color="000000" w:sz="4" w:space="0"/>
              <w:right w:val="single" w:color="000000" w:sz="4" w:space="0"/>
            </w:tcBorders>
            <w:vAlign w:val="center"/>
          </w:tcPr>
          <w:p w14:paraId="1597036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p>
        </w:tc>
        <w:tc>
          <w:tcPr>
            <w:tcW w:w="1195" w:type="dxa"/>
            <w:tcBorders>
              <w:top w:val="single" w:color="000000" w:sz="4" w:space="0"/>
              <w:left w:val="single" w:color="000000" w:sz="4" w:space="0"/>
              <w:bottom w:val="single" w:color="000000" w:sz="4" w:space="0"/>
              <w:right w:val="single" w:color="000000" w:sz="4" w:space="0"/>
            </w:tcBorders>
            <w:vAlign w:val="center"/>
          </w:tcPr>
          <w:p w14:paraId="14D5D10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总体</w:t>
            </w:r>
            <w:r>
              <w:rPr>
                <w:rFonts w:hint="eastAsia" w:asciiTheme="minorEastAsia" w:hAnsiTheme="minorEastAsia" w:eastAsiaTheme="minorEastAsia" w:cstheme="minorEastAsia"/>
                <w:b/>
                <w:bCs w:val="0"/>
                <w:color w:val="auto"/>
                <w:sz w:val="24"/>
                <w:szCs w:val="24"/>
                <w:highlight w:val="none"/>
              </w:rPr>
              <w:t>要求</w:t>
            </w:r>
          </w:p>
        </w:tc>
        <w:tc>
          <w:tcPr>
            <w:tcW w:w="7051" w:type="dxa"/>
            <w:tcBorders>
              <w:top w:val="single" w:color="000000" w:sz="4" w:space="0"/>
              <w:left w:val="single" w:color="000000" w:sz="4" w:space="0"/>
              <w:bottom w:val="single" w:color="000000" w:sz="4" w:space="0"/>
              <w:right w:val="single" w:color="000000" w:sz="4" w:space="0"/>
            </w:tcBorders>
            <w:vAlign w:val="center"/>
          </w:tcPr>
          <w:p w14:paraId="32DDA6CF">
            <w:pPr>
              <w:keepNext w:val="0"/>
              <w:keepLines w:val="0"/>
              <w:pageBreakBefore w:val="0"/>
              <w:widowControl w:val="0"/>
              <w:numPr>
                <w:ilvl w:val="0"/>
                <w:numId w:val="0"/>
              </w:numPr>
              <w:kinsoku/>
              <w:wordWrap/>
              <w:overflowPunct/>
              <w:topLinePunct w:val="0"/>
              <w:autoSpaceDE/>
              <w:autoSpaceDN/>
              <w:bidi w:val="0"/>
              <w:spacing w:beforeAutospacing="0" w:afterAutospacing="0"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全面负责浙江省第五届体育大会开闭幕式和时尚科技体育嘉年华执行服务演出的整体策划、筹备和组织实施工作，保证活动按主办单位、承办单位最终审定批准的创意方案和执行方案</w:t>
            </w:r>
            <w:r>
              <w:rPr>
                <w:rFonts w:hint="eastAsia" w:asciiTheme="minorEastAsia" w:hAnsiTheme="minorEastAsia" w:eastAsiaTheme="minorEastAsia" w:cstheme="minorEastAsia"/>
                <w:color w:val="auto"/>
                <w:sz w:val="24"/>
                <w:szCs w:val="24"/>
                <w:highlight w:val="none"/>
                <w:lang w:eastAsia="zh-CN"/>
              </w:rPr>
              <w:t>以及开闭幕式主场馆及活动区域的环境提升</w:t>
            </w:r>
            <w:r>
              <w:rPr>
                <w:rFonts w:hint="eastAsia" w:asciiTheme="minorEastAsia" w:hAnsiTheme="minorEastAsia" w:eastAsiaTheme="minorEastAsia" w:cstheme="minorEastAsia"/>
                <w:color w:val="auto"/>
                <w:sz w:val="24"/>
                <w:szCs w:val="24"/>
                <w:highlight w:val="none"/>
              </w:rPr>
              <w:t>，按时、规范、安全、精彩、圆满完成，并承担相应费用。</w:t>
            </w:r>
          </w:p>
          <w:p w14:paraId="2D3C326F">
            <w:pPr>
              <w:keepNext w:val="0"/>
              <w:keepLines w:val="0"/>
              <w:pageBreakBefore w:val="0"/>
              <w:widowControl w:val="0"/>
              <w:numPr>
                <w:ilvl w:val="0"/>
                <w:numId w:val="0"/>
              </w:numPr>
              <w:kinsoku/>
              <w:wordWrap/>
              <w:overflowPunct/>
              <w:topLinePunct w:val="0"/>
              <w:autoSpaceDE/>
              <w:autoSpaceDN/>
              <w:bidi w:val="0"/>
              <w:spacing w:beforeAutospacing="0" w:afterAutospacing="0" w:line="240" w:lineRule="auto"/>
              <w:ind w:left="0" w:lef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rPr>
              <w:t>提供的所有服务、产品、设备和材料必须符合相关行业标准和质量要求。</w:t>
            </w:r>
          </w:p>
          <w:p w14:paraId="2906005B">
            <w:pPr>
              <w:keepNext w:val="0"/>
              <w:keepLines w:val="0"/>
              <w:pageBreakBefore w:val="0"/>
              <w:widowControl w:val="0"/>
              <w:numPr>
                <w:ilvl w:val="0"/>
                <w:numId w:val="0"/>
              </w:numPr>
              <w:kinsoku/>
              <w:wordWrap/>
              <w:overflowPunct/>
              <w:topLinePunct w:val="0"/>
              <w:autoSpaceDE/>
              <w:autoSpaceDN/>
              <w:bidi w:val="0"/>
              <w:spacing w:beforeAutospacing="0" w:afterAutospacing="0" w:line="240" w:lineRule="auto"/>
              <w:ind w:leftChars="0"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制订切实可行的总体工作方案，充分体现主题特色，全面落实采购方对本次活动的具体目标和创意要求，最大程度的满足公众需求，扩大社会效益</w:t>
            </w:r>
            <w:r>
              <w:rPr>
                <w:rFonts w:hint="eastAsia" w:asciiTheme="minorEastAsia" w:hAnsiTheme="minorEastAsia" w:eastAsiaTheme="minorEastAsia" w:cstheme="minorEastAsia"/>
                <w:color w:val="auto"/>
                <w:sz w:val="24"/>
                <w:szCs w:val="24"/>
                <w:highlight w:val="none"/>
                <w:lang w:eastAsia="zh-CN"/>
              </w:rPr>
              <w:t>。</w:t>
            </w:r>
          </w:p>
        </w:tc>
        <w:tc>
          <w:tcPr>
            <w:tcW w:w="659" w:type="dxa"/>
            <w:tcBorders>
              <w:top w:val="single" w:color="000000" w:sz="4" w:space="0"/>
              <w:left w:val="single" w:color="000000" w:sz="4" w:space="0"/>
              <w:bottom w:val="single" w:color="000000" w:sz="4" w:space="0"/>
              <w:right w:val="single" w:color="000000" w:sz="8" w:space="0"/>
            </w:tcBorders>
            <w:vAlign w:val="center"/>
          </w:tcPr>
          <w:p w14:paraId="48E9398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12</w:t>
            </w:r>
          </w:p>
        </w:tc>
        <w:tc>
          <w:tcPr>
            <w:tcW w:w="826" w:type="dxa"/>
            <w:vMerge w:val="restart"/>
            <w:tcBorders>
              <w:top w:val="single" w:color="000000" w:sz="4" w:space="0"/>
              <w:left w:val="single" w:color="000000" w:sz="4" w:space="0"/>
              <w:right w:val="single" w:color="000000" w:sz="8" w:space="0"/>
            </w:tcBorders>
            <w:vAlign w:val="center"/>
          </w:tcPr>
          <w:p w14:paraId="207D869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合同金额的</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0%</w:t>
            </w:r>
          </w:p>
        </w:tc>
      </w:tr>
      <w:tr w14:paraId="740D2F34">
        <w:tblPrEx>
          <w:tblCellMar>
            <w:top w:w="0" w:type="dxa"/>
            <w:left w:w="108" w:type="dxa"/>
            <w:bottom w:w="0" w:type="dxa"/>
            <w:right w:w="108" w:type="dxa"/>
          </w:tblCellMar>
        </w:tblPrEx>
        <w:trPr>
          <w:trHeight w:val="1200" w:hRule="atLeast"/>
          <w:jc w:val="center"/>
        </w:trPr>
        <w:tc>
          <w:tcPr>
            <w:tcW w:w="580" w:type="dxa"/>
            <w:tcBorders>
              <w:top w:val="single" w:color="000000" w:sz="4" w:space="0"/>
              <w:left w:val="single" w:color="000000" w:sz="8" w:space="0"/>
              <w:bottom w:val="single" w:color="000000" w:sz="4" w:space="0"/>
              <w:right w:val="single" w:color="000000" w:sz="4" w:space="0"/>
            </w:tcBorders>
            <w:vAlign w:val="center"/>
          </w:tcPr>
          <w:p w14:paraId="6DC0BB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2</w:t>
            </w:r>
          </w:p>
        </w:tc>
        <w:tc>
          <w:tcPr>
            <w:tcW w:w="1195" w:type="dxa"/>
            <w:tcBorders>
              <w:top w:val="single" w:color="000000" w:sz="4" w:space="0"/>
              <w:left w:val="single" w:color="000000" w:sz="4" w:space="0"/>
              <w:bottom w:val="single" w:color="000000" w:sz="4" w:space="0"/>
              <w:right w:val="single" w:color="000000" w:sz="4" w:space="0"/>
            </w:tcBorders>
            <w:vAlign w:val="center"/>
          </w:tcPr>
          <w:p w14:paraId="73D955E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rPr>
              <w:t>策划方案要求</w:t>
            </w:r>
          </w:p>
        </w:tc>
        <w:tc>
          <w:tcPr>
            <w:tcW w:w="7051" w:type="dxa"/>
            <w:tcBorders>
              <w:top w:val="single" w:color="000000" w:sz="4" w:space="0"/>
              <w:left w:val="single" w:color="000000" w:sz="4" w:space="0"/>
              <w:bottom w:val="single" w:color="000000" w:sz="4" w:space="0"/>
              <w:right w:val="single" w:color="000000" w:sz="4" w:space="0"/>
            </w:tcBorders>
            <w:vAlign w:val="center"/>
          </w:tcPr>
          <w:p w14:paraId="5404D15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val="en-US" w:eastAsia="zh-CN"/>
              </w:rPr>
              <w:t>开闭幕式</w:t>
            </w:r>
            <w:r>
              <w:rPr>
                <w:rFonts w:hint="eastAsia" w:asciiTheme="minorEastAsia" w:hAnsiTheme="minorEastAsia" w:eastAsiaTheme="minorEastAsia" w:cstheme="minorEastAsia"/>
                <w:bCs/>
                <w:color w:val="auto"/>
                <w:sz w:val="24"/>
                <w:szCs w:val="24"/>
                <w:highlight w:val="none"/>
              </w:rPr>
              <w:t>总体要求对体育项目展演部分进行重点创意策划，</w:t>
            </w:r>
            <w:r>
              <w:rPr>
                <w:rFonts w:hint="eastAsia" w:asciiTheme="minorEastAsia" w:hAnsiTheme="minorEastAsia" w:eastAsiaTheme="minorEastAsia" w:cstheme="minorEastAsia"/>
                <w:bCs/>
                <w:color w:val="auto"/>
                <w:sz w:val="24"/>
                <w:szCs w:val="24"/>
                <w:highlight w:val="none"/>
                <w:lang w:eastAsia="zh-CN"/>
              </w:rPr>
              <w:t>与</w:t>
            </w:r>
            <w:r>
              <w:rPr>
                <w:rFonts w:hint="eastAsia" w:asciiTheme="minorEastAsia" w:hAnsiTheme="minorEastAsia" w:eastAsiaTheme="minorEastAsia" w:cstheme="minorEastAsia"/>
                <w:bCs/>
                <w:color w:val="auto"/>
                <w:sz w:val="24"/>
                <w:szCs w:val="24"/>
                <w:highlight w:val="none"/>
                <w:lang w:val="en-US" w:eastAsia="zh-CN"/>
              </w:rPr>
              <w:t>时尚科技体育嘉年华活动契合度高，</w:t>
            </w:r>
            <w:r>
              <w:rPr>
                <w:rFonts w:hint="eastAsia" w:asciiTheme="minorEastAsia" w:hAnsiTheme="minorEastAsia" w:eastAsiaTheme="minorEastAsia" w:cstheme="minorEastAsia"/>
                <w:bCs/>
                <w:color w:val="auto"/>
                <w:sz w:val="24"/>
                <w:szCs w:val="24"/>
                <w:highlight w:val="none"/>
              </w:rPr>
              <w:t>并形成较完整的创意文本、舞美构思、设想等。</w:t>
            </w:r>
          </w:p>
          <w:p w14:paraId="380DC94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2、提供包含但不限于策划方案内容框架相关的内容介绍，舞美部分附效果图</w:t>
            </w:r>
            <w:r>
              <w:rPr>
                <w:rFonts w:hint="eastAsia" w:asciiTheme="minorEastAsia" w:hAnsiTheme="minorEastAsia" w:eastAsiaTheme="minorEastAsia" w:cstheme="minorEastAsia"/>
                <w:bCs/>
                <w:color w:val="auto"/>
                <w:sz w:val="24"/>
                <w:szCs w:val="24"/>
                <w:highlight w:val="none"/>
                <w:lang w:eastAsia="zh-CN"/>
              </w:rPr>
              <w:t>，并按要求落实</w:t>
            </w:r>
            <w:r>
              <w:rPr>
                <w:rFonts w:hint="eastAsia" w:asciiTheme="minorEastAsia" w:hAnsiTheme="minorEastAsia" w:eastAsiaTheme="minorEastAsia" w:cstheme="minorEastAsia"/>
                <w:bCs/>
                <w:color w:val="auto"/>
                <w:sz w:val="24"/>
                <w:szCs w:val="24"/>
                <w:highlight w:val="none"/>
              </w:rPr>
              <w:t>。</w:t>
            </w:r>
          </w:p>
          <w:p w14:paraId="75064D1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3、整体活动的创意实施，应遵循原创性的艺术创作理念，为第五届体育大会开闭幕式策划与实施项目量身打造</w:t>
            </w:r>
            <w:r>
              <w:rPr>
                <w:rFonts w:hint="eastAsia" w:asciiTheme="minorEastAsia" w:hAnsiTheme="minorEastAsia" w:eastAsiaTheme="minorEastAsia" w:cstheme="minorEastAsia"/>
                <w:bCs/>
                <w:color w:val="auto"/>
                <w:sz w:val="24"/>
                <w:szCs w:val="24"/>
                <w:highlight w:val="none"/>
                <w:lang w:eastAsia="zh-CN"/>
              </w:rPr>
              <w:t>，并按要求落实</w:t>
            </w:r>
            <w:r>
              <w:rPr>
                <w:rFonts w:hint="eastAsia" w:asciiTheme="minorEastAsia" w:hAnsiTheme="minorEastAsia" w:eastAsiaTheme="minorEastAsia" w:cstheme="minorEastAsia"/>
                <w:bCs/>
                <w:color w:val="auto"/>
                <w:sz w:val="24"/>
                <w:szCs w:val="24"/>
                <w:highlight w:val="none"/>
              </w:rPr>
              <w:t>。</w:t>
            </w:r>
          </w:p>
        </w:tc>
        <w:tc>
          <w:tcPr>
            <w:tcW w:w="659" w:type="dxa"/>
            <w:tcBorders>
              <w:top w:val="single" w:color="000000" w:sz="4" w:space="0"/>
              <w:left w:val="single" w:color="000000" w:sz="4" w:space="0"/>
              <w:bottom w:val="single" w:color="000000" w:sz="4" w:space="0"/>
              <w:right w:val="single" w:color="000000" w:sz="8" w:space="0"/>
            </w:tcBorders>
            <w:vAlign w:val="center"/>
          </w:tcPr>
          <w:p w14:paraId="378D3E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10</w:t>
            </w:r>
          </w:p>
        </w:tc>
        <w:tc>
          <w:tcPr>
            <w:tcW w:w="826" w:type="dxa"/>
            <w:vMerge w:val="continue"/>
            <w:tcBorders>
              <w:left w:val="single" w:color="000000" w:sz="4" w:space="0"/>
              <w:right w:val="single" w:color="000000" w:sz="8" w:space="0"/>
            </w:tcBorders>
            <w:vAlign w:val="center"/>
          </w:tcPr>
          <w:p w14:paraId="6F70530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color w:val="auto"/>
                <w:kern w:val="0"/>
                <w:sz w:val="24"/>
                <w:szCs w:val="24"/>
                <w:highlight w:val="none"/>
              </w:rPr>
            </w:pPr>
          </w:p>
        </w:tc>
      </w:tr>
      <w:tr w14:paraId="1E6DE339">
        <w:tblPrEx>
          <w:tblCellMar>
            <w:top w:w="0" w:type="dxa"/>
            <w:left w:w="108" w:type="dxa"/>
            <w:bottom w:w="0" w:type="dxa"/>
            <w:right w:w="108" w:type="dxa"/>
          </w:tblCellMar>
        </w:tblPrEx>
        <w:trPr>
          <w:trHeight w:val="600" w:hRule="atLeast"/>
          <w:jc w:val="center"/>
        </w:trPr>
        <w:tc>
          <w:tcPr>
            <w:tcW w:w="580" w:type="dxa"/>
            <w:tcBorders>
              <w:top w:val="single" w:color="000000" w:sz="4" w:space="0"/>
              <w:left w:val="single" w:color="000000" w:sz="8" w:space="0"/>
              <w:bottom w:val="single" w:color="000000" w:sz="4" w:space="0"/>
              <w:right w:val="single" w:color="000000" w:sz="4" w:space="0"/>
            </w:tcBorders>
            <w:vAlign w:val="center"/>
          </w:tcPr>
          <w:p w14:paraId="5BD32F6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3</w:t>
            </w:r>
          </w:p>
        </w:tc>
        <w:tc>
          <w:tcPr>
            <w:tcW w:w="1195" w:type="dxa"/>
            <w:tcBorders>
              <w:top w:val="single" w:color="000000" w:sz="4" w:space="0"/>
              <w:left w:val="single" w:color="000000" w:sz="4" w:space="0"/>
              <w:bottom w:val="single" w:color="000000" w:sz="4" w:space="0"/>
              <w:right w:val="single" w:color="000000" w:sz="4" w:space="0"/>
            </w:tcBorders>
            <w:vAlign w:val="center"/>
          </w:tcPr>
          <w:p w14:paraId="37F38DA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开闭幕式</w:t>
            </w:r>
            <w:r>
              <w:rPr>
                <w:rFonts w:hint="eastAsia" w:asciiTheme="minorEastAsia" w:hAnsiTheme="minorEastAsia" w:eastAsiaTheme="minorEastAsia" w:cstheme="minorEastAsia"/>
                <w:b/>
                <w:bCs w:val="0"/>
                <w:color w:val="auto"/>
                <w:sz w:val="24"/>
                <w:szCs w:val="24"/>
                <w:highlight w:val="none"/>
              </w:rPr>
              <w:t>活动要求</w:t>
            </w:r>
          </w:p>
        </w:tc>
        <w:tc>
          <w:tcPr>
            <w:tcW w:w="7051" w:type="dxa"/>
            <w:tcBorders>
              <w:top w:val="single" w:color="000000" w:sz="4" w:space="0"/>
              <w:left w:val="single" w:color="000000" w:sz="4" w:space="0"/>
              <w:bottom w:val="single" w:color="000000" w:sz="4" w:space="0"/>
              <w:right w:val="single" w:color="000000" w:sz="4" w:space="0"/>
            </w:tcBorders>
            <w:vAlign w:val="center"/>
          </w:tcPr>
          <w:p w14:paraId="254911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总体方案中开幕式暖场表演时长不少于30分钟，仪式及文体展演时长不少于60分钟；闭幕式暖场表演时长不少于15分钟，仪式及文体展演时长不少于45分钟</w:t>
            </w:r>
            <w:r>
              <w:rPr>
                <w:rFonts w:hint="eastAsia" w:asciiTheme="minorEastAsia" w:hAnsiTheme="minorEastAsia" w:eastAsiaTheme="minorEastAsia" w:cstheme="minorEastAsia"/>
                <w:bCs/>
                <w:color w:val="auto"/>
                <w:sz w:val="24"/>
                <w:szCs w:val="24"/>
                <w:highlight w:val="none"/>
                <w:lang w:eastAsia="zh-CN"/>
              </w:rPr>
              <w:t>，并按要求落实下列事项：</w:t>
            </w:r>
          </w:p>
          <w:p w14:paraId="73087CF2">
            <w:pPr>
              <w:keepNext w:val="0"/>
              <w:keepLines w:val="0"/>
              <w:pageBreakBefore w:val="0"/>
              <w:widowControl w:val="0"/>
              <w:numPr>
                <w:ilvl w:val="0"/>
                <w:numId w:val="12"/>
              </w:numPr>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开闭幕仪式、文体展演节目的策划、挑选、培训、排练、彩排直至正式演出。</w:t>
            </w:r>
          </w:p>
          <w:p w14:paraId="351F815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2、开闭幕式舞美的设计、制作、舞台搭建，整体彩排直至正式演出。</w:t>
            </w:r>
          </w:p>
          <w:p w14:paraId="4595780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3、开闭幕式音乐、视频的创作、修改及制作合成，设备的提供及安装调试，直至正式演出。</w:t>
            </w:r>
          </w:p>
          <w:p w14:paraId="43BF3F3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4、开闭幕式道具、服装及造型的设计、修改、制作，直至正式演出。</w:t>
            </w:r>
          </w:p>
          <w:p w14:paraId="6B7924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5、第五届体育大会开闭幕式展演节目的创作、制作及演出。</w:t>
            </w:r>
          </w:p>
          <w:p w14:paraId="58D195E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6、开闭幕式的排练、合练、集中排练及彩排与带机预演直至正式演出。</w:t>
            </w:r>
          </w:p>
          <w:p w14:paraId="29D7EB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7、负责设计及印制手提袋、荧光棒、拍手器、节目单等，并提供开闭幕式用水。</w:t>
            </w:r>
          </w:p>
          <w:p w14:paraId="388F619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8、开闭幕式结束后有序地安全拆卸及清场。</w:t>
            </w:r>
          </w:p>
          <w:p w14:paraId="29774CA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9、演职人员的管理及自身的后勤保障。</w:t>
            </w:r>
          </w:p>
          <w:p w14:paraId="4570BB8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10、与开闭幕式相关的其他事项。</w:t>
            </w:r>
          </w:p>
        </w:tc>
        <w:tc>
          <w:tcPr>
            <w:tcW w:w="659" w:type="dxa"/>
            <w:tcBorders>
              <w:top w:val="single" w:color="000000" w:sz="4" w:space="0"/>
              <w:left w:val="single" w:color="000000" w:sz="4" w:space="0"/>
              <w:bottom w:val="single" w:color="000000" w:sz="4" w:space="0"/>
              <w:right w:val="single" w:color="000000" w:sz="8" w:space="0"/>
            </w:tcBorders>
            <w:vAlign w:val="center"/>
          </w:tcPr>
          <w:p w14:paraId="524B88D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20</w:t>
            </w:r>
          </w:p>
        </w:tc>
        <w:tc>
          <w:tcPr>
            <w:tcW w:w="826" w:type="dxa"/>
            <w:vMerge w:val="continue"/>
            <w:tcBorders>
              <w:left w:val="single" w:color="000000" w:sz="4" w:space="0"/>
              <w:right w:val="single" w:color="000000" w:sz="8" w:space="0"/>
            </w:tcBorders>
            <w:vAlign w:val="center"/>
          </w:tcPr>
          <w:p w14:paraId="59C3265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43C8D413">
        <w:tblPrEx>
          <w:tblCellMar>
            <w:top w:w="0" w:type="dxa"/>
            <w:left w:w="108" w:type="dxa"/>
            <w:bottom w:w="0" w:type="dxa"/>
            <w:right w:w="108" w:type="dxa"/>
          </w:tblCellMar>
        </w:tblPrEx>
        <w:trPr>
          <w:trHeight w:val="300" w:hRule="atLeast"/>
          <w:jc w:val="center"/>
        </w:trPr>
        <w:tc>
          <w:tcPr>
            <w:tcW w:w="580" w:type="dxa"/>
            <w:tcBorders>
              <w:top w:val="single" w:color="000000" w:sz="4" w:space="0"/>
              <w:left w:val="single" w:color="000000" w:sz="8" w:space="0"/>
              <w:bottom w:val="single" w:color="000000" w:sz="4" w:space="0"/>
              <w:right w:val="single" w:color="000000" w:sz="4" w:space="0"/>
            </w:tcBorders>
            <w:vAlign w:val="center"/>
          </w:tcPr>
          <w:p w14:paraId="04CE89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p>
        </w:tc>
        <w:tc>
          <w:tcPr>
            <w:tcW w:w="1195" w:type="dxa"/>
            <w:tcBorders>
              <w:top w:val="single" w:color="000000" w:sz="4" w:space="0"/>
              <w:left w:val="single" w:color="000000" w:sz="4" w:space="0"/>
              <w:bottom w:val="single" w:color="000000" w:sz="4" w:space="0"/>
              <w:right w:val="single" w:color="000000" w:sz="4" w:space="0"/>
            </w:tcBorders>
            <w:vAlign w:val="center"/>
          </w:tcPr>
          <w:p w14:paraId="6EEAF7E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时尚科技体育嘉年华活动要求</w:t>
            </w:r>
          </w:p>
        </w:tc>
        <w:tc>
          <w:tcPr>
            <w:tcW w:w="7051" w:type="dxa"/>
            <w:tcBorders>
              <w:top w:val="single" w:color="000000" w:sz="4" w:space="0"/>
              <w:left w:val="single" w:color="000000" w:sz="4" w:space="0"/>
              <w:bottom w:val="single" w:color="000000" w:sz="4" w:space="0"/>
              <w:right w:val="single" w:color="000000" w:sz="4" w:space="0"/>
            </w:tcBorders>
            <w:vAlign w:val="center"/>
          </w:tcPr>
          <w:p w14:paraId="3EF068F0">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时尚科技体育嘉年华与浙江省第五届体育大会开幕式既是一个整体、又是独立的一个单元赛事活动。在浙江省第五届体育大会开幕式期间，时尚科技嘉年华作为开幕式的一个部分，开幕式前后，时尚科技嘉年华是赛事活动，宣传、普及、推广体育项目的载体和平台。</w:t>
            </w:r>
            <w:r>
              <w:rPr>
                <w:rFonts w:hint="eastAsia" w:asciiTheme="minorEastAsia" w:hAnsiTheme="minorEastAsia" w:eastAsiaTheme="minorEastAsia" w:cstheme="minorEastAsia"/>
                <w:bCs/>
                <w:color w:val="auto"/>
                <w:sz w:val="24"/>
                <w:szCs w:val="24"/>
                <w:highlight w:val="none"/>
                <w:lang w:eastAsia="zh-CN"/>
              </w:rPr>
              <w:t>按要求落实下列事项：</w:t>
            </w:r>
          </w:p>
          <w:p w14:paraId="007BA4CF">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1、时尚科技体育嘉年华要充分体现时尚与科技元素，将时尚体育与科技体育、传统体育有机融合，创意新颖，敢于创新、勇于突破。</w:t>
            </w:r>
          </w:p>
          <w:p w14:paraId="65A80B83">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2、时尚科技体育嘉年华赛事活动时间不少于2天（包括1个晚上）。</w:t>
            </w:r>
          </w:p>
          <w:p w14:paraId="2344D4AB">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3、时尚科技体育嘉年华赛事活动项目不少于10个（其中：主题赛事活动不少于3个、配套项目不少于7个），参与人数不少于10000人次。</w:t>
            </w:r>
          </w:p>
          <w:p w14:paraId="5AB82790">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时尚科技体育嘉年华活动运行计划系统、全面，项目安排科学合理，活动规程具有可操作性针对性。比赛活动设置“仲裁委员会”，由裁判长、副裁判长、组委会官员担任。比赛活动将对获奖运动员、运动队（代表团）等进行奖励，颁发证书和奖牌。</w:t>
            </w:r>
          </w:p>
          <w:p w14:paraId="47265B23">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5、活动器材由中标人按照各项目规定的活动标准和要求配备。中标人负责勘测赛场、赛场场地布置、辅助器材准备。</w:t>
            </w:r>
          </w:p>
          <w:p w14:paraId="700AF695">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6、按酬金支付标准向裁判员、技术官员等人员支付劳务费。</w:t>
            </w:r>
          </w:p>
          <w:p w14:paraId="05F9E8BF">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7、在开幕式主场配套市集，为期不少于2天（包括1个晚上），与时尚科技体育嘉年华同步，结合台州美食美景，汇集众多知名体育健身品牌和优质产品，摊位不少于60个，在活动场地内合理布局。</w:t>
            </w:r>
          </w:p>
        </w:tc>
        <w:tc>
          <w:tcPr>
            <w:tcW w:w="659" w:type="dxa"/>
            <w:tcBorders>
              <w:top w:val="single" w:color="000000" w:sz="4" w:space="0"/>
              <w:left w:val="single" w:color="000000" w:sz="4" w:space="0"/>
              <w:bottom w:val="single" w:color="000000" w:sz="4" w:space="0"/>
              <w:right w:val="single" w:color="000000" w:sz="8" w:space="0"/>
            </w:tcBorders>
            <w:vAlign w:val="center"/>
          </w:tcPr>
          <w:p w14:paraId="4A44E51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12</w:t>
            </w:r>
          </w:p>
        </w:tc>
        <w:tc>
          <w:tcPr>
            <w:tcW w:w="826" w:type="dxa"/>
            <w:vMerge w:val="continue"/>
            <w:tcBorders>
              <w:left w:val="single" w:color="000000" w:sz="4" w:space="0"/>
              <w:right w:val="single" w:color="000000" w:sz="8" w:space="0"/>
            </w:tcBorders>
            <w:vAlign w:val="center"/>
          </w:tcPr>
          <w:p w14:paraId="3035CDE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65ECACE3">
        <w:tblPrEx>
          <w:tblCellMar>
            <w:top w:w="0" w:type="dxa"/>
            <w:left w:w="108" w:type="dxa"/>
            <w:bottom w:w="0" w:type="dxa"/>
            <w:right w:w="108" w:type="dxa"/>
          </w:tblCellMar>
        </w:tblPrEx>
        <w:trPr>
          <w:trHeight w:val="891" w:hRule="atLeast"/>
          <w:jc w:val="center"/>
        </w:trPr>
        <w:tc>
          <w:tcPr>
            <w:tcW w:w="580" w:type="dxa"/>
            <w:tcBorders>
              <w:top w:val="single" w:color="000000" w:sz="4" w:space="0"/>
              <w:left w:val="single" w:color="000000" w:sz="8" w:space="0"/>
              <w:bottom w:val="single" w:color="000000" w:sz="4" w:space="0"/>
              <w:right w:val="single" w:color="000000" w:sz="4" w:space="0"/>
            </w:tcBorders>
            <w:vAlign w:val="center"/>
          </w:tcPr>
          <w:p w14:paraId="27081EB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w:t>
            </w:r>
          </w:p>
        </w:tc>
        <w:tc>
          <w:tcPr>
            <w:tcW w:w="1195" w:type="dxa"/>
            <w:tcBorders>
              <w:top w:val="single" w:color="000000" w:sz="4" w:space="0"/>
              <w:left w:val="single" w:color="000000" w:sz="4" w:space="0"/>
              <w:bottom w:val="single" w:color="000000" w:sz="4" w:space="0"/>
              <w:right w:val="single" w:color="000000" w:sz="4" w:space="0"/>
            </w:tcBorders>
            <w:vAlign w:val="center"/>
          </w:tcPr>
          <w:p w14:paraId="4E515D4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宣传要求</w:t>
            </w:r>
          </w:p>
        </w:tc>
        <w:tc>
          <w:tcPr>
            <w:tcW w:w="7051" w:type="dxa"/>
            <w:tcBorders>
              <w:top w:val="single" w:color="000000" w:sz="4" w:space="0"/>
              <w:left w:val="single" w:color="000000" w:sz="4" w:space="0"/>
              <w:bottom w:val="single" w:color="000000" w:sz="4" w:space="0"/>
              <w:right w:val="single" w:color="000000" w:sz="4" w:space="0"/>
            </w:tcBorders>
            <w:vAlign w:val="center"/>
          </w:tcPr>
          <w:p w14:paraId="67949F6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整个开闭幕式和时尚科技体育嘉年华需充分考虑宣传工作，中标单位需在开闭幕式和时尚科技体育嘉年华活动时间确定前一个月做好宣传预热工作。宣传执行方案中需明确活动期间的宣传渠道、时间、数量，其中数量上要求官方媒体不少于20家，其他媒体不少于30家（如新浪微博、今日头条、腾讯新闻等平台或微信公众号、视频号、抖音等新媒体平台），进行媒体宣传。</w:t>
            </w:r>
          </w:p>
          <w:p w14:paraId="2C20F76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2、开闭幕式和时尚科技体育嘉年华视频直播，直播平台直播盛况+图片实时直播；主题赛事图片实时直播；不少于20家省级及以上电视、报纸和网络媒体开闭幕式全程跟踪宣传。</w:t>
            </w:r>
          </w:p>
          <w:p w14:paraId="4336C6E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3、浙江省第五届体育大会开闭幕式和时尚科技嘉年华活动期间，全网宣传覆盖面达30000万人次以上</w:t>
            </w:r>
            <w:r>
              <w:rPr>
                <w:rFonts w:hint="eastAsia" w:asciiTheme="minorEastAsia" w:hAnsiTheme="minorEastAsia" w:eastAsiaTheme="minorEastAsia" w:cstheme="minorEastAsia"/>
                <w:color w:val="auto"/>
                <w:sz w:val="24"/>
                <w:szCs w:val="24"/>
                <w:highlight w:val="none"/>
                <w:lang w:val="en-US" w:eastAsia="zh-CN"/>
              </w:rPr>
              <w:t>。</w:t>
            </w:r>
          </w:p>
          <w:p w14:paraId="61DB85F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rPr>
              <w:t>全网宣传</w:t>
            </w:r>
            <w:r>
              <w:rPr>
                <w:rFonts w:hint="eastAsia" w:asciiTheme="minorEastAsia" w:hAnsiTheme="minorEastAsia" w:eastAsiaTheme="minorEastAsia" w:cstheme="minorEastAsia"/>
                <w:b w:val="0"/>
                <w:bCs/>
                <w:color w:val="auto"/>
                <w:sz w:val="24"/>
                <w:szCs w:val="24"/>
                <w:highlight w:val="none"/>
                <w:lang w:val="en-US" w:eastAsia="zh-CN"/>
              </w:rPr>
              <w:t>覆盖人群达不到30000万+人次，扣10分。</w:t>
            </w:r>
          </w:p>
        </w:tc>
        <w:tc>
          <w:tcPr>
            <w:tcW w:w="659" w:type="dxa"/>
            <w:tcBorders>
              <w:top w:val="single" w:color="000000" w:sz="4" w:space="0"/>
              <w:left w:val="single" w:color="000000" w:sz="4" w:space="0"/>
              <w:bottom w:val="single" w:color="000000" w:sz="4" w:space="0"/>
              <w:right w:val="single" w:color="000000" w:sz="8" w:space="0"/>
            </w:tcBorders>
            <w:vAlign w:val="center"/>
          </w:tcPr>
          <w:p w14:paraId="54C2132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10</w:t>
            </w:r>
          </w:p>
        </w:tc>
        <w:tc>
          <w:tcPr>
            <w:tcW w:w="826" w:type="dxa"/>
            <w:vMerge w:val="continue"/>
            <w:tcBorders>
              <w:left w:val="single" w:color="000000" w:sz="4" w:space="0"/>
              <w:right w:val="single" w:color="000000" w:sz="8" w:space="0"/>
            </w:tcBorders>
            <w:vAlign w:val="center"/>
          </w:tcPr>
          <w:p w14:paraId="757726C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31FB0DA3">
        <w:tblPrEx>
          <w:tblCellMar>
            <w:top w:w="0" w:type="dxa"/>
            <w:left w:w="108" w:type="dxa"/>
            <w:bottom w:w="0" w:type="dxa"/>
            <w:right w:w="108" w:type="dxa"/>
          </w:tblCellMar>
        </w:tblPrEx>
        <w:trPr>
          <w:trHeight w:val="402" w:hRule="atLeast"/>
          <w:jc w:val="center"/>
        </w:trPr>
        <w:tc>
          <w:tcPr>
            <w:tcW w:w="580" w:type="dxa"/>
            <w:tcBorders>
              <w:top w:val="single" w:color="000000" w:sz="4" w:space="0"/>
              <w:left w:val="single" w:color="000000" w:sz="8" w:space="0"/>
              <w:bottom w:val="single" w:color="000000" w:sz="4" w:space="0"/>
              <w:right w:val="single" w:color="000000" w:sz="4" w:space="0"/>
            </w:tcBorders>
            <w:vAlign w:val="center"/>
          </w:tcPr>
          <w:p w14:paraId="11A105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w:t>
            </w:r>
          </w:p>
        </w:tc>
        <w:tc>
          <w:tcPr>
            <w:tcW w:w="1195" w:type="dxa"/>
            <w:tcBorders>
              <w:top w:val="single" w:color="000000" w:sz="4" w:space="0"/>
              <w:left w:val="single" w:color="000000" w:sz="4" w:space="0"/>
              <w:bottom w:val="single" w:color="000000" w:sz="4" w:space="0"/>
              <w:right w:val="single" w:color="000000" w:sz="4" w:space="0"/>
            </w:tcBorders>
            <w:vAlign w:val="center"/>
          </w:tcPr>
          <w:p w14:paraId="749139F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主创团队要求</w:t>
            </w:r>
          </w:p>
        </w:tc>
        <w:tc>
          <w:tcPr>
            <w:tcW w:w="7051" w:type="dxa"/>
            <w:tcBorders>
              <w:top w:val="single" w:color="000000" w:sz="4" w:space="0"/>
              <w:left w:val="single" w:color="000000" w:sz="4" w:space="0"/>
              <w:bottom w:val="single" w:color="000000" w:sz="4" w:space="0"/>
              <w:right w:val="single" w:color="000000" w:sz="4" w:space="0"/>
            </w:tcBorders>
            <w:vAlign w:val="center"/>
          </w:tcPr>
          <w:p w14:paraId="708B2F5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组建主创团队，包括但不限于总导演、总制作人、总撰稿、执行导演、舞美设计、音乐设计等不少于15人的主创人员团队。</w:t>
            </w:r>
          </w:p>
        </w:tc>
        <w:tc>
          <w:tcPr>
            <w:tcW w:w="659" w:type="dxa"/>
            <w:tcBorders>
              <w:top w:val="single" w:color="000000" w:sz="4" w:space="0"/>
              <w:left w:val="single" w:color="000000" w:sz="4" w:space="0"/>
              <w:bottom w:val="single" w:color="000000" w:sz="4" w:space="0"/>
              <w:right w:val="single" w:color="000000" w:sz="8" w:space="0"/>
            </w:tcBorders>
            <w:vAlign w:val="center"/>
          </w:tcPr>
          <w:p w14:paraId="42A7BF1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8</w:t>
            </w:r>
          </w:p>
        </w:tc>
        <w:tc>
          <w:tcPr>
            <w:tcW w:w="826" w:type="dxa"/>
            <w:vMerge w:val="continue"/>
            <w:tcBorders>
              <w:left w:val="single" w:color="000000" w:sz="4" w:space="0"/>
              <w:right w:val="single" w:color="000000" w:sz="8" w:space="0"/>
            </w:tcBorders>
            <w:vAlign w:val="center"/>
          </w:tcPr>
          <w:p w14:paraId="021BBD7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2AAA9134">
        <w:tblPrEx>
          <w:tblCellMar>
            <w:top w:w="0" w:type="dxa"/>
            <w:left w:w="108" w:type="dxa"/>
            <w:bottom w:w="0" w:type="dxa"/>
            <w:right w:w="108" w:type="dxa"/>
          </w:tblCellMar>
        </w:tblPrEx>
        <w:trPr>
          <w:trHeight w:val="900" w:hRule="atLeast"/>
          <w:jc w:val="center"/>
        </w:trPr>
        <w:tc>
          <w:tcPr>
            <w:tcW w:w="580" w:type="dxa"/>
            <w:tcBorders>
              <w:top w:val="single" w:color="000000" w:sz="4" w:space="0"/>
              <w:left w:val="single" w:color="000000" w:sz="8" w:space="0"/>
              <w:bottom w:val="single" w:color="000000" w:sz="4" w:space="0"/>
              <w:right w:val="single" w:color="000000" w:sz="4" w:space="0"/>
            </w:tcBorders>
            <w:vAlign w:val="center"/>
          </w:tcPr>
          <w:p w14:paraId="29F592B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w:t>
            </w:r>
          </w:p>
        </w:tc>
        <w:tc>
          <w:tcPr>
            <w:tcW w:w="1195" w:type="dxa"/>
            <w:tcBorders>
              <w:top w:val="single" w:color="000000" w:sz="4" w:space="0"/>
              <w:left w:val="single" w:color="000000" w:sz="4" w:space="0"/>
              <w:bottom w:val="single" w:color="000000" w:sz="4" w:space="0"/>
              <w:right w:val="single" w:color="000000" w:sz="4" w:space="0"/>
            </w:tcBorders>
            <w:vAlign w:val="center"/>
          </w:tcPr>
          <w:p w14:paraId="3B9F7FD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设施设备技术要求</w:t>
            </w:r>
          </w:p>
        </w:tc>
        <w:tc>
          <w:tcPr>
            <w:tcW w:w="7051" w:type="dxa"/>
            <w:tcBorders>
              <w:top w:val="single" w:color="000000" w:sz="4" w:space="0"/>
              <w:left w:val="single" w:color="000000" w:sz="4" w:space="0"/>
              <w:bottom w:val="single" w:color="000000" w:sz="4" w:space="0"/>
              <w:right w:val="single" w:color="000000" w:sz="4" w:space="0"/>
            </w:tcBorders>
            <w:vAlign w:val="center"/>
          </w:tcPr>
          <w:p w14:paraId="61AF273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策划方案及舞美效果选择相关演出设施，其中包括但不限于舞台制作与包装、专业音响、LED屏等舞美效果和设施的布置搭建、操作与保障，以上设备取得方式不作限制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eastAsia="zh-CN"/>
              </w:rPr>
              <w:t>并按要求落实下列事项：</w:t>
            </w:r>
          </w:p>
          <w:p w14:paraId="6AE9C1B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音响扩声系统。整个扩声系统由音源设备、控制设备及功率放大器、音箱等设备组成。要求扩声系统使用时达到良好的语言清晰度和音乐丰满度，对流动扩声系统的设计具有科学性、先进性、稳定性、可靠性及流动系统最需要的易装易拆的方便性。音箱的覆盖角度要包括全部观众席，观众席上有足够的响度。系统应有足够的稳定度和功率余量，具有清晰的听闻条件，良好的方向感和节目的保真度。</w:t>
            </w:r>
          </w:p>
          <w:p w14:paraId="760877A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2、视频设备系统。LED系统设计上要达到能够满足多种数据信息以及影像输出的功能需求，满足演出时图像和文字的显示功能。</w:t>
            </w:r>
          </w:p>
          <w:p w14:paraId="0C1B9B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3、拍摄设备。具备高清拍摄机，与摄影机匹配的专业镜头、脚架、云台、摇臂等设备，满足网络直播的需要。</w:t>
            </w:r>
          </w:p>
        </w:tc>
        <w:tc>
          <w:tcPr>
            <w:tcW w:w="659" w:type="dxa"/>
            <w:tcBorders>
              <w:top w:val="single" w:color="000000" w:sz="4" w:space="0"/>
              <w:left w:val="single" w:color="000000" w:sz="4" w:space="0"/>
              <w:bottom w:val="single" w:color="000000" w:sz="4" w:space="0"/>
              <w:right w:val="single" w:color="000000" w:sz="8" w:space="0"/>
            </w:tcBorders>
            <w:vAlign w:val="center"/>
          </w:tcPr>
          <w:p w14:paraId="6A4F915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8</w:t>
            </w:r>
          </w:p>
        </w:tc>
        <w:tc>
          <w:tcPr>
            <w:tcW w:w="826" w:type="dxa"/>
            <w:vMerge w:val="continue"/>
            <w:tcBorders>
              <w:left w:val="single" w:color="000000" w:sz="4" w:space="0"/>
              <w:right w:val="single" w:color="000000" w:sz="8" w:space="0"/>
            </w:tcBorders>
            <w:vAlign w:val="center"/>
          </w:tcPr>
          <w:p w14:paraId="52FD02C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1F9B7AD9">
        <w:tblPrEx>
          <w:tblCellMar>
            <w:top w:w="0" w:type="dxa"/>
            <w:left w:w="108" w:type="dxa"/>
            <w:bottom w:w="0" w:type="dxa"/>
            <w:right w:w="108" w:type="dxa"/>
          </w:tblCellMar>
        </w:tblPrEx>
        <w:trPr>
          <w:trHeight w:val="90" w:hRule="atLeast"/>
          <w:jc w:val="center"/>
        </w:trPr>
        <w:tc>
          <w:tcPr>
            <w:tcW w:w="580" w:type="dxa"/>
            <w:tcBorders>
              <w:top w:val="single" w:color="000000" w:sz="4" w:space="0"/>
              <w:left w:val="single" w:color="000000" w:sz="8" w:space="0"/>
              <w:right w:val="single" w:color="000000" w:sz="4" w:space="0"/>
            </w:tcBorders>
            <w:shd w:val="clear" w:color="auto" w:fill="auto"/>
            <w:vAlign w:val="center"/>
          </w:tcPr>
          <w:p w14:paraId="41C5098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8</w:t>
            </w:r>
          </w:p>
        </w:tc>
        <w:tc>
          <w:tcPr>
            <w:tcW w:w="1195" w:type="dxa"/>
            <w:tcBorders>
              <w:top w:val="single" w:color="000000" w:sz="4" w:space="0"/>
              <w:left w:val="single" w:color="000000" w:sz="4" w:space="0"/>
              <w:right w:val="single" w:color="000000" w:sz="4" w:space="0"/>
            </w:tcBorders>
            <w:vAlign w:val="center"/>
          </w:tcPr>
          <w:p w14:paraId="433EDA5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接待</w:t>
            </w:r>
            <w:r>
              <w:rPr>
                <w:rFonts w:hint="eastAsia" w:asciiTheme="minorEastAsia" w:hAnsiTheme="minorEastAsia" w:eastAsiaTheme="minorEastAsia" w:cstheme="minorEastAsia"/>
                <w:b/>
                <w:bCs w:val="0"/>
                <w:color w:val="auto"/>
                <w:sz w:val="24"/>
                <w:szCs w:val="24"/>
                <w:highlight w:val="none"/>
                <w:lang w:val="en-US" w:eastAsia="zh-CN"/>
              </w:rPr>
              <w:t>服务要求</w:t>
            </w:r>
          </w:p>
        </w:tc>
        <w:tc>
          <w:tcPr>
            <w:tcW w:w="7051" w:type="dxa"/>
            <w:tcBorders>
              <w:top w:val="single" w:color="000000" w:sz="4" w:space="0"/>
              <w:left w:val="single" w:color="000000" w:sz="4" w:space="0"/>
              <w:bottom w:val="single" w:color="000000" w:sz="4" w:space="0"/>
              <w:right w:val="single" w:color="000000" w:sz="4" w:space="0"/>
            </w:tcBorders>
            <w:vAlign w:val="center"/>
          </w:tcPr>
          <w:p w14:paraId="5EB8DE05">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1、供应商须负责开闭幕式期间各体育代表团、部分单项体育协会人员、部分新闻媒体工作人员及邀请嘉宾，共计不少于150人的接待服务工作，接待服务时间不少于5天。</w:t>
            </w:r>
          </w:p>
          <w:p w14:paraId="7002E2C7">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2、具备用车服务能力。提供自有或租赁车辆：不少于5辆7座商务用车，不少于10辆50座及以上大巴车，不少于5辆中巴车等，满足用车需求。（最终用车需求根据项目组委会要求确定）</w:t>
            </w:r>
          </w:p>
          <w:p w14:paraId="1FCD5D57">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具备接送机站服务及引导接待服务能力。提供随车服务人员不少于20人，酒店与活动场馆引导人员不少于50人。接待人员须思维清晰，积极主动，具有较强的语言表达能力和危机公关意识，善于处理突发事件，行动力强，有责任心，服从采购单位安排的其他相关工作。</w:t>
            </w:r>
          </w:p>
          <w:p w14:paraId="7F765815">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4、具备餐饮住宿保障能力：</w:t>
            </w:r>
          </w:p>
          <w:p w14:paraId="2396845B">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（1）为保障统一管理及相关人员活动安排便捷，住宿酒店要求距台州市体育中心直线距离不超过3公里，且安排在同一酒店入住；</w:t>
            </w:r>
          </w:p>
          <w:p w14:paraId="15381F8D">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（2）酒店硬件设施设备齐全，接待能力充足，酒店客房数200间以上，可以一次性接待不少于150人；</w:t>
            </w:r>
          </w:p>
          <w:p w14:paraId="6CEE5C7C">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（3）酒店可提供容纳不少于150人的会议室；</w:t>
            </w:r>
          </w:p>
          <w:p w14:paraId="735DE2DF">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（4）可提供不少于150人同时就餐，严格遵守《食品卫生法》等相关的食品卫生法律法规，确保食品质量。（最终需求根据项目组委会要求确定）</w:t>
            </w:r>
          </w:p>
        </w:tc>
        <w:tc>
          <w:tcPr>
            <w:tcW w:w="659" w:type="dxa"/>
            <w:tcBorders>
              <w:top w:val="single" w:color="000000" w:sz="4" w:space="0"/>
              <w:left w:val="single" w:color="000000" w:sz="4" w:space="0"/>
              <w:bottom w:val="single" w:color="000000" w:sz="4" w:space="0"/>
              <w:right w:val="single" w:color="000000" w:sz="8" w:space="0"/>
            </w:tcBorders>
            <w:vAlign w:val="center"/>
          </w:tcPr>
          <w:p w14:paraId="779B6A2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w:t>
            </w:r>
          </w:p>
        </w:tc>
        <w:tc>
          <w:tcPr>
            <w:tcW w:w="826" w:type="dxa"/>
            <w:vMerge w:val="continue"/>
            <w:tcBorders>
              <w:left w:val="single" w:color="000000" w:sz="4" w:space="0"/>
              <w:right w:val="single" w:color="000000" w:sz="8" w:space="0"/>
            </w:tcBorders>
            <w:vAlign w:val="center"/>
          </w:tcPr>
          <w:p w14:paraId="118D38D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1425D3C8">
        <w:tblPrEx>
          <w:tblCellMar>
            <w:top w:w="0" w:type="dxa"/>
            <w:left w:w="108" w:type="dxa"/>
            <w:bottom w:w="0" w:type="dxa"/>
            <w:right w:w="108" w:type="dxa"/>
          </w:tblCellMar>
        </w:tblPrEx>
        <w:trPr>
          <w:trHeight w:val="428" w:hRule="atLeast"/>
          <w:jc w:val="center"/>
        </w:trPr>
        <w:tc>
          <w:tcPr>
            <w:tcW w:w="58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F2E95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9</w:t>
            </w:r>
          </w:p>
        </w:tc>
        <w:tc>
          <w:tcPr>
            <w:tcW w:w="1195" w:type="dxa"/>
            <w:tcBorders>
              <w:top w:val="single" w:color="000000" w:sz="4" w:space="0"/>
              <w:left w:val="single" w:color="000000" w:sz="4" w:space="0"/>
              <w:bottom w:val="single" w:color="000000" w:sz="4" w:space="0"/>
              <w:right w:val="single" w:color="000000" w:sz="4" w:space="0"/>
            </w:tcBorders>
            <w:vAlign w:val="center"/>
          </w:tcPr>
          <w:p w14:paraId="70DBD97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保险保障要求</w:t>
            </w:r>
          </w:p>
        </w:tc>
        <w:tc>
          <w:tcPr>
            <w:tcW w:w="7051" w:type="dxa"/>
            <w:tcBorders>
              <w:top w:val="single" w:color="000000" w:sz="4" w:space="0"/>
              <w:left w:val="single" w:color="000000" w:sz="4" w:space="0"/>
              <w:bottom w:val="single" w:color="000000" w:sz="4" w:space="0"/>
              <w:right w:val="single" w:color="000000" w:sz="4" w:space="0"/>
            </w:tcBorders>
            <w:vAlign w:val="center"/>
          </w:tcPr>
          <w:p w14:paraId="2A491DE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在整个合同的有效期内，为开闭幕式演职人员购买人身伤害意外险，保险理赔金额不低于30万元。主动为时尚科技体育嘉年华涉及的每名参与者、裁判员、志愿者、工作人员等投保体育意外伤害保险。为确保保险的合法性和有效性，涉及投保产品应在中国政府批准的保险公司投保。</w:t>
            </w:r>
          </w:p>
        </w:tc>
        <w:tc>
          <w:tcPr>
            <w:tcW w:w="659" w:type="dxa"/>
            <w:tcBorders>
              <w:top w:val="single" w:color="000000" w:sz="4" w:space="0"/>
              <w:left w:val="single" w:color="000000" w:sz="4" w:space="0"/>
              <w:bottom w:val="single" w:color="000000" w:sz="4" w:space="0"/>
              <w:right w:val="single" w:color="000000" w:sz="8" w:space="0"/>
            </w:tcBorders>
            <w:vAlign w:val="center"/>
          </w:tcPr>
          <w:p w14:paraId="2B7726A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5</w:t>
            </w:r>
          </w:p>
        </w:tc>
        <w:tc>
          <w:tcPr>
            <w:tcW w:w="826" w:type="dxa"/>
            <w:vMerge w:val="continue"/>
            <w:tcBorders>
              <w:left w:val="single" w:color="000000" w:sz="4" w:space="0"/>
              <w:right w:val="single" w:color="000000" w:sz="8" w:space="0"/>
            </w:tcBorders>
            <w:vAlign w:val="center"/>
          </w:tcPr>
          <w:p w14:paraId="589836C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4EF68D4C">
        <w:tblPrEx>
          <w:tblCellMar>
            <w:top w:w="0" w:type="dxa"/>
            <w:left w:w="108" w:type="dxa"/>
            <w:bottom w:w="0" w:type="dxa"/>
            <w:right w:w="108" w:type="dxa"/>
          </w:tblCellMar>
        </w:tblPrEx>
        <w:trPr>
          <w:trHeight w:val="840" w:hRule="atLeast"/>
          <w:jc w:val="center"/>
        </w:trPr>
        <w:tc>
          <w:tcPr>
            <w:tcW w:w="580" w:type="dxa"/>
            <w:tcBorders>
              <w:top w:val="single" w:color="000000" w:sz="4" w:space="0"/>
              <w:left w:val="single" w:color="000000" w:sz="8" w:space="0"/>
              <w:bottom w:val="single" w:color="000000" w:sz="4" w:space="0"/>
              <w:right w:val="single" w:color="000000" w:sz="4" w:space="0"/>
            </w:tcBorders>
            <w:vAlign w:val="center"/>
          </w:tcPr>
          <w:p w14:paraId="6971778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10</w:t>
            </w:r>
          </w:p>
        </w:tc>
        <w:tc>
          <w:tcPr>
            <w:tcW w:w="1195" w:type="dxa"/>
            <w:tcBorders>
              <w:top w:val="single" w:color="000000" w:sz="4" w:space="0"/>
              <w:left w:val="single" w:color="000000" w:sz="4" w:space="0"/>
              <w:bottom w:val="single" w:color="000000" w:sz="4" w:space="0"/>
              <w:right w:val="single" w:color="000000" w:sz="4" w:space="0"/>
            </w:tcBorders>
            <w:vAlign w:val="center"/>
          </w:tcPr>
          <w:p w14:paraId="600B160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rPr>
              <w:t>其他</w:t>
            </w:r>
            <w:r>
              <w:rPr>
                <w:rFonts w:hint="eastAsia" w:asciiTheme="minorEastAsia" w:hAnsiTheme="minorEastAsia" w:eastAsiaTheme="minorEastAsia" w:cstheme="minorEastAsia"/>
                <w:b/>
                <w:bCs w:val="0"/>
                <w:color w:val="auto"/>
                <w:sz w:val="24"/>
                <w:szCs w:val="24"/>
                <w:highlight w:val="none"/>
                <w:lang w:eastAsia="zh-CN"/>
              </w:rPr>
              <w:t>工作</w:t>
            </w:r>
          </w:p>
        </w:tc>
        <w:tc>
          <w:tcPr>
            <w:tcW w:w="7051" w:type="dxa"/>
            <w:tcBorders>
              <w:top w:val="single" w:color="000000" w:sz="4" w:space="0"/>
              <w:left w:val="single" w:color="000000" w:sz="4" w:space="0"/>
              <w:bottom w:val="single" w:color="000000" w:sz="4" w:space="0"/>
              <w:right w:val="single" w:color="000000" w:sz="4" w:space="0"/>
            </w:tcBorders>
            <w:vAlign w:val="center"/>
          </w:tcPr>
          <w:p w14:paraId="3B00740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按照合同约定的时间和方式向采购方提交项目进展报告、工作总结和其他必要的文档。这些文档应真实、准确、完整地反映项目的实际情况和进展。</w:t>
            </w:r>
          </w:p>
        </w:tc>
        <w:tc>
          <w:tcPr>
            <w:tcW w:w="659" w:type="dxa"/>
            <w:tcBorders>
              <w:top w:val="single" w:color="000000" w:sz="4" w:space="0"/>
              <w:left w:val="single" w:color="000000" w:sz="4" w:space="0"/>
              <w:bottom w:val="single" w:color="000000" w:sz="4" w:space="0"/>
              <w:right w:val="single" w:color="000000" w:sz="8" w:space="0"/>
            </w:tcBorders>
            <w:vAlign w:val="center"/>
          </w:tcPr>
          <w:p w14:paraId="19CD8F5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7</w:t>
            </w:r>
          </w:p>
        </w:tc>
        <w:tc>
          <w:tcPr>
            <w:tcW w:w="826" w:type="dxa"/>
            <w:vMerge w:val="continue"/>
            <w:tcBorders>
              <w:left w:val="single" w:color="000000" w:sz="4" w:space="0"/>
              <w:bottom w:val="single" w:color="000000" w:sz="4" w:space="0"/>
              <w:right w:val="single" w:color="000000" w:sz="8" w:space="0"/>
            </w:tcBorders>
            <w:vAlign w:val="center"/>
          </w:tcPr>
          <w:p w14:paraId="3DA1AF7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099FCABA">
        <w:tblPrEx>
          <w:tblCellMar>
            <w:top w:w="0" w:type="dxa"/>
            <w:left w:w="108" w:type="dxa"/>
            <w:bottom w:w="0" w:type="dxa"/>
            <w:right w:w="108" w:type="dxa"/>
          </w:tblCellMar>
        </w:tblPrEx>
        <w:trPr>
          <w:trHeight w:val="415" w:hRule="atLeast"/>
          <w:jc w:val="center"/>
        </w:trPr>
        <w:tc>
          <w:tcPr>
            <w:tcW w:w="8826" w:type="dxa"/>
            <w:gridSpan w:val="3"/>
            <w:tcBorders>
              <w:top w:val="single" w:color="000000" w:sz="4" w:space="0"/>
              <w:left w:val="single" w:color="000000" w:sz="8" w:space="0"/>
              <w:bottom w:val="single" w:color="000000" w:sz="8" w:space="0"/>
              <w:right w:val="single" w:color="000000" w:sz="4" w:space="0"/>
            </w:tcBorders>
            <w:vAlign w:val="bottom"/>
          </w:tcPr>
          <w:p w14:paraId="58FF8FD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合计</w:t>
            </w:r>
          </w:p>
        </w:tc>
        <w:tc>
          <w:tcPr>
            <w:tcW w:w="659" w:type="dxa"/>
            <w:tcBorders>
              <w:top w:val="single" w:color="000000" w:sz="4" w:space="0"/>
              <w:left w:val="single" w:color="000000" w:sz="4" w:space="0"/>
              <w:bottom w:val="single" w:color="000000" w:sz="8" w:space="0"/>
              <w:right w:val="single" w:color="000000" w:sz="8" w:space="0"/>
            </w:tcBorders>
            <w:vAlign w:val="bottom"/>
          </w:tcPr>
          <w:p w14:paraId="6D4B561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100</w:t>
            </w:r>
          </w:p>
        </w:tc>
        <w:tc>
          <w:tcPr>
            <w:tcW w:w="826" w:type="dxa"/>
            <w:tcBorders>
              <w:top w:val="single" w:color="000000" w:sz="4" w:space="0"/>
              <w:left w:val="single" w:color="000000" w:sz="4" w:space="0"/>
              <w:bottom w:val="single" w:color="000000" w:sz="8" w:space="0"/>
              <w:right w:val="single" w:color="000000" w:sz="8" w:space="0"/>
            </w:tcBorders>
            <w:vAlign w:val="bottom"/>
          </w:tcPr>
          <w:p w14:paraId="1950A2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w:t>
            </w:r>
          </w:p>
        </w:tc>
      </w:tr>
    </w:tbl>
    <w:p w14:paraId="74184C98">
      <w:pPr>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r>
        <w:rPr>
          <w:rFonts w:hint="eastAsia" w:asciiTheme="minorEastAsia" w:hAnsiTheme="minorEastAsia" w:eastAsiaTheme="minorEastAsia" w:cstheme="minorEastAsia"/>
          <w:color w:val="auto"/>
          <w:sz w:val="24"/>
          <w:szCs w:val="24"/>
          <w:highlight w:val="none"/>
          <w:lang w:val="en-US" w:eastAsia="zh-CN"/>
        </w:rPr>
        <w:t>闭幕式</w:t>
      </w:r>
      <w:r>
        <w:rPr>
          <w:rFonts w:hint="eastAsia" w:asciiTheme="minorEastAsia" w:hAnsiTheme="minorEastAsia" w:eastAsiaTheme="minorEastAsia" w:cstheme="minorEastAsia"/>
          <w:color w:val="auto"/>
          <w:sz w:val="24"/>
          <w:szCs w:val="24"/>
          <w:highlight w:val="none"/>
        </w:rPr>
        <w:t>结束后，招标人将根据项目</w:t>
      </w:r>
      <w:r>
        <w:rPr>
          <w:rFonts w:hint="eastAsia" w:asciiTheme="minorEastAsia" w:hAnsiTheme="minorEastAsia" w:cstheme="minorEastAsia"/>
          <w:color w:val="auto"/>
          <w:sz w:val="24"/>
          <w:szCs w:val="24"/>
          <w:highlight w:val="none"/>
          <w:lang w:eastAsia="zh-CN"/>
        </w:rPr>
        <w:t>验收</w:t>
      </w:r>
      <w:r>
        <w:rPr>
          <w:rFonts w:hint="eastAsia" w:asciiTheme="minorEastAsia" w:hAnsiTheme="minorEastAsia" w:eastAsiaTheme="minorEastAsia" w:cstheme="minorEastAsia"/>
          <w:color w:val="auto"/>
          <w:sz w:val="24"/>
          <w:szCs w:val="24"/>
          <w:highlight w:val="none"/>
          <w:lang w:val="en-US" w:eastAsia="zh-CN"/>
        </w:rPr>
        <w:t>考核</w:t>
      </w:r>
      <w:r>
        <w:rPr>
          <w:rFonts w:hint="eastAsia" w:asciiTheme="minorEastAsia" w:hAnsiTheme="minorEastAsia" w:eastAsiaTheme="minorEastAsia" w:cstheme="minorEastAsia"/>
          <w:color w:val="auto"/>
          <w:sz w:val="24"/>
          <w:szCs w:val="24"/>
          <w:highlight w:val="none"/>
        </w:rPr>
        <w:t>情况（满分100分），按以下原则确定合同价款：</w:t>
      </w:r>
    </w:p>
    <w:p w14:paraId="0A9C726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（1）考核</w:t>
      </w:r>
      <w:r>
        <w:rPr>
          <w:rFonts w:hint="eastAsia" w:asciiTheme="minorEastAsia" w:hAnsiTheme="minorEastAsia" w:eastAsiaTheme="minorEastAsia" w:cstheme="minorEastAsia"/>
          <w:color w:val="auto"/>
          <w:sz w:val="24"/>
          <w:szCs w:val="24"/>
          <w:highlight w:val="none"/>
          <w:lang w:val="en-US" w:eastAsia="zh-CN"/>
        </w:rPr>
        <w:t>分值达</w:t>
      </w: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分以上（含9</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分）为优秀，采购人最终</w:t>
      </w:r>
      <w:r>
        <w:rPr>
          <w:rFonts w:hint="eastAsia" w:asciiTheme="minorEastAsia" w:hAnsiTheme="minorEastAsia" w:eastAsiaTheme="minorEastAsia" w:cstheme="minorEastAsia"/>
          <w:color w:val="auto"/>
          <w:sz w:val="24"/>
          <w:szCs w:val="24"/>
          <w:highlight w:val="none"/>
          <w:lang w:val="en-US" w:eastAsia="zh-CN"/>
        </w:rPr>
        <w:t>支付全部考核金（合同金额的20%）</w:t>
      </w:r>
      <w:r>
        <w:rPr>
          <w:rFonts w:hint="eastAsia" w:asciiTheme="minorEastAsia" w:hAnsiTheme="minorEastAsia" w:eastAsiaTheme="minorEastAsia" w:cstheme="minorEastAsia"/>
          <w:color w:val="auto"/>
          <w:sz w:val="24"/>
          <w:szCs w:val="24"/>
          <w:highlight w:val="none"/>
        </w:rPr>
        <w:t>；</w:t>
      </w:r>
    </w:p>
    <w:p w14:paraId="2F8E32B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（2）考核分值达</w:t>
      </w:r>
      <w:r>
        <w:rPr>
          <w:rFonts w:hint="eastAsia" w:asciiTheme="minorEastAsia" w:hAnsiTheme="minorEastAsia" w:eastAsiaTheme="minorEastAsia" w:cstheme="minorEastAsia"/>
          <w:color w:val="auto"/>
          <w:sz w:val="24"/>
          <w:szCs w:val="24"/>
          <w:highlight w:val="none"/>
          <w:lang w:val="en-US" w:eastAsia="zh-CN"/>
        </w:rPr>
        <w:t>80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90</w:t>
      </w:r>
      <w:r>
        <w:rPr>
          <w:rFonts w:hint="eastAsia" w:asciiTheme="minorEastAsia" w:hAnsiTheme="minorEastAsia" w:eastAsiaTheme="minorEastAsia" w:cstheme="minorEastAsia"/>
          <w:color w:val="auto"/>
          <w:sz w:val="24"/>
          <w:szCs w:val="24"/>
          <w:highlight w:val="none"/>
        </w:rPr>
        <w:t>分（含</w:t>
      </w:r>
      <w:r>
        <w:rPr>
          <w:rFonts w:hint="eastAsia" w:asciiTheme="minorEastAsia" w:hAnsiTheme="minorEastAsia" w:eastAsiaTheme="minorEastAsia" w:cstheme="minorEastAsia"/>
          <w:color w:val="auto"/>
          <w:sz w:val="24"/>
          <w:szCs w:val="24"/>
          <w:highlight w:val="none"/>
          <w:lang w:val="en-US" w:eastAsia="zh-CN"/>
        </w:rPr>
        <w:t>80</w:t>
      </w:r>
      <w:r>
        <w:rPr>
          <w:rFonts w:hint="eastAsia" w:asciiTheme="minorEastAsia" w:hAnsiTheme="minorEastAsia" w:eastAsiaTheme="minorEastAsia" w:cstheme="minorEastAsia"/>
          <w:color w:val="auto"/>
          <w:sz w:val="24"/>
          <w:szCs w:val="24"/>
          <w:highlight w:val="none"/>
        </w:rPr>
        <w:t>分）为良好，采购人最终支付</w:t>
      </w:r>
      <w:r>
        <w:rPr>
          <w:rFonts w:hint="eastAsia" w:asciiTheme="minorEastAsia" w:hAnsiTheme="minorEastAsia" w:eastAsiaTheme="minorEastAsia" w:cstheme="minorEastAsia"/>
          <w:color w:val="auto"/>
          <w:sz w:val="24"/>
          <w:szCs w:val="24"/>
          <w:highlight w:val="none"/>
          <w:lang w:val="en-US" w:eastAsia="zh-CN"/>
        </w:rPr>
        <w:t>90%考核金（合同金额的20%）</w:t>
      </w:r>
      <w:r>
        <w:rPr>
          <w:rFonts w:hint="eastAsia" w:asciiTheme="minorEastAsia" w:hAnsiTheme="minorEastAsia" w:eastAsiaTheme="minorEastAsia" w:cstheme="minorEastAsia"/>
          <w:color w:val="auto"/>
          <w:sz w:val="24"/>
          <w:szCs w:val="24"/>
          <w:highlight w:val="none"/>
        </w:rPr>
        <w:t>；</w:t>
      </w:r>
    </w:p>
    <w:p w14:paraId="2725D94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（3）考核分值达</w:t>
      </w:r>
      <w:r>
        <w:rPr>
          <w:rFonts w:hint="eastAsia" w:asciiTheme="minorEastAsia" w:hAnsiTheme="minorEastAsia" w:eastAsiaTheme="minorEastAsia" w:cstheme="minorEastAsia"/>
          <w:color w:val="auto"/>
          <w:sz w:val="24"/>
          <w:szCs w:val="24"/>
          <w:highlight w:val="none"/>
          <w:lang w:val="en-US" w:eastAsia="zh-CN"/>
        </w:rPr>
        <w:t>70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0分（含</w:t>
      </w:r>
      <w:r>
        <w:rPr>
          <w:rFonts w:hint="eastAsia" w:asciiTheme="minorEastAsia" w:hAnsiTheme="minorEastAsia" w:eastAsiaTheme="minorEastAsia" w:cstheme="minorEastAsia"/>
          <w:color w:val="auto"/>
          <w:sz w:val="24"/>
          <w:szCs w:val="24"/>
          <w:highlight w:val="none"/>
          <w:lang w:val="en-US" w:eastAsia="zh-CN"/>
        </w:rPr>
        <w:t>70</w:t>
      </w:r>
      <w:r>
        <w:rPr>
          <w:rFonts w:hint="eastAsia" w:asciiTheme="minorEastAsia" w:hAnsiTheme="minorEastAsia" w:eastAsiaTheme="minorEastAsia" w:cstheme="minorEastAsia"/>
          <w:color w:val="auto"/>
          <w:sz w:val="24"/>
          <w:szCs w:val="24"/>
          <w:highlight w:val="none"/>
        </w:rPr>
        <w:t>分）为</w:t>
      </w:r>
      <w:r>
        <w:rPr>
          <w:rFonts w:hint="eastAsia" w:asciiTheme="minorEastAsia" w:hAnsiTheme="minorEastAsia" w:eastAsiaTheme="minorEastAsia" w:cstheme="minorEastAsia"/>
          <w:color w:val="auto"/>
          <w:sz w:val="24"/>
          <w:szCs w:val="24"/>
          <w:highlight w:val="none"/>
          <w:lang w:val="en-US" w:eastAsia="zh-CN"/>
        </w:rPr>
        <w:t>合格</w:t>
      </w:r>
      <w:r>
        <w:rPr>
          <w:rFonts w:hint="eastAsia" w:asciiTheme="minorEastAsia" w:hAnsiTheme="minorEastAsia" w:eastAsiaTheme="minorEastAsia" w:cstheme="minorEastAsia"/>
          <w:color w:val="auto"/>
          <w:sz w:val="24"/>
          <w:szCs w:val="24"/>
          <w:highlight w:val="none"/>
        </w:rPr>
        <w:t>，采购人最终支付</w:t>
      </w:r>
      <w:r>
        <w:rPr>
          <w:rFonts w:hint="eastAsia" w:asciiTheme="minorEastAsia" w:hAnsiTheme="minorEastAsia" w:eastAsiaTheme="minorEastAsia" w:cstheme="minorEastAsia"/>
          <w:color w:val="auto"/>
          <w:sz w:val="24"/>
          <w:szCs w:val="24"/>
          <w:highlight w:val="none"/>
          <w:lang w:val="en-US" w:eastAsia="zh-CN"/>
        </w:rPr>
        <w:t>80%考核金（合同金额的20%）</w:t>
      </w:r>
      <w:r>
        <w:rPr>
          <w:rFonts w:hint="eastAsia" w:asciiTheme="minorEastAsia" w:hAnsiTheme="minorEastAsia" w:eastAsiaTheme="minorEastAsia" w:cstheme="minorEastAsia"/>
          <w:color w:val="auto"/>
          <w:sz w:val="24"/>
          <w:szCs w:val="24"/>
          <w:highlight w:val="none"/>
        </w:rPr>
        <w:t>；</w:t>
      </w:r>
    </w:p>
    <w:p w14:paraId="5BB280D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）考核分值达</w:t>
      </w:r>
      <w:r>
        <w:rPr>
          <w:rFonts w:hint="eastAsia" w:asciiTheme="minorEastAsia" w:hAnsiTheme="minorEastAsia" w:eastAsiaTheme="minorEastAsia" w:cstheme="minorEastAsia"/>
          <w:color w:val="auto"/>
          <w:sz w:val="24"/>
          <w:szCs w:val="24"/>
          <w:highlight w:val="none"/>
          <w:lang w:val="en-US" w:eastAsia="zh-CN"/>
        </w:rPr>
        <w:t>70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分（含</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分）为</w:t>
      </w:r>
      <w:r>
        <w:rPr>
          <w:rFonts w:hint="eastAsia" w:asciiTheme="minorEastAsia" w:hAnsiTheme="minorEastAsia" w:eastAsiaTheme="minorEastAsia" w:cstheme="minorEastAsia"/>
          <w:color w:val="auto"/>
          <w:sz w:val="24"/>
          <w:szCs w:val="24"/>
          <w:highlight w:val="none"/>
          <w:lang w:val="en-US" w:eastAsia="zh-CN"/>
        </w:rPr>
        <w:t>一般</w:t>
      </w:r>
      <w:r>
        <w:rPr>
          <w:rFonts w:hint="eastAsia" w:asciiTheme="minorEastAsia" w:hAnsiTheme="minorEastAsia" w:eastAsiaTheme="minorEastAsia" w:cstheme="minorEastAsia"/>
          <w:color w:val="auto"/>
          <w:sz w:val="24"/>
          <w:szCs w:val="24"/>
          <w:highlight w:val="none"/>
        </w:rPr>
        <w:t>，采购人最终支付</w:t>
      </w:r>
      <w:r>
        <w:rPr>
          <w:rFonts w:hint="eastAsia" w:asciiTheme="minorEastAsia" w:hAnsiTheme="minorEastAsia" w:eastAsiaTheme="minorEastAsia" w:cstheme="minorEastAsia"/>
          <w:color w:val="auto"/>
          <w:sz w:val="24"/>
          <w:szCs w:val="24"/>
          <w:highlight w:val="none"/>
          <w:lang w:val="en-US" w:eastAsia="zh-CN"/>
        </w:rPr>
        <w:t>70%考核金（合同金额的20%）</w:t>
      </w:r>
      <w:r>
        <w:rPr>
          <w:rFonts w:hint="eastAsia" w:asciiTheme="minorEastAsia" w:hAnsiTheme="minorEastAsia" w:eastAsiaTheme="minorEastAsia" w:cstheme="minorEastAsia"/>
          <w:color w:val="auto"/>
          <w:sz w:val="24"/>
          <w:szCs w:val="24"/>
          <w:highlight w:val="none"/>
        </w:rPr>
        <w:t>；</w:t>
      </w:r>
    </w:p>
    <w:p w14:paraId="1828CE3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5</w:t>
      </w:r>
      <w:r>
        <w:rPr>
          <w:rFonts w:hint="eastAsia" w:asciiTheme="minorEastAsia" w:hAnsiTheme="minorEastAsia" w:eastAsiaTheme="minorEastAsia" w:cstheme="minorEastAsia"/>
          <w:color w:val="auto"/>
          <w:sz w:val="24"/>
          <w:szCs w:val="24"/>
          <w:highlight w:val="none"/>
        </w:rPr>
        <w:t>）考核分值</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分以下或有下列情况之一的为较差，采购人将不支付剩余合同价款</w:t>
      </w:r>
      <w:r>
        <w:rPr>
          <w:rFonts w:hint="eastAsia" w:asciiTheme="minorEastAsia" w:hAnsiTheme="minorEastAsia" w:eastAsiaTheme="minorEastAsia" w:cstheme="minorEastAsia"/>
          <w:color w:val="auto"/>
          <w:sz w:val="24"/>
          <w:szCs w:val="24"/>
          <w:highlight w:val="none"/>
          <w:lang w:val="en-US" w:eastAsia="zh-CN"/>
        </w:rPr>
        <w:t>（合同金额的20%）</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人造成损失的，</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人有权要求投标人赔偿损失，并保留进一步追究法律的责任：</w:t>
      </w:r>
    </w:p>
    <w:p w14:paraId="3AD90D2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①违反</w:t>
      </w:r>
      <w:r>
        <w:rPr>
          <w:rFonts w:hint="eastAsia" w:asciiTheme="minorEastAsia" w:hAnsi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文件规定，未经采购人批准擅自更改实施方案或改变实施内容；</w:t>
      </w:r>
    </w:p>
    <w:p w14:paraId="6EC00FF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②在</w:t>
      </w:r>
      <w:r>
        <w:rPr>
          <w:rFonts w:hint="eastAsia" w:asciiTheme="minorEastAsia" w:hAnsiTheme="minorEastAsia" w:eastAsiaTheme="minorEastAsia" w:cstheme="minorEastAsia"/>
          <w:color w:val="auto"/>
          <w:sz w:val="24"/>
          <w:szCs w:val="24"/>
          <w:highlight w:val="none"/>
          <w:lang w:val="en-US" w:eastAsia="zh-CN"/>
        </w:rPr>
        <w:t>考核</w:t>
      </w:r>
      <w:r>
        <w:rPr>
          <w:rFonts w:hint="eastAsia" w:asciiTheme="minorEastAsia" w:hAnsiTheme="minorEastAsia" w:eastAsiaTheme="minorEastAsia" w:cstheme="minorEastAsia"/>
          <w:color w:val="auto"/>
          <w:sz w:val="24"/>
          <w:szCs w:val="24"/>
          <w:highlight w:val="none"/>
        </w:rPr>
        <w:t>验收中和其他相关检查中发现项目服务质量等方面存在重大问题；</w:t>
      </w:r>
    </w:p>
    <w:p w14:paraId="33041AC7">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③发生原则性和其他重大失误，造成社会和国际不良影响，有损国家形象</w:t>
      </w:r>
      <w:r>
        <w:rPr>
          <w:rFonts w:hint="eastAsia" w:asciiTheme="minorEastAsia" w:hAnsiTheme="minorEastAsia" w:eastAsiaTheme="minorEastAsia" w:cstheme="minorEastAsia"/>
          <w:color w:val="auto"/>
          <w:sz w:val="24"/>
          <w:szCs w:val="24"/>
          <w:highlight w:val="none"/>
          <w:lang w:eastAsia="zh-CN"/>
        </w:rPr>
        <w:t>；</w:t>
      </w:r>
    </w:p>
    <w:p w14:paraId="22F647CE">
      <w:pPr>
        <w:pStyle w:val="2"/>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④项目实施进度非因不可抗力因素严重滞后。</w:t>
      </w:r>
    </w:p>
    <w:p w14:paraId="300E6997">
      <w:pPr>
        <w:pStyle w:val="49"/>
        <w:pageBreakBefore/>
        <w:ind w:firstLine="0" w:firstLineChars="0"/>
        <w:contextualSpacing/>
        <w:jc w:val="center"/>
        <w:outlineLvl w:val="0"/>
        <w:rPr>
          <w:rFonts w:ascii="Calibri" w:hAnsi="Calibri" w:eastAsia="宋体" w:cs="Times New Roman"/>
          <w:b/>
          <w:color w:val="auto"/>
          <w:sz w:val="32"/>
          <w:szCs w:val="32"/>
          <w:highlight w:val="none"/>
        </w:rPr>
      </w:pPr>
      <w:bookmarkStart w:id="26" w:name="_Toc19801"/>
      <w:bookmarkStart w:id="27" w:name="_Toc40964239"/>
      <w:bookmarkStart w:id="28" w:name="_Toc462179380"/>
      <w:r>
        <w:rPr>
          <w:rFonts w:hint="eastAsia" w:ascii="宋体" w:hAnsi="宋体" w:eastAsia="宋体" w:cs="宋体"/>
          <w:b/>
          <w:color w:val="auto"/>
          <w:sz w:val="28"/>
          <w:szCs w:val="28"/>
          <w:highlight w:val="none"/>
        </w:rPr>
        <w:t>第五章  商务条款</w:t>
      </w:r>
      <w:bookmarkEnd w:id="26"/>
    </w:p>
    <w:tbl>
      <w:tblPr>
        <w:tblStyle w:val="26"/>
        <w:tblW w:w="8748" w:type="dxa"/>
        <w:jc w:val="center"/>
        <w:tblLayout w:type="fixed"/>
        <w:tblCellMar>
          <w:top w:w="0" w:type="dxa"/>
          <w:left w:w="108" w:type="dxa"/>
          <w:bottom w:w="0" w:type="dxa"/>
          <w:right w:w="108" w:type="dxa"/>
        </w:tblCellMar>
      </w:tblPr>
      <w:tblGrid>
        <w:gridCol w:w="850"/>
        <w:gridCol w:w="7898"/>
      </w:tblGrid>
      <w:tr w14:paraId="2027A4EE">
        <w:tblPrEx>
          <w:tblCellMar>
            <w:top w:w="0" w:type="dxa"/>
            <w:left w:w="108" w:type="dxa"/>
            <w:bottom w:w="0" w:type="dxa"/>
            <w:right w:w="108" w:type="dxa"/>
          </w:tblCellMar>
        </w:tblPrEx>
        <w:trPr>
          <w:trHeight w:val="454" w:hRule="atLeast"/>
          <w:tblHeader/>
          <w:jc w:val="center"/>
        </w:trPr>
        <w:tc>
          <w:tcPr>
            <w:tcW w:w="850" w:type="dxa"/>
            <w:tcBorders>
              <w:top w:val="single" w:color="auto" w:sz="4" w:space="0"/>
              <w:left w:val="single" w:color="auto" w:sz="4" w:space="0"/>
              <w:bottom w:val="single" w:color="000000" w:sz="6" w:space="0"/>
              <w:right w:val="single" w:color="000000" w:sz="6" w:space="0"/>
            </w:tcBorders>
            <w:vAlign w:val="center"/>
          </w:tcPr>
          <w:p w14:paraId="7047BC1D">
            <w:pPr>
              <w:autoSpaceDE w:val="0"/>
              <w:autoSpaceDN w:val="0"/>
              <w:adjustRightInd w:val="0"/>
              <w:spacing w:line="360" w:lineRule="exact"/>
              <w:contextualSpacing/>
              <w:jc w:val="center"/>
              <w:rPr>
                <w:rFonts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序号</w:t>
            </w:r>
          </w:p>
        </w:tc>
        <w:tc>
          <w:tcPr>
            <w:tcW w:w="7898" w:type="dxa"/>
            <w:tcBorders>
              <w:top w:val="single" w:color="auto" w:sz="4" w:space="0"/>
              <w:left w:val="single" w:color="000000" w:sz="6" w:space="0"/>
              <w:bottom w:val="single" w:color="000000" w:sz="6" w:space="0"/>
              <w:right w:val="single" w:color="auto" w:sz="4" w:space="0"/>
            </w:tcBorders>
            <w:vAlign w:val="center"/>
          </w:tcPr>
          <w:p w14:paraId="1BD418E1">
            <w:pPr>
              <w:autoSpaceDE w:val="0"/>
              <w:autoSpaceDN w:val="0"/>
              <w:adjustRightInd w:val="0"/>
              <w:spacing w:line="360" w:lineRule="exact"/>
              <w:contextualSpacing/>
              <w:jc w:val="center"/>
              <w:rPr>
                <w:rFonts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内容</w:t>
            </w:r>
          </w:p>
        </w:tc>
      </w:tr>
      <w:tr w14:paraId="5D6E8B5D">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7338B90F">
            <w:pPr>
              <w:spacing w:line="360" w:lineRule="exact"/>
              <w:contextualSpacing/>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1</w:t>
            </w:r>
          </w:p>
        </w:tc>
        <w:tc>
          <w:tcPr>
            <w:tcW w:w="7898" w:type="dxa"/>
            <w:tcBorders>
              <w:top w:val="single" w:color="000000" w:sz="6" w:space="0"/>
              <w:left w:val="single" w:color="000000" w:sz="6" w:space="0"/>
              <w:bottom w:val="single" w:color="000000" w:sz="6" w:space="0"/>
              <w:right w:val="single" w:color="auto" w:sz="4" w:space="0"/>
            </w:tcBorders>
            <w:vAlign w:val="center"/>
          </w:tcPr>
          <w:p w14:paraId="325E7D77">
            <w:pPr>
              <w:autoSpaceDE w:val="0"/>
              <w:autoSpaceDN w:val="0"/>
              <w:adjustRightInd w:val="0"/>
              <w:spacing w:line="440" w:lineRule="exact"/>
              <w:contextualSpacing/>
              <w:rPr>
                <w:rFonts w:ascii="Calibri" w:hAnsi="Calibri"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eastAsia" w:ascii="宋体" w:hAnsi="宋体" w:eastAsia="宋体"/>
                <w:bCs/>
                <w:color w:val="auto"/>
                <w:sz w:val="24"/>
                <w:highlight w:val="none"/>
              </w:rPr>
              <w:t>自签订合同之日起至闭幕式圆满结束并妥善清场为止</w:t>
            </w:r>
            <w:r>
              <w:rPr>
                <w:rFonts w:hint="eastAsia" w:ascii="宋体" w:hAnsi="宋体" w:eastAsia="宋体" w:cs="宋体"/>
                <w:color w:val="auto"/>
                <w:sz w:val="24"/>
                <w:szCs w:val="24"/>
                <w:highlight w:val="none"/>
              </w:rPr>
              <w:t>。</w:t>
            </w:r>
          </w:p>
        </w:tc>
      </w:tr>
      <w:tr w14:paraId="1A075E87">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3065C620">
            <w:pPr>
              <w:spacing w:line="360" w:lineRule="exact"/>
              <w:contextualSpacing/>
              <w:jc w:val="center"/>
              <w:rPr>
                <w:rFonts w:ascii="Calibri" w:hAnsi="Calibri" w:eastAsia="宋体" w:cs="Times New Roman"/>
                <w:color w:val="auto"/>
                <w:sz w:val="24"/>
                <w:szCs w:val="24"/>
                <w:highlight w:val="none"/>
              </w:rPr>
            </w:pPr>
            <w:r>
              <w:rPr>
                <w:rFonts w:hint="eastAsia" w:ascii="Calibri" w:hAnsi="Calibri" w:eastAsia="宋体" w:cs="Times New Roman"/>
                <w:color w:val="auto"/>
                <w:sz w:val="24"/>
                <w:szCs w:val="24"/>
                <w:highlight w:val="none"/>
              </w:rPr>
              <w:t>2</w:t>
            </w:r>
          </w:p>
        </w:tc>
        <w:tc>
          <w:tcPr>
            <w:tcW w:w="7898" w:type="dxa"/>
            <w:tcBorders>
              <w:top w:val="single" w:color="000000" w:sz="6" w:space="0"/>
              <w:left w:val="single" w:color="000000" w:sz="6" w:space="0"/>
              <w:bottom w:val="single" w:color="000000" w:sz="6" w:space="0"/>
              <w:right w:val="single" w:color="auto" w:sz="4" w:space="0"/>
            </w:tcBorders>
            <w:vAlign w:val="center"/>
          </w:tcPr>
          <w:p w14:paraId="7E8C4374">
            <w:pPr>
              <w:autoSpaceDE w:val="0"/>
              <w:autoSpaceDN w:val="0"/>
              <w:adjustRightInd w:val="0"/>
              <w:spacing w:line="440" w:lineRule="exact"/>
              <w:contextualSpacing/>
              <w:rPr>
                <w:rFonts w:ascii="Calibri" w:hAnsi="Calibri" w:eastAsia="宋体" w:cs="宋体"/>
                <w:color w:val="auto"/>
                <w:sz w:val="24"/>
                <w:szCs w:val="24"/>
                <w:highlight w:val="none"/>
              </w:rPr>
            </w:pPr>
            <w:r>
              <w:rPr>
                <w:rFonts w:hint="eastAsia" w:ascii="宋体" w:hAnsi="宋体" w:eastAsia="宋体" w:cs="宋体"/>
                <w:color w:val="auto"/>
                <w:sz w:val="24"/>
                <w:szCs w:val="24"/>
                <w:highlight w:val="none"/>
              </w:rPr>
              <w:t>服务地点：采购人指定地点。</w:t>
            </w:r>
          </w:p>
        </w:tc>
      </w:tr>
      <w:tr w14:paraId="535E572F">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10E5BDC2">
            <w:pPr>
              <w:spacing w:line="360" w:lineRule="exact"/>
              <w:contextualSpacing/>
              <w:jc w:val="center"/>
              <w:rPr>
                <w:color w:val="auto"/>
                <w:sz w:val="24"/>
                <w:szCs w:val="24"/>
                <w:highlight w:val="none"/>
              </w:rPr>
            </w:pPr>
            <w:r>
              <w:rPr>
                <w:rFonts w:hint="eastAsia"/>
                <w:color w:val="auto"/>
                <w:sz w:val="24"/>
                <w:szCs w:val="24"/>
                <w:highlight w:val="none"/>
              </w:rPr>
              <w:t>3</w:t>
            </w:r>
          </w:p>
        </w:tc>
        <w:tc>
          <w:tcPr>
            <w:tcW w:w="7898" w:type="dxa"/>
            <w:tcBorders>
              <w:top w:val="single" w:color="000000" w:sz="6" w:space="0"/>
              <w:left w:val="single" w:color="000000" w:sz="6" w:space="0"/>
              <w:bottom w:val="single" w:color="000000" w:sz="6" w:space="0"/>
              <w:right w:val="single" w:color="auto" w:sz="4" w:space="0"/>
            </w:tcBorders>
            <w:vAlign w:val="center"/>
          </w:tcPr>
          <w:p w14:paraId="1C88EAED">
            <w:pPr>
              <w:spacing w:line="440" w:lineRule="exact"/>
              <w:contextualSpacing/>
              <w:rPr>
                <w:color w:val="auto"/>
                <w:sz w:val="24"/>
                <w:szCs w:val="24"/>
                <w:highlight w:val="none"/>
              </w:rPr>
            </w:pPr>
            <w:r>
              <w:rPr>
                <w:rFonts w:hint="eastAsia" w:ascii="宋体" w:hAnsi="宋体" w:eastAsia="宋体" w:cs="宋体"/>
                <w:color w:val="auto"/>
                <w:sz w:val="24"/>
                <w:szCs w:val="24"/>
                <w:highlight w:val="none"/>
              </w:rPr>
              <w:t>履约保证金：无</w:t>
            </w:r>
          </w:p>
        </w:tc>
      </w:tr>
      <w:tr w14:paraId="34F31670">
        <w:tblPrEx>
          <w:tblCellMar>
            <w:top w:w="0" w:type="dxa"/>
            <w:left w:w="108" w:type="dxa"/>
            <w:bottom w:w="0" w:type="dxa"/>
            <w:right w:w="108" w:type="dxa"/>
          </w:tblCellMar>
        </w:tblPrEx>
        <w:trPr>
          <w:trHeight w:val="1245"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3C851090">
            <w:pPr>
              <w:spacing w:line="360" w:lineRule="exact"/>
              <w:contextualSpacing/>
              <w:jc w:val="center"/>
              <w:rPr>
                <w:rFonts w:ascii="Calibri" w:hAnsi="Calibri" w:eastAsia="宋体" w:cs="Times New Roman"/>
                <w:color w:val="auto"/>
                <w:sz w:val="24"/>
                <w:szCs w:val="24"/>
                <w:highlight w:val="none"/>
              </w:rPr>
            </w:pPr>
            <w:r>
              <w:rPr>
                <w:rFonts w:hint="eastAsia"/>
                <w:color w:val="auto"/>
                <w:sz w:val="24"/>
                <w:szCs w:val="24"/>
                <w:highlight w:val="none"/>
              </w:rPr>
              <w:t>4</w:t>
            </w:r>
          </w:p>
        </w:tc>
        <w:tc>
          <w:tcPr>
            <w:tcW w:w="7898" w:type="dxa"/>
            <w:tcBorders>
              <w:top w:val="single" w:color="000000" w:sz="6" w:space="0"/>
              <w:left w:val="single" w:color="000000" w:sz="6" w:space="0"/>
              <w:bottom w:val="single" w:color="000000" w:sz="6" w:space="0"/>
              <w:right w:val="single" w:color="auto" w:sz="4" w:space="0"/>
            </w:tcBorders>
            <w:vAlign w:val="center"/>
          </w:tcPr>
          <w:p w14:paraId="62D0F2C9">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p w14:paraId="2A635528">
            <w:pPr>
              <w:spacing w:line="440" w:lineRule="exact"/>
              <w:contextualSpacing/>
              <w:rPr>
                <w:rFonts w:ascii="Calibri" w:hAnsi="Calibri" w:eastAsia="宋体" w:cs="Times New Roman"/>
                <w:color w:val="auto"/>
                <w:sz w:val="24"/>
                <w:szCs w:val="24"/>
                <w:highlight w:val="none"/>
              </w:rPr>
            </w:pPr>
            <w:r>
              <w:rPr>
                <w:rFonts w:hint="eastAsia" w:ascii="宋体" w:hAnsi="宋体" w:eastAsia="宋体"/>
                <w:bCs/>
                <w:color w:val="auto"/>
                <w:sz w:val="24"/>
                <w:highlight w:val="none"/>
                <w:lang w:eastAsia="zh-CN"/>
              </w:rPr>
              <w:t>在合同生效以及具备实施条件后7个工作日内,采购人向供应商支付合同总金额的40%作为预付款；开幕式举办前10个工作日且所有策划方案经采购人确定通过后支付合同总金额的20%；闭幕式结束后支付合同总金额的20%；供应商向采购人移交相关材料，由采购人组织验收并根据验收考核结果支付剩余款项</w:t>
            </w:r>
            <w:r>
              <w:rPr>
                <w:rFonts w:hint="eastAsia" w:ascii="宋体" w:hAnsi="宋体" w:eastAsia="宋体" w:cs="宋体"/>
                <w:color w:val="auto"/>
                <w:sz w:val="24"/>
                <w:szCs w:val="24"/>
                <w:highlight w:val="none"/>
              </w:rPr>
              <w:t>。</w:t>
            </w:r>
          </w:p>
        </w:tc>
      </w:tr>
      <w:tr w14:paraId="13506C11">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62014328">
            <w:pPr>
              <w:spacing w:line="360" w:lineRule="exact"/>
              <w:contextualSpacing/>
              <w:jc w:val="center"/>
              <w:rPr>
                <w:color w:val="auto"/>
                <w:sz w:val="24"/>
                <w:szCs w:val="24"/>
                <w:highlight w:val="none"/>
              </w:rPr>
            </w:pPr>
            <w:r>
              <w:rPr>
                <w:rFonts w:hint="eastAsia"/>
                <w:color w:val="auto"/>
                <w:sz w:val="24"/>
                <w:szCs w:val="24"/>
                <w:highlight w:val="none"/>
              </w:rPr>
              <w:t>5</w:t>
            </w:r>
          </w:p>
        </w:tc>
        <w:tc>
          <w:tcPr>
            <w:tcW w:w="7898" w:type="dxa"/>
            <w:tcBorders>
              <w:top w:val="single" w:color="000000" w:sz="6" w:space="0"/>
              <w:left w:val="single" w:color="000000" w:sz="6" w:space="0"/>
              <w:bottom w:val="single" w:color="000000" w:sz="6" w:space="0"/>
              <w:right w:val="single" w:color="auto" w:sz="4" w:space="0"/>
            </w:tcBorders>
            <w:vAlign w:val="center"/>
          </w:tcPr>
          <w:p w14:paraId="7E43EEE7">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75491B3B">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1、最高限价：本项目设置总价最高限价人民币</w:t>
            </w:r>
            <w:r>
              <w:rPr>
                <w:rFonts w:hint="eastAsia" w:ascii="宋体" w:hAnsi="宋体" w:eastAsia="宋体" w:cs="宋体"/>
                <w:color w:val="auto"/>
                <w:sz w:val="24"/>
                <w:szCs w:val="24"/>
                <w:highlight w:val="none"/>
                <w:u w:val="single"/>
              </w:rPr>
              <w:t>（</w:t>
            </w:r>
            <w:r>
              <w:rPr>
                <w:rFonts w:hint="eastAsia" w:eastAsia="宋体" w:cs="宋体" w:asciiTheme="minorEastAsia" w:hAnsiTheme="minorEastAsia"/>
                <w:color w:val="auto"/>
                <w:sz w:val="24"/>
                <w:szCs w:val="24"/>
                <w:highlight w:val="none"/>
                <w:u w:val="single"/>
                <w:lang w:eastAsia="zh-CN"/>
              </w:rPr>
              <w:t>5500000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元整，供应商报价超过最高限价的，均作无效投标处理。</w:t>
            </w:r>
          </w:p>
          <w:p w14:paraId="05FEC821">
            <w:pPr>
              <w:spacing w:line="440" w:lineRule="exact"/>
              <w:contextualSpacing/>
              <w:rPr>
                <w:color w:val="auto"/>
                <w:sz w:val="24"/>
                <w:szCs w:val="24"/>
                <w:highlight w:val="none"/>
              </w:rPr>
            </w:pPr>
            <w:r>
              <w:rPr>
                <w:rFonts w:hint="eastAsia" w:ascii="宋体" w:hAnsi="宋体" w:eastAsia="宋体" w:cs="宋体"/>
                <w:color w:val="auto"/>
                <w:sz w:val="24"/>
                <w:szCs w:val="24"/>
                <w:highlight w:val="none"/>
              </w:rPr>
              <w:t>2、磋商</w:t>
            </w:r>
            <w:r>
              <w:rPr>
                <w:rFonts w:hint="eastAsia" w:ascii="宋体" w:hAnsi="宋体" w:eastAsia="宋体" w:cs="宋体"/>
                <w:color w:val="auto"/>
                <w:sz w:val="24"/>
                <w:szCs w:val="24"/>
                <w:highlight w:val="none"/>
                <w:lang w:val="zh-CN"/>
              </w:rPr>
              <w:t>报价包含</w:t>
            </w:r>
            <w:r>
              <w:rPr>
                <w:rFonts w:hint="eastAsia" w:ascii="宋体" w:hAnsi="宋体" w:eastAsia="宋体" w:cs="宋体"/>
                <w:color w:val="auto"/>
                <w:sz w:val="24"/>
                <w:szCs w:val="24"/>
                <w:highlight w:val="none"/>
              </w:rPr>
              <w:t>负责承担本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一切费用，包括负责</w:t>
            </w:r>
            <w:r>
              <w:rPr>
                <w:rFonts w:hint="eastAsia" w:ascii="宋体" w:hAnsi="宋体" w:eastAsia="宋体" w:cs="宋体"/>
                <w:color w:val="auto"/>
                <w:sz w:val="24"/>
                <w:szCs w:val="24"/>
                <w:highlight w:val="none"/>
                <w:lang w:eastAsia="zh-CN"/>
              </w:rPr>
              <w:t>浙江省第五届体育大会开闭幕式和时尚科技体育嘉年华（</w:t>
            </w:r>
            <w:r>
              <w:rPr>
                <w:rFonts w:hint="eastAsia" w:ascii="宋体" w:hAnsi="宋体" w:eastAsia="宋体" w:cs="宋体"/>
                <w:color w:val="auto"/>
                <w:sz w:val="24"/>
                <w:szCs w:val="24"/>
                <w:highlight w:val="none"/>
                <w:lang w:val="en-US" w:eastAsia="zh-CN"/>
              </w:rPr>
              <w:t>含彩排期间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所有工作人员（总导演、总撰稿、执行导演、舞美设计、音乐设计以及其他岗位人员</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）和其他完成</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w:t>
            </w:r>
            <w:r>
              <w:rPr>
                <w:rFonts w:hint="eastAsia" w:ascii="宋体" w:hAnsi="宋体" w:eastAsia="宋体" w:cs="宋体"/>
                <w:color w:val="auto"/>
                <w:sz w:val="24"/>
                <w:szCs w:val="24"/>
                <w:highlight w:val="none"/>
                <w:lang w:eastAsia="zh-CN"/>
              </w:rPr>
              <w:t>、时尚科技体育嘉年华活动</w:t>
            </w:r>
            <w:r>
              <w:rPr>
                <w:rFonts w:hint="eastAsia" w:ascii="宋体" w:hAnsi="宋体" w:eastAsia="宋体" w:cs="宋体"/>
                <w:color w:val="auto"/>
                <w:sz w:val="24"/>
                <w:szCs w:val="24"/>
                <w:highlight w:val="none"/>
                <w:lang w:val="en-US" w:eastAsia="zh-CN"/>
              </w:rPr>
              <w:t>及接待</w:t>
            </w:r>
            <w:r>
              <w:rPr>
                <w:rFonts w:hint="eastAsia" w:ascii="宋体" w:hAnsi="宋体" w:eastAsia="宋体" w:cs="宋体"/>
                <w:color w:val="auto"/>
                <w:sz w:val="24"/>
                <w:szCs w:val="24"/>
                <w:highlight w:val="none"/>
              </w:rPr>
              <w:t>工作任务所需的一切费用，包括但不限于人员劳务、交通、食宿、以及相关硬件设备及耗材、音视频素材制作、相关物资、保险、税金等所有费用。投标人须按照项目组委会下达的其他任务要求，无条件、全方位做好一切</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闭幕式领域所需及新增的所有工作任务，采购人不承担本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明确约定由采购人承担之外的任何其他费用。</w:t>
            </w:r>
          </w:p>
        </w:tc>
      </w:tr>
      <w:tr w14:paraId="55DDEF00">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06B0793B">
            <w:pPr>
              <w:spacing w:line="360" w:lineRule="exact"/>
              <w:contextualSpacing/>
              <w:jc w:val="center"/>
              <w:rPr>
                <w:rFonts w:ascii="Calibri" w:hAnsi="Calibri" w:eastAsia="宋体" w:cs="Times New Roman"/>
                <w:color w:val="auto"/>
                <w:sz w:val="24"/>
                <w:szCs w:val="24"/>
                <w:highlight w:val="none"/>
              </w:rPr>
            </w:pPr>
            <w:r>
              <w:rPr>
                <w:rFonts w:hint="eastAsia" w:eastAsia="宋体"/>
                <w:color w:val="auto"/>
                <w:sz w:val="24"/>
                <w:szCs w:val="24"/>
                <w:highlight w:val="none"/>
              </w:rPr>
              <w:t>6</w:t>
            </w:r>
          </w:p>
        </w:tc>
        <w:tc>
          <w:tcPr>
            <w:tcW w:w="7898" w:type="dxa"/>
            <w:tcBorders>
              <w:top w:val="single" w:color="000000" w:sz="6" w:space="0"/>
              <w:left w:val="single" w:color="000000" w:sz="6" w:space="0"/>
              <w:bottom w:val="single" w:color="000000" w:sz="6" w:space="0"/>
              <w:right w:val="single" w:color="auto" w:sz="4" w:space="0"/>
            </w:tcBorders>
            <w:vAlign w:val="center"/>
          </w:tcPr>
          <w:p w14:paraId="05E023A5">
            <w:pPr>
              <w:spacing w:line="440" w:lineRule="exact"/>
              <w:contextualSpacing/>
              <w:rPr>
                <w:rFonts w:ascii="Calibri" w:hAnsi="Calibri" w:eastAsia="宋体" w:cs="Times New Roman"/>
                <w:color w:val="auto"/>
                <w:sz w:val="24"/>
                <w:szCs w:val="24"/>
                <w:highlight w:val="none"/>
              </w:rPr>
            </w:pPr>
            <w:r>
              <w:rPr>
                <w:rFonts w:hint="eastAsia" w:ascii="宋体" w:hAnsi="宋体" w:eastAsia="宋体" w:cs="宋体"/>
                <w:color w:val="auto"/>
                <w:sz w:val="24"/>
                <w:szCs w:val="24"/>
                <w:highlight w:val="none"/>
              </w:rPr>
              <w:t>转包与分包：不允许。</w:t>
            </w:r>
          </w:p>
        </w:tc>
      </w:tr>
      <w:tr w14:paraId="3E1D5991">
        <w:tblPrEx>
          <w:tblCellMar>
            <w:top w:w="0" w:type="dxa"/>
            <w:left w:w="108" w:type="dxa"/>
            <w:bottom w:w="0" w:type="dxa"/>
            <w:right w:w="108" w:type="dxa"/>
          </w:tblCellMar>
        </w:tblPrEx>
        <w:trPr>
          <w:trHeight w:val="454" w:hRule="atLeast"/>
          <w:jc w:val="center"/>
        </w:trPr>
        <w:tc>
          <w:tcPr>
            <w:tcW w:w="850" w:type="dxa"/>
            <w:tcBorders>
              <w:top w:val="single" w:color="000000" w:sz="6" w:space="0"/>
              <w:left w:val="single" w:color="auto" w:sz="4" w:space="0"/>
              <w:bottom w:val="single" w:color="000000" w:sz="6" w:space="0"/>
              <w:right w:val="single" w:color="000000" w:sz="6" w:space="0"/>
            </w:tcBorders>
            <w:vAlign w:val="center"/>
          </w:tcPr>
          <w:p w14:paraId="4364CAC7">
            <w:pPr>
              <w:spacing w:line="360" w:lineRule="exact"/>
              <w:contextualSpacing/>
              <w:jc w:val="center"/>
              <w:rPr>
                <w:rFonts w:ascii="Calibri" w:hAnsi="Calibri" w:eastAsia="宋体" w:cs="Times New Roman"/>
                <w:color w:val="auto"/>
                <w:sz w:val="24"/>
                <w:szCs w:val="24"/>
                <w:highlight w:val="none"/>
              </w:rPr>
            </w:pPr>
            <w:r>
              <w:rPr>
                <w:rFonts w:hint="eastAsia" w:eastAsia="宋体"/>
                <w:color w:val="auto"/>
                <w:sz w:val="24"/>
                <w:szCs w:val="24"/>
                <w:highlight w:val="none"/>
              </w:rPr>
              <w:t>7</w:t>
            </w:r>
          </w:p>
        </w:tc>
        <w:tc>
          <w:tcPr>
            <w:tcW w:w="7898" w:type="dxa"/>
            <w:tcBorders>
              <w:top w:val="single" w:color="000000" w:sz="6" w:space="0"/>
              <w:left w:val="single" w:color="000000" w:sz="6" w:space="0"/>
              <w:bottom w:val="single" w:color="000000" w:sz="6" w:space="0"/>
              <w:right w:val="single" w:color="auto" w:sz="4" w:space="0"/>
            </w:tcBorders>
            <w:vAlign w:val="center"/>
          </w:tcPr>
          <w:p w14:paraId="4B54486B">
            <w:pPr>
              <w:autoSpaceDE w:val="0"/>
              <w:autoSpaceDN w:val="0"/>
              <w:adjustRightInd w:val="0"/>
              <w:spacing w:line="44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授予合同：</w:t>
            </w:r>
          </w:p>
          <w:p w14:paraId="50483433">
            <w:pPr>
              <w:autoSpaceDE w:val="0"/>
              <w:autoSpaceDN w:val="0"/>
              <w:adjustRightInd w:val="0"/>
              <w:spacing w:line="44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1、成交通知书发出之日起30天内，成交供应商应按照竞争性磋商文件的规定、成交供应商的磋商响应及成交通知书确定的金额签订合同。</w:t>
            </w:r>
          </w:p>
          <w:p w14:paraId="4CDB5E06">
            <w:pPr>
              <w:autoSpaceDE w:val="0"/>
              <w:autoSpaceDN w:val="0"/>
              <w:adjustRightInd w:val="0"/>
              <w:spacing w:line="440" w:lineRule="exact"/>
              <w:contextualSpacing/>
              <w:rPr>
                <w:rFonts w:ascii="Calibri" w:hAnsi="Calibri" w:eastAsia="宋体" w:cs="Times New Roman"/>
                <w:color w:val="auto"/>
                <w:sz w:val="24"/>
                <w:szCs w:val="24"/>
                <w:highlight w:val="none"/>
                <w:lang w:val="zh-CN"/>
              </w:rPr>
            </w:pPr>
            <w:r>
              <w:rPr>
                <w:rFonts w:hint="eastAsia" w:ascii="宋体" w:hAnsi="宋体" w:eastAsia="宋体" w:cs="宋体"/>
                <w:color w:val="auto"/>
                <w:sz w:val="24"/>
                <w:szCs w:val="24"/>
                <w:highlight w:val="none"/>
                <w:lang w:val="zh-CN"/>
              </w:rPr>
              <w:t>2、成交供应商如不遵守竞争性磋商文件或磋商响应文件各项条款的邀约与要约，或在接到成交通知书后借故拖延，拒签合同的，采购人将按《浙江省政府采购供应商注册及诚信管理暂行办法》的规定上报诚信状况。给采购人造成的损失的还应当予以赔偿。</w:t>
            </w:r>
          </w:p>
        </w:tc>
      </w:tr>
    </w:tbl>
    <w:p w14:paraId="4141217C">
      <w:pPr>
        <w:pageBreakBefore/>
        <w:autoSpaceDN w:val="0"/>
        <w:spacing w:line="500" w:lineRule="exact"/>
        <w:jc w:val="center"/>
        <w:outlineLvl w:val="0"/>
        <w:rPr>
          <w:rFonts w:hint="eastAsia" w:ascii="宋体" w:hAnsi="宋体" w:eastAsia="宋体" w:cs="宋体"/>
          <w:b/>
          <w:color w:val="auto"/>
          <w:sz w:val="28"/>
          <w:szCs w:val="28"/>
          <w:highlight w:val="none"/>
        </w:rPr>
      </w:pPr>
      <w:bookmarkStart w:id="29" w:name="_Toc19034"/>
      <w:r>
        <w:rPr>
          <w:rFonts w:hint="eastAsia" w:ascii="宋体" w:hAnsi="宋体" w:eastAsia="宋体" w:cs="宋体"/>
          <w:b/>
          <w:color w:val="auto"/>
          <w:sz w:val="28"/>
          <w:szCs w:val="28"/>
          <w:highlight w:val="none"/>
        </w:rPr>
        <w:t>第六章  合同</w:t>
      </w:r>
      <w:bookmarkEnd w:id="27"/>
      <w:bookmarkEnd w:id="28"/>
      <w:r>
        <w:rPr>
          <w:rFonts w:hint="eastAsia" w:ascii="宋体" w:hAnsi="宋体" w:eastAsia="宋体" w:cs="宋体"/>
          <w:b/>
          <w:color w:val="auto"/>
          <w:sz w:val="28"/>
          <w:szCs w:val="28"/>
          <w:highlight w:val="none"/>
        </w:rPr>
        <w:t>草案</w:t>
      </w:r>
      <w:bookmarkEnd w:id="29"/>
    </w:p>
    <w:p w14:paraId="2103E874">
      <w:pPr>
        <w:widowControl/>
        <w:shd w:val="clear" w:color="auto" w:fill="FFFFFF"/>
        <w:spacing w:after="150"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以下为成交后签订本项目合同的通用条款，成交供应商不得提出实质性的修改，如有特殊条款将由采购人与成交供应商结合本项目具体情况协商后签订。</w:t>
      </w:r>
    </w:p>
    <w:p w14:paraId="3BEFB84A">
      <w:pPr>
        <w:snapToGrid w:val="0"/>
        <w:spacing w:before="120" w:after="12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05A65C3">
      <w:pPr>
        <w:snapToGrid w:val="0"/>
        <w:spacing w:before="120" w:after="12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5BF25148">
      <w:pPr>
        <w:spacing w:line="4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b/>
          <w:color w:val="auto"/>
          <w:sz w:val="24"/>
          <w:szCs w:val="24"/>
          <w:highlight w:val="none"/>
        </w:rPr>
        <w:t>甲方（采购人）</w:t>
      </w:r>
      <w:r>
        <w:rPr>
          <w:rFonts w:hint="eastAsia" w:ascii="宋体" w:hAnsi="宋体" w:eastAsia="宋体" w:cs="宋体"/>
          <w:color w:val="auto"/>
          <w:kern w:val="0"/>
          <w:sz w:val="24"/>
          <w:szCs w:val="24"/>
          <w:highlight w:val="none"/>
        </w:rPr>
        <w:t>：</w:t>
      </w:r>
      <w:r>
        <w:rPr>
          <w:rFonts w:hint="eastAsia" w:ascii="宋体" w:hAnsi="宋体" w:eastAsia="宋体"/>
          <w:color w:val="auto"/>
          <w:kern w:val="0"/>
          <w:sz w:val="24"/>
          <w:highlight w:val="none"/>
          <w:lang w:eastAsia="zh-CN"/>
        </w:rPr>
        <w:t>台州市体育事业发展中心</w:t>
      </w:r>
    </w:p>
    <w:p w14:paraId="70D4056D">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中标供应商</w:t>
      </w:r>
      <w:r>
        <w:rPr>
          <w:rFonts w:hint="eastAsia" w:ascii="宋体" w:hAnsi="宋体" w:eastAsia="宋体" w:cs="宋体"/>
          <w:b/>
          <w:color w:val="auto"/>
          <w:sz w:val="24"/>
          <w:szCs w:val="24"/>
          <w:highlight w:val="none"/>
        </w:rPr>
        <w:t>）</w:t>
      </w:r>
      <w:r>
        <w:rPr>
          <w:rFonts w:hint="eastAsia" w:ascii="宋体" w:hAnsi="宋体" w:eastAsia="宋体" w:cs="宋体"/>
          <w:color w:val="auto"/>
          <w:kern w:val="0"/>
          <w:sz w:val="24"/>
          <w:szCs w:val="24"/>
          <w:highlight w:val="none"/>
        </w:rPr>
        <w:t xml:space="preserve">： </w:t>
      </w:r>
    </w:p>
    <w:p w14:paraId="040ABEF4">
      <w:pPr>
        <w:spacing w:line="440" w:lineRule="exact"/>
        <w:ind w:firstLine="480" w:firstLineChars="200"/>
        <w:rPr>
          <w:rFonts w:hint="eastAsia" w:ascii="宋体" w:hAnsi="宋体" w:eastAsia="宋体" w:cs="宋体"/>
          <w:color w:val="auto"/>
          <w:sz w:val="24"/>
          <w:szCs w:val="24"/>
          <w:highlight w:val="none"/>
        </w:rPr>
      </w:pPr>
      <w:r>
        <w:rPr>
          <w:rFonts w:ascii="宋体" w:hAnsi="宋体" w:eastAsia="宋体" w:cs="Times New Roman"/>
          <w:color w:val="auto"/>
          <w:sz w:val="24"/>
          <w:szCs w:val="24"/>
          <w:highlight w:val="none"/>
        </w:rPr>
        <w:t>甲、乙双方根据</w:t>
      </w:r>
      <w:r>
        <w:rPr>
          <w:rFonts w:hint="eastAsia" w:ascii="宋体" w:hAnsi="宋体" w:eastAsia="宋体" w:cs="Times New Roman"/>
          <w:color w:val="auto"/>
          <w:sz w:val="24"/>
          <w:szCs w:val="24"/>
          <w:highlight w:val="none"/>
        </w:rPr>
        <w:t>中冠工程管理咨询有限公司</w:t>
      </w:r>
      <w:r>
        <w:rPr>
          <w:rFonts w:ascii="宋体" w:hAnsi="宋体" w:eastAsia="宋体" w:cs="Times New Roman"/>
          <w:color w:val="auto"/>
          <w:sz w:val="24"/>
          <w:szCs w:val="24"/>
          <w:highlight w:val="none"/>
        </w:rPr>
        <w:t>关于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项目</w:t>
      </w:r>
      <w:r>
        <w:rPr>
          <w:rFonts w:hint="eastAsia" w:ascii="宋体" w:hAnsi="宋体" w:eastAsia="宋体" w:cs="Times New Roman"/>
          <w:color w:val="auto"/>
          <w:sz w:val="24"/>
          <w:szCs w:val="24"/>
          <w:highlight w:val="none"/>
        </w:rPr>
        <w:t>竞争性磋商</w:t>
      </w:r>
      <w:r>
        <w:rPr>
          <w:rFonts w:ascii="宋体" w:hAnsi="宋体" w:eastAsia="宋体" w:cs="Times New Roman"/>
          <w:color w:val="auto"/>
          <w:sz w:val="24"/>
          <w:szCs w:val="24"/>
          <w:highlight w:val="none"/>
        </w:rPr>
        <w:t>的结果</w:t>
      </w:r>
      <w:r>
        <w:rPr>
          <w:rFonts w:hint="eastAsia" w:ascii="宋体" w:hAnsi="宋体" w:eastAsia="宋体" w:cs="宋体"/>
          <w:color w:val="auto"/>
          <w:sz w:val="24"/>
          <w:szCs w:val="24"/>
          <w:highlight w:val="none"/>
        </w:rPr>
        <w:t>，并依照《中华人民共和国民法典》及其他等有关法律、行政法规的规定，同时在平等、公平、诚实和信用的原则下，经双方协商一致，订立本合同。</w:t>
      </w:r>
    </w:p>
    <w:p w14:paraId="18849E61">
      <w:pPr>
        <w:spacing w:line="440" w:lineRule="exact"/>
        <w:ind w:firstLine="482" w:firstLineChars="20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 xml:space="preserve">一、合同文件： </w:t>
      </w:r>
    </w:p>
    <w:p w14:paraId="008F5A36">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1.合同条款。</w:t>
      </w:r>
    </w:p>
    <w:p w14:paraId="408C99C8">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2.中标通知书。</w:t>
      </w:r>
    </w:p>
    <w:p w14:paraId="74A47191">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3.更正补充文件。</w:t>
      </w:r>
    </w:p>
    <w:p w14:paraId="7E194844">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4.磋商文件。</w:t>
      </w:r>
    </w:p>
    <w:p w14:paraId="4F4FC975">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5.中标供应商磋商响应文件。</w:t>
      </w:r>
    </w:p>
    <w:p w14:paraId="0EFA5040">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6.其他。</w:t>
      </w:r>
    </w:p>
    <w:p w14:paraId="66D7D559">
      <w:pPr>
        <w:spacing w:line="44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上述所指合同文件应认为是互相补充和解释的，但是有模棱两可或互相矛盾之处，以其所列内容顺序为准。</w:t>
      </w:r>
    </w:p>
    <w:p w14:paraId="3E12A3D3">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二、服务内容</w:t>
      </w:r>
    </w:p>
    <w:p w14:paraId="1CE73819">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（一）采购内容</w:t>
      </w:r>
    </w:p>
    <w:p w14:paraId="27BDC8B9">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负责浙江省第五届体育大会开闭幕式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执行服务演出的整体策划、筹备和组织实施工作，包括但不限于以下内容：</w:t>
      </w:r>
    </w:p>
    <w:p w14:paraId="45752C60">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舞台、灯光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音响等相关演出设施设备及舞美装置的租赁、搭建、维护、清理</w:t>
      </w:r>
      <w:r>
        <w:rPr>
          <w:rFonts w:hint="eastAsia" w:asciiTheme="minorEastAsia" w:hAnsiTheme="minorEastAsia" w:eastAsiaTheme="minorEastAsia" w:cstheme="minorEastAsia"/>
          <w:color w:val="auto"/>
          <w:sz w:val="24"/>
          <w:szCs w:val="24"/>
          <w:highlight w:val="none"/>
          <w:lang w:val="en-US" w:eastAsia="zh-CN"/>
        </w:rPr>
        <w:t>工作</w:t>
      </w:r>
      <w:r>
        <w:rPr>
          <w:rFonts w:hint="eastAsia" w:asciiTheme="minorEastAsia" w:hAnsiTheme="minorEastAsia" w:eastAsiaTheme="minorEastAsia" w:cstheme="minorEastAsia"/>
          <w:color w:val="auto"/>
          <w:sz w:val="24"/>
          <w:szCs w:val="24"/>
          <w:highlight w:val="none"/>
        </w:rPr>
        <w:t>（相关方案需经</w:t>
      </w:r>
      <w:r>
        <w:rPr>
          <w:rFonts w:hint="eastAsia" w:ascii="宋体" w:hAnsi="宋体" w:eastAsia="宋体" w:cs="宋体"/>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确认）；</w:t>
      </w:r>
    </w:p>
    <w:p w14:paraId="50BC9AD9">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节目内容设计、流程设计、演职人员邀请及筛选、编排</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排演；</w:t>
      </w:r>
    </w:p>
    <w:p w14:paraId="40272073">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节目背景视频和音频制作、演出全程拍摄和剪辑等；</w:t>
      </w:r>
    </w:p>
    <w:p w14:paraId="38E21DE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整体方案撰写、节目单制作、主持词撰写及整体宣传推广等工作（相关方案需经主办</w:t>
      </w:r>
      <w:r>
        <w:rPr>
          <w:rFonts w:hint="eastAsia" w:asciiTheme="minorEastAsia" w:hAnsiTheme="minorEastAsia" w:eastAsiaTheme="minorEastAsia" w:cstheme="minorEastAsia"/>
          <w:color w:val="auto"/>
          <w:sz w:val="24"/>
          <w:szCs w:val="24"/>
          <w:highlight w:val="none"/>
          <w:lang w:val="en-US" w:eastAsia="zh-CN"/>
        </w:rPr>
        <w:t>方</w:t>
      </w:r>
      <w:r>
        <w:rPr>
          <w:rFonts w:hint="eastAsia" w:asciiTheme="minorEastAsia" w:hAnsiTheme="minorEastAsia" w:eastAsiaTheme="minorEastAsia" w:cstheme="minorEastAsia"/>
          <w:color w:val="auto"/>
          <w:sz w:val="24"/>
          <w:szCs w:val="24"/>
          <w:highlight w:val="none"/>
        </w:rPr>
        <w:t>确认）；</w:t>
      </w:r>
    </w:p>
    <w:p w14:paraId="702187AD">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负责与</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相关的礼仪、会场管理等人员的配置；</w:t>
      </w:r>
    </w:p>
    <w:p w14:paraId="25B37D2E">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负责与</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相关的引导牌、邀请函等相关物料设计与制作；</w:t>
      </w:r>
    </w:p>
    <w:p w14:paraId="3EADA000">
      <w:pPr>
        <w:keepNext w:val="0"/>
        <w:keepLines w:val="0"/>
        <w:pageBreakBefore w:val="0"/>
        <w:widowControl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负责委托</w:t>
      </w:r>
      <w:r>
        <w:rPr>
          <w:rFonts w:hint="eastAsia" w:asciiTheme="minorEastAsia" w:hAnsiTheme="minorEastAsia" w:eastAsiaTheme="minorEastAsia" w:cstheme="minorEastAsia"/>
          <w:color w:val="auto"/>
          <w:sz w:val="24"/>
          <w:szCs w:val="24"/>
          <w:highlight w:val="none"/>
          <w:lang w:val="en-US" w:eastAsia="zh-CN"/>
        </w:rPr>
        <w:t>具备相关</w:t>
      </w:r>
      <w:r>
        <w:rPr>
          <w:rFonts w:hint="eastAsia" w:asciiTheme="minorEastAsia" w:hAnsiTheme="minorEastAsia" w:eastAsiaTheme="minorEastAsia" w:cstheme="minorEastAsia"/>
          <w:color w:val="auto"/>
          <w:sz w:val="24"/>
          <w:szCs w:val="24"/>
          <w:highlight w:val="none"/>
        </w:rPr>
        <w:t>资质的第三方机构完成</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rPr>
        <w:t>社会风险评估、安全风险评估并形成报告</w:t>
      </w:r>
      <w:r>
        <w:rPr>
          <w:rFonts w:hint="eastAsia" w:asciiTheme="minorEastAsia" w:hAnsiTheme="minorEastAsia" w:eastAsiaTheme="minorEastAsia" w:cstheme="minorEastAsia"/>
          <w:color w:val="auto"/>
          <w:sz w:val="24"/>
          <w:szCs w:val="24"/>
          <w:highlight w:val="none"/>
          <w:lang w:eastAsia="zh-CN"/>
        </w:rPr>
        <w:t>，并组织落实安保、医疗、电力等各项保障措施</w:t>
      </w:r>
      <w:r>
        <w:rPr>
          <w:rFonts w:hint="eastAsia" w:asciiTheme="minorEastAsia" w:hAnsiTheme="minorEastAsia" w:eastAsiaTheme="minorEastAsia" w:cstheme="minorEastAsia"/>
          <w:color w:val="auto"/>
          <w:sz w:val="24"/>
          <w:szCs w:val="24"/>
          <w:highlight w:val="none"/>
        </w:rPr>
        <w:t>；</w:t>
      </w:r>
    </w:p>
    <w:p w14:paraId="1BFBA617">
      <w:pPr>
        <w:keepNext w:val="0"/>
        <w:keepLines w:val="0"/>
        <w:pageBreakBefore w:val="0"/>
        <w:widowControl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负责</w:t>
      </w:r>
      <w:r>
        <w:rPr>
          <w:rFonts w:hint="eastAsia" w:asciiTheme="minorEastAsia" w:hAnsiTheme="minorEastAsia" w:eastAsiaTheme="minorEastAsia" w:cstheme="minorEastAsia"/>
          <w:color w:val="auto"/>
          <w:sz w:val="24"/>
          <w:szCs w:val="24"/>
          <w:highlight w:val="none"/>
          <w:lang w:eastAsia="zh-CN"/>
        </w:rPr>
        <w:t>开</w:t>
      </w:r>
      <w:r>
        <w:rPr>
          <w:rFonts w:hint="eastAsia" w:asciiTheme="minorEastAsia" w:hAnsiTheme="minorEastAsia" w:eastAsiaTheme="minorEastAsia" w:cstheme="minorEastAsia"/>
          <w:color w:val="auto"/>
          <w:sz w:val="24"/>
          <w:szCs w:val="24"/>
          <w:highlight w:val="none"/>
        </w:rPr>
        <w:t>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期间各体育代表团、部分单项体育协会人员、省内市县体育代表、部分新闻媒体工作人员</w:t>
      </w:r>
      <w:r>
        <w:rPr>
          <w:rFonts w:hint="eastAsia" w:asciiTheme="minorEastAsia" w:hAnsiTheme="minorEastAsia" w:eastAsiaTheme="minorEastAsia" w:cstheme="minorEastAsia"/>
          <w:color w:val="auto"/>
          <w:sz w:val="24"/>
          <w:szCs w:val="24"/>
          <w:highlight w:val="none"/>
          <w:lang w:eastAsia="zh-CN"/>
        </w:rPr>
        <w:t>及邀请嘉宾的</w:t>
      </w:r>
      <w:r>
        <w:rPr>
          <w:rFonts w:hint="eastAsia" w:asciiTheme="minorEastAsia" w:hAnsiTheme="minorEastAsia" w:eastAsiaTheme="minorEastAsia" w:cstheme="minorEastAsia"/>
          <w:color w:val="auto"/>
          <w:sz w:val="24"/>
          <w:szCs w:val="24"/>
          <w:highlight w:val="none"/>
        </w:rPr>
        <w:t>接待</w:t>
      </w:r>
      <w:r>
        <w:rPr>
          <w:rFonts w:hint="eastAsia" w:asciiTheme="minorEastAsia" w:hAnsiTheme="minorEastAsia" w:eastAsiaTheme="minorEastAsia" w:cstheme="minorEastAsia"/>
          <w:color w:val="auto"/>
          <w:sz w:val="24"/>
          <w:szCs w:val="24"/>
          <w:highlight w:val="none"/>
          <w:lang w:eastAsia="zh-CN"/>
        </w:rPr>
        <w:t>服务、后勤保障</w:t>
      </w:r>
      <w:r>
        <w:rPr>
          <w:rFonts w:hint="eastAsia" w:asciiTheme="minorEastAsia" w:hAnsiTheme="minorEastAsia" w:eastAsiaTheme="minorEastAsia" w:cstheme="minorEastAsia"/>
          <w:color w:val="auto"/>
          <w:sz w:val="24"/>
          <w:szCs w:val="24"/>
          <w:highlight w:val="none"/>
        </w:rPr>
        <w:t>工作，包括接送站服务、餐饮住宿、用车服务、引导接待等。</w:t>
      </w:r>
    </w:p>
    <w:p w14:paraId="0AFC7F3B">
      <w:pPr>
        <w:pStyle w:val="2"/>
        <w:keepNext w:val="0"/>
        <w:keepLines w:val="0"/>
        <w:pageBreakBefore w:val="0"/>
        <w:widowControl w:val="0"/>
        <w:shd w:val="clear"/>
        <w:kinsoku/>
        <w:wordWrap/>
        <w:overflowPunct/>
        <w:topLinePunct w:val="0"/>
        <w:bidi w:val="0"/>
        <w:spacing w:line="360" w:lineRule="auto"/>
        <w:ind w:left="0"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en-US" w:eastAsia="zh-CN"/>
        </w:rPr>
        <w:t>负责做好开闭幕式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时尚科技体育嘉年华活动场地的环境提升，包括但不限于支付场地租赁费、保洁费、电费以及必要的维修费用等。</w:t>
      </w:r>
    </w:p>
    <w:p w14:paraId="18482E80">
      <w:pPr>
        <w:keepNext w:val="0"/>
        <w:keepLines w:val="0"/>
        <w:pageBreakBefore w:val="0"/>
        <w:widowControl w:val="0"/>
        <w:shd w:val="clear"/>
        <w:kinsoku/>
        <w:wordWrap/>
        <w:overflowPunct/>
        <w:topLinePunct w:val="0"/>
        <w:bidi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完成项目组委会下达的其他任务要求。</w:t>
      </w:r>
    </w:p>
    <w:p w14:paraId="069720C0">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（二）策划方案要求</w:t>
      </w:r>
    </w:p>
    <w:p w14:paraId="179B9F6B">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包括但不限于以下几方面内容：</w:t>
      </w:r>
    </w:p>
    <w:p w14:paraId="2E20E56A">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1、策划方案要对</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rPr>
        <w:t>进行整体策划，在此基础上按照</w:t>
      </w:r>
      <w:r>
        <w:rPr>
          <w:rFonts w:hint="eastAsia" w:asciiTheme="minorEastAsia" w:hAnsiTheme="minorEastAsia" w:eastAsiaTheme="minorEastAsia" w:cstheme="minorEastAsia"/>
          <w:color w:val="auto"/>
          <w:sz w:val="24"/>
          <w:szCs w:val="24"/>
          <w:highlight w:val="none"/>
          <w:lang w:val="en-US" w:eastAsia="zh-CN"/>
        </w:rPr>
        <w:t>开闭幕式</w:t>
      </w:r>
      <w:r>
        <w:rPr>
          <w:rFonts w:hint="eastAsia" w:asciiTheme="minorEastAsia" w:hAnsiTheme="minorEastAsia" w:eastAsiaTheme="minorEastAsia" w:cstheme="minorEastAsia"/>
          <w:color w:val="auto"/>
          <w:sz w:val="24"/>
          <w:szCs w:val="24"/>
          <w:highlight w:val="none"/>
        </w:rPr>
        <w:t>总体要求对体育项目展演部分进行重点创意策划，</w:t>
      </w:r>
      <w:r>
        <w:rPr>
          <w:rFonts w:hint="eastAsia" w:asciiTheme="minorEastAsia" w:hAnsiTheme="minorEastAsia" w:eastAsiaTheme="minorEastAsia" w:cstheme="minorEastAsia"/>
          <w:color w:val="auto"/>
          <w:sz w:val="24"/>
          <w:szCs w:val="24"/>
          <w:highlight w:val="none"/>
          <w:lang w:eastAsia="zh-CN"/>
        </w:rPr>
        <w:t>与</w:t>
      </w:r>
      <w:r>
        <w:rPr>
          <w:rFonts w:hint="eastAsia" w:asciiTheme="minorEastAsia" w:hAnsiTheme="minorEastAsia" w:eastAsiaTheme="minorEastAsia" w:cstheme="minorEastAsia"/>
          <w:color w:val="auto"/>
          <w:sz w:val="24"/>
          <w:szCs w:val="24"/>
          <w:highlight w:val="none"/>
          <w:lang w:val="en-US" w:eastAsia="zh-CN"/>
        </w:rPr>
        <w:t>时尚科技体育嘉年华活动</w:t>
      </w:r>
      <w:r>
        <w:rPr>
          <w:rFonts w:hint="eastAsia" w:asciiTheme="minorEastAsia" w:hAnsiTheme="minorEastAsia" w:eastAsiaTheme="minorEastAsia" w:cstheme="minorEastAsia"/>
          <w:color w:val="auto"/>
          <w:sz w:val="24"/>
          <w:szCs w:val="24"/>
          <w:highlight w:val="none"/>
          <w:lang w:eastAsia="zh-CN"/>
        </w:rPr>
        <w:t>要有较</w:t>
      </w:r>
      <w:r>
        <w:rPr>
          <w:rFonts w:hint="eastAsia" w:asciiTheme="minorEastAsia" w:hAnsiTheme="minorEastAsia" w:eastAsiaTheme="minorEastAsia" w:cstheme="minorEastAsia"/>
          <w:color w:val="auto"/>
          <w:sz w:val="24"/>
          <w:szCs w:val="24"/>
          <w:highlight w:val="none"/>
          <w:lang w:val="en-US" w:eastAsia="zh-CN"/>
        </w:rPr>
        <w:t>高的契合度，</w:t>
      </w:r>
      <w:r>
        <w:rPr>
          <w:rFonts w:hint="eastAsia" w:asciiTheme="minorEastAsia" w:hAnsiTheme="minorEastAsia" w:eastAsiaTheme="minorEastAsia" w:cstheme="minorEastAsia"/>
          <w:color w:val="auto"/>
          <w:sz w:val="24"/>
          <w:szCs w:val="24"/>
          <w:highlight w:val="none"/>
        </w:rPr>
        <w:t>并形成较完整的创意文本、舞美构思、设想等。</w:t>
      </w:r>
    </w:p>
    <w:p w14:paraId="1DAF25C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2、提供包含但不限于策划方案内容框架相关的内容介绍，舞美部分附效果图</w:t>
      </w:r>
      <w:r>
        <w:rPr>
          <w:rFonts w:hint="eastAsia" w:asciiTheme="minorEastAsia" w:hAnsiTheme="minorEastAsia" w:eastAsiaTheme="minorEastAsia" w:cstheme="minorEastAsia"/>
          <w:color w:val="auto"/>
          <w:sz w:val="24"/>
          <w:szCs w:val="24"/>
          <w:highlight w:val="none"/>
          <w:lang w:eastAsia="zh-CN"/>
        </w:rPr>
        <w:t>。</w:t>
      </w:r>
    </w:p>
    <w:p w14:paraId="33BCE653">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3、整体活动的创意实施，应遵循原创性的艺术创作理念，为第五届体育大会开闭幕式策划与实施项目量身打造。</w:t>
      </w:r>
    </w:p>
    <w:p w14:paraId="0269C349">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lang w:val="en-US" w:eastAsia="zh-CN"/>
        </w:rPr>
        <w:t>开</w:t>
      </w:r>
      <w:r>
        <w:rPr>
          <w:rFonts w:hint="eastAsia" w:asciiTheme="minorEastAsia" w:hAnsiTheme="minorEastAsia" w:eastAsiaTheme="minorEastAsia" w:cstheme="minorEastAsia"/>
          <w:b/>
          <w:bCs/>
          <w:color w:val="auto"/>
          <w:sz w:val="24"/>
          <w:szCs w:val="24"/>
          <w:highlight w:val="none"/>
          <w:lang w:eastAsia="zh-CN"/>
        </w:rPr>
        <w:t>闭幕式活动要求</w:t>
      </w:r>
    </w:p>
    <w:p w14:paraId="1705BB3E">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3"/>
        <w:rPr>
          <w:rFonts w:hint="eastAsia" w:asciiTheme="minorEastAsia" w:hAnsiTheme="minorEastAsia" w:eastAsiaTheme="minorEastAsia" w:cstheme="minorEastAsia"/>
          <w:snapToGrid/>
          <w:color w:val="auto"/>
          <w:kern w:val="2"/>
          <w:sz w:val="24"/>
          <w:szCs w:val="24"/>
          <w:highlight w:val="none"/>
          <w:shd w:val="clear" w:color="auto" w:fill="auto"/>
          <w:lang w:val="en-US" w:eastAsia="zh-CN" w:bidi="ar-SA"/>
        </w:rPr>
      </w:pPr>
      <w:r>
        <w:rPr>
          <w:rFonts w:hint="eastAsia" w:asciiTheme="minorEastAsia" w:hAnsiTheme="minorEastAsia" w:eastAsiaTheme="minorEastAsia" w:cstheme="minorEastAsia"/>
          <w:snapToGrid/>
          <w:color w:val="auto"/>
          <w:kern w:val="2"/>
          <w:sz w:val="24"/>
          <w:szCs w:val="24"/>
          <w:highlight w:val="none"/>
          <w:shd w:val="clear" w:color="auto"/>
          <w:lang w:val="en-US" w:eastAsia="zh-CN" w:bidi="ar-SA"/>
        </w:rPr>
        <w:t>开幕式举办场地设在台州市体育中心网球馆；闭幕式举办场地设在玉环市奥体中心体育馆。</w:t>
      </w:r>
      <w:r>
        <w:rPr>
          <w:rFonts w:hint="eastAsia" w:asciiTheme="minorEastAsia" w:hAnsiTheme="minorEastAsia" w:eastAsiaTheme="minorEastAsia" w:cstheme="minorEastAsia"/>
          <w:color w:val="auto"/>
          <w:sz w:val="24"/>
          <w:szCs w:val="24"/>
          <w:highlight w:val="none"/>
        </w:rPr>
        <w:t>总体方案中开幕式暖场表演时长不少于30分钟，仪式及文体展演时长不少于</w:t>
      </w:r>
      <w:r>
        <w:rPr>
          <w:rFonts w:hint="eastAsia" w:asciiTheme="minorEastAsia" w:hAnsiTheme="minorEastAsia" w:eastAsiaTheme="minorEastAsia" w:cstheme="minorEastAsia"/>
          <w:color w:val="auto"/>
          <w:sz w:val="24"/>
          <w:szCs w:val="24"/>
          <w:highlight w:val="none"/>
          <w:lang w:val="en-US" w:eastAsia="zh-CN"/>
        </w:rPr>
        <w:t>60</w:t>
      </w:r>
      <w:r>
        <w:rPr>
          <w:rFonts w:hint="eastAsia" w:asciiTheme="minorEastAsia" w:hAnsiTheme="minorEastAsia" w:eastAsiaTheme="minorEastAsia" w:cstheme="minorEastAsia"/>
          <w:color w:val="auto"/>
          <w:sz w:val="24"/>
          <w:szCs w:val="24"/>
          <w:highlight w:val="none"/>
        </w:rPr>
        <w:t>分钟；闭幕式暖场表演时长不少于15分钟，仪式及文体展演时长不少于</w:t>
      </w:r>
      <w:r>
        <w:rPr>
          <w:rFonts w:hint="eastAsia" w:asciiTheme="minorEastAsia" w:hAnsiTheme="minorEastAsia" w:eastAsiaTheme="minorEastAsia" w:cstheme="minorEastAsia"/>
          <w:color w:val="auto"/>
          <w:sz w:val="24"/>
          <w:szCs w:val="24"/>
          <w:highlight w:val="none"/>
          <w:lang w:val="en-US" w:eastAsia="zh-CN"/>
        </w:rPr>
        <w:t>45</w:t>
      </w:r>
      <w:r>
        <w:rPr>
          <w:rFonts w:hint="eastAsia" w:asciiTheme="minorEastAsia" w:hAnsiTheme="minorEastAsia" w:eastAsiaTheme="minorEastAsia" w:cstheme="minorEastAsia"/>
          <w:color w:val="auto"/>
          <w:sz w:val="24"/>
          <w:szCs w:val="24"/>
          <w:highlight w:val="none"/>
        </w:rPr>
        <w:t>分钟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最终以</w:t>
      </w:r>
      <w:r>
        <w:rPr>
          <w:rFonts w:hint="eastAsia" w:ascii="宋体" w:hAnsi="宋体" w:eastAsia="宋体" w:cs="宋体"/>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批准方案为准</w:t>
      </w:r>
      <w:r>
        <w:rPr>
          <w:rFonts w:hint="eastAsia" w:asciiTheme="minorEastAsia" w:hAnsiTheme="minorEastAsia" w:eastAsiaTheme="minorEastAsia" w:cstheme="minorEastAsia"/>
          <w:color w:val="auto"/>
          <w:sz w:val="24"/>
          <w:szCs w:val="24"/>
          <w:highlight w:val="none"/>
          <w:lang w:eastAsia="zh-CN"/>
        </w:rPr>
        <w:t>）</w:t>
      </w:r>
    </w:p>
    <w:p w14:paraId="4062874B">
      <w:pPr>
        <w:keepNext w:val="0"/>
        <w:keepLines w:val="0"/>
        <w:pageBreakBefore w:val="0"/>
        <w:widowControl w:val="0"/>
        <w:tabs>
          <w:tab w:val="left" w:pos="4860"/>
        </w:tabs>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闭幕仪式、文体展演节目的策划、挑选、培训、排练、彩排直至正式演出。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具体由</w:t>
      </w:r>
      <w:r>
        <w:rPr>
          <w:rFonts w:hint="eastAsia" w:asciiTheme="minorEastAsia" w:hAnsi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闭幕式方案自行推荐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并承担所有</w:t>
      </w:r>
      <w:r>
        <w:rPr>
          <w:rFonts w:hint="eastAsia" w:asciiTheme="minorEastAsia" w:hAnsiTheme="minorEastAsia" w:eastAsiaTheme="minorEastAsia" w:cstheme="minorEastAsia"/>
          <w:color w:val="auto"/>
          <w:sz w:val="24"/>
          <w:szCs w:val="24"/>
          <w:highlight w:val="none"/>
          <w:lang w:eastAsia="zh-CN"/>
        </w:rPr>
        <w:t>演员的</w:t>
      </w:r>
      <w:r>
        <w:rPr>
          <w:rFonts w:hint="eastAsia" w:asciiTheme="minorEastAsia" w:hAnsiTheme="minorEastAsia" w:eastAsiaTheme="minorEastAsia" w:cstheme="minorEastAsia"/>
          <w:color w:val="auto"/>
          <w:sz w:val="24"/>
          <w:szCs w:val="24"/>
          <w:highlight w:val="none"/>
          <w:lang w:val="en-US" w:eastAsia="zh-CN"/>
        </w:rPr>
        <w:t>食宿</w:t>
      </w:r>
      <w:r>
        <w:rPr>
          <w:rFonts w:hint="eastAsia" w:asciiTheme="minorEastAsia" w:hAnsiTheme="minorEastAsia" w:eastAsiaTheme="minorEastAsia" w:cstheme="minorEastAsia"/>
          <w:color w:val="auto"/>
          <w:sz w:val="24"/>
          <w:szCs w:val="24"/>
          <w:highlight w:val="none"/>
          <w:lang w:eastAsia="zh-CN"/>
        </w:rPr>
        <w:t>、饮水、交通、医疗、备用雨衣、保险等与</w:t>
      </w:r>
      <w:r>
        <w:rPr>
          <w:rFonts w:hint="eastAsia" w:asciiTheme="minorEastAsia" w:hAnsiTheme="minorEastAsia" w:eastAsiaTheme="minorEastAsia" w:cstheme="minorEastAsia"/>
          <w:color w:val="auto"/>
          <w:sz w:val="24"/>
          <w:szCs w:val="24"/>
          <w:highlight w:val="none"/>
          <w:lang w:val="en-US" w:eastAsia="zh-CN"/>
        </w:rPr>
        <w:t>其</w:t>
      </w:r>
      <w:r>
        <w:rPr>
          <w:rFonts w:hint="eastAsia" w:asciiTheme="minorEastAsia" w:hAnsiTheme="minorEastAsia" w:eastAsiaTheme="minorEastAsia" w:cstheme="minorEastAsia"/>
          <w:color w:val="auto"/>
          <w:sz w:val="24"/>
          <w:szCs w:val="24"/>
          <w:highlight w:val="none"/>
          <w:lang w:eastAsia="zh-CN"/>
        </w:rPr>
        <w:t>相关的后勤保障</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lang w:eastAsia="zh-CN"/>
        </w:rPr>
        <w:t>费用）</w:t>
      </w:r>
    </w:p>
    <w:p w14:paraId="2651F621">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闭幕式舞美的设计、制作、舞台搭建，整体彩排直至正式演出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w:t>
      </w:r>
      <w:r>
        <w:rPr>
          <w:rFonts w:hint="eastAsia" w:ascii="宋体" w:hAnsi="宋体" w:eastAsia="宋体" w:cs="宋体"/>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lang w:eastAsia="zh-CN"/>
        </w:rPr>
        <w:t>协助</w:t>
      </w:r>
      <w:r>
        <w:rPr>
          <w:rFonts w:hint="eastAsia" w:asciiTheme="minorEastAsia" w:hAnsi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lang w:eastAsia="zh-CN"/>
        </w:rPr>
        <w:t>做好</w:t>
      </w:r>
      <w:r>
        <w:rPr>
          <w:rFonts w:hint="eastAsia" w:asciiTheme="minorEastAsia" w:hAnsiTheme="minorEastAsia" w:eastAsiaTheme="minorEastAsia" w:cstheme="minorEastAsia"/>
          <w:color w:val="auto"/>
          <w:sz w:val="24"/>
          <w:szCs w:val="24"/>
          <w:highlight w:val="none"/>
        </w:rPr>
        <w:t>场地的使用、对接、维护、安保、保洁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电力、网络保障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志愿服务</w:t>
      </w:r>
      <w:r>
        <w:rPr>
          <w:rFonts w:hint="eastAsia" w:asciiTheme="minorEastAsia" w:hAnsiTheme="minorEastAsia" w:eastAsiaTheme="minorEastAsia" w:cstheme="minorEastAsia"/>
          <w:color w:val="auto"/>
          <w:sz w:val="24"/>
          <w:szCs w:val="24"/>
          <w:highlight w:val="none"/>
        </w:rPr>
        <w:t>等工作）</w:t>
      </w:r>
    </w:p>
    <w:p w14:paraId="3A825281">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闭幕式音乐、视频的创作、修改及制作合成，设备的提供及安装调试，直至正式演出。</w:t>
      </w:r>
    </w:p>
    <w:p w14:paraId="6C9D038B">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闭幕式道具、服装及造型的设计、修改、制作，直至正式演出。</w:t>
      </w:r>
    </w:p>
    <w:p w14:paraId="7A6ABC2D">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5、第五届体育大会开闭幕式展演节目的创作、制作及演出。</w:t>
      </w:r>
    </w:p>
    <w:p w14:paraId="1ED507BB">
      <w:pPr>
        <w:keepNext w:val="0"/>
        <w:keepLines w:val="0"/>
        <w:pageBreakBefore w:val="0"/>
        <w:widowControl w:val="0"/>
        <w:tabs>
          <w:tab w:val="left" w:pos="4860"/>
        </w:tabs>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闭幕式的排练、合练、集中排练及彩排与带机预演直至正式演出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在台州市与排练、演出相关的场地由</w:t>
      </w:r>
      <w:r>
        <w:rPr>
          <w:rFonts w:hint="eastAsia" w:ascii="宋体" w:hAnsi="宋体" w:eastAsia="宋体" w:cs="宋体"/>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lang w:val="en-US" w:eastAsia="zh-CN"/>
        </w:rPr>
        <w:t>协调落实）</w:t>
      </w:r>
    </w:p>
    <w:p w14:paraId="3684321B">
      <w:pPr>
        <w:keepNext w:val="0"/>
        <w:keepLines w:val="0"/>
        <w:pageBreakBefore w:val="0"/>
        <w:widowControl w:val="0"/>
        <w:tabs>
          <w:tab w:val="left" w:pos="4860"/>
        </w:tabs>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负责设计及印制手提袋、荧光棒、拍手器、节目单等，并提供开闭幕式用水。</w:t>
      </w:r>
    </w:p>
    <w:p w14:paraId="55AD8DAD">
      <w:pPr>
        <w:keepNext w:val="0"/>
        <w:keepLines w:val="0"/>
        <w:pageBreakBefore w:val="0"/>
        <w:widowControl w:val="0"/>
        <w:tabs>
          <w:tab w:val="left" w:pos="4860"/>
        </w:tabs>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闭幕式结束后</w:t>
      </w:r>
      <w:r>
        <w:rPr>
          <w:rFonts w:hint="eastAsia" w:asciiTheme="minorEastAsia" w:hAnsiTheme="minorEastAsia" w:eastAsiaTheme="minorEastAsia" w:cstheme="minorEastAsia"/>
          <w:color w:val="auto"/>
          <w:sz w:val="24"/>
          <w:szCs w:val="24"/>
          <w:highlight w:val="none"/>
          <w:lang w:val="en-US" w:eastAsia="zh-CN"/>
        </w:rPr>
        <w:t>有序地</w:t>
      </w:r>
      <w:r>
        <w:rPr>
          <w:rFonts w:hint="eastAsia" w:asciiTheme="minorEastAsia" w:hAnsiTheme="minorEastAsia" w:eastAsiaTheme="minorEastAsia" w:cstheme="minorEastAsia"/>
          <w:color w:val="auto"/>
          <w:sz w:val="24"/>
          <w:szCs w:val="24"/>
          <w:highlight w:val="none"/>
        </w:rPr>
        <w:t>安全拆卸及清场。</w:t>
      </w:r>
    </w:p>
    <w:p w14:paraId="3D59BC0F">
      <w:pPr>
        <w:keepNext w:val="0"/>
        <w:keepLines w:val="0"/>
        <w:pageBreakBefore w:val="0"/>
        <w:widowControl w:val="0"/>
        <w:tabs>
          <w:tab w:val="left" w:pos="4860"/>
        </w:tabs>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9、演职人员的管理及自身的后勤保障。</w:t>
      </w:r>
    </w:p>
    <w:p w14:paraId="5F05DCCB">
      <w:pPr>
        <w:keepNext w:val="0"/>
        <w:keepLines w:val="0"/>
        <w:pageBreakBefore w:val="0"/>
        <w:widowControl w:val="0"/>
        <w:tabs>
          <w:tab w:val="left" w:pos="4860"/>
        </w:tabs>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闭幕式相关的其他事项。</w:t>
      </w:r>
    </w:p>
    <w:p w14:paraId="7D0F391D">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（四）</w:t>
      </w:r>
      <w:r>
        <w:rPr>
          <w:rFonts w:hint="eastAsia" w:asciiTheme="minorEastAsia" w:hAnsiTheme="minorEastAsia" w:eastAsiaTheme="minorEastAsia" w:cstheme="minorEastAsia"/>
          <w:b/>
          <w:bCs/>
          <w:color w:val="auto"/>
          <w:sz w:val="24"/>
          <w:szCs w:val="24"/>
          <w:highlight w:val="none"/>
          <w:lang w:val="en-US" w:eastAsia="zh-CN"/>
        </w:rPr>
        <w:t>时尚科技体育嘉年华活动要求</w:t>
      </w:r>
    </w:p>
    <w:p w14:paraId="0B07E21A">
      <w:pPr>
        <w:pStyle w:val="2"/>
        <w:keepNext w:val="0"/>
        <w:keepLines w:val="0"/>
        <w:pageBreakBefore w:val="0"/>
        <w:widowControl w:val="0"/>
        <w:shd w:val="clear"/>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时尚科技体育嘉年华活动地址设在台州市体育中心网球馆周边。</w:t>
      </w:r>
    </w:p>
    <w:p w14:paraId="45EE1C0A">
      <w:pPr>
        <w:keepNext w:val="0"/>
        <w:keepLines w:val="0"/>
        <w:pageBreakBefore w:val="0"/>
        <w:widowControl w:val="0"/>
        <w:shd w:val="clear"/>
        <w:kinsoku/>
        <w:wordWrap/>
        <w:overflowPunct/>
        <w:topLinePunct w:val="0"/>
        <w:bidi w:val="0"/>
        <w:adjustRightInd w:val="0"/>
        <w:spacing w:line="360" w:lineRule="auto"/>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时尚科技体育嘉年华与浙江省第五届体育大会开幕式既是一个整体、又是独立的一个单元赛事活动。在浙江省第五届体育大会开幕式期间，时尚科技嘉年华作为开幕式的一个部分，开幕式前后，时尚科技嘉年华是赛事活动，宣传、普及、推广体育项目的载体和平台。</w:t>
      </w:r>
    </w:p>
    <w:p w14:paraId="2D1B92F1">
      <w:pPr>
        <w:pStyle w:val="3"/>
        <w:keepNext w:val="0"/>
        <w:keepLines w:val="0"/>
        <w:pageBreakBefore w:val="0"/>
        <w:widowControl w:val="0"/>
        <w:numPr>
          <w:ilvl w:val="0"/>
          <w:numId w:val="0"/>
        </w:numPr>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1、时尚科技体育嘉年华要充分体现时尚与科技元素，将时尚体育与科技体育、传统体育有机融合，创意新颖，敢于创新、勇于突破。</w:t>
      </w:r>
    </w:p>
    <w:p w14:paraId="59A75E32">
      <w:pPr>
        <w:pStyle w:val="2"/>
        <w:keepNext w:val="0"/>
        <w:keepLines w:val="0"/>
        <w:pageBreakBefore w:val="0"/>
        <w:widowControl w:val="0"/>
        <w:numPr>
          <w:ilvl w:val="0"/>
          <w:numId w:val="0"/>
        </w:numPr>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2、时尚科技体育嘉年华赛事活动时间不少于2天（包括1个晚上）。</w:t>
      </w:r>
    </w:p>
    <w:p w14:paraId="651696A0">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3、时尚科技体育嘉年华赛事活动项目不少于10个（其中：主题赛事活动不少于3个、配套项目不少于7个），参与人数不少于10000人次。</w:t>
      </w:r>
    </w:p>
    <w:p w14:paraId="2B5F08EA">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时尚科技体育嘉年华活动运行计划系统、全面，项目安排科学合理，活动规程具有可操作性针对性。比赛活动设置“仲裁委员会”，由裁判长、副裁判长、组委会官员担任。比赛活动将对获奖运动员、运动队（代表团）等进行奖励，颁发证书和奖牌。</w:t>
      </w:r>
    </w:p>
    <w:p w14:paraId="114F2AF8">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5、活动器材由</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en-US" w:eastAsia="zh-CN"/>
        </w:rPr>
        <w:t>按照各项目规定的活动标准和要求配备。</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en-US" w:eastAsia="zh-CN"/>
        </w:rPr>
        <w:t>负责勘测赛场、赛场场地布置、辅助器材准备。</w:t>
      </w:r>
    </w:p>
    <w:p w14:paraId="2300A2DB">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6、按酬金支付标准向裁判员、技术官员等人员支付劳务费。</w:t>
      </w:r>
    </w:p>
    <w:p w14:paraId="25F48D5E">
      <w:pPr>
        <w:keepNext w:val="0"/>
        <w:keepLines w:val="0"/>
        <w:pageBreakBefore w:val="0"/>
        <w:widowControl w:val="0"/>
        <w:suppressLineNumbers w:val="0"/>
        <w:kinsoku/>
        <w:wordWrap/>
        <w:overflowPunct/>
        <w:topLinePunct w:val="0"/>
        <w:autoSpaceDE/>
        <w:autoSpaceDN/>
        <w:bidi w:val="0"/>
        <w:adjustRightInd/>
        <w:spacing w:line="360" w:lineRule="auto"/>
        <w:ind w:firstLine="480" w:firstLineChars="20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7、在开幕式主场配套市集，为期不少于2天（包括1个晚上），与时尚科技体育嘉年华同步，结合台州美食美景，汇集众多知名体育健身品牌和优质产品，摊位不少于60个，在活动场地内合理布局。</w:t>
      </w:r>
    </w:p>
    <w:p w14:paraId="52BB281C">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（五）宣传要求</w:t>
      </w:r>
    </w:p>
    <w:p w14:paraId="0789C49C">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1、整个</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需充分考虑宣传工作，</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val="en-US" w:eastAsia="zh-CN"/>
        </w:rPr>
        <w:t>需在开</w:t>
      </w:r>
      <w:r>
        <w:rPr>
          <w:rFonts w:hint="eastAsia" w:asciiTheme="minorEastAsia" w:hAnsiTheme="minorEastAsia" w:eastAsiaTheme="minorEastAsia" w:cstheme="minorEastAsia"/>
          <w:color w:val="auto"/>
          <w:sz w:val="24"/>
          <w:szCs w:val="24"/>
          <w:highlight w:val="none"/>
        </w:rPr>
        <w:t>闭幕式</w:t>
      </w:r>
      <w:r>
        <w:rPr>
          <w:rFonts w:hint="eastAsia" w:asciiTheme="minorEastAsia" w:hAnsiTheme="minorEastAsia" w:eastAsiaTheme="minorEastAsia" w:cstheme="minorEastAsia"/>
          <w:color w:val="auto"/>
          <w:sz w:val="24"/>
          <w:szCs w:val="24"/>
          <w:highlight w:val="none"/>
          <w:lang w:val="en-US" w:eastAsia="zh-CN"/>
        </w:rPr>
        <w:t>和时尚科技体育嘉年华活动时间确定前一个月做好宣传预热工作。宣传</w:t>
      </w:r>
      <w:r>
        <w:rPr>
          <w:rFonts w:hint="eastAsia" w:asciiTheme="minorEastAsia" w:hAnsiTheme="minorEastAsia" w:eastAsiaTheme="minorEastAsia" w:cstheme="minorEastAsia"/>
          <w:color w:val="auto"/>
          <w:sz w:val="24"/>
          <w:szCs w:val="24"/>
          <w:highlight w:val="none"/>
        </w:rPr>
        <w:t>执行方案中需明确活动期间的宣传渠道、时间、数量，其中数量上要求官方媒体不少于20家，其他媒体不少于30家（如新浪微博、今日头条、腾讯新闻等平台或微信公众号、视频号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抖音等新媒体平台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进行媒体宣传</w:t>
      </w:r>
      <w:r>
        <w:rPr>
          <w:rFonts w:hint="eastAsia" w:asciiTheme="minorEastAsia" w:hAnsiTheme="minorEastAsia" w:eastAsiaTheme="minorEastAsia" w:cstheme="minorEastAsia"/>
          <w:color w:val="auto"/>
          <w:sz w:val="24"/>
          <w:szCs w:val="24"/>
          <w:highlight w:val="none"/>
        </w:rPr>
        <w:t>。</w:t>
      </w:r>
    </w:p>
    <w:p w14:paraId="41C5FFF6">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开闭</w:t>
      </w:r>
      <w:r>
        <w:rPr>
          <w:rFonts w:hint="eastAsia" w:asciiTheme="minorEastAsia" w:hAnsiTheme="minorEastAsia" w:eastAsiaTheme="minorEastAsia" w:cstheme="minorEastAsia"/>
          <w:color w:val="auto"/>
          <w:sz w:val="24"/>
          <w:szCs w:val="24"/>
          <w:highlight w:val="none"/>
        </w:rPr>
        <w:t>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时尚科技体育嘉年华视频直播，直播平台直播盛况+图片实时直播；主题赛事图片实时直播；不少于20家省级及以上电视、报纸和网络媒体开闭幕式全程跟踪宣传。</w:t>
      </w:r>
    </w:p>
    <w:p w14:paraId="6621BA3B">
      <w:pPr>
        <w:pStyle w:val="2"/>
        <w:keepNext w:val="0"/>
        <w:keepLines w:val="0"/>
        <w:pageBreakBefore w:val="0"/>
        <w:widowControl w:val="0"/>
        <w:kinsoku/>
        <w:wordWrap/>
        <w:overflowPunct/>
        <w:topLinePunct w:val="0"/>
        <w:bidi w:val="0"/>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3、浙江省第五届体育大会开闭幕式和时尚科技嘉年华活动期间，全网宣传覆盖面达30000万人次以上。</w:t>
      </w:r>
    </w:p>
    <w:p w14:paraId="26D96500">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（六）主创团队要求</w:t>
      </w:r>
    </w:p>
    <w:p w14:paraId="2B1AC88B">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应组建</w:t>
      </w:r>
      <w:r>
        <w:rPr>
          <w:rFonts w:hint="eastAsia" w:asciiTheme="minorEastAsia" w:hAnsiTheme="minorEastAsia" w:eastAsiaTheme="minorEastAsia" w:cstheme="minorEastAsia"/>
          <w:color w:val="auto"/>
          <w:sz w:val="24"/>
          <w:szCs w:val="24"/>
          <w:highlight w:val="none"/>
          <w:lang w:eastAsia="zh-CN"/>
        </w:rPr>
        <w:t>主创</w:t>
      </w:r>
      <w:r>
        <w:rPr>
          <w:rFonts w:hint="eastAsia" w:asciiTheme="minorEastAsia" w:hAnsiTheme="minorEastAsia" w:eastAsiaTheme="minorEastAsia" w:cstheme="minorEastAsia"/>
          <w:color w:val="auto"/>
          <w:sz w:val="24"/>
          <w:szCs w:val="24"/>
          <w:highlight w:val="none"/>
        </w:rPr>
        <w:t>团队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包括但不限于总导演、</w:t>
      </w:r>
      <w:r>
        <w:rPr>
          <w:rFonts w:hint="eastAsia" w:asciiTheme="minorEastAsia" w:hAnsiTheme="minorEastAsia" w:eastAsiaTheme="minorEastAsia" w:cstheme="minorEastAsia"/>
          <w:color w:val="auto"/>
          <w:sz w:val="24"/>
          <w:szCs w:val="24"/>
          <w:highlight w:val="none"/>
          <w:lang w:val="en-US" w:eastAsia="zh-CN"/>
        </w:rPr>
        <w:t>总制作人、</w:t>
      </w:r>
      <w:r>
        <w:rPr>
          <w:rFonts w:hint="eastAsia" w:asciiTheme="minorEastAsia" w:hAnsiTheme="minorEastAsia" w:eastAsiaTheme="minorEastAsia" w:cstheme="minorEastAsia"/>
          <w:color w:val="auto"/>
          <w:sz w:val="24"/>
          <w:szCs w:val="24"/>
          <w:highlight w:val="none"/>
        </w:rPr>
        <w:t>总撰稿、执行导演、舞美设计、音乐设计等不少于15人的主创人员团队。</w:t>
      </w:r>
    </w:p>
    <w:p w14:paraId="642C9844">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（七）设施设备技术要求</w:t>
      </w:r>
    </w:p>
    <w:p w14:paraId="5A54F807">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根据策划方案及舞美效果选择相关演出设施，其中包括但不限于舞台制作与包装、专业音响、LED屏等舞美效果和设施的布置搭建、操作与保障，以上设备取得方式不作限制。</w:t>
      </w:r>
    </w:p>
    <w:p w14:paraId="1F8AE154">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音响扩声系统。整个扩声系统由音源设备、控制设备及功率放大器、音箱等设备组成。要求扩声系统使用时达到良好的语言清晰度和音乐丰满度，对流动扩声系统的设计具有科学性、先进性、稳定性、可靠性及流动系统最需要的易装易拆的方便性。音箱的覆盖角度要包括全部观众席，观众席上有足够的响度。系统应有足够的稳定度和功率余量，具有清晰的听闻条件，良好的方向感和节目的保真度。</w:t>
      </w:r>
    </w:p>
    <w:p w14:paraId="7722C0B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2、视频设备系统。LED系统设计上要达到能够满足多种数据信息以及影像输出的功能需求，满足演出时图像和文字的显示功能。</w:t>
      </w:r>
    </w:p>
    <w:p w14:paraId="4C370496">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3、拍摄设备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具备高清拍摄机，与摄影机匹配的专业镜头、脚架、云台</w:t>
      </w:r>
      <w:r>
        <w:rPr>
          <w:rFonts w:hint="eastAsia" w:asciiTheme="minorEastAsia" w:hAnsiTheme="minorEastAsia" w:eastAsiaTheme="minorEastAsia" w:cstheme="minorEastAsia"/>
          <w:color w:val="auto"/>
          <w:sz w:val="24"/>
          <w:szCs w:val="24"/>
          <w:highlight w:val="none"/>
          <w:lang w:eastAsia="zh-CN"/>
        </w:rPr>
        <w:t>、摇臂</w:t>
      </w:r>
      <w:r>
        <w:rPr>
          <w:rFonts w:hint="eastAsia" w:asciiTheme="minorEastAsia" w:hAnsiTheme="minorEastAsia" w:eastAsiaTheme="minorEastAsia" w:cstheme="minorEastAsia"/>
          <w:color w:val="auto"/>
          <w:sz w:val="24"/>
          <w:szCs w:val="24"/>
          <w:highlight w:val="none"/>
        </w:rPr>
        <w:t>等设备，满足网络直播的需要。</w:t>
      </w:r>
    </w:p>
    <w:p w14:paraId="45D7DBC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（八）接待</w:t>
      </w:r>
      <w:r>
        <w:rPr>
          <w:rFonts w:hint="eastAsia" w:asciiTheme="minorEastAsia" w:hAnsiTheme="minorEastAsia" w:eastAsiaTheme="minorEastAsia" w:cstheme="minorEastAsia"/>
          <w:b/>
          <w:bCs/>
          <w:color w:val="auto"/>
          <w:sz w:val="24"/>
          <w:szCs w:val="24"/>
          <w:highlight w:val="none"/>
          <w:lang w:val="en-US" w:eastAsia="zh-CN"/>
        </w:rPr>
        <w:t>服务要求</w:t>
      </w:r>
    </w:p>
    <w:p w14:paraId="6423C626">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b w:val="0"/>
          <w:bCs w:val="0"/>
          <w:color w:val="auto"/>
          <w:sz w:val="24"/>
          <w:szCs w:val="24"/>
          <w:highlight w:val="none"/>
          <w:lang w:val="en-US" w:eastAsia="zh-CN"/>
        </w:rPr>
        <w:t>须负责开闭幕式期间各体育代表团、部分单项体育协会人员、部分新闻媒体工作人员及邀请嘉宾，共计不少于150人的接待服务工作，接待服务时间不少于5天。</w:t>
      </w:r>
    </w:p>
    <w:p w14:paraId="7B0BD801">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2、具备用车服务能力。提供自有或租赁车辆：不少于5辆7座商务用车，不少于10辆50座及以上大巴车，不少于5辆中巴车等，满足用车需求。（最终用车需求根据项目组委会要求确定）</w:t>
      </w:r>
    </w:p>
    <w:p w14:paraId="008DCF98">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具备接送机站服务及引导接待服务能力。提供随车服务人员不少于20人，酒店与活动场馆引导人员不少于50人。接待人员须思维清晰，积极主动，具有较强的语言表达能力和危机公关意识，善于处理突发事件，行动力强，有责任心，服从</w:t>
      </w:r>
      <w:r>
        <w:rPr>
          <w:rFonts w:hint="eastAsia" w:ascii="宋体" w:hAnsi="宋体" w:eastAsia="宋体" w:cs="宋体"/>
          <w:color w:val="auto"/>
          <w:sz w:val="24"/>
          <w:szCs w:val="24"/>
          <w:highlight w:val="none"/>
          <w:lang w:eastAsia="zh-CN"/>
        </w:rPr>
        <w:t>甲方</w:t>
      </w:r>
      <w:r>
        <w:rPr>
          <w:rFonts w:hint="eastAsia" w:asciiTheme="minorEastAsia" w:hAnsiTheme="minorEastAsia" w:eastAsiaTheme="minorEastAsia" w:cstheme="minorEastAsia"/>
          <w:b w:val="0"/>
          <w:bCs w:val="0"/>
          <w:color w:val="auto"/>
          <w:sz w:val="24"/>
          <w:szCs w:val="24"/>
          <w:highlight w:val="none"/>
          <w:lang w:val="en-US" w:eastAsia="zh-CN"/>
        </w:rPr>
        <w:t>安排的其他相关工作。</w:t>
      </w:r>
    </w:p>
    <w:p w14:paraId="6636F96C">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4、具备餐饮住宿保障能力：</w:t>
      </w:r>
    </w:p>
    <w:p w14:paraId="4F4A2CA2">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（1）为保障统一管理及相关人员活动安排便捷，住宿酒店要求距台州市体育中心直线距离不超过3公里，且安排在同一酒店入住；</w:t>
      </w:r>
    </w:p>
    <w:p w14:paraId="15E1BAE4">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（2）酒店硬件设施设备齐全，接待能力充足，酒店客房数200间以上，可以一次性接待不少于150人；</w:t>
      </w:r>
    </w:p>
    <w:p w14:paraId="55B00AA3">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酒店可提供容纳不少于150人的会议室；</w:t>
      </w:r>
    </w:p>
    <w:p w14:paraId="3C09425E">
      <w:pPr>
        <w:keepNext w:val="0"/>
        <w:keepLines w:val="0"/>
        <w:pageBreakBefore w:val="0"/>
        <w:widowControl w:val="0"/>
        <w:kinsoku/>
        <w:wordWrap/>
        <w:overflowPunct/>
        <w:topLinePunct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（4）可提供不少于150人同时就餐，严格遵守《食品卫生法》等相关的食品卫生法律法规，确保食品质量。（最终需求根据项目组委会要求确定）</w:t>
      </w:r>
    </w:p>
    <w:p w14:paraId="1E125D71">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（九）保险保障要求</w:t>
      </w:r>
    </w:p>
    <w:p w14:paraId="4C3A13A9">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应在整个合同的有效期内，为</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闭幕式演职人员购买人身伤害意外险，保险理赔金额不低于</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0万元。</w:t>
      </w:r>
      <w:r>
        <w:rPr>
          <w:rFonts w:hint="eastAsia" w:asciiTheme="minorEastAsia" w:hAnsiTheme="minorEastAsia" w:eastAsiaTheme="minorEastAsia" w:cstheme="minorEastAsia"/>
          <w:color w:val="auto"/>
          <w:sz w:val="24"/>
          <w:szCs w:val="24"/>
          <w:highlight w:val="none"/>
          <w:lang w:eastAsia="zh-CN"/>
        </w:rPr>
        <w:t>主动为</w:t>
      </w:r>
      <w:r>
        <w:rPr>
          <w:rFonts w:hint="eastAsia" w:asciiTheme="minorEastAsia" w:hAnsiTheme="minorEastAsia" w:eastAsiaTheme="minorEastAsia" w:cstheme="minorEastAsia"/>
          <w:color w:val="auto"/>
          <w:sz w:val="24"/>
          <w:szCs w:val="24"/>
          <w:highlight w:val="none"/>
          <w:lang w:val="en-US" w:eastAsia="zh-CN"/>
        </w:rPr>
        <w:t>时尚科技体育嘉年华涉及的每名参与者、裁判员、志愿者、工作人员等投保体育意外伤害保险。为确保保险的合法性和有效性，涉及投保产品应在中国政府批准的保险公司投保。</w:t>
      </w:r>
    </w:p>
    <w:p w14:paraId="057A238E">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十</w:t>
      </w:r>
      <w:r>
        <w:rPr>
          <w:rFonts w:hint="eastAsia" w:asciiTheme="minorEastAsia" w:hAnsiTheme="minorEastAsia" w:eastAsiaTheme="minorEastAsia" w:cstheme="minorEastAsia"/>
          <w:b/>
          <w:bCs/>
          <w:color w:val="auto"/>
          <w:sz w:val="24"/>
          <w:szCs w:val="24"/>
          <w:highlight w:val="none"/>
          <w:lang w:eastAsia="zh-CN"/>
        </w:rPr>
        <w:t>）文件要求</w:t>
      </w:r>
    </w:p>
    <w:p w14:paraId="7D23F999">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lang w:eastAsia="zh-CN"/>
        </w:rPr>
        <w:t>开</w:t>
      </w:r>
      <w:r>
        <w:rPr>
          <w:rFonts w:hint="eastAsia" w:asciiTheme="minorEastAsia" w:hAnsiTheme="minorEastAsia" w:eastAsiaTheme="minorEastAsia" w:cstheme="minorEastAsia"/>
          <w:color w:val="auto"/>
          <w:sz w:val="24"/>
          <w:szCs w:val="24"/>
          <w:highlight w:val="none"/>
        </w:rPr>
        <w:t>闭幕式需求，提报以下方案和材料：</w:t>
      </w:r>
    </w:p>
    <w:p w14:paraId="4BDA4512">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闭幕式策划创意设计方案</w:t>
      </w:r>
    </w:p>
    <w:p w14:paraId="1A1186EC">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闭幕式主持台本</w:t>
      </w:r>
    </w:p>
    <w:p w14:paraId="338C51E2">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闭幕式流程设计</w:t>
      </w:r>
    </w:p>
    <w:p w14:paraId="2D8228B0">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闭幕式主会场舞美设计效果图</w:t>
      </w:r>
    </w:p>
    <w:p w14:paraId="2D1807BB">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开</w:t>
      </w:r>
      <w:r>
        <w:rPr>
          <w:rFonts w:hint="eastAsia" w:asciiTheme="minorEastAsia" w:hAnsiTheme="minorEastAsia" w:eastAsiaTheme="minorEastAsia" w:cstheme="minorEastAsia"/>
          <w:color w:val="auto"/>
          <w:sz w:val="24"/>
          <w:szCs w:val="24"/>
          <w:highlight w:val="none"/>
        </w:rPr>
        <w:t>闭幕式主题短片脚本</w:t>
      </w:r>
    </w:p>
    <w:p w14:paraId="5489AB36">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6、时尚科技体育嘉年华</w:t>
      </w:r>
      <w:r>
        <w:rPr>
          <w:rFonts w:hint="eastAsia" w:asciiTheme="minorEastAsia" w:hAnsiTheme="minorEastAsia" w:eastAsiaTheme="minorEastAsia" w:cstheme="minorEastAsia"/>
          <w:color w:val="auto"/>
          <w:sz w:val="24"/>
          <w:szCs w:val="24"/>
          <w:highlight w:val="none"/>
        </w:rPr>
        <w:t>策划创意设计方案</w:t>
      </w:r>
    </w:p>
    <w:p w14:paraId="2E239239">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流程设计</w:t>
      </w:r>
    </w:p>
    <w:p w14:paraId="68C571D7">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舞美设计效果图</w:t>
      </w:r>
    </w:p>
    <w:p w14:paraId="57E6C6A4">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主题短片脚本</w:t>
      </w:r>
    </w:p>
    <w:p w14:paraId="248694A2">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10、点火仪式</w:t>
      </w:r>
      <w:r>
        <w:rPr>
          <w:rFonts w:hint="eastAsia" w:asciiTheme="minorEastAsia" w:hAnsiTheme="minorEastAsia" w:eastAsiaTheme="minorEastAsia" w:cstheme="minorEastAsia"/>
          <w:color w:val="auto"/>
          <w:sz w:val="24"/>
          <w:szCs w:val="24"/>
          <w:highlight w:val="none"/>
        </w:rPr>
        <w:t>策划创意设计方案</w:t>
      </w:r>
    </w:p>
    <w:p w14:paraId="3B5C21F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、组织实施方案</w:t>
      </w:r>
    </w:p>
    <w:p w14:paraId="258B539E">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、安全保障方案</w:t>
      </w:r>
      <w:r>
        <w:rPr>
          <w:rFonts w:hint="eastAsia" w:asciiTheme="minorEastAsia" w:hAnsiTheme="minorEastAsia" w:eastAsiaTheme="minorEastAsia" w:cstheme="minorEastAsia"/>
          <w:color w:val="auto"/>
          <w:sz w:val="24"/>
          <w:szCs w:val="24"/>
          <w:highlight w:val="none"/>
          <w:lang w:eastAsia="zh-CN"/>
        </w:rPr>
        <w:t>（不限于安保、医疗、电力等组织方案以及舆情处置方案）</w:t>
      </w:r>
    </w:p>
    <w:p w14:paraId="6FF2256F">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13、宣传方案</w:t>
      </w:r>
    </w:p>
    <w:p w14:paraId="1B91A512">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、经费预算表</w:t>
      </w:r>
    </w:p>
    <w:p w14:paraId="7ECDA386">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十一</w:t>
      </w:r>
      <w:r>
        <w:rPr>
          <w:rFonts w:hint="eastAsia" w:asciiTheme="minorEastAsia" w:hAnsiTheme="minorEastAsia" w:eastAsiaTheme="minorEastAsia" w:cstheme="minorEastAsia"/>
          <w:b/>
          <w:bCs/>
          <w:color w:val="auto"/>
          <w:sz w:val="24"/>
          <w:szCs w:val="24"/>
          <w:highlight w:val="none"/>
          <w:lang w:eastAsia="zh-CN"/>
        </w:rPr>
        <w:t>）其他要求</w:t>
      </w:r>
    </w:p>
    <w:p w14:paraId="1DC4EDF9">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1、按</w:t>
      </w:r>
      <w:r>
        <w:rPr>
          <w:rFonts w:hint="eastAsia" w:ascii="宋体" w:hAnsi="宋体" w:eastAsia="宋体" w:cs="宋体"/>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最终审核确认的第五届体育大会开闭幕式策划方案投入相应人员和设备。</w:t>
      </w:r>
    </w:p>
    <w:p w14:paraId="64C8F778">
      <w:pPr>
        <w:keepNext w:val="0"/>
        <w:keepLines w:val="0"/>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2、总导演在方案汇报及审定、方案重大调整、领导审查等环节必须在场。</w:t>
      </w:r>
    </w:p>
    <w:p w14:paraId="7A810E87">
      <w:pPr>
        <w:pageBreakBefore w:val="0"/>
        <w:widowControl w:val="0"/>
        <w:kinsoku/>
        <w:wordWrap/>
        <w:overflowPunct/>
        <w:topLinePunct w:val="0"/>
        <w:bidi w:val="0"/>
        <w:adjustRightIn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lang w:val="en-US" w:eastAsia="zh-CN"/>
        </w:rPr>
        <w:t>负责创意和执行方案报批的所有手续，</w:t>
      </w:r>
      <w:r>
        <w:rPr>
          <w:rFonts w:hint="eastAsia" w:asciiTheme="minorEastAsia" w:hAnsiTheme="minorEastAsia" w:cstheme="minorEastAsia"/>
          <w:color w:val="auto"/>
          <w:sz w:val="24"/>
          <w:szCs w:val="24"/>
          <w:highlight w:val="none"/>
          <w:lang w:val="en-US" w:eastAsia="zh-CN"/>
        </w:rPr>
        <w:t>乙</w:t>
      </w:r>
      <w:r>
        <w:rPr>
          <w:rFonts w:hint="eastAsia" w:asciiTheme="minorEastAsia" w:hAnsiTheme="minorEastAsia" w:eastAsiaTheme="minorEastAsia" w:cstheme="minorEastAsia"/>
          <w:color w:val="auto"/>
          <w:sz w:val="24"/>
          <w:szCs w:val="24"/>
          <w:highlight w:val="none"/>
          <w:lang w:val="en-US" w:eastAsia="zh-CN"/>
        </w:rPr>
        <w:t>方须积极配合。</w:t>
      </w:r>
    </w:p>
    <w:p w14:paraId="5504237C">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三、合同金额</w:t>
      </w:r>
    </w:p>
    <w:p w14:paraId="5E41F66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本合同金额为（大写）：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rPr>
        <w:t>策划及执行服务</w:t>
      </w:r>
      <w:r>
        <w:rPr>
          <w:rFonts w:hint="eastAsia" w:ascii="宋体" w:hAnsi="宋体" w:eastAsia="宋体" w:cs="宋体"/>
          <w:color w:val="auto"/>
          <w:sz w:val="24"/>
          <w:szCs w:val="24"/>
          <w:highlight w:val="none"/>
          <w:lang w:eastAsia="zh-CN"/>
        </w:rPr>
        <w:t>费</w:t>
      </w:r>
      <w:r>
        <w:rPr>
          <w:rFonts w:hint="eastAsia" w:ascii="宋体" w:hAnsi="宋体" w:eastAsia="宋体" w:cs="宋体"/>
          <w:color w:val="auto"/>
          <w:sz w:val="24"/>
          <w:szCs w:val="24"/>
          <w:highlight w:val="none"/>
        </w:rPr>
        <w:t>为（大写）：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；接待服务费为</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该总金额</w:t>
      </w:r>
      <w:r>
        <w:rPr>
          <w:rFonts w:hint="eastAsia" w:ascii="宋体" w:hAnsi="宋体" w:eastAsia="宋体" w:cs="宋体"/>
          <w:color w:val="auto"/>
          <w:sz w:val="24"/>
          <w:szCs w:val="24"/>
          <w:highlight w:val="none"/>
          <w:lang w:val="zh-CN"/>
        </w:rPr>
        <w:t>包含</w:t>
      </w:r>
      <w:r>
        <w:rPr>
          <w:rFonts w:hint="eastAsia" w:ascii="宋体" w:hAnsi="宋体" w:eastAsia="宋体" w:cs="宋体"/>
          <w:color w:val="auto"/>
          <w:sz w:val="24"/>
          <w:szCs w:val="24"/>
          <w:highlight w:val="none"/>
        </w:rPr>
        <w:t>负责承担本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一切费用，包括负责</w:t>
      </w:r>
      <w:r>
        <w:rPr>
          <w:rFonts w:hint="eastAsia" w:ascii="宋体" w:hAnsi="宋体" w:eastAsia="宋体" w:cs="宋体"/>
          <w:color w:val="auto"/>
          <w:sz w:val="24"/>
          <w:szCs w:val="24"/>
          <w:highlight w:val="none"/>
          <w:lang w:eastAsia="zh-CN"/>
        </w:rPr>
        <w:t>浙江省第五届体育大会开闭幕式和时尚科技体育嘉年华（</w:t>
      </w:r>
      <w:r>
        <w:rPr>
          <w:rFonts w:hint="eastAsia" w:ascii="宋体" w:hAnsi="宋体" w:eastAsia="宋体" w:cs="宋体"/>
          <w:color w:val="auto"/>
          <w:sz w:val="24"/>
          <w:szCs w:val="24"/>
          <w:highlight w:val="none"/>
          <w:lang w:val="en-US" w:eastAsia="zh-CN"/>
        </w:rPr>
        <w:t>含彩排期间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所有工作人员（总导演、总撰稿、执行导演、舞美设计、音乐设计以及其他岗位人员</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）和其他完成</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w:t>
      </w:r>
      <w:r>
        <w:rPr>
          <w:rFonts w:hint="eastAsia" w:ascii="宋体" w:hAnsi="宋体" w:eastAsia="宋体" w:cs="宋体"/>
          <w:color w:val="auto"/>
          <w:sz w:val="24"/>
          <w:szCs w:val="24"/>
          <w:highlight w:val="none"/>
          <w:lang w:eastAsia="zh-CN"/>
        </w:rPr>
        <w:t>、时尚科技体育嘉年华活动</w:t>
      </w:r>
      <w:r>
        <w:rPr>
          <w:rFonts w:hint="eastAsia" w:ascii="宋体" w:hAnsi="宋体" w:eastAsia="宋体" w:cs="宋体"/>
          <w:color w:val="auto"/>
          <w:sz w:val="24"/>
          <w:szCs w:val="24"/>
          <w:highlight w:val="none"/>
          <w:lang w:val="en-US" w:eastAsia="zh-CN"/>
        </w:rPr>
        <w:t>及接待</w:t>
      </w:r>
      <w:r>
        <w:rPr>
          <w:rFonts w:hint="eastAsia" w:ascii="宋体" w:hAnsi="宋体" w:eastAsia="宋体" w:cs="宋体"/>
          <w:color w:val="auto"/>
          <w:sz w:val="24"/>
          <w:szCs w:val="24"/>
          <w:highlight w:val="none"/>
        </w:rPr>
        <w:t>工作任务所需的一切费用，包括但不限于人员劳务、交通、食宿、以及相关硬件设备及耗材、音视频素材制作、相关物资、保险、税金等所有费用。</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须按照项目组委会下达的其他任务要求，无条件、全方位做好一切</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闭幕式领域所需及新增的所有工作任务，</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不承担本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明确约定由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承担之外的任何其他费用。</w:t>
      </w:r>
    </w:p>
    <w:p w14:paraId="143DE794">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四、技术资料</w:t>
      </w:r>
    </w:p>
    <w:p w14:paraId="39DE3E3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1.乙方应按竞争性磋商文件规定的时间向甲方提供有关技术资料。</w:t>
      </w:r>
    </w:p>
    <w:p w14:paraId="3F6E142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6AA5C0F">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五、知识产权</w:t>
      </w:r>
    </w:p>
    <w:p w14:paraId="293854FA">
      <w:pPr>
        <w:spacing w:line="440" w:lineRule="exact"/>
        <w:ind w:firstLine="480" w:firstLineChars="200"/>
        <w:rPr>
          <w:rFonts w:hint="eastAsia" w:ascii="宋体" w:hAnsi="宋体" w:eastAsia="宋体" w:cs="宋体"/>
          <w:color w:val="auto"/>
          <w:sz w:val="24"/>
          <w:szCs w:val="24"/>
          <w:highlight w:val="none"/>
        </w:rPr>
      </w:pPr>
      <w:r>
        <w:rPr>
          <w:rFonts w:hint="eastAsia" w:asciiTheme="minorEastAsia" w:hAnsi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使用</w:t>
      </w:r>
      <w:r>
        <w:rPr>
          <w:rFonts w:hint="eastAsia" w:asciiTheme="minorEastAsia" w:hAnsi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提供的服务时免受第三方提出的侵犯其专利权或其它知识产权的起诉。如果第三方提出侵权指控，</w:t>
      </w:r>
      <w:r>
        <w:rPr>
          <w:rFonts w:hint="eastAsia" w:asciiTheme="minorEastAsia" w:hAnsi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应承担由此而引起的一切法律责任和费用。本项目知识产权归</w:t>
      </w:r>
      <w:r>
        <w:rPr>
          <w:rFonts w:hint="eastAsia" w:asciiTheme="minorEastAsia" w:hAnsi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所有</w:t>
      </w:r>
      <w:r>
        <w:rPr>
          <w:rFonts w:hint="eastAsia" w:ascii="宋体" w:hAnsi="宋体" w:eastAsia="宋体" w:cs="宋体"/>
          <w:color w:val="auto"/>
          <w:sz w:val="24"/>
          <w:szCs w:val="24"/>
          <w:highlight w:val="none"/>
        </w:rPr>
        <w:t>。</w:t>
      </w:r>
    </w:p>
    <w:p w14:paraId="23EBC38E">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六、产权担保</w:t>
      </w:r>
    </w:p>
    <w:p w14:paraId="3ADC220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乙方保证所交付的服务的所有权完全属于乙方且无任何抵押、查封等产权瑕疵。</w:t>
      </w:r>
    </w:p>
    <w:p w14:paraId="53B8E837">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七、履约保证金</w:t>
      </w:r>
    </w:p>
    <w:p w14:paraId="267D34AB">
      <w:pPr>
        <w:spacing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履约保证金金额：无</w:t>
      </w:r>
      <w:r>
        <w:rPr>
          <w:rFonts w:hint="eastAsia" w:ascii="宋体" w:hAnsi="宋体" w:eastAsia="宋体" w:cs="宋体"/>
          <w:color w:val="auto"/>
          <w:kern w:val="0"/>
          <w:sz w:val="24"/>
          <w:szCs w:val="24"/>
          <w:highlight w:val="none"/>
        </w:rPr>
        <w:t>。</w:t>
      </w:r>
    </w:p>
    <w:p w14:paraId="1A4257B0">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八、转包或分包</w:t>
      </w:r>
    </w:p>
    <w:p w14:paraId="1777185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28E7634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2.除非得到甲方的书面同意，乙方不得将本合同范围的服务全部或部分分包给他人供应；</w:t>
      </w:r>
    </w:p>
    <w:p w14:paraId="621A8091">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九、服务期及地点</w:t>
      </w:r>
    </w:p>
    <w:p w14:paraId="70FB4CF1">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1.服务期：</w:t>
      </w:r>
      <w:r>
        <w:rPr>
          <w:rFonts w:hint="eastAsia" w:ascii="宋体" w:hAnsi="宋体" w:eastAsia="宋体"/>
          <w:bCs/>
          <w:color w:val="auto"/>
          <w:sz w:val="24"/>
          <w:highlight w:val="none"/>
        </w:rPr>
        <w:t>自签订合同之日起至闭幕式圆满结束并妥善清场为止</w:t>
      </w:r>
      <w:r>
        <w:rPr>
          <w:rFonts w:hint="eastAsia" w:ascii="宋体" w:hAnsi="宋体" w:eastAsia="宋体" w:cs="宋体"/>
          <w:color w:val="auto"/>
          <w:sz w:val="24"/>
          <w:szCs w:val="24"/>
          <w:highlight w:val="none"/>
        </w:rPr>
        <w:t>。</w:t>
      </w:r>
    </w:p>
    <w:p w14:paraId="40ED7E9E">
      <w:pPr>
        <w:spacing w:line="440" w:lineRule="exact"/>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2.服务地点：</w:t>
      </w:r>
      <w:r>
        <w:rPr>
          <w:rFonts w:hint="eastAsia" w:ascii="宋体" w:hAnsi="宋体" w:eastAsia="宋体"/>
          <w:color w:val="auto"/>
          <w:kern w:val="0"/>
          <w:sz w:val="24"/>
          <w:highlight w:val="none"/>
          <w:lang w:val="en-US" w:eastAsia="zh-CN"/>
        </w:rPr>
        <w:t xml:space="preserve"> </w:t>
      </w:r>
    </w:p>
    <w:p w14:paraId="740A29CF">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十、付款方式</w:t>
      </w:r>
    </w:p>
    <w:p w14:paraId="3E6E321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bCs/>
          <w:color w:val="auto"/>
          <w:sz w:val="24"/>
          <w:highlight w:val="none"/>
          <w:lang w:val="en-US" w:eastAsia="zh-CN"/>
        </w:rPr>
        <w:t>1.</w:t>
      </w:r>
      <w:r>
        <w:rPr>
          <w:rFonts w:hint="eastAsia" w:ascii="宋体" w:hAnsi="宋体" w:eastAsia="宋体"/>
          <w:bCs/>
          <w:color w:val="auto"/>
          <w:sz w:val="24"/>
          <w:highlight w:val="none"/>
          <w:lang w:eastAsia="zh-CN"/>
        </w:rPr>
        <w:t>在合同生效以及具备实施条件后7个工作日内,甲方向乙方支付合同总金额的40%作为预付款；开幕式举办前10个工作日且所有策划方案经甲方确定通过后支付合同总金额的20%；闭幕式结束后支付合同总金额的20%；乙方向甲方移交相关材料，由甲方组织验收并根据验收考核结果支付剩余款项</w:t>
      </w:r>
      <w:r>
        <w:rPr>
          <w:rFonts w:hint="eastAsia" w:ascii="宋体" w:hAnsi="宋体" w:eastAsia="宋体" w:cs="宋体"/>
          <w:color w:val="auto"/>
          <w:sz w:val="24"/>
          <w:szCs w:val="24"/>
          <w:highlight w:val="none"/>
        </w:rPr>
        <w:t>。</w:t>
      </w:r>
    </w:p>
    <w:p w14:paraId="106F803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2.闭幕式</w:t>
      </w:r>
      <w:r>
        <w:rPr>
          <w:rFonts w:hint="eastAsia" w:ascii="宋体" w:hAnsi="宋体" w:eastAsia="宋体" w:cs="宋体"/>
          <w:color w:val="auto"/>
          <w:sz w:val="24"/>
          <w:szCs w:val="24"/>
          <w:highlight w:val="none"/>
        </w:rPr>
        <w:t>结束后，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将根据项目</w:t>
      </w:r>
      <w:r>
        <w:rPr>
          <w:rFonts w:hint="eastAsia" w:ascii="宋体" w:hAnsi="宋体" w:eastAsia="宋体" w:cs="宋体"/>
          <w:color w:val="auto"/>
          <w:sz w:val="24"/>
          <w:szCs w:val="24"/>
          <w:highlight w:val="none"/>
          <w:lang w:eastAsia="zh-CN"/>
        </w:rPr>
        <w:t>验收</w:t>
      </w:r>
      <w:r>
        <w:rPr>
          <w:rFonts w:hint="eastAsia" w:ascii="宋体" w:hAnsi="宋体" w:eastAsia="宋体" w:cs="宋体"/>
          <w:color w:val="auto"/>
          <w:sz w:val="24"/>
          <w:szCs w:val="24"/>
          <w:highlight w:val="none"/>
          <w:lang w:val="en-US" w:eastAsia="zh-CN"/>
        </w:rPr>
        <w:t>考核</w:t>
      </w:r>
      <w:r>
        <w:rPr>
          <w:rFonts w:hint="eastAsia" w:ascii="宋体" w:hAnsi="宋体" w:eastAsia="宋体" w:cs="宋体"/>
          <w:color w:val="auto"/>
          <w:sz w:val="24"/>
          <w:szCs w:val="24"/>
          <w:highlight w:val="none"/>
        </w:rPr>
        <w:t>情况（满分100分），按以下原则确定合同价款：</w:t>
      </w:r>
    </w:p>
    <w:p w14:paraId="4CCEDDE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（1）考核</w:t>
      </w:r>
      <w:r>
        <w:rPr>
          <w:rFonts w:hint="eastAsia" w:ascii="宋体" w:hAnsi="宋体" w:eastAsia="宋体" w:cs="宋体"/>
          <w:color w:val="auto"/>
          <w:sz w:val="24"/>
          <w:szCs w:val="24"/>
          <w:highlight w:val="none"/>
          <w:lang w:val="en-US" w:eastAsia="zh-CN"/>
        </w:rPr>
        <w:t>分值达</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分以上（含9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分）为优秀，</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最终</w:t>
      </w:r>
      <w:r>
        <w:rPr>
          <w:rFonts w:hint="eastAsia" w:ascii="宋体" w:hAnsi="宋体" w:eastAsia="宋体" w:cs="宋体"/>
          <w:color w:val="auto"/>
          <w:sz w:val="24"/>
          <w:szCs w:val="24"/>
          <w:highlight w:val="none"/>
          <w:lang w:val="en-US" w:eastAsia="zh-CN"/>
        </w:rPr>
        <w:t>支付全部考核金（合同金额的20%）</w:t>
      </w:r>
      <w:r>
        <w:rPr>
          <w:rFonts w:hint="eastAsia" w:ascii="宋体" w:hAnsi="宋体" w:eastAsia="宋体" w:cs="宋体"/>
          <w:color w:val="auto"/>
          <w:sz w:val="24"/>
          <w:szCs w:val="24"/>
          <w:highlight w:val="none"/>
        </w:rPr>
        <w:t>；</w:t>
      </w:r>
    </w:p>
    <w:p w14:paraId="33E9B8A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（2）考核分值达</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分（含</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分）为良好，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最终支付</w:t>
      </w:r>
      <w:r>
        <w:rPr>
          <w:rFonts w:hint="eastAsia" w:ascii="宋体" w:hAnsi="宋体" w:eastAsia="宋体" w:cs="宋体"/>
          <w:color w:val="auto"/>
          <w:sz w:val="24"/>
          <w:szCs w:val="24"/>
          <w:highlight w:val="none"/>
          <w:lang w:val="en-US" w:eastAsia="zh-CN"/>
        </w:rPr>
        <w:t>90%考核金（合同金额的20%）</w:t>
      </w:r>
      <w:r>
        <w:rPr>
          <w:rFonts w:hint="eastAsia" w:ascii="宋体" w:hAnsi="宋体" w:eastAsia="宋体" w:cs="宋体"/>
          <w:color w:val="auto"/>
          <w:sz w:val="24"/>
          <w:szCs w:val="24"/>
          <w:highlight w:val="none"/>
        </w:rPr>
        <w:t>；</w:t>
      </w:r>
    </w:p>
    <w:p w14:paraId="6EBAD81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（3）考核分值达</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0分（含</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分）为</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最终支付</w:t>
      </w:r>
      <w:r>
        <w:rPr>
          <w:rFonts w:hint="eastAsia" w:ascii="宋体" w:hAnsi="宋体" w:eastAsia="宋体" w:cs="宋体"/>
          <w:color w:val="auto"/>
          <w:sz w:val="24"/>
          <w:szCs w:val="24"/>
          <w:highlight w:val="none"/>
          <w:lang w:val="en-US" w:eastAsia="zh-CN"/>
        </w:rPr>
        <w:t>80%考核金（合同金额的20%）</w:t>
      </w:r>
      <w:r>
        <w:rPr>
          <w:rFonts w:hint="eastAsia" w:ascii="宋体" w:hAnsi="宋体" w:eastAsia="宋体" w:cs="宋体"/>
          <w:color w:val="auto"/>
          <w:sz w:val="24"/>
          <w:szCs w:val="24"/>
          <w:highlight w:val="none"/>
        </w:rPr>
        <w:t>；</w:t>
      </w:r>
    </w:p>
    <w:p w14:paraId="5976A20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）考核分值达</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分（含</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分）为</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最终支付</w:t>
      </w:r>
      <w:r>
        <w:rPr>
          <w:rFonts w:hint="eastAsia" w:ascii="宋体" w:hAnsi="宋体" w:eastAsia="宋体" w:cs="宋体"/>
          <w:color w:val="auto"/>
          <w:sz w:val="24"/>
          <w:szCs w:val="24"/>
          <w:highlight w:val="none"/>
          <w:lang w:val="en-US" w:eastAsia="zh-CN"/>
        </w:rPr>
        <w:t>70%考核金（合同金额的20%）</w:t>
      </w:r>
      <w:r>
        <w:rPr>
          <w:rFonts w:hint="eastAsia" w:ascii="宋体" w:hAnsi="宋体" w:eastAsia="宋体" w:cs="宋体"/>
          <w:color w:val="auto"/>
          <w:sz w:val="24"/>
          <w:szCs w:val="24"/>
          <w:highlight w:val="none"/>
        </w:rPr>
        <w:t>；</w:t>
      </w:r>
    </w:p>
    <w:p w14:paraId="1697CA4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）考核分值</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分以下或有下列情况之一的为较差，</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将不支付剩余合同价款</w:t>
      </w:r>
      <w:r>
        <w:rPr>
          <w:rFonts w:hint="eastAsia" w:ascii="宋体" w:hAnsi="宋体" w:eastAsia="宋体" w:cs="宋体"/>
          <w:color w:val="auto"/>
          <w:sz w:val="24"/>
          <w:szCs w:val="24"/>
          <w:highlight w:val="none"/>
          <w:lang w:val="en-US" w:eastAsia="zh-CN"/>
        </w:rPr>
        <w:t>（合同金额的20%）</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造成损失的，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赔偿损失，并保留进一步追究法律的责任：</w:t>
      </w:r>
    </w:p>
    <w:p w14:paraId="5CF175F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①违反</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文件规定，未经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批准擅自更改实施方案或改变实施内容；</w:t>
      </w:r>
    </w:p>
    <w:p w14:paraId="10EFCE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w:t>
      </w:r>
      <w:r>
        <w:rPr>
          <w:rFonts w:hint="eastAsia" w:ascii="宋体" w:hAnsi="宋体" w:eastAsia="宋体" w:cs="宋体"/>
          <w:color w:val="auto"/>
          <w:sz w:val="24"/>
          <w:szCs w:val="24"/>
          <w:highlight w:val="none"/>
          <w:lang w:val="en-US" w:eastAsia="zh-CN"/>
        </w:rPr>
        <w:t>考核</w:t>
      </w:r>
      <w:r>
        <w:rPr>
          <w:rFonts w:hint="eastAsia" w:ascii="宋体" w:hAnsi="宋体" w:eastAsia="宋体" w:cs="宋体"/>
          <w:color w:val="auto"/>
          <w:sz w:val="24"/>
          <w:szCs w:val="24"/>
          <w:highlight w:val="none"/>
        </w:rPr>
        <w:t>验收中和其他相关检查中发现项目服务质量等方面存在重大问题；</w:t>
      </w:r>
    </w:p>
    <w:p w14:paraId="18305A43">
      <w:pPr>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③发生原则性和其他重大失误，造成社会和国际不良影响，有损国家形象</w:t>
      </w:r>
      <w:r>
        <w:rPr>
          <w:rFonts w:hint="eastAsia" w:ascii="宋体" w:hAnsi="宋体" w:eastAsia="宋体" w:cs="宋体"/>
          <w:color w:val="auto"/>
          <w:sz w:val="24"/>
          <w:szCs w:val="24"/>
          <w:highlight w:val="none"/>
          <w:lang w:eastAsia="zh-CN"/>
        </w:rPr>
        <w:t>；</w:t>
      </w:r>
    </w:p>
    <w:p w14:paraId="4DAEA94D">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④项目实施进度非因不可抗力因素严重滞后。</w:t>
      </w:r>
    </w:p>
    <w:p w14:paraId="2E57FC64">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十一、税费</w:t>
      </w:r>
    </w:p>
    <w:p w14:paraId="35A3F11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53B070AA">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十二、质量保证及售后服务</w:t>
      </w:r>
    </w:p>
    <w:p w14:paraId="45347F1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1．乙方应按磋商文件规定向甲方提供服务。</w:t>
      </w:r>
    </w:p>
    <w:p w14:paraId="2BC23FA2">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133F6132">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14:paraId="16D7C958">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14:paraId="4A2038D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14:paraId="67643271">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上述三种方式如协商不成，甲方有权直接自行选择上述三项处理方式任一项进行处理，乙方不得异议。</w:t>
      </w:r>
    </w:p>
    <w:p w14:paraId="4C3C2142">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3．如在使用过程中发生问题，乙方在接到甲方通知后在</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小时内到达甲方现场。</w:t>
      </w:r>
    </w:p>
    <w:p w14:paraId="3DD17282">
      <w:pPr>
        <w:widowControl/>
        <w:adjustRightInd w:val="0"/>
        <w:snapToGrid w:val="0"/>
        <w:spacing w:line="44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4．在服务期内，乙方应对出现的质量及安全问题负责处理解决并承担一切费用。</w:t>
      </w:r>
    </w:p>
    <w:p w14:paraId="4F8AB5F8">
      <w:pPr>
        <w:spacing w:line="44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十三、验收考核要求</w:t>
      </w:r>
    </w:p>
    <w:p w14:paraId="003EB19B">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验收细则</w:t>
      </w:r>
    </w:p>
    <w:tbl>
      <w:tblPr>
        <w:tblStyle w:val="26"/>
        <w:tblW w:w="10078" w:type="dxa"/>
        <w:jc w:val="center"/>
        <w:tblLayout w:type="fixed"/>
        <w:tblCellMar>
          <w:top w:w="0" w:type="dxa"/>
          <w:left w:w="108" w:type="dxa"/>
          <w:bottom w:w="0" w:type="dxa"/>
          <w:right w:w="108" w:type="dxa"/>
        </w:tblCellMar>
      </w:tblPr>
      <w:tblGrid>
        <w:gridCol w:w="494"/>
        <w:gridCol w:w="1195"/>
        <w:gridCol w:w="6919"/>
        <w:gridCol w:w="600"/>
        <w:gridCol w:w="870"/>
      </w:tblGrid>
      <w:tr w14:paraId="0CAA38CF">
        <w:tblPrEx>
          <w:tblCellMar>
            <w:top w:w="0" w:type="dxa"/>
            <w:left w:w="108" w:type="dxa"/>
            <w:bottom w:w="0" w:type="dxa"/>
            <w:right w:w="108" w:type="dxa"/>
          </w:tblCellMar>
        </w:tblPrEx>
        <w:trPr>
          <w:trHeight w:val="495" w:hRule="atLeast"/>
          <w:jc w:val="center"/>
        </w:trPr>
        <w:tc>
          <w:tcPr>
            <w:tcW w:w="494" w:type="dxa"/>
            <w:tcBorders>
              <w:top w:val="single" w:color="000000" w:sz="8" w:space="0"/>
              <w:left w:val="single" w:color="000000" w:sz="8" w:space="0"/>
              <w:bottom w:val="single" w:color="000000" w:sz="4" w:space="0"/>
              <w:right w:val="single" w:color="000000" w:sz="4" w:space="0"/>
            </w:tcBorders>
            <w:vAlign w:val="center"/>
          </w:tcPr>
          <w:p w14:paraId="26483C9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序号</w:t>
            </w:r>
          </w:p>
        </w:tc>
        <w:tc>
          <w:tcPr>
            <w:tcW w:w="1195" w:type="dxa"/>
            <w:tcBorders>
              <w:top w:val="single" w:color="000000" w:sz="8" w:space="0"/>
              <w:left w:val="single" w:color="000000" w:sz="4" w:space="0"/>
              <w:bottom w:val="single" w:color="000000" w:sz="4" w:space="0"/>
              <w:right w:val="single" w:color="000000" w:sz="4" w:space="0"/>
            </w:tcBorders>
            <w:vAlign w:val="center"/>
          </w:tcPr>
          <w:p w14:paraId="403CD46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一级指标</w:t>
            </w:r>
          </w:p>
        </w:tc>
        <w:tc>
          <w:tcPr>
            <w:tcW w:w="6919" w:type="dxa"/>
            <w:tcBorders>
              <w:top w:val="single" w:color="000000" w:sz="8" w:space="0"/>
              <w:left w:val="single" w:color="000000" w:sz="4" w:space="0"/>
              <w:bottom w:val="single" w:color="000000" w:sz="4" w:space="0"/>
              <w:right w:val="single" w:color="000000" w:sz="4" w:space="0"/>
            </w:tcBorders>
            <w:vAlign w:val="center"/>
          </w:tcPr>
          <w:p w14:paraId="4FE37B1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二级指标</w:t>
            </w:r>
          </w:p>
        </w:tc>
        <w:tc>
          <w:tcPr>
            <w:tcW w:w="600" w:type="dxa"/>
            <w:tcBorders>
              <w:top w:val="single" w:color="000000" w:sz="8" w:space="0"/>
              <w:left w:val="single" w:color="000000" w:sz="4" w:space="0"/>
              <w:bottom w:val="single" w:color="000000" w:sz="4" w:space="0"/>
              <w:right w:val="single" w:color="000000" w:sz="8" w:space="0"/>
            </w:tcBorders>
            <w:vAlign w:val="center"/>
          </w:tcPr>
          <w:p w14:paraId="6D426CF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c>
          <w:tcPr>
            <w:tcW w:w="870" w:type="dxa"/>
            <w:tcBorders>
              <w:top w:val="single" w:color="000000" w:sz="8" w:space="0"/>
              <w:left w:val="single" w:color="000000" w:sz="4" w:space="0"/>
              <w:bottom w:val="single" w:color="000000" w:sz="4" w:space="0"/>
              <w:right w:val="single" w:color="000000" w:sz="8" w:space="0"/>
            </w:tcBorders>
            <w:vAlign w:val="center"/>
          </w:tcPr>
          <w:p w14:paraId="59BBE0D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支付比例</w:t>
            </w:r>
          </w:p>
        </w:tc>
      </w:tr>
      <w:tr w14:paraId="414B4389">
        <w:tblPrEx>
          <w:tblCellMar>
            <w:top w:w="0" w:type="dxa"/>
            <w:left w:w="108" w:type="dxa"/>
            <w:bottom w:w="0" w:type="dxa"/>
            <w:right w:w="108" w:type="dxa"/>
          </w:tblCellMar>
        </w:tblPrEx>
        <w:trPr>
          <w:trHeight w:val="2365" w:hRule="atLeast"/>
          <w:jc w:val="center"/>
        </w:trPr>
        <w:tc>
          <w:tcPr>
            <w:tcW w:w="494" w:type="dxa"/>
            <w:tcBorders>
              <w:top w:val="single" w:color="000000" w:sz="4" w:space="0"/>
              <w:left w:val="single" w:color="000000" w:sz="8" w:space="0"/>
              <w:bottom w:val="single" w:color="000000" w:sz="4" w:space="0"/>
              <w:right w:val="single" w:color="000000" w:sz="4" w:space="0"/>
            </w:tcBorders>
            <w:vAlign w:val="center"/>
          </w:tcPr>
          <w:p w14:paraId="31DE09F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p>
        </w:tc>
        <w:tc>
          <w:tcPr>
            <w:tcW w:w="1195" w:type="dxa"/>
            <w:tcBorders>
              <w:top w:val="single" w:color="000000" w:sz="4" w:space="0"/>
              <w:left w:val="single" w:color="000000" w:sz="4" w:space="0"/>
              <w:bottom w:val="single" w:color="000000" w:sz="4" w:space="0"/>
              <w:right w:val="single" w:color="000000" w:sz="4" w:space="0"/>
            </w:tcBorders>
            <w:vAlign w:val="center"/>
          </w:tcPr>
          <w:p w14:paraId="06F2D0B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eastAsia="zh-CN"/>
              </w:rPr>
              <w:t>总体</w:t>
            </w:r>
            <w:r>
              <w:rPr>
                <w:rFonts w:hint="eastAsia" w:asciiTheme="minorEastAsia" w:hAnsiTheme="minorEastAsia" w:eastAsiaTheme="minorEastAsia" w:cstheme="minorEastAsia"/>
                <w:b/>
                <w:bCs w:val="0"/>
                <w:color w:val="auto"/>
                <w:sz w:val="24"/>
                <w:szCs w:val="24"/>
                <w:highlight w:val="none"/>
              </w:rPr>
              <w:t>要求</w:t>
            </w:r>
          </w:p>
        </w:tc>
        <w:tc>
          <w:tcPr>
            <w:tcW w:w="6919" w:type="dxa"/>
            <w:tcBorders>
              <w:top w:val="single" w:color="000000" w:sz="4" w:space="0"/>
              <w:left w:val="single" w:color="000000" w:sz="4" w:space="0"/>
              <w:bottom w:val="single" w:color="000000" w:sz="4" w:space="0"/>
              <w:right w:val="single" w:color="000000" w:sz="4" w:space="0"/>
            </w:tcBorders>
            <w:vAlign w:val="center"/>
          </w:tcPr>
          <w:p w14:paraId="0E9EEC54">
            <w:pPr>
              <w:keepNext w:val="0"/>
              <w:keepLines w:val="0"/>
              <w:pageBreakBefore w:val="0"/>
              <w:widowControl w:val="0"/>
              <w:numPr>
                <w:ilvl w:val="0"/>
                <w:numId w:val="0"/>
              </w:numPr>
              <w:kinsoku/>
              <w:wordWrap/>
              <w:overflowPunct/>
              <w:topLinePunct w:val="0"/>
              <w:autoSpaceDE/>
              <w:autoSpaceDN/>
              <w:bidi w:val="0"/>
              <w:spacing w:beforeAutospacing="0" w:afterAutospacing="0" w:line="24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sz w:val="24"/>
                <w:szCs w:val="24"/>
                <w:highlight w:val="none"/>
              </w:rPr>
              <w:t>全面负责浙江省第五届体育大会开闭幕式和时尚科技体育嘉年华执行服务演出的整体策划、筹备和组织实施工作，保证活动按主办单位、承办单位最终审定批准的创意方案和执行方案</w:t>
            </w:r>
            <w:r>
              <w:rPr>
                <w:rFonts w:hint="eastAsia" w:asciiTheme="minorEastAsia" w:hAnsiTheme="minorEastAsia" w:eastAsiaTheme="minorEastAsia" w:cstheme="minorEastAsia"/>
                <w:color w:val="auto"/>
                <w:sz w:val="24"/>
                <w:szCs w:val="24"/>
                <w:highlight w:val="none"/>
                <w:lang w:eastAsia="zh-CN"/>
              </w:rPr>
              <w:t>以及开闭幕式主场馆及活动区域的环境提升</w:t>
            </w:r>
            <w:r>
              <w:rPr>
                <w:rFonts w:hint="eastAsia" w:asciiTheme="minorEastAsia" w:hAnsiTheme="minorEastAsia" w:eastAsiaTheme="minorEastAsia" w:cstheme="minorEastAsia"/>
                <w:color w:val="auto"/>
                <w:sz w:val="24"/>
                <w:szCs w:val="24"/>
                <w:highlight w:val="none"/>
              </w:rPr>
              <w:t>，按时、规范、安全、精彩、圆满完成，并承担相应费用。</w:t>
            </w:r>
          </w:p>
          <w:p w14:paraId="1DE344D7">
            <w:pPr>
              <w:keepNext w:val="0"/>
              <w:keepLines w:val="0"/>
              <w:pageBreakBefore w:val="0"/>
              <w:widowControl w:val="0"/>
              <w:numPr>
                <w:ilvl w:val="0"/>
                <w:numId w:val="0"/>
              </w:numPr>
              <w:kinsoku/>
              <w:wordWrap/>
              <w:overflowPunct/>
              <w:topLinePunct w:val="0"/>
              <w:autoSpaceDE/>
              <w:autoSpaceDN/>
              <w:bidi w:val="0"/>
              <w:spacing w:beforeAutospacing="0" w:afterAutospacing="0" w:line="240" w:lineRule="auto"/>
              <w:ind w:left="0" w:leftChars="0"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rPr>
              <w:t>提供的所有服务、产品、设备和材料必须符合相关行业标准和质量要求。</w:t>
            </w:r>
          </w:p>
          <w:p w14:paraId="67D735F7">
            <w:pPr>
              <w:keepNext w:val="0"/>
              <w:keepLines w:val="0"/>
              <w:pageBreakBefore w:val="0"/>
              <w:widowControl w:val="0"/>
              <w:numPr>
                <w:ilvl w:val="0"/>
                <w:numId w:val="0"/>
              </w:numPr>
              <w:kinsoku/>
              <w:wordWrap/>
              <w:overflowPunct/>
              <w:topLinePunct w:val="0"/>
              <w:autoSpaceDE/>
              <w:autoSpaceDN/>
              <w:bidi w:val="0"/>
              <w:spacing w:beforeAutospacing="0" w:afterAutospacing="0" w:line="240" w:lineRule="auto"/>
              <w:ind w:leftChars="0"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制订切实可行的总体工作方案，充分体现主题特色，全面落实采购方对本次活动的具体目标和创意要求，最大程度的满足公众需求，扩大社会效益</w:t>
            </w:r>
            <w:r>
              <w:rPr>
                <w:rFonts w:hint="eastAsia" w:asciiTheme="minorEastAsia" w:hAnsiTheme="minorEastAsia" w:eastAsiaTheme="minorEastAsia" w:cstheme="minorEastAsia"/>
                <w:color w:val="auto"/>
                <w:sz w:val="24"/>
                <w:szCs w:val="24"/>
                <w:highlight w:val="none"/>
                <w:lang w:eastAsia="zh-CN"/>
              </w:rPr>
              <w:t>。</w:t>
            </w:r>
          </w:p>
        </w:tc>
        <w:tc>
          <w:tcPr>
            <w:tcW w:w="600" w:type="dxa"/>
            <w:tcBorders>
              <w:top w:val="single" w:color="000000" w:sz="4" w:space="0"/>
              <w:left w:val="single" w:color="000000" w:sz="4" w:space="0"/>
              <w:bottom w:val="single" w:color="000000" w:sz="4" w:space="0"/>
              <w:right w:val="single" w:color="000000" w:sz="8" w:space="0"/>
            </w:tcBorders>
            <w:vAlign w:val="center"/>
          </w:tcPr>
          <w:p w14:paraId="37CBB1F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12</w:t>
            </w:r>
          </w:p>
        </w:tc>
        <w:tc>
          <w:tcPr>
            <w:tcW w:w="870" w:type="dxa"/>
            <w:vMerge w:val="restart"/>
            <w:tcBorders>
              <w:top w:val="single" w:color="000000" w:sz="4" w:space="0"/>
              <w:left w:val="single" w:color="000000" w:sz="4" w:space="0"/>
              <w:right w:val="single" w:color="000000" w:sz="8" w:space="0"/>
            </w:tcBorders>
            <w:vAlign w:val="center"/>
          </w:tcPr>
          <w:p w14:paraId="27D3432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合同金额的</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0%</w:t>
            </w:r>
          </w:p>
        </w:tc>
      </w:tr>
      <w:tr w14:paraId="647B5279">
        <w:tblPrEx>
          <w:tblCellMar>
            <w:top w:w="0" w:type="dxa"/>
            <w:left w:w="108" w:type="dxa"/>
            <w:bottom w:w="0" w:type="dxa"/>
            <w:right w:w="108" w:type="dxa"/>
          </w:tblCellMar>
        </w:tblPrEx>
        <w:trPr>
          <w:trHeight w:val="1200" w:hRule="atLeast"/>
          <w:jc w:val="center"/>
        </w:trPr>
        <w:tc>
          <w:tcPr>
            <w:tcW w:w="494" w:type="dxa"/>
            <w:tcBorders>
              <w:top w:val="single" w:color="000000" w:sz="4" w:space="0"/>
              <w:left w:val="single" w:color="000000" w:sz="8" w:space="0"/>
              <w:bottom w:val="single" w:color="000000" w:sz="4" w:space="0"/>
              <w:right w:val="single" w:color="000000" w:sz="4" w:space="0"/>
            </w:tcBorders>
            <w:vAlign w:val="center"/>
          </w:tcPr>
          <w:p w14:paraId="43AC1E7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2</w:t>
            </w:r>
          </w:p>
        </w:tc>
        <w:tc>
          <w:tcPr>
            <w:tcW w:w="1195" w:type="dxa"/>
            <w:tcBorders>
              <w:top w:val="single" w:color="000000" w:sz="4" w:space="0"/>
              <w:left w:val="single" w:color="000000" w:sz="4" w:space="0"/>
              <w:bottom w:val="single" w:color="000000" w:sz="4" w:space="0"/>
              <w:right w:val="single" w:color="000000" w:sz="4" w:space="0"/>
            </w:tcBorders>
            <w:vAlign w:val="center"/>
          </w:tcPr>
          <w:p w14:paraId="7387344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rPr>
              <w:t>策划方案要求</w:t>
            </w:r>
          </w:p>
        </w:tc>
        <w:tc>
          <w:tcPr>
            <w:tcW w:w="6919" w:type="dxa"/>
            <w:tcBorders>
              <w:top w:val="single" w:color="000000" w:sz="4" w:space="0"/>
              <w:left w:val="single" w:color="000000" w:sz="4" w:space="0"/>
              <w:bottom w:val="single" w:color="000000" w:sz="4" w:space="0"/>
              <w:right w:val="single" w:color="000000" w:sz="4" w:space="0"/>
            </w:tcBorders>
            <w:vAlign w:val="center"/>
          </w:tcPr>
          <w:p w14:paraId="4002024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val="en-US" w:eastAsia="zh-CN"/>
              </w:rPr>
              <w:t>开闭幕式</w:t>
            </w:r>
            <w:r>
              <w:rPr>
                <w:rFonts w:hint="eastAsia" w:asciiTheme="minorEastAsia" w:hAnsiTheme="minorEastAsia" w:eastAsiaTheme="minorEastAsia" w:cstheme="minorEastAsia"/>
                <w:bCs/>
                <w:color w:val="auto"/>
                <w:sz w:val="24"/>
                <w:szCs w:val="24"/>
                <w:highlight w:val="none"/>
              </w:rPr>
              <w:t>总体要求对体育项目展演部分进行重点创意策划，</w:t>
            </w:r>
            <w:r>
              <w:rPr>
                <w:rFonts w:hint="eastAsia" w:asciiTheme="minorEastAsia" w:hAnsiTheme="minorEastAsia" w:eastAsiaTheme="minorEastAsia" w:cstheme="minorEastAsia"/>
                <w:bCs/>
                <w:color w:val="auto"/>
                <w:sz w:val="24"/>
                <w:szCs w:val="24"/>
                <w:highlight w:val="none"/>
                <w:lang w:eastAsia="zh-CN"/>
              </w:rPr>
              <w:t>与</w:t>
            </w:r>
            <w:r>
              <w:rPr>
                <w:rFonts w:hint="eastAsia" w:asciiTheme="minorEastAsia" w:hAnsiTheme="minorEastAsia" w:eastAsiaTheme="minorEastAsia" w:cstheme="minorEastAsia"/>
                <w:bCs/>
                <w:color w:val="auto"/>
                <w:sz w:val="24"/>
                <w:szCs w:val="24"/>
                <w:highlight w:val="none"/>
                <w:lang w:val="en-US" w:eastAsia="zh-CN"/>
              </w:rPr>
              <w:t>时尚科技体育嘉年华活动契合度高，</w:t>
            </w:r>
            <w:r>
              <w:rPr>
                <w:rFonts w:hint="eastAsia" w:asciiTheme="minorEastAsia" w:hAnsiTheme="minorEastAsia" w:eastAsiaTheme="minorEastAsia" w:cstheme="minorEastAsia"/>
                <w:bCs/>
                <w:color w:val="auto"/>
                <w:sz w:val="24"/>
                <w:szCs w:val="24"/>
                <w:highlight w:val="none"/>
              </w:rPr>
              <w:t>并形成较完整的创意文本、舞美构思、设想等。</w:t>
            </w:r>
          </w:p>
          <w:p w14:paraId="2ECE3CD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2、提供包含但不限于策划方案内容框架相关的内容介绍，舞美部分附效果图</w:t>
            </w:r>
            <w:r>
              <w:rPr>
                <w:rFonts w:hint="eastAsia" w:asciiTheme="minorEastAsia" w:hAnsiTheme="minorEastAsia" w:eastAsiaTheme="minorEastAsia" w:cstheme="minorEastAsia"/>
                <w:bCs/>
                <w:color w:val="auto"/>
                <w:sz w:val="24"/>
                <w:szCs w:val="24"/>
                <w:highlight w:val="none"/>
                <w:lang w:eastAsia="zh-CN"/>
              </w:rPr>
              <w:t>，并按要求落实</w:t>
            </w:r>
            <w:r>
              <w:rPr>
                <w:rFonts w:hint="eastAsia" w:asciiTheme="minorEastAsia" w:hAnsiTheme="minorEastAsia" w:eastAsiaTheme="minorEastAsia" w:cstheme="minorEastAsia"/>
                <w:bCs/>
                <w:color w:val="auto"/>
                <w:sz w:val="24"/>
                <w:szCs w:val="24"/>
                <w:highlight w:val="none"/>
              </w:rPr>
              <w:t>。</w:t>
            </w:r>
          </w:p>
          <w:p w14:paraId="305447B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3、整体活动的创意实施，应遵循原创性的艺术创作理念，为第五届体育大会开闭幕式策划与实施项目量身打造</w:t>
            </w:r>
            <w:r>
              <w:rPr>
                <w:rFonts w:hint="eastAsia" w:asciiTheme="minorEastAsia" w:hAnsiTheme="minorEastAsia" w:eastAsiaTheme="minorEastAsia" w:cstheme="minorEastAsia"/>
                <w:bCs/>
                <w:color w:val="auto"/>
                <w:sz w:val="24"/>
                <w:szCs w:val="24"/>
                <w:highlight w:val="none"/>
                <w:lang w:eastAsia="zh-CN"/>
              </w:rPr>
              <w:t>，并按要求落实</w:t>
            </w:r>
            <w:r>
              <w:rPr>
                <w:rFonts w:hint="eastAsia" w:asciiTheme="minorEastAsia" w:hAnsiTheme="minorEastAsia" w:eastAsiaTheme="minorEastAsia" w:cstheme="minorEastAsia"/>
                <w:bCs/>
                <w:color w:val="auto"/>
                <w:sz w:val="24"/>
                <w:szCs w:val="24"/>
                <w:highlight w:val="none"/>
              </w:rPr>
              <w:t>。</w:t>
            </w:r>
          </w:p>
        </w:tc>
        <w:tc>
          <w:tcPr>
            <w:tcW w:w="600" w:type="dxa"/>
            <w:tcBorders>
              <w:top w:val="single" w:color="000000" w:sz="4" w:space="0"/>
              <w:left w:val="single" w:color="000000" w:sz="4" w:space="0"/>
              <w:bottom w:val="single" w:color="000000" w:sz="4" w:space="0"/>
              <w:right w:val="single" w:color="000000" w:sz="8" w:space="0"/>
            </w:tcBorders>
            <w:vAlign w:val="center"/>
          </w:tcPr>
          <w:p w14:paraId="58DD099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10</w:t>
            </w:r>
          </w:p>
        </w:tc>
        <w:tc>
          <w:tcPr>
            <w:tcW w:w="870" w:type="dxa"/>
            <w:vMerge w:val="continue"/>
            <w:tcBorders>
              <w:left w:val="single" w:color="000000" w:sz="4" w:space="0"/>
              <w:right w:val="single" w:color="000000" w:sz="8" w:space="0"/>
            </w:tcBorders>
            <w:vAlign w:val="center"/>
          </w:tcPr>
          <w:p w14:paraId="7E6A5B1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color w:val="auto"/>
                <w:kern w:val="0"/>
                <w:sz w:val="24"/>
                <w:szCs w:val="24"/>
                <w:highlight w:val="none"/>
              </w:rPr>
            </w:pPr>
          </w:p>
        </w:tc>
      </w:tr>
      <w:tr w14:paraId="6A5FD265">
        <w:tblPrEx>
          <w:tblCellMar>
            <w:top w:w="0" w:type="dxa"/>
            <w:left w:w="108" w:type="dxa"/>
            <w:bottom w:w="0" w:type="dxa"/>
            <w:right w:w="108" w:type="dxa"/>
          </w:tblCellMar>
        </w:tblPrEx>
        <w:trPr>
          <w:trHeight w:val="600" w:hRule="atLeast"/>
          <w:jc w:val="center"/>
        </w:trPr>
        <w:tc>
          <w:tcPr>
            <w:tcW w:w="494" w:type="dxa"/>
            <w:tcBorders>
              <w:top w:val="single" w:color="000000" w:sz="4" w:space="0"/>
              <w:left w:val="single" w:color="000000" w:sz="8" w:space="0"/>
              <w:bottom w:val="single" w:color="000000" w:sz="4" w:space="0"/>
              <w:right w:val="single" w:color="000000" w:sz="4" w:space="0"/>
            </w:tcBorders>
            <w:vAlign w:val="center"/>
          </w:tcPr>
          <w:p w14:paraId="5169CE6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3</w:t>
            </w:r>
          </w:p>
        </w:tc>
        <w:tc>
          <w:tcPr>
            <w:tcW w:w="1195" w:type="dxa"/>
            <w:tcBorders>
              <w:top w:val="single" w:color="000000" w:sz="4" w:space="0"/>
              <w:left w:val="single" w:color="000000" w:sz="4" w:space="0"/>
              <w:bottom w:val="single" w:color="000000" w:sz="4" w:space="0"/>
              <w:right w:val="single" w:color="000000" w:sz="4" w:space="0"/>
            </w:tcBorders>
            <w:vAlign w:val="center"/>
          </w:tcPr>
          <w:p w14:paraId="003C9FF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开闭幕式</w:t>
            </w:r>
            <w:r>
              <w:rPr>
                <w:rFonts w:hint="eastAsia" w:asciiTheme="minorEastAsia" w:hAnsiTheme="minorEastAsia" w:eastAsiaTheme="minorEastAsia" w:cstheme="minorEastAsia"/>
                <w:b/>
                <w:bCs w:val="0"/>
                <w:color w:val="auto"/>
                <w:sz w:val="24"/>
                <w:szCs w:val="24"/>
                <w:highlight w:val="none"/>
              </w:rPr>
              <w:t>活动要求</w:t>
            </w:r>
          </w:p>
        </w:tc>
        <w:tc>
          <w:tcPr>
            <w:tcW w:w="6919" w:type="dxa"/>
            <w:tcBorders>
              <w:top w:val="single" w:color="000000" w:sz="4" w:space="0"/>
              <w:left w:val="single" w:color="000000" w:sz="4" w:space="0"/>
              <w:bottom w:val="single" w:color="000000" w:sz="4" w:space="0"/>
              <w:right w:val="single" w:color="000000" w:sz="4" w:space="0"/>
            </w:tcBorders>
            <w:vAlign w:val="center"/>
          </w:tcPr>
          <w:p w14:paraId="186755B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总体方案中开幕式暖场表演时长不少于30分钟，仪式及文体展演时长不少于60分钟；闭幕式暖场表演时长不少于15分钟，仪式及文体展演时长不少于45分钟</w:t>
            </w:r>
            <w:r>
              <w:rPr>
                <w:rFonts w:hint="eastAsia" w:asciiTheme="minorEastAsia" w:hAnsiTheme="minorEastAsia" w:eastAsiaTheme="minorEastAsia" w:cstheme="minorEastAsia"/>
                <w:bCs/>
                <w:color w:val="auto"/>
                <w:sz w:val="24"/>
                <w:szCs w:val="24"/>
                <w:highlight w:val="none"/>
                <w:lang w:eastAsia="zh-CN"/>
              </w:rPr>
              <w:t>，并按要求落实下列事项：</w:t>
            </w:r>
          </w:p>
          <w:p w14:paraId="795508D0">
            <w:pPr>
              <w:keepNext w:val="0"/>
              <w:keepLines w:val="0"/>
              <w:pageBreakBefore w:val="0"/>
              <w:widowControl w:val="0"/>
              <w:numPr>
                <w:ilvl w:val="0"/>
                <w:numId w:val="12"/>
              </w:numPr>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开闭幕仪式、文体展演节目的策划、挑选、培训、排练、彩排直至正式演出。</w:t>
            </w:r>
          </w:p>
          <w:p w14:paraId="7B8B46A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2、开闭幕式舞美的设计、制作、舞台搭建，整体彩排直至正式演出。</w:t>
            </w:r>
          </w:p>
          <w:p w14:paraId="607A907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3、开闭幕式音乐、视频的创作、修改及制作合成，设备的提供及安装调试，直至正式演出。</w:t>
            </w:r>
          </w:p>
          <w:p w14:paraId="71B979F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4、开闭幕式道具、服装及造型的设计、修改、制作，直至正式演出。</w:t>
            </w:r>
          </w:p>
          <w:p w14:paraId="4125C06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5、第五届体育大会开闭幕式展演节目的创作、制作及演出。</w:t>
            </w:r>
          </w:p>
          <w:p w14:paraId="24770E3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6、开闭幕式的排练、合练、集中排练及彩排与带机预演直至正式演出。</w:t>
            </w:r>
          </w:p>
          <w:p w14:paraId="6AAD916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7、负责设计及印制手提袋、荧光棒、拍手器、节目单等，并提供开闭幕式用水。</w:t>
            </w:r>
          </w:p>
          <w:p w14:paraId="1BBB3EE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8、开闭幕式结束后有序地安全拆卸及清场。</w:t>
            </w:r>
          </w:p>
          <w:p w14:paraId="14C7FAA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9、演职人员的管理及自身的后勤保障。</w:t>
            </w:r>
          </w:p>
          <w:p w14:paraId="0FCC4A4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10、与开闭幕式相关的其他事项。</w:t>
            </w:r>
          </w:p>
        </w:tc>
        <w:tc>
          <w:tcPr>
            <w:tcW w:w="600" w:type="dxa"/>
            <w:tcBorders>
              <w:top w:val="single" w:color="000000" w:sz="4" w:space="0"/>
              <w:left w:val="single" w:color="000000" w:sz="4" w:space="0"/>
              <w:bottom w:val="single" w:color="000000" w:sz="4" w:space="0"/>
              <w:right w:val="single" w:color="000000" w:sz="8" w:space="0"/>
            </w:tcBorders>
            <w:vAlign w:val="center"/>
          </w:tcPr>
          <w:p w14:paraId="6F0EE4E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20</w:t>
            </w:r>
          </w:p>
        </w:tc>
        <w:tc>
          <w:tcPr>
            <w:tcW w:w="870" w:type="dxa"/>
            <w:vMerge w:val="continue"/>
            <w:tcBorders>
              <w:left w:val="single" w:color="000000" w:sz="4" w:space="0"/>
              <w:right w:val="single" w:color="000000" w:sz="8" w:space="0"/>
            </w:tcBorders>
            <w:vAlign w:val="center"/>
          </w:tcPr>
          <w:p w14:paraId="5C5A55A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6DB711FB">
        <w:tblPrEx>
          <w:tblCellMar>
            <w:top w:w="0" w:type="dxa"/>
            <w:left w:w="108" w:type="dxa"/>
            <w:bottom w:w="0" w:type="dxa"/>
            <w:right w:w="108" w:type="dxa"/>
          </w:tblCellMar>
        </w:tblPrEx>
        <w:trPr>
          <w:trHeight w:val="300" w:hRule="atLeast"/>
          <w:jc w:val="center"/>
        </w:trPr>
        <w:tc>
          <w:tcPr>
            <w:tcW w:w="494" w:type="dxa"/>
            <w:tcBorders>
              <w:top w:val="single" w:color="000000" w:sz="4" w:space="0"/>
              <w:left w:val="single" w:color="000000" w:sz="8" w:space="0"/>
              <w:bottom w:val="single" w:color="000000" w:sz="4" w:space="0"/>
              <w:right w:val="single" w:color="000000" w:sz="4" w:space="0"/>
            </w:tcBorders>
            <w:vAlign w:val="center"/>
          </w:tcPr>
          <w:p w14:paraId="525351A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w:t>
            </w:r>
          </w:p>
        </w:tc>
        <w:tc>
          <w:tcPr>
            <w:tcW w:w="1195" w:type="dxa"/>
            <w:tcBorders>
              <w:top w:val="single" w:color="000000" w:sz="4" w:space="0"/>
              <w:left w:val="single" w:color="000000" w:sz="4" w:space="0"/>
              <w:bottom w:val="single" w:color="000000" w:sz="4" w:space="0"/>
              <w:right w:val="single" w:color="000000" w:sz="4" w:space="0"/>
            </w:tcBorders>
            <w:vAlign w:val="center"/>
          </w:tcPr>
          <w:p w14:paraId="746245B0">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时尚科技体育嘉年华活动要求</w:t>
            </w:r>
          </w:p>
        </w:tc>
        <w:tc>
          <w:tcPr>
            <w:tcW w:w="6919" w:type="dxa"/>
            <w:tcBorders>
              <w:top w:val="single" w:color="000000" w:sz="4" w:space="0"/>
              <w:left w:val="single" w:color="000000" w:sz="4" w:space="0"/>
              <w:bottom w:val="single" w:color="000000" w:sz="4" w:space="0"/>
              <w:right w:val="single" w:color="000000" w:sz="4" w:space="0"/>
            </w:tcBorders>
            <w:vAlign w:val="center"/>
          </w:tcPr>
          <w:p w14:paraId="591C6863">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时尚科技体育嘉年华与浙江省第五届体育大会开幕式既是一个整体、又是独立的一个单元赛事活动。在浙江省第五届体育大会开幕式期间，时尚科技嘉年华作为开幕式的一个部分，开幕式前后，时尚科技嘉年华是赛事活动，宣传、普及、推广体育项目的载体和平台。</w:t>
            </w:r>
            <w:r>
              <w:rPr>
                <w:rFonts w:hint="eastAsia" w:asciiTheme="minorEastAsia" w:hAnsiTheme="minorEastAsia" w:eastAsiaTheme="minorEastAsia" w:cstheme="minorEastAsia"/>
                <w:bCs/>
                <w:color w:val="auto"/>
                <w:sz w:val="24"/>
                <w:szCs w:val="24"/>
                <w:highlight w:val="none"/>
                <w:lang w:eastAsia="zh-CN"/>
              </w:rPr>
              <w:t>按要求落实下列事项：</w:t>
            </w:r>
          </w:p>
          <w:p w14:paraId="01EEA9D5">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1、时尚科技体育嘉年华要充分体现时尚与科技元素，将时尚体育与科技体育、传统体育有机融合，创意新颖，敢于创新、勇于突破。</w:t>
            </w:r>
          </w:p>
          <w:p w14:paraId="07E8C098">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2、时尚科技体育嘉年华赛事活动时间不少于2天（包括1个晚上）。</w:t>
            </w:r>
          </w:p>
          <w:p w14:paraId="658C3083">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3、时尚科技体育嘉年华赛事活动项目不少于10个（其中：主题赛事活动不少于3个、配套项目不少于7个），参与人数不少于10000人次。</w:t>
            </w:r>
          </w:p>
          <w:p w14:paraId="5631BA6C">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时尚科技体育嘉年华活动运行计划系统、全面，项目安排科学合理，活动规程具有可操作性针对性。比赛活动设置“仲裁委员会”，由裁判长、副裁判长、组委会官员担任。比赛活动将对获奖运动员、运动队（代表团）等进行奖励，颁发证书和奖牌。</w:t>
            </w:r>
          </w:p>
          <w:p w14:paraId="4E80A31C">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5、活动器材由中标人按照各项目规定的活动标准和要求配备。中标人负责勘测赛场、赛场场地布置、辅助器材准备。</w:t>
            </w:r>
          </w:p>
          <w:p w14:paraId="30D9BB55">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6、按酬金支付标准向裁判员、技术官员等人员支付劳务费。</w:t>
            </w:r>
          </w:p>
          <w:p w14:paraId="50DA2E2D">
            <w:pPr>
              <w:keepNext w:val="0"/>
              <w:keepLines w:val="0"/>
              <w:pageBreakBefore w:val="0"/>
              <w:widowControl w:val="0"/>
              <w:suppressLineNumbers w:val="0"/>
              <w:kinsoku/>
              <w:wordWrap/>
              <w:overflowPunct/>
              <w:topLinePunct w:val="0"/>
              <w:autoSpaceDE/>
              <w:autoSpaceDN/>
              <w:bidi w:val="0"/>
              <w:adjustRightInd/>
              <w:spacing w:beforeAutospacing="0" w:afterAutospacing="0" w:line="240" w:lineRule="auto"/>
              <w:ind w:firstLine="480" w:firstLineChars="200"/>
              <w:jc w:val="both"/>
              <w:textAlignment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7、在开幕式主场配套市集，为期不少于2天（包括1个晚上），与时尚科技体育嘉年华同步，结合台州美食美景，汇集众多知名体育健身品牌和优质产品，摊位不少于60个，在活动场地内合理布局。</w:t>
            </w:r>
          </w:p>
        </w:tc>
        <w:tc>
          <w:tcPr>
            <w:tcW w:w="600" w:type="dxa"/>
            <w:tcBorders>
              <w:top w:val="single" w:color="000000" w:sz="4" w:space="0"/>
              <w:left w:val="single" w:color="000000" w:sz="4" w:space="0"/>
              <w:bottom w:val="single" w:color="000000" w:sz="4" w:space="0"/>
              <w:right w:val="single" w:color="000000" w:sz="8" w:space="0"/>
            </w:tcBorders>
            <w:vAlign w:val="center"/>
          </w:tcPr>
          <w:p w14:paraId="6FAB09E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12</w:t>
            </w:r>
          </w:p>
        </w:tc>
        <w:tc>
          <w:tcPr>
            <w:tcW w:w="870" w:type="dxa"/>
            <w:vMerge w:val="continue"/>
            <w:tcBorders>
              <w:left w:val="single" w:color="000000" w:sz="4" w:space="0"/>
              <w:right w:val="single" w:color="000000" w:sz="8" w:space="0"/>
            </w:tcBorders>
            <w:vAlign w:val="center"/>
          </w:tcPr>
          <w:p w14:paraId="5B81DF4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5F3B8AA0">
        <w:tblPrEx>
          <w:tblCellMar>
            <w:top w:w="0" w:type="dxa"/>
            <w:left w:w="108" w:type="dxa"/>
            <w:bottom w:w="0" w:type="dxa"/>
            <w:right w:w="108" w:type="dxa"/>
          </w:tblCellMar>
        </w:tblPrEx>
        <w:trPr>
          <w:trHeight w:val="891" w:hRule="atLeast"/>
          <w:jc w:val="center"/>
        </w:trPr>
        <w:tc>
          <w:tcPr>
            <w:tcW w:w="494" w:type="dxa"/>
            <w:tcBorders>
              <w:top w:val="single" w:color="000000" w:sz="4" w:space="0"/>
              <w:left w:val="single" w:color="000000" w:sz="8" w:space="0"/>
              <w:bottom w:val="single" w:color="000000" w:sz="4" w:space="0"/>
              <w:right w:val="single" w:color="000000" w:sz="4" w:space="0"/>
            </w:tcBorders>
            <w:vAlign w:val="center"/>
          </w:tcPr>
          <w:p w14:paraId="0C258C89">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w:t>
            </w:r>
          </w:p>
        </w:tc>
        <w:tc>
          <w:tcPr>
            <w:tcW w:w="1195" w:type="dxa"/>
            <w:tcBorders>
              <w:top w:val="single" w:color="000000" w:sz="4" w:space="0"/>
              <w:left w:val="single" w:color="000000" w:sz="4" w:space="0"/>
              <w:bottom w:val="single" w:color="000000" w:sz="4" w:space="0"/>
              <w:right w:val="single" w:color="000000" w:sz="4" w:space="0"/>
            </w:tcBorders>
            <w:vAlign w:val="center"/>
          </w:tcPr>
          <w:p w14:paraId="1FA3DFB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宣传要求</w:t>
            </w:r>
          </w:p>
        </w:tc>
        <w:tc>
          <w:tcPr>
            <w:tcW w:w="6919" w:type="dxa"/>
            <w:tcBorders>
              <w:top w:val="single" w:color="000000" w:sz="4" w:space="0"/>
              <w:left w:val="single" w:color="000000" w:sz="4" w:space="0"/>
              <w:bottom w:val="single" w:color="000000" w:sz="4" w:space="0"/>
              <w:right w:val="single" w:color="000000" w:sz="4" w:space="0"/>
            </w:tcBorders>
            <w:vAlign w:val="center"/>
          </w:tcPr>
          <w:p w14:paraId="179C039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整个开闭幕式和时尚科技体育嘉年华需充分考虑宣传工作，中标单位需在开闭幕式和时尚科技体育嘉年华活动时间确定前一个月做好宣传预热工作。宣传执行方案中需明确活动期间的宣传渠道、时间、数量，其中数量上要求官方媒体不少于20家，其他媒体不少于30家（如新浪微博、今日头条、腾讯新闻等平台或微信公众号、视频号、抖音等新媒体平台），进行媒体宣传。</w:t>
            </w:r>
          </w:p>
          <w:p w14:paraId="6E3570A1">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2、开闭幕式和时尚科技体育嘉年华视频直播，直播平台直播盛况+图片实时直播；主题赛事图片实时直播；不少于20家省级及以上电视、报纸和网络媒体开闭幕式全程跟踪宣传。</w:t>
            </w:r>
          </w:p>
          <w:p w14:paraId="5CC8C2C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3、浙江省第五届体育大会开闭幕式和时尚科技嘉年华活动期间，全网宣传覆盖面达30000万人次以上</w:t>
            </w:r>
            <w:r>
              <w:rPr>
                <w:rFonts w:hint="eastAsia" w:asciiTheme="minorEastAsia" w:hAnsiTheme="minorEastAsia" w:eastAsiaTheme="minorEastAsia" w:cstheme="minorEastAsia"/>
                <w:color w:val="auto"/>
                <w:sz w:val="24"/>
                <w:szCs w:val="24"/>
                <w:highlight w:val="none"/>
                <w:lang w:val="en-US" w:eastAsia="zh-CN"/>
              </w:rPr>
              <w:t>。</w:t>
            </w:r>
          </w:p>
          <w:p w14:paraId="776517B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rPr>
              <w:t>全网宣传</w:t>
            </w:r>
            <w:r>
              <w:rPr>
                <w:rFonts w:hint="eastAsia" w:asciiTheme="minorEastAsia" w:hAnsiTheme="minorEastAsia" w:eastAsiaTheme="minorEastAsia" w:cstheme="minorEastAsia"/>
                <w:b w:val="0"/>
                <w:bCs/>
                <w:color w:val="auto"/>
                <w:sz w:val="24"/>
                <w:szCs w:val="24"/>
                <w:highlight w:val="none"/>
                <w:lang w:val="en-US" w:eastAsia="zh-CN"/>
              </w:rPr>
              <w:t>覆盖人群达不到30000万+人次，扣10分。</w:t>
            </w:r>
          </w:p>
        </w:tc>
        <w:tc>
          <w:tcPr>
            <w:tcW w:w="600" w:type="dxa"/>
            <w:tcBorders>
              <w:top w:val="single" w:color="000000" w:sz="4" w:space="0"/>
              <w:left w:val="single" w:color="000000" w:sz="4" w:space="0"/>
              <w:bottom w:val="single" w:color="000000" w:sz="4" w:space="0"/>
              <w:right w:val="single" w:color="000000" w:sz="8" w:space="0"/>
            </w:tcBorders>
            <w:vAlign w:val="center"/>
          </w:tcPr>
          <w:p w14:paraId="21A4BDF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10</w:t>
            </w:r>
          </w:p>
        </w:tc>
        <w:tc>
          <w:tcPr>
            <w:tcW w:w="870" w:type="dxa"/>
            <w:vMerge w:val="continue"/>
            <w:tcBorders>
              <w:left w:val="single" w:color="000000" w:sz="4" w:space="0"/>
              <w:right w:val="single" w:color="000000" w:sz="8" w:space="0"/>
            </w:tcBorders>
            <w:vAlign w:val="center"/>
          </w:tcPr>
          <w:p w14:paraId="3B94027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236E9DAB">
        <w:tblPrEx>
          <w:tblCellMar>
            <w:top w:w="0" w:type="dxa"/>
            <w:left w:w="108" w:type="dxa"/>
            <w:bottom w:w="0" w:type="dxa"/>
            <w:right w:w="108" w:type="dxa"/>
          </w:tblCellMar>
        </w:tblPrEx>
        <w:trPr>
          <w:trHeight w:val="402" w:hRule="atLeast"/>
          <w:jc w:val="center"/>
        </w:trPr>
        <w:tc>
          <w:tcPr>
            <w:tcW w:w="494" w:type="dxa"/>
            <w:tcBorders>
              <w:top w:val="single" w:color="000000" w:sz="4" w:space="0"/>
              <w:left w:val="single" w:color="000000" w:sz="8" w:space="0"/>
              <w:bottom w:val="single" w:color="000000" w:sz="4" w:space="0"/>
              <w:right w:val="single" w:color="000000" w:sz="4" w:space="0"/>
            </w:tcBorders>
            <w:vAlign w:val="center"/>
          </w:tcPr>
          <w:p w14:paraId="60F3400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w:t>
            </w:r>
          </w:p>
        </w:tc>
        <w:tc>
          <w:tcPr>
            <w:tcW w:w="1195" w:type="dxa"/>
            <w:tcBorders>
              <w:top w:val="single" w:color="000000" w:sz="4" w:space="0"/>
              <w:left w:val="single" w:color="000000" w:sz="4" w:space="0"/>
              <w:bottom w:val="single" w:color="000000" w:sz="4" w:space="0"/>
              <w:right w:val="single" w:color="000000" w:sz="4" w:space="0"/>
            </w:tcBorders>
            <w:vAlign w:val="center"/>
          </w:tcPr>
          <w:p w14:paraId="3C35F9B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主创团队要求</w:t>
            </w:r>
          </w:p>
        </w:tc>
        <w:tc>
          <w:tcPr>
            <w:tcW w:w="6919" w:type="dxa"/>
            <w:tcBorders>
              <w:top w:val="single" w:color="000000" w:sz="4" w:space="0"/>
              <w:left w:val="single" w:color="000000" w:sz="4" w:space="0"/>
              <w:bottom w:val="single" w:color="000000" w:sz="4" w:space="0"/>
              <w:right w:val="single" w:color="000000" w:sz="4" w:space="0"/>
            </w:tcBorders>
            <w:vAlign w:val="center"/>
          </w:tcPr>
          <w:p w14:paraId="3AEBF6D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组建主创团队，包括但不限于总导演、总制作人、总撰稿、执行导演、舞美设计、音乐设计等不少于15人的主创人员团队。</w:t>
            </w:r>
          </w:p>
        </w:tc>
        <w:tc>
          <w:tcPr>
            <w:tcW w:w="600" w:type="dxa"/>
            <w:tcBorders>
              <w:top w:val="single" w:color="000000" w:sz="4" w:space="0"/>
              <w:left w:val="single" w:color="000000" w:sz="4" w:space="0"/>
              <w:bottom w:val="single" w:color="000000" w:sz="4" w:space="0"/>
              <w:right w:val="single" w:color="000000" w:sz="8" w:space="0"/>
            </w:tcBorders>
            <w:vAlign w:val="center"/>
          </w:tcPr>
          <w:p w14:paraId="456BD98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8</w:t>
            </w:r>
          </w:p>
        </w:tc>
        <w:tc>
          <w:tcPr>
            <w:tcW w:w="870" w:type="dxa"/>
            <w:vMerge w:val="continue"/>
            <w:tcBorders>
              <w:left w:val="single" w:color="000000" w:sz="4" w:space="0"/>
              <w:right w:val="single" w:color="000000" w:sz="8" w:space="0"/>
            </w:tcBorders>
            <w:vAlign w:val="center"/>
          </w:tcPr>
          <w:p w14:paraId="21C713E3">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2706A8DA">
        <w:tblPrEx>
          <w:tblCellMar>
            <w:top w:w="0" w:type="dxa"/>
            <w:left w:w="108" w:type="dxa"/>
            <w:bottom w:w="0" w:type="dxa"/>
            <w:right w:w="108" w:type="dxa"/>
          </w:tblCellMar>
        </w:tblPrEx>
        <w:trPr>
          <w:trHeight w:val="900" w:hRule="atLeast"/>
          <w:jc w:val="center"/>
        </w:trPr>
        <w:tc>
          <w:tcPr>
            <w:tcW w:w="494" w:type="dxa"/>
            <w:tcBorders>
              <w:top w:val="single" w:color="000000" w:sz="4" w:space="0"/>
              <w:left w:val="single" w:color="000000" w:sz="8" w:space="0"/>
              <w:bottom w:val="single" w:color="000000" w:sz="4" w:space="0"/>
              <w:right w:val="single" w:color="000000" w:sz="4" w:space="0"/>
            </w:tcBorders>
            <w:vAlign w:val="center"/>
          </w:tcPr>
          <w:p w14:paraId="0D0EB8FE">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w:t>
            </w:r>
          </w:p>
        </w:tc>
        <w:tc>
          <w:tcPr>
            <w:tcW w:w="1195" w:type="dxa"/>
            <w:tcBorders>
              <w:top w:val="single" w:color="000000" w:sz="4" w:space="0"/>
              <w:left w:val="single" w:color="000000" w:sz="4" w:space="0"/>
              <w:bottom w:val="single" w:color="000000" w:sz="4" w:space="0"/>
              <w:right w:val="single" w:color="000000" w:sz="4" w:space="0"/>
            </w:tcBorders>
            <w:vAlign w:val="center"/>
          </w:tcPr>
          <w:p w14:paraId="4366DD4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设施设备技术要求</w:t>
            </w:r>
          </w:p>
        </w:tc>
        <w:tc>
          <w:tcPr>
            <w:tcW w:w="6919" w:type="dxa"/>
            <w:tcBorders>
              <w:top w:val="single" w:color="000000" w:sz="4" w:space="0"/>
              <w:left w:val="single" w:color="000000" w:sz="4" w:space="0"/>
              <w:bottom w:val="single" w:color="000000" w:sz="4" w:space="0"/>
              <w:right w:val="single" w:color="000000" w:sz="4" w:space="0"/>
            </w:tcBorders>
            <w:vAlign w:val="center"/>
          </w:tcPr>
          <w:p w14:paraId="5578C27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策划方案及舞美效果选择相关演出设施，其中包括但不限于舞台制作与包装、专业音响、LED屏等舞美效果和设施的布置搭建、操作与保障，以上设备取得方式不作限制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eastAsia="zh-CN"/>
              </w:rPr>
              <w:t>并按要求落实下列事项：</w:t>
            </w:r>
          </w:p>
          <w:p w14:paraId="470F51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音响扩声系统。整个扩声系统由音源设备、控制设备及功率放大器、音箱等设备组成。要求扩声系统使用时达到良好的语言清晰度和音乐丰满度，对流动扩声系统的设计具有科学性、先进性、稳定性、可靠性及流动系统最需要的易装易拆的方便性。音箱的覆盖角度要包括全部观众席，观众席上有足够的响度。系统应有足够的稳定度和功率余量，具有清晰的听闻条件，良好的方向感和节目的保真度。</w:t>
            </w:r>
          </w:p>
          <w:p w14:paraId="37150FD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2、视频设备系统。LED系统设计上要达到能够满足多种数据信息以及影像输出的功能需求，满足演出时图像和文字的显示功能。</w:t>
            </w:r>
          </w:p>
          <w:p w14:paraId="2713325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3、拍摄设备。具备高清拍摄机，与摄影机匹配的专业镜头、脚架、云台、摇臂等设备，满足网络直播的需要。</w:t>
            </w:r>
          </w:p>
        </w:tc>
        <w:tc>
          <w:tcPr>
            <w:tcW w:w="600" w:type="dxa"/>
            <w:tcBorders>
              <w:top w:val="single" w:color="000000" w:sz="4" w:space="0"/>
              <w:left w:val="single" w:color="000000" w:sz="4" w:space="0"/>
              <w:bottom w:val="single" w:color="000000" w:sz="4" w:space="0"/>
              <w:right w:val="single" w:color="000000" w:sz="8" w:space="0"/>
            </w:tcBorders>
            <w:vAlign w:val="center"/>
          </w:tcPr>
          <w:p w14:paraId="4798B9AF">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8</w:t>
            </w:r>
          </w:p>
        </w:tc>
        <w:tc>
          <w:tcPr>
            <w:tcW w:w="870" w:type="dxa"/>
            <w:vMerge w:val="continue"/>
            <w:tcBorders>
              <w:left w:val="single" w:color="000000" w:sz="4" w:space="0"/>
              <w:right w:val="single" w:color="000000" w:sz="8" w:space="0"/>
            </w:tcBorders>
            <w:vAlign w:val="center"/>
          </w:tcPr>
          <w:p w14:paraId="60BE2A6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14AA59F1">
        <w:tblPrEx>
          <w:tblCellMar>
            <w:top w:w="0" w:type="dxa"/>
            <w:left w:w="108" w:type="dxa"/>
            <w:bottom w:w="0" w:type="dxa"/>
            <w:right w:w="108" w:type="dxa"/>
          </w:tblCellMar>
        </w:tblPrEx>
        <w:trPr>
          <w:trHeight w:val="90" w:hRule="atLeast"/>
          <w:jc w:val="center"/>
        </w:trPr>
        <w:tc>
          <w:tcPr>
            <w:tcW w:w="494" w:type="dxa"/>
            <w:tcBorders>
              <w:top w:val="single" w:color="000000" w:sz="4" w:space="0"/>
              <w:left w:val="single" w:color="000000" w:sz="8" w:space="0"/>
              <w:right w:val="single" w:color="000000" w:sz="4" w:space="0"/>
            </w:tcBorders>
            <w:shd w:val="clear" w:color="auto" w:fill="auto"/>
            <w:vAlign w:val="center"/>
          </w:tcPr>
          <w:p w14:paraId="6712900C">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8</w:t>
            </w:r>
          </w:p>
        </w:tc>
        <w:tc>
          <w:tcPr>
            <w:tcW w:w="1195" w:type="dxa"/>
            <w:tcBorders>
              <w:top w:val="single" w:color="000000" w:sz="4" w:space="0"/>
              <w:left w:val="single" w:color="000000" w:sz="4" w:space="0"/>
              <w:right w:val="single" w:color="000000" w:sz="4" w:space="0"/>
            </w:tcBorders>
            <w:vAlign w:val="center"/>
          </w:tcPr>
          <w:p w14:paraId="14A5BC0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接待</w:t>
            </w:r>
            <w:r>
              <w:rPr>
                <w:rFonts w:hint="eastAsia" w:asciiTheme="minorEastAsia" w:hAnsiTheme="minorEastAsia" w:eastAsiaTheme="minorEastAsia" w:cstheme="minorEastAsia"/>
                <w:b/>
                <w:bCs w:val="0"/>
                <w:color w:val="auto"/>
                <w:sz w:val="24"/>
                <w:szCs w:val="24"/>
                <w:highlight w:val="none"/>
                <w:lang w:val="en-US" w:eastAsia="zh-CN"/>
              </w:rPr>
              <w:t>服务要求</w:t>
            </w:r>
          </w:p>
        </w:tc>
        <w:tc>
          <w:tcPr>
            <w:tcW w:w="6919" w:type="dxa"/>
            <w:tcBorders>
              <w:top w:val="single" w:color="000000" w:sz="4" w:space="0"/>
              <w:left w:val="single" w:color="000000" w:sz="4" w:space="0"/>
              <w:bottom w:val="single" w:color="000000" w:sz="4" w:space="0"/>
              <w:right w:val="single" w:color="000000" w:sz="4" w:space="0"/>
            </w:tcBorders>
            <w:vAlign w:val="center"/>
          </w:tcPr>
          <w:p w14:paraId="08CFFB9C">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1、供应商须负责开闭幕式期间各体育代表团、部分单项体育协会人员、部分新闻媒体工作人员及邀请嘉宾，共计不少于150人的接待服务工作，接待服务时间不少于5天。</w:t>
            </w:r>
          </w:p>
          <w:p w14:paraId="0F85ACDF">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2、具备用车服务能力。提供自有或租赁车辆：不少于5辆7座商务用车，不少于10辆50座及以上大巴车，不少于5辆中巴车等，满足用车需求。（最终用车需求根据项目组委会要求确定）</w:t>
            </w:r>
          </w:p>
          <w:p w14:paraId="03B92841">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具备接送机站服务及引导接待服务能力。提供随车服务人员不少于20人，酒店与活动场馆引导人员不少于50人。接待人员须思维清晰，积极主动，具有较强的语言表达能力和危机公关意识，善于处理突发事件，行动力强，有责任心，服从采购单位安排的其他相关工作。</w:t>
            </w:r>
          </w:p>
          <w:p w14:paraId="1EA528CA">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4、具备餐饮住宿保障能力：</w:t>
            </w:r>
          </w:p>
          <w:p w14:paraId="31130E51">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（1）为保障统一管理及相关人员活动安排便捷，住宿酒店要求距台州市体育中心直线距离不超过3公里，且安排在同一酒店入住；</w:t>
            </w:r>
          </w:p>
          <w:p w14:paraId="6D2C1B61">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（2）酒店硬件设施设备齐全，接待能力充足，酒店客房数200间以上，可以一次性接待不少于150人；</w:t>
            </w:r>
          </w:p>
          <w:p w14:paraId="655A20EF">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（3）酒店可提供容纳不少于150人的会议室；</w:t>
            </w:r>
          </w:p>
          <w:p w14:paraId="5F858635">
            <w:pPr>
              <w:keepNext w:val="0"/>
              <w:keepLines w:val="0"/>
              <w:pageBreakBefore w:val="0"/>
              <w:widowControl w:val="0"/>
              <w:kinsoku/>
              <w:wordWrap/>
              <w:overflowPunct/>
              <w:topLinePunct w:val="0"/>
              <w:autoSpaceDE/>
              <w:autoSpaceDN/>
              <w:bidi w:val="0"/>
              <w:adjustRightInd w:val="0"/>
              <w:spacing w:beforeAutospacing="0" w:afterAutospacing="0" w:line="240" w:lineRule="auto"/>
              <w:ind w:firstLine="480" w:firstLineChars="200"/>
              <w:jc w:val="both"/>
              <w:textAlignment w:val="auto"/>
              <w:outlineLvl w:val="9"/>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（4）可提供不少于150人同时就餐，严格遵守《食品卫生法》等相关的食品卫生法律法规，确保食品质量。（最终需求根据项目组委会要求确定）</w:t>
            </w:r>
          </w:p>
        </w:tc>
        <w:tc>
          <w:tcPr>
            <w:tcW w:w="600" w:type="dxa"/>
            <w:tcBorders>
              <w:top w:val="single" w:color="000000" w:sz="4" w:space="0"/>
              <w:left w:val="single" w:color="000000" w:sz="4" w:space="0"/>
              <w:bottom w:val="single" w:color="000000" w:sz="4" w:space="0"/>
              <w:right w:val="single" w:color="000000" w:sz="8" w:space="0"/>
            </w:tcBorders>
            <w:vAlign w:val="center"/>
          </w:tcPr>
          <w:p w14:paraId="2DBCA81A">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w:t>
            </w:r>
          </w:p>
        </w:tc>
        <w:tc>
          <w:tcPr>
            <w:tcW w:w="870" w:type="dxa"/>
            <w:vMerge w:val="continue"/>
            <w:tcBorders>
              <w:left w:val="single" w:color="000000" w:sz="4" w:space="0"/>
              <w:right w:val="single" w:color="000000" w:sz="8" w:space="0"/>
            </w:tcBorders>
            <w:vAlign w:val="center"/>
          </w:tcPr>
          <w:p w14:paraId="2ADCF5C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1723E32E">
        <w:tblPrEx>
          <w:tblCellMar>
            <w:top w:w="0" w:type="dxa"/>
            <w:left w:w="108" w:type="dxa"/>
            <w:bottom w:w="0" w:type="dxa"/>
            <w:right w:w="108" w:type="dxa"/>
          </w:tblCellMar>
        </w:tblPrEx>
        <w:trPr>
          <w:trHeight w:val="428" w:hRule="atLeast"/>
          <w:jc w:val="center"/>
        </w:trPr>
        <w:tc>
          <w:tcPr>
            <w:tcW w:w="49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F9C84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9</w:t>
            </w:r>
          </w:p>
        </w:tc>
        <w:tc>
          <w:tcPr>
            <w:tcW w:w="1195" w:type="dxa"/>
            <w:tcBorders>
              <w:top w:val="single" w:color="000000" w:sz="4" w:space="0"/>
              <w:left w:val="single" w:color="000000" w:sz="4" w:space="0"/>
              <w:bottom w:val="single" w:color="000000" w:sz="4" w:space="0"/>
              <w:right w:val="single" w:color="000000" w:sz="4" w:space="0"/>
            </w:tcBorders>
            <w:vAlign w:val="center"/>
          </w:tcPr>
          <w:p w14:paraId="33D5F5E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保险保障要求</w:t>
            </w:r>
          </w:p>
        </w:tc>
        <w:tc>
          <w:tcPr>
            <w:tcW w:w="6919" w:type="dxa"/>
            <w:tcBorders>
              <w:top w:val="single" w:color="000000" w:sz="4" w:space="0"/>
              <w:left w:val="single" w:color="000000" w:sz="4" w:space="0"/>
              <w:bottom w:val="single" w:color="000000" w:sz="4" w:space="0"/>
              <w:right w:val="single" w:color="000000" w:sz="4" w:space="0"/>
            </w:tcBorders>
            <w:vAlign w:val="center"/>
          </w:tcPr>
          <w:p w14:paraId="690BE625">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在整个合同的有效期内，为开闭幕式演职人员购买人身伤害意外险，保险理赔金额不低于30万元。主动为时尚科技体育嘉年华涉及的每名参与者、裁判员、志愿者、工作人员等投保体育意外伤害保险。为确保保险的合法性和有效性，涉及投保产品应在中国政府批准的保险公司投保。</w:t>
            </w:r>
          </w:p>
        </w:tc>
        <w:tc>
          <w:tcPr>
            <w:tcW w:w="600" w:type="dxa"/>
            <w:tcBorders>
              <w:top w:val="single" w:color="000000" w:sz="4" w:space="0"/>
              <w:left w:val="single" w:color="000000" w:sz="4" w:space="0"/>
              <w:bottom w:val="single" w:color="000000" w:sz="4" w:space="0"/>
              <w:right w:val="single" w:color="000000" w:sz="8" w:space="0"/>
            </w:tcBorders>
            <w:vAlign w:val="center"/>
          </w:tcPr>
          <w:p w14:paraId="186A6D9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5</w:t>
            </w:r>
          </w:p>
        </w:tc>
        <w:tc>
          <w:tcPr>
            <w:tcW w:w="870" w:type="dxa"/>
            <w:vMerge w:val="continue"/>
            <w:tcBorders>
              <w:left w:val="single" w:color="000000" w:sz="4" w:space="0"/>
              <w:right w:val="single" w:color="000000" w:sz="8" w:space="0"/>
            </w:tcBorders>
            <w:vAlign w:val="center"/>
          </w:tcPr>
          <w:p w14:paraId="1CE53488">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20FD1D57">
        <w:tblPrEx>
          <w:tblCellMar>
            <w:top w:w="0" w:type="dxa"/>
            <w:left w:w="108" w:type="dxa"/>
            <w:bottom w:w="0" w:type="dxa"/>
            <w:right w:w="108" w:type="dxa"/>
          </w:tblCellMar>
        </w:tblPrEx>
        <w:trPr>
          <w:trHeight w:val="840" w:hRule="atLeast"/>
          <w:jc w:val="center"/>
        </w:trPr>
        <w:tc>
          <w:tcPr>
            <w:tcW w:w="494" w:type="dxa"/>
            <w:tcBorders>
              <w:top w:val="single" w:color="000000" w:sz="4" w:space="0"/>
              <w:left w:val="single" w:color="000000" w:sz="8" w:space="0"/>
              <w:bottom w:val="single" w:color="000000" w:sz="4" w:space="0"/>
              <w:right w:val="single" w:color="000000" w:sz="4" w:space="0"/>
            </w:tcBorders>
            <w:vAlign w:val="center"/>
          </w:tcPr>
          <w:p w14:paraId="22CD3BB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10</w:t>
            </w:r>
          </w:p>
        </w:tc>
        <w:tc>
          <w:tcPr>
            <w:tcW w:w="1195" w:type="dxa"/>
            <w:tcBorders>
              <w:top w:val="single" w:color="000000" w:sz="4" w:space="0"/>
              <w:left w:val="single" w:color="000000" w:sz="4" w:space="0"/>
              <w:bottom w:val="single" w:color="000000" w:sz="4" w:space="0"/>
              <w:right w:val="single" w:color="000000" w:sz="4" w:space="0"/>
            </w:tcBorders>
            <w:vAlign w:val="center"/>
          </w:tcPr>
          <w:p w14:paraId="2EC48AF4">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
                <w:bCs w:val="0"/>
                <w:color w:val="auto"/>
                <w:sz w:val="24"/>
                <w:szCs w:val="24"/>
                <w:highlight w:val="none"/>
                <w:lang w:eastAsia="zh-CN"/>
              </w:rPr>
            </w:pPr>
            <w:r>
              <w:rPr>
                <w:rFonts w:hint="eastAsia" w:asciiTheme="minorEastAsia" w:hAnsiTheme="minorEastAsia" w:eastAsiaTheme="minorEastAsia" w:cstheme="minorEastAsia"/>
                <w:b/>
                <w:bCs w:val="0"/>
                <w:color w:val="auto"/>
                <w:sz w:val="24"/>
                <w:szCs w:val="24"/>
                <w:highlight w:val="none"/>
              </w:rPr>
              <w:t>其他</w:t>
            </w:r>
            <w:r>
              <w:rPr>
                <w:rFonts w:hint="eastAsia" w:asciiTheme="minorEastAsia" w:hAnsiTheme="minorEastAsia" w:eastAsiaTheme="minorEastAsia" w:cstheme="minorEastAsia"/>
                <w:b/>
                <w:bCs w:val="0"/>
                <w:color w:val="auto"/>
                <w:sz w:val="24"/>
                <w:szCs w:val="24"/>
                <w:highlight w:val="none"/>
                <w:lang w:eastAsia="zh-CN"/>
              </w:rPr>
              <w:t>工作</w:t>
            </w:r>
          </w:p>
        </w:tc>
        <w:tc>
          <w:tcPr>
            <w:tcW w:w="6919" w:type="dxa"/>
            <w:tcBorders>
              <w:top w:val="single" w:color="000000" w:sz="4" w:space="0"/>
              <w:left w:val="single" w:color="000000" w:sz="4" w:space="0"/>
              <w:bottom w:val="single" w:color="000000" w:sz="4" w:space="0"/>
              <w:right w:val="single" w:color="000000" w:sz="4" w:space="0"/>
            </w:tcBorders>
            <w:vAlign w:val="center"/>
          </w:tcPr>
          <w:p w14:paraId="6842D126">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sz w:val="24"/>
                <w:szCs w:val="24"/>
                <w:highlight w:val="none"/>
              </w:rPr>
              <w:t>按照合同约定的时间和方式向采购方提交项目进展报告、工作总结和其他必要的文档。这些文档应真实、准确、完整地反映项目的实际情况和进展。</w:t>
            </w:r>
          </w:p>
        </w:tc>
        <w:tc>
          <w:tcPr>
            <w:tcW w:w="600" w:type="dxa"/>
            <w:tcBorders>
              <w:top w:val="single" w:color="000000" w:sz="4" w:space="0"/>
              <w:left w:val="single" w:color="000000" w:sz="4" w:space="0"/>
              <w:bottom w:val="single" w:color="000000" w:sz="4" w:space="0"/>
              <w:right w:val="single" w:color="000000" w:sz="8" w:space="0"/>
            </w:tcBorders>
            <w:vAlign w:val="center"/>
          </w:tcPr>
          <w:p w14:paraId="659446A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7</w:t>
            </w:r>
          </w:p>
        </w:tc>
        <w:tc>
          <w:tcPr>
            <w:tcW w:w="870" w:type="dxa"/>
            <w:vMerge w:val="continue"/>
            <w:tcBorders>
              <w:left w:val="single" w:color="000000" w:sz="4" w:space="0"/>
              <w:bottom w:val="single" w:color="000000" w:sz="4" w:space="0"/>
              <w:right w:val="single" w:color="000000" w:sz="8" w:space="0"/>
            </w:tcBorders>
            <w:vAlign w:val="center"/>
          </w:tcPr>
          <w:p w14:paraId="5003230D">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p>
        </w:tc>
      </w:tr>
      <w:tr w14:paraId="06E4780D">
        <w:tblPrEx>
          <w:tblCellMar>
            <w:top w:w="0" w:type="dxa"/>
            <w:left w:w="108" w:type="dxa"/>
            <w:bottom w:w="0" w:type="dxa"/>
            <w:right w:w="108" w:type="dxa"/>
          </w:tblCellMar>
        </w:tblPrEx>
        <w:trPr>
          <w:trHeight w:val="415" w:hRule="atLeast"/>
          <w:jc w:val="center"/>
        </w:trPr>
        <w:tc>
          <w:tcPr>
            <w:tcW w:w="8608" w:type="dxa"/>
            <w:gridSpan w:val="3"/>
            <w:tcBorders>
              <w:top w:val="single" w:color="000000" w:sz="4" w:space="0"/>
              <w:left w:val="single" w:color="000000" w:sz="8" w:space="0"/>
              <w:bottom w:val="single" w:color="000000" w:sz="8" w:space="0"/>
              <w:right w:val="single" w:color="000000" w:sz="4" w:space="0"/>
            </w:tcBorders>
            <w:vAlign w:val="bottom"/>
          </w:tcPr>
          <w:p w14:paraId="6C7D1837">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both"/>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合计</w:t>
            </w:r>
          </w:p>
        </w:tc>
        <w:tc>
          <w:tcPr>
            <w:tcW w:w="600" w:type="dxa"/>
            <w:tcBorders>
              <w:top w:val="single" w:color="000000" w:sz="4" w:space="0"/>
              <w:left w:val="single" w:color="000000" w:sz="4" w:space="0"/>
              <w:bottom w:val="single" w:color="000000" w:sz="8" w:space="0"/>
              <w:right w:val="single" w:color="000000" w:sz="8" w:space="0"/>
            </w:tcBorders>
            <w:vAlign w:val="bottom"/>
          </w:tcPr>
          <w:p w14:paraId="3FB8B8BB">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100</w:t>
            </w:r>
          </w:p>
        </w:tc>
        <w:tc>
          <w:tcPr>
            <w:tcW w:w="870" w:type="dxa"/>
            <w:tcBorders>
              <w:top w:val="single" w:color="000000" w:sz="4" w:space="0"/>
              <w:left w:val="single" w:color="000000" w:sz="4" w:space="0"/>
              <w:bottom w:val="single" w:color="000000" w:sz="8" w:space="0"/>
              <w:right w:val="single" w:color="000000" w:sz="8" w:space="0"/>
            </w:tcBorders>
            <w:vAlign w:val="bottom"/>
          </w:tcPr>
          <w:p w14:paraId="34EAC8F2">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contextualSpacing/>
              <w:jc w:val="center"/>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w:t>
            </w:r>
          </w:p>
        </w:tc>
      </w:tr>
    </w:tbl>
    <w:p w14:paraId="56236CC7">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、违约责任</w:t>
      </w:r>
    </w:p>
    <w:p w14:paraId="76720FF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1.甲方无正当理由拒收服务的，甲方向乙方支付合同款项的百分之五作为违约金。</w:t>
      </w:r>
    </w:p>
    <w:p w14:paraId="0625F20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2.甲方无故逾期验收和办理款项支付手续的，甲方应按逾期付款总额每日万分之五向乙方支付违约金。</w:t>
      </w:r>
    </w:p>
    <w:p w14:paraId="6A1466D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逾期提供服务的，乙方应按逾期天数合同总额每日千分之六向甲方支付违约金，由甲方从待付合同款中扣除。逾期超过约定日期10个工作日不能提供服务的，甲方可解除本合同。乙方因逾期提供服务或因其他违约行为导致甲方解除合同的，乙方应向甲方支付合同总金额5%的违约金，并退回甲方已支付给乙方的所有费用（若已支付），如造成甲方损失超过违约金的，超出部分由乙方继续承担赔偿责任。 </w:t>
      </w:r>
    </w:p>
    <w:p w14:paraId="0E738C7B">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、不可抗力事件处理</w:t>
      </w:r>
    </w:p>
    <w:p w14:paraId="717FFE8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051640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8A0FAB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245D5694">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、诉讼</w:t>
      </w:r>
    </w:p>
    <w:p w14:paraId="68B28BF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3BE126D3">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、合同生效及其它</w:t>
      </w:r>
    </w:p>
    <w:p w14:paraId="573FEB9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合同经双方法定代表人或授权代表签字并加盖单位公章后生效。</w:t>
      </w:r>
    </w:p>
    <w:p w14:paraId="042A03A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2.合同执行中涉及采购资金和采购内容修改或补充的，须经财政部门审批，方可作为主合同不可分割的一部分。</w:t>
      </w:r>
    </w:p>
    <w:p w14:paraId="3A2205D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3.本合同未尽事宜，遵照《民法典》有关条文执行。</w:t>
      </w:r>
    </w:p>
    <w:p w14:paraId="37B5ACB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4.本合同正本一式肆份，具有同等法律效力，甲乙双方各执两份。</w:t>
      </w:r>
    </w:p>
    <w:p w14:paraId="67C5A4EC">
      <w:pPr>
        <w:spacing w:line="440" w:lineRule="exact"/>
        <w:rPr>
          <w:rFonts w:hint="eastAsia" w:ascii="宋体" w:hAnsi="宋体" w:eastAsia="宋体" w:cs="宋体"/>
          <w:color w:val="auto"/>
          <w:sz w:val="24"/>
          <w:szCs w:val="24"/>
          <w:highlight w:val="none"/>
        </w:rPr>
      </w:pPr>
    </w:p>
    <w:p w14:paraId="708A173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    （盖章）                                                                                  </w:t>
      </w:r>
    </w:p>
    <w:p w14:paraId="45BCF7A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273EE7B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                           法定（授权）代表人：</w:t>
      </w:r>
    </w:p>
    <w:p w14:paraId="0654B3F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签字日期：       年   月   日             </w:t>
      </w:r>
    </w:p>
    <w:p w14:paraId="5393F90B">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签约地址：</w:t>
      </w:r>
    </w:p>
    <w:p w14:paraId="1D2C0D7F">
      <w:pPr>
        <w:pageBreakBefore/>
        <w:autoSpaceDN w:val="0"/>
        <w:spacing w:line="400" w:lineRule="exact"/>
        <w:jc w:val="center"/>
        <w:outlineLvl w:val="0"/>
        <w:rPr>
          <w:rFonts w:hint="eastAsia" w:ascii="宋体" w:hAnsi="宋体" w:eastAsia="宋体" w:cs="宋体"/>
          <w:color w:val="auto"/>
          <w:sz w:val="28"/>
          <w:szCs w:val="28"/>
          <w:highlight w:val="none"/>
        </w:rPr>
      </w:pPr>
      <w:bookmarkStart w:id="30" w:name="_Toc22464"/>
      <w:r>
        <w:rPr>
          <w:rFonts w:hint="eastAsia" w:ascii="宋体" w:hAnsi="宋体" w:eastAsia="宋体" w:cs="宋体"/>
          <w:b/>
          <w:color w:val="auto"/>
          <w:sz w:val="28"/>
          <w:szCs w:val="28"/>
          <w:highlight w:val="none"/>
        </w:rPr>
        <w:t>第七章  附件</w:t>
      </w:r>
      <w:bookmarkEnd w:id="30"/>
    </w:p>
    <w:p w14:paraId="46AA5F9F">
      <w:pPr>
        <w:autoSpaceDN w:val="0"/>
        <w:spacing w:line="360" w:lineRule="auto"/>
        <w:rPr>
          <w:rFonts w:hint="eastAsia" w:ascii="宋体" w:hAnsi="宋体" w:eastAsia="宋体" w:cs="宋体"/>
          <w:color w:val="auto"/>
          <w:highlight w:val="none"/>
        </w:rPr>
      </w:pPr>
      <w:r>
        <w:rPr>
          <w:rFonts w:hint="eastAsia" w:ascii="宋体" w:hAnsi="宋体" w:eastAsia="宋体" w:cs="宋体"/>
          <w:b/>
          <w:color w:val="auto"/>
          <w:sz w:val="32"/>
          <w:szCs w:val="32"/>
          <w:highlight w:val="none"/>
        </w:rPr>
        <w:t>封面</w:t>
      </w:r>
    </w:p>
    <w:p w14:paraId="79D00CD5">
      <w:pPr>
        <w:autoSpaceDN w:val="0"/>
        <w:spacing w:line="360" w:lineRule="auto"/>
        <w:rPr>
          <w:rFonts w:hint="eastAsia" w:ascii="宋体" w:hAnsi="宋体" w:eastAsia="宋体" w:cs="宋体"/>
          <w:color w:val="auto"/>
          <w:highlight w:val="none"/>
        </w:rPr>
      </w:pPr>
      <w:r>
        <w:rPr>
          <w:rFonts w:hint="eastAsia" w:ascii="宋体" w:hAnsi="宋体" w:eastAsia="宋体" w:cs="宋体"/>
          <w:b/>
          <w:color w:val="auto"/>
          <w:sz w:val="32"/>
          <w:szCs w:val="32"/>
          <w:highlight w:val="none"/>
        </w:rPr>
        <w:t> </w:t>
      </w:r>
    </w:p>
    <w:p w14:paraId="3149952F">
      <w:pPr>
        <w:autoSpaceDN w:val="0"/>
        <w:spacing w:line="360" w:lineRule="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 </w:t>
      </w:r>
    </w:p>
    <w:p w14:paraId="18F3B197">
      <w:pPr>
        <w:autoSpaceDN w:val="0"/>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浙江省第五届体育大会开闭幕式策划及执行服务</w:t>
      </w:r>
      <w:r>
        <w:rPr>
          <w:rFonts w:hint="eastAsia" w:ascii="宋体" w:hAnsi="宋体" w:eastAsia="宋体" w:cs="宋体"/>
          <w:b/>
          <w:bCs/>
          <w:color w:val="auto"/>
          <w:sz w:val="52"/>
          <w:szCs w:val="52"/>
          <w:highlight w:val="none"/>
        </w:rPr>
        <w:t> </w:t>
      </w:r>
    </w:p>
    <w:p w14:paraId="6C0268C9">
      <w:pPr>
        <w:autoSpaceDN w:val="0"/>
        <w:spacing w:line="360" w:lineRule="auto"/>
        <w:jc w:val="center"/>
        <w:rPr>
          <w:rFonts w:hint="eastAsia" w:ascii="宋体" w:hAnsi="宋体" w:eastAsia="宋体" w:cs="宋体"/>
          <w:color w:val="auto"/>
          <w:sz w:val="36"/>
          <w:szCs w:val="36"/>
          <w:highlight w:val="none"/>
        </w:rPr>
      </w:pPr>
    </w:p>
    <w:p w14:paraId="2D243ABB">
      <w:pPr>
        <w:autoSpaceDN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lang w:eastAsia="zh-CN"/>
        </w:rPr>
        <w:t>ZGTZZB2025-0403</w:t>
      </w:r>
    </w:p>
    <w:p w14:paraId="331D6EB2">
      <w:pPr>
        <w:autoSpaceDN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 </w:t>
      </w:r>
    </w:p>
    <w:p w14:paraId="77FA882C">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（资格文件）</w:t>
      </w:r>
    </w:p>
    <w:p w14:paraId="14D64690">
      <w:pPr>
        <w:autoSpaceDN w:val="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 </w:t>
      </w:r>
    </w:p>
    <w:p w14:paraId="36809E32">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72"/>
          <w:szCs w:val="72"/>
          <w:highlight w:val="none"/>
        </w:rPr>
        <w:t>磋商响应文件</w:t>
      </w:r>
    </w:p>
    <w:p w14:paraId="1AD73156">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134738BC">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219B3BD2">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0ACFD00D">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供应商全称：（加盖单位公章）</w:t>
      </w:r>
    </w:p>
    <w:p w14:paraId="36767FAB">
      <w:pPr>
        <w:pStyle w:val="14"/>
        <w:autoSpaceDN w:val="0"/>
        <w:ind w:left="101" w:leftChars="48" w:firstLine="1680" w:firstLineChars="800"/>
        <w:jc w:val="left"/>
        <w:rPr>
          <w:rFonts w:hint="eastAsia" w:ascii="宋体" w:hAnsi="宋体" w:eastAsia="宋体" w:cs="宋体"/>
          <w:color w:val="auto"/>
          <w:szCs w:val="28"/>
          <w:highlight w:val="none"/>
        </w:rPr>
      </w:pPr>
      <w:r>
        <w:rPr>
          <w:rFonts w:hint="eastAsia" w:ascii="宋体" w:hAnsi="宋体" w:eastAsia="宋体" w:cs="宋体"/>
          <w:color w:val="auto"/>
          <w:szCs w:val="28"/>
          <w:highlight w:val="none"/>
        </w:rPr>
        <w:t> </w:t>
      </w:r>
    </w:p>
    <w:p w14:paraId="64DD8FB5">
      <w:pPr>
        <w:pStyle w:val="14"/>
        <w:autoSpaceDN w:val="0"/>
        <w:ind w:left="101" w:leftChars="48" w:firstLine="1680" w:firstLineChars="800"/>
        <w:jc w:val="center"/>
        <w:rPr>
          <w:rFonts w:hint="eastAsia" w:ascii="宋体" w:hAnsi="宋体" w:eastAsia="宋体" w:cs="宋体"/>
          <w:color w:val="auto"/>
          <w:szCs w:val="28"/>
          <w:highlight w:val="none"/>
        </w:rPr>
      </w:pPr>
    </w:p>
    <w:p w14:paraId="363F3390">
      <w:pPr>
        <w:pStyle w:val="14"/>
        <w:autoSpaceDN w:val="0"/>
        <w:ind w:left="101" w:leftChars="48" w:firstLine="2880" w:firstLineChars="800"/>
        <w:jc w:val="left"/>
        <w:rPr>
          <w:rFonts w:hint="eastAsia" w:ascii="宋体" w:hAnsi="宋体" w:eastAsia="宋体" w:cs="宋体"/>
          <w:color w:val="auto"/>
          <w:highlight w:val="none"/>
        </w:rPr>
      </w:pPr>
      <w:r>
        <w:rPr>
          <w:rFonts w:hint="eastAsia" w:ascii="宋体" w:hAnsi="宋体" w:eastAsia="宋体" w:cs="宋体"/>
          <w:color w:val="auto"/>
          <w:sz w:val="36"/>
          <w:szCs w:val="36"/>
          <w:highlight w:val="none"/>
        </w:rPr>
        <w:t>年  月    日</w:t>
      </w:r>
    </w:p>
    <w:p w14:paraId="3E8AB992">
      <w:pPr>
        <w:autoSpaceDN w:val="0"/>
        <w:spacing w:line="360" w:lineRule="auto"/>
        <w:rPr>
          <w:rFonts w:hint="eastAsia" w:ascii="宋体" w:hAnsi="宋体" w:eastAsia="宋体" w:cs="宋体"/>
          <w:color w:val="auto"/>
          <w:sz w:val="24"/>
          <w:szCs w:val="24"/>
          <w:highlight w:val="none"/>
        </w:rPr>
      </w:pPr>
      <w:r>
        <w:rPr>
          <w:rStyle w:val="43"/>
          <w:rFonts w:hint="eastAsia" w:ascii="宋体" w:hAnsi="宋体" w:cs="宋体"/>
          <w:color w:val="auto"/>
          <w:szCs w:val="21"/>
          <w:highlight w:val="none"/>
        </w:rPr>
        <w:br w:type="page"/>
      </w:r>
      <w:r>
        <w:rPr>
          <w:rFonts w:hint="eastAsia" w:ascii="宋体" w:hAnsi="宋体" w:eastAsia="宋体" w:cs="宋体"/>
          <w:b/>
          <w:color w:val="auto"/>
          <w:sz w:val="24"/>
          <w:szCs w:val="24"/>
          <w:highlight w:val="none"/>
        </w:rPr>
        <w:t>A1、关于资格的承诺函；</w:t>
      </w:r>
    </w:p>
    <w:p w14:paraId="1BAE027C">
      <w:pPr>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p>
    <w:p w14:paraId="1B2C2C43">
      <w:pPr>
        <w:autoSpaceDN w:val="0"/>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w:t>
      </w:r>
    </w:p>
    <w:p w14:paraId="582513F6">
      <w:pPr>
        <w:autoSpaceDN w:val="0"/>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关于资格的承诺函</w:t>
      </w:r>
    </w:p>
    <w:p w14:paraId="25B2B389">
      <w:pPr>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致：中冠工程管理咨询有限公司</w:t>
      </w:r>
    </w:p>
    <w:p w14:paraId="7BA03914">
      <w:pPr>
        <w:autoSpaceDN w:val="0"/>
        <w:snapToGrid w:val="0"/>
        <w:spacing w:before="156" w:beforeLines="50"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w:t>
      </w:r>
      <w:r>
        <w:rPr>
          <w:rFonts w:hint="eastAsia" w:ascii="宋体" w:hAnsi="宋体" w:eastAsia="宋体" w:cs="宋体"/>
          <w:color w:val="auto"/>
          <w:sz w:val="24"/>
          <w:szCs w:val="24"/>
          <w:highlight w:val="none"/>
          <w:u w:val="single"/>
          <w:lang w:eastAsia="zh-CN"/>
        </w:rPr>
        <w:t>浙江省第五届体育大会开闭幕式策划及执行服务</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ZGTZZB2025-0403</w:t>
      </w:r>
      <w:r>
        <w:rPr>
          <w:rFonts w:hint="eastAsia" w:ascii="宋体" w:hAnsi="宋体" w:eastAsia="宋体" w:cs="宋体"/>
          <w:color w:val="auto"/>
          <w:sz w:val="24"/>
          <w:szCs w:val="24"/>
          <w:highlight w:val="none"/>
        </w:rPr>
        <w:t>），我方愿意参加投标，并声明：</w:t>
      </w:r>
    </w:p>
    <w:p w14:paraId="26274C04">
      <w:pPr>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1、我方具备《中华人民共和国政府采购法》第二十二条规定资格条件：</w:t>
      </w:r>
    </w:p>
    <w:p w14:paraId="113EC661">
      <w:pPr>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0D60C70A">
      <w:pPr>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2、我方的单位负责人与所参投的本采购项目的其他供应商的单位负责人不为同一人且与其他供应商之间不存在直接控股、管理关系。</w:t>
      </w:r>
    </w:p>
    <w:p w14:paraId="4C43EBA2">
      <w:pPr>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3、我方不是本采购项目提供整体设计、规范编制或者项目管理、监理、检测等服务的供应商。</w:t>
      </w:r>
    </w:p>
    <w:p w14:paraId="558CCD89">
      <w:pPr>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w:t>
      </w:r>
      <w:r>
        <w:rPr>
          <w:rFonts w:hint="eastAsia" w:ascii="宋体" w:hAnsi="宋体" w:eastAsia="宋体" w:cs="宋体"/>
          <w:bCs/>
          <w:color w:val="auto"/>
          <w:sz w:val="24"/>
          <w:szCs w:val="24"/>
          <w:highlight w:val="none"/>
        </w:rPr>
        <w:t>未被“信用中国”（www.creditchina.gov.cn)、中国政府采购网（www.ccgp.gov.cn）列入失信被执行人、重大税收违法失信主体、政府采购严重违法失信行为记录名单。</w:t>
      </w:r>
    </w:p>
    <w:p w14:paraId="0813D667">
      <w:pPr>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我方对上述声明的真实性负责。</w:t>
      </w:r>
      <w:r>
        <w:rPr>
          <w:rFonts w:hint="eastAsia" w:ascii="宋体" w:hAnsi="宋体" w:eastAsia="宋体" w:cs="宋体"/>
          <w:color w:val="auto"/>
          <w:sz w:val="24"/>
          <w:szCs w:val="24"/>
          <w:highlight w:val="none"/>
        </w:rPr>
        <w:t>本次招标采购活动中，如有违法、违规、弄虚作假行为，所造成的损失、不良后果及法律责任，一律由我方承担。</w:t>
      </w:r>
    </w:p>
    <w:p w14:paraId="21553232">
      <w:pPr>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p>
    <w:p w14:paraId="7318B5DD">
      <w:pPr>
        <w:autoSpaceDN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特此声明！</w:t>
      </w:r>
    </w:p>
    <w:p w14:paraId="17CAA298">
      <w:pPr>
        <w:autoSpaceDN w:val="0"/>
        <w:spacing w:line="360" w:lineRule="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r>
        <w:rPr>
          <w:rFonts w:hint="eastAsia" w:ascii="宋体" w:hAnsi="宋体" w:eastAsia="宋体" w:cs="宋体"/>
          <w:b/>
          <w:bCs/>
          <w:color w:val="auto"/>
          <w:sz w:val="24"/>
          <w:szCs w:val="24"/>
          <w:highlight w:val="none"/>
        </w:rPr>
        <w:t> </w:t>
      </w:r>
      <w:r>
        <w:rPr>
          <w:rFonts w:hint="eastAsia" w:ascii="宋体" w:hAnsi="宋体" w:eastAsia="宋体" w:cs="宋体"/>
          <w:color w:val="auto"/>
          <w:sz w:val="24"/>
          <w:szCs w:val="24"/>
          <w:highlight w:val="none"/>
        </w:rPr>
        <w:t> </w:t>
      </w:r>
    </w:p>
    <w:p w14:paraId="5EE6A573">
      <w:pPr>
        <w:autoSpaceDN w:val="0"/>
        <w:spacing w:line="360" w:lineRule="auto"/>
        <w:jc w:val="righ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10E564D7">
      <w:pPr>
        <w:autoSpaceDN w:val="0"/>
        <w:spacing w:line="360" w:lineRule="auto"/>
        <w:jc w:val="righ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84EC8B8">
      <w:pPr>
        <w:autoSpaceDN w:val="0"/>
        <w:spacing w:line="360" w:lineRule="auto"/>
        <w:jc w:val="right"/>
        <w:rPr>
          <w:rFonts w:hint="eastAsia" w:ascii="宋体" w:hAnsi="宋体" w:eastAsia="宋体" w:cs="宋体"/>
          <w:color w:val="auto"/>
          <w:highlight w:val="none"/>
        </w:rPr>
      </w:pPr>
    </w:p>
    <w:p w14:paraId="1A7B6869">
      <w:pPr>
        <w:pageBreakBefore/>
        <w:autoSpaceDN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A2、营业执照副本（或事业法人登记证副本或其他登记证明材料）扫描件加盖供应商公章（供应商如果有名称变更的，应提供由行政主管部门出具的变更证明文件扫描件加盖供应商公章）；</w:t>
      </w:r>
    </w:p>
    <w:p w14:paraId="186D6E55">
      <w:pPr>
        <w:pageBreakBefore/>
        <w:autoSpaceDN w:val="0"/>
        <w:spacing w:line="360" w:lineRule="auto"/>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rPr>
        <w:t>A</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shd w:val="clear" w:color="auto" w:fill="FFFFFF"/>
        </w:rPr>
        <w:t>联合协议</w:t>
      </w:r>
    </w:p>
    <w:p w14:paraId="05D9963B">
      <w:pPr>
        <w:widowControl/>
        <w:adjustRightInd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1D384943">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_______________（联合体所有成员名称）自愿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eastAsia="宋体" w:cs="宋体"/>
          <w:color w:val="auto"/>
          <w:sz w:val="24"/>
          <w:szCs w:val="24"/>
          <w:highlight w:val="none"/>
        </w:rPr>
        <w:t>__</w:t>
      </w:r>
      <w:r>
        <w:rPr>
          <w:rFonts w:hint="eastAsia" w:ascii="宋体" w:hAnsi="宋体" w:eastAsia="宋体" w:cs="宋体"/>
          <w:color w:val="auto"/>
          <w:sz w:val="24"/>
          <w:szCs w:val="24"/>
          <w:highlight w:val="none"/>
          <w:u w:val="single"/>
        </w:rPr>
        <w:t>__</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__</w:t>
      </w:r>
      <w:r>
        <w:rPr>
          <w:rFonts w:hint="eastAsia" w:ascii="宋体" w:hAnsi="宋体" w:eastAsia="宋体" w:cs="宋体"/>
          <w:color w:val="auto"/>
          <w:sz w:val="24"/>
          <w:szCs w:val="24"/>
          <w:highlight w:val="none"/>
        </w:rPr>
        <w:t>___（项目名称）【项目编号：</w:t>
      </w:r>
      <w:r>
        <w:rPr>
          <w:rFonts w:hint="eastAsia" w:ascii="宋体" w:hAnsi="宋体" w:eastAsia="宋体" w:cs="宋体"/>
          <w:color w:val="auto"/>
          <w:sz w:val="24"/>
          <w:szCs w:val="24"/>
          <w:highlight w:val="none"/>
          <w:u w:val="single"/>
        </w:rPr>
        <w:t>（采购编号）</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投标。 </w:t>
      </w:r>
    </w:p>
    <w:p w14:paraId="39F72925">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69C8C885">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授权代表根据招标文件规定及投标内容而对采购人、采购代理机构所作的任何合法承诺，包括书面澄清及相应等均对联合投标各方产生约束力。</w:t>
      </w:r>
    </w:p>
    <w:p w14:paraId="3758FD8E">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14:paraId="705AA6E5">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（联合体成员1）</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w:t>
      </w:r>
    </w:p>
    <w:p w14:paraId="03DC93F0">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（联合体成员</w:t>
      </w:r>
      <w:r>
        <w:rPr>
          <w:rFonts w:ascii="宋体" w:hAnsi="宋体" w:eastAsia="宋体" w:cs="宋体"/>
          <w:color w:val="auto"/>
          <w:kern w:val="0"/>
          <w:sz w:val="24"/>
          <w:szCs w:val="24"/>
          <w:highlight w:val="none"/>
          <w:u w:val="single"/>
        </w:rPr>
        <w:t>2</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zh-CN"/>
        </w:rPr>
        <w:t>；</w:t>
      </w:r>
    </w:p>
    <w:p w14:paraId="55E7F46F">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1DBAF32D">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四、联合体成员小微企业合同份额。</w:t>
      </w:r>
    </w:p>
    <w:p w14:paraId="3102E44F">
      <w:pPr>
        <w:wordWrap w:val="0"/>
        <w:adjustRightInd w:val="0"/>
        <w:snapToGrid w:val="0"/>
        <w:spacing w:line="360" w:lineRule="auto"/>
        <w:ind w:firstLine="576"/>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u w:val="single"/>
        </w:rPr>
        <w:t>（</w:t>
      </w:r>
      <w:bookmarkStart w:id="31" w:name="_Hlk101131882"/>
      <w:r>
        <w:rPr>
          <w:rFonts w:hint="eastAsia" w:ascii="宋体" w:hAnsi="宋体" w:eastAsia="宋体" w:cs="宋体"/>
          <w:color w:val="auto"/>
          <w:kern w:val="0"/>
          <w:sz w:val="24"/>
          <w:szCs w:val="24"/>
          <w:highlight w:val="none"/>
          <w:u w:val="single"/>
        </w:rPr>
        <w:t>__________联合体成员X</w:t>
      </w:r>
      <w:r>
        <w:rPr>
          <w:rFonts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u w:val="single"/>
        </w:rPr>
        <w:t>……</w:t>
      </w:r>
      <w:bookmarkEnd w:id="31"/>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提供的服务由小微企业承接，其合同份额占到合同总金额</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%以上</w:t>
      </w:r>
      <w:r>
        <w:rPr>
          <w:rFonts w:hint="eastAsia" w:ascii="宋体" w:hAnsi="宋体" w:eastAsia="宋体" w:cs="宋体"/>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w:t>
      </w:r>
      <w:bookmarkStart w:id="32" w:name="_Hlk101133598"/>
      <w:r>
        <w:rPr>
          <w:rFonts w:hint="eastAsia" w:ascii="宋体" w:hAnsi="宋体" w:eastAsia="宋体" w:cs="宋体"/>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szCs w:val="24"/>
          <w:highlight w:val="none"/>
        </w:rPr>
        <w:t>拟享受以上价格扣除政策的，填写有关内容。</w:t>
      </w:r>
      <w:bookmarkEnd w:id="32"/>
      <w:r>
        <w:rPr>
          <w:rFonts w:hint="eastAsia" w:ascii="宋体" w:hAnsi="宋体" w:eastAsia="宋体" w:cs="宋体"/>
          <w:b/>
          <w:color w:val="auto"/>
          <w:kern w:val="0"/>
          <w:sz w:val="24"/>
          <w:szCs w:val="24"/>
          <w:highlight w:val="none"/>
          <w:lang w:val="zh-CN"/>
        </w:rPr>
        <w:t>）</w:t>
      </w:r>
    </w:p>
    <w:p w14:paraId="17DAD92E">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6D956215">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7F396458">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25566C4D">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0DED2BE8">
      <w:pPr>
        <w:wordWrap w:val="0"/>
        <w:adjustRightInd w:val="0"/>
        <w:snapToGrid w:val="0"/>
        <w:spacing w:line="360" w:lineRule="auto"/>
        <w:ind w:firstLine="576"/>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3、本协议提交采购人、采购代理机构后，联合体各方不得以任何形式对上述内容进行修改或撤销。</w:t>
      </w:r>
    </w:p>
    <w:p w14:paraId="0D3B6E62">
      <w:pPr>
        <w:wordWrap w:val="0"/>
        <w:adjustRightInd w:val="0"/>
        <w:snapToGrid w:val="0"/>
        <w:spacing w:line="360" w:lineRule="auto"/>
        <w:ind w:firstLine="5040" w:firstLineChars="21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2C6592F8">
      <w:pPr>
        <w:wordWrap w:val="0"/>
        <w:adjustRightInd w:val="0"/>
        <w:snapToGrid w:val="0"/>
        <w:spacing w:line="360" w:lineRule="auto"/>
        <w:ind w:firstLine="5040" w:firstLineChars="210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3E78AF6B">
      <w:pPr>
        <w:wordWrap w:val="0"/>
        <w:adjustRightInd w:val="0"/>
        <w:snapToGrid w:val="0"/>
        <w:spacing w:line="360" w:lineRule="auto"/>
        <w:ind w:right="960"/>
        <w:jc w:val="righ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5E7CEF84">
      <w:pPr>
        <w:pStyle w:val="25"/>
        <w:ind w:left="0" w:leftChars="0" w:firstLine="0" w:firstLineChars="0"/>
        <w:rPr>
          <w:rFonts w:hint="eastAsia" w:ascii="宋体" w:hAnsi="宋体" w:eastAsia="宋体" w:cs="宋体"/>
          <w:b/>
          <w:bCs/>
          <w:color w:val="auto"/>
          <w:sz w:val="24"/>
          <w:szCs w:val="24"/>
          <w:highlight w:val="none"/>
          <w:shd w:val="clear" w:color="auto" w:fill="FFFFFF"/>
        </w:rPr>
      </w:pPr>
      <w:r>
        <w:rPr>
          <w:rFonts w:hint="eastAsia" w:ascii="宋体" w:hAnsi="宋体" w:eastAsia="宋体" w:cs="宋体"/>
          <w:color w:val="auto"/>
          <w:kern w:val="0"/>
          <w:sz w:val="24"/>
          <w:szCs w:val="24"/>
          <w:highlight w:val="none"/>
          <w:lang w:val="zh-CN"/>
        </w:rPr>
        <w:t>日期：  年  月   日</w:t>
      </w:r>
    </w:p>
    <w:p w14:paraId="25052056">
      <w:pPr>
        <w:pageBreakBefore/>
        <w:autoSpaceDN w:val="0"/>
        <w:spacing w:line="360" w:lineRule="auto"/>
        <w:rPr>
          <w:rFonts w:hint="eastAsia" w:ascii="宋体" w:hAnsi="宋体" w:eastAsia="宋体" w:cs="宋体"/>
          <w:color w:val="auto"/>
          <w:highlight w:val="none"/>
        </w:rPr>
      </w:pPr>
      <w:r>
        <w:rPr>
          <w:rFonts w:hint="eastAsia" w:ascii="宋体" w:hAnsi="宋体" w:eastAsia="宋体" w:cs="宋体"/>
          <w:b/>
          <w:color w:val="auto"/>
          <w:sz w:val="32"/>
          <w:szCs w:val="32"/>
          <w:highlight w:val="none"/>
        </w:rPr>
        <w:t>封面</w:t>
      </w:r>
    </w:p>
    <w:p w14:paraId="692976B8">
      <w:pPr>
        <w:autoSpaceDN w:val="0"/>
        <w:spacing w:line="360" w:lineRule="auto"/>
        <w:rPr>
          <w:rFonts w:hint="eastAsia" w:ascii="宋体" w:hAnsi="宋体" w:eastAsia="宋体" w:cs="宋体"/>
          <w:color w:val="auto"/>
          <w:highlight w:val="none"/>
        </w:rPr>
      </w:pPr>
      <w:r>
        <w:rPr>
          <w:rFonts w:hint="eastAsia" w:ascii="宋体" w:hAnsi="宋体" w:eastAsia="宋体" w:cs="宋体"/>
          <w:b/>
          <w:color w:val="auto"/>
          <w:sz w:val="32"/>
          <w:szCs w:val="32"/>
          <w:highlight w:val="none"/>
        </w:rPr>
        <w:t> </w:t>
      </w:r>
    </w:p>
    <w:p w14:paraId="6C4E8B63">
      <w:pPr>
        <w:autoSpaceDN w:val="0"/>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浙江省第五届体育大会开闭幕式策划及执行服务</w:t>
      </w:r>
      <w:r>
        <w:rPr>
          <w:rFonts w:hint="eastAsia" w:ascii="宋体" w:hAnsi="宋体" w:eastAsia="宋体" w:cs="宋体"/>
          <w:b/>
          <w:bCs/>
          <w:color w:val="auto"/>
          <w:sz w:val="52"/>
          <w:szCs w:val="52"/>
          <w:highlight w:val="none"/>
        </w:rPr>
        <w:t> </w:t>
      </w:r>
    </w:p>
    <w:p w14:paraId="386B34D6">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5EFDEAC7">
      <w:pPr>
        <w:autoSpaceDN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lang w:eastAsia="zh-CN"/>
        </w:rPr>
        <w:t>ZGTZZB2025-0403</w:t>
      </w:r>
    </w:p>
    <w:p w14:paraId="645E0DC4">
      <w:pPr>
        <w:autoSpaceDN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 </w:t>
      </w:r>
    </w:p>
    <w:p w14:paraId="6AC5C7F5">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（商务和技术文件）</w:t>
      </w:r>
    </w:p>
    <w:p w14:paraId="209083E1">
      <w:pPr>
        <w:autoSpaceDN w:val="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 </w:t>
      </w:r>
    </w:p>
    <w:p w14:paraId="71672C42">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72"/>
          <w:szCs w:val="72"/>
          <w:highlight w:val="none"/>
        </w:rPr>
        <w:t>磋商响应文件</w:t>
      </w:r>
    </w:p>
    <w:p w14:paraId="7CEB0C95">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20B7815C">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61230CE8">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31EF5F90">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供应商全称：</w:t>
      </w:r>
      <w:r>
        <w:rPr>
          <w:rFonts w:hint="eastAsia" w:ascii="宋体" w:hAnsi="宋体" w:eastAsia="宋体" w:cs="宋体"/>
          <w:color w:val="auto"/>
          <w:sz w:val="36"/>
          <w:szCs w:val="36"/>
          <w:highlight w:val="none"/>
          <w:u w:val="single"/>
        </w:rPr>
        <w:t>（加盖单位公章）</w:t>
      </w:r>
    </w:p>
    <w:p w14:paraId="05A2A153">
      <w:pPr>
        <w:autoSpaceDN w:val="0"/>
        <w:spacing w:line="360" w:lineRule="auto"/>
        <w:jc w:val="center"/>
        <w:rPr>
          <w:rFonts w:hint="eastAsia" w:ascii="宋体" w:hAnsi="宋体" w:eastAsia="宋体" w:cs="宋体"/>
          <w:color w:val="auto"/>
          <w:sz w:val="36"/>
          <w:szCs w:val="36"/>
          <w:highlight w:val="none"/>
        </w:rPr>
      </w:pPr>
    </w:p>
    <w:p w14:paraId="4C9C033C">
      <w:pPr>
        <w:autoSpaceDN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年月日</w:t>
      </w:r>
    </w:p>
    <w:p w14:paraId="3AD43632">
      <w:pPr>
        <w:pageBreakBefore/>
        <w:autoSpaceDN w:val="0"/>
        <w:spacing w:line="440" w:lineRule="exact"/>
        <w:jc w:val="center"/>
        <w:rPr>
          <w:rFonts w:hint="eastAsia" w:ascii="宋体" w:hAnsi="宋体" w:eastAsia="宋体" w:cs="宋体"/>
          <w:b/>
          <w:color w:val="auto"/>
          <w:sz w:val="24"/>
          <w:szCs w:val="24"/>
          <w:highlight w:val="none"/>
        </w:rPr>
      </w:pPr>
      <w:bookmarkStart w:id="33" w:name="_Toc4248"/>
      <w:bookmarkStart w:id="34" w:name="_Toc26107"/>
      <w:bookmarkStart w:id="35" w:name="_Toc13033"/>
      <w:bookmarkStart w:id="36" w:name="_Toc1427"/>
      <w:bookmarkStart w:id="37" w:name="_Toc25635"/>
      <w:bookmarkStart w:id="38" w:name="_Toc20566"/>
      <w:bookmarkStart w:id="39" w:name="_Toc28471"/>
      <w:r>
        <w:rPr>
          <w:rFonts w:hint="eastAsia" w:ascii="宋体" w:hAnsi="宋体" w:eastAsia="宋体" w:cs="宋体"/>
          <w:b/>
          <w:color w:val="auto"/>
          <w:sz w:val="24"/>
          <w:szCs w:val="24"/>
          <w:highlight w:val="none"/>
        </w:rPr>
        <w:t>B1.商务技术自评表</w:t>
      </w:r>
      <w:bookmarkEnd w:id="33"/>
      <w:bookmarkEnd w:id="34"/>
      <w:bookmarkEnd w:id="35"/>
      <w:bookmarkEnd w:id="36"/>
      <w:bookmarkEnd w:id="37"/>
      <w:bookmarkEnd w:id="38"/>
      <w:bookmarkEnd w:id="39"/>
    </w:p>
    <w:tbl>
      <w:tblPr>
        <w:tblStyle w:val="26"/>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44"/>
        <w:gridCol w:w="5567"/>
        <w:gridCol w:w="709"/>
        <w:gridCol w:w="709"/>
        <w:gridCol w:w="1145"/>
      </w:tblGrid>
      <w:tr w14:paraId="2C72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40D1A47">
            <w:pPr>
              <w:spacing w:line="360" w:lineRule="exact"/>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评审项目</w:t>
            </w:r>
          </w:p>
        </w:tc>
        <w:tc>
          <w:tcPr>
            <w:tcW w:w="5567" w:type="dxa"/>
            <w:tcBorders>
              <w:top w:val="single" w:color="auto" w:sz="2" w:space="0"/>
              <w:left w:val="single" w:color="auto" w:sz="4" w:space="0"/>
              <w:bottom w:val="single" w:color="auto" w:sz="2" w:space="0"/>
              <w:right w:val="single" w:color="auto" w:sz="2" w:space="0"/>
            </w:tcBorders>
            <w:vAlign w:val="center"/>
          </w:tcPr>
          <w:p w14:paraId="42AFA0C5">
            <w:pPr>
              <w:spacing w:line="360" w:lineRule="exact"/>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评审细则</w:t>
            </w:r>
          </w:p>
        </w:tc>
        <w:tc>
          <w:tcPr>
            <w:tcW w:w="709" w:type="dxa"/>
            <w:tcBorders>
              <w:top w:val="single" w:color="auto" w:sz="2" w:space="0"/>
              <w:left w:val="single" w:color="auto" w:sz="4" w:space="0"/>
              <w:bottom w:val="single" w:color="auto" w:sz="2" w:space="0"/>
              <w:right w:val="single" w:color="auto" w:sz="2" w:space="0"/>
            </w:tcBorders>
            <w:vAlign w:val="center"/>
          </w:tcPr>
          <w:p w14:paraId="3D152E6A">
            <w:pPr>
              <w:spacing w:line="360" w:lineRule="exact"/>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分值</w:t>
            </w:r>
          </w:p>
        </w:tc>
        <w:tc>
          <w:tcPr>
            <w:tcW w:w="709" w:type="dxa"/>
            <w:tcBorders>
              <w:top w:val="single" w:color="auto" w:sz="2" w:space="0"/>
              <w:left w:val="single" w:color="auto" w:sz="4" w:space="0"/>
              <w:bottom w:val="single" w:color="auto" w:sz="2" w:space="0"/>
              <w:right w:val="single" w:color="auto" w:sz="2" w:space="0"/>
            </w:tcBorders>
            <w:vAlign w:val="center"/>
          </w:tcPr>
          <w:p w14:paraId="37F38223">
            <w:pPr>
              <w:spacing w:line="360" w:lineRule="exact"/>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自评分</w:t>
            </w:r>
          </w:p>
        </w:tc>
        <w:tc>
          <w:tcPr>
            <w:tcW w:w="1145" w:type="dxa"/>
            <w:tcBorders>
              <w:top w:val="single" w:color="auto" w:sz="2" w:space="0"/>
              <w:left w:val="single" w:color="auto" w:sz="4" w:space="0"/>
              <w:bottom w:val="single" w:color="auto" w:sz="2" w:space="0"/>
              <w:right w:val="single" w:color="auto" w:sz="2" w:space="0"/>
            </w:tcBorders>
            <w:vAlign w:val="center"/>
          </w:tcPr>
          <w:p w14:paraId="5467DDC4">
            <w:pPr>
              <w:spacing w:line="360" w:lineRule="exact"/>
              <w:jc w:val="center"/>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投标文件对应页码</w:t>
            </w:r>
          </w:p>
        </w:tc>
      </w:tr>
      <w:tr w14:paraId="6057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A664688">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8F823E0">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6625694">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56666A95">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381BD488">
            <w:pPr>
              <w:spacing w:line="360" w:lineRule="exact"/>
              <w:jc w:val="center"/>
              <w:rPr>
                <w:rFonts w:hint="eastAsia" w:ascii="宋体" w:hAnsi="宋体" w:eastAsia="宋体" w:cs="宋体"/>
                <w:b/>
                <w:color w:val="auto"/>
                <w:spacing w:val="20"/>
                <w:sz w:val="24"/>
                <w:szCs w:val="24"/>
                <w:highlight w:val="none"/>
              </w:rPr>
            </w:pPr>
          </w:p>
        </w:tc>
      </w:tr>
      <w:tr w14:paraId="4CAC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285E388C">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36403FA">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B917A30">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DEDFB3F">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A454499">
            <w:pPr>
              <w:spacing w:line="360" w:lineRule="exact"/>
              <w:jc w:val="center"/>
              <w:rPr>
                <w:rFonts w:hint="eastAsia" w:ascii="宋体" w:hAnsi="宋体" w:eastAsia="宋体" w:cs="宋体"/>
                <w:b/>
                <w:color w:val="auto"/>
                <w:spacing w:val="20"/>
                <w:sz w:val="24"/>
                <w:szCs w:val="24"/>
                <w:highlight w:val="none"/>
              </w:rPr>
            </w:pPr>
          </w:p>
        </w:tc>
      </w:tr>
      <w:tr w14:paraId="6224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C0EE7FF">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F73013B">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D685451">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9B2E472">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F86E8CC">
            <w:pPr>
              <w:spacing w:line="360" w:lineRule="exact"/>
              <w:jc w:val="center"/>
              <w:rPr>
                <w:rFonts w:hint="eastAsia" w:ascii="宋体" w:hAnsi="宋体" w:eastAsia="宋体" w:cs="宋体"/>
                <w:b/>
                <w:color w:val="auto"/>
                <w:spacing w:val="20"/>
                <w:sz w:val="24"/>
                <w:szCs w:val="24"/>
                <w:highlight w:val="none"/>
              </w:rPr>
            </w:pPr>
          </w:p>
        </w:tc>
      </w:tr>
      <w:tr w14:paraId="4CF9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396D46B7">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256EDB02">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84DAFFF">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B64B6A1">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590ACF43">
            <w:pPr>
              <w:spacing w:line="360" w:lineRule="exact"/>
              <w:jc w:val="center"/>
              <w:rPr>
                <w:rFonts w:hint="eastAsia" w:ascii="宋体" w:hAnsi="宋体" w:eastAsia="宋体" w:cs="宋体"/>
                <w:b/>
                <w:color w:val="auto"/>
                <w:spacing w:val="20"/>
                <w:sz w:val="24"/>
                <w:szCs w:val="24"/>
                <w:highlight w:val="none"/>
              </w:rPr>
            </w:pPr>
          </w:p>
        </w:tc>
      </w:tr>
      <w:tr w14:paraId="4130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1C2AA561">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6638940">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AB9AEC5">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54DD8A1">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79D2A147">
            <w:pPr>
              <w:spacing w:line="360" w:lineRule="exact"/>
              <w:jc w:val="center"/>
              <w:rPr>
                <w:rFonts w:hint="eastAsia" w:ascii="宋体" w:hAnsi="宋体" w:eastAsia="宋体" w:cs="宋体"/>
                <w:b/>
                <w:color w:val="auto"/>
                <w:spacing w:val="20"/>
                <w:sz w:val="24"/>
                <w:szCs w:val="24"/>
                <w:highlight w:val="none"/>
              </w:rPr>
            </w:pPr>
          </w:p>
        </w:tc>
      </w:tr>
      <w:tr w14:paraId="2BDB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1952F66">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B775F02">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21EEF39">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38CF4FB">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2B44BF61">
            <w:pPr>
              <w:spacing w:line="360" w:lineRule="exact"/>
              <w:jc w:val="center"/>
              <w:rPr>
                <w:rFonts w:hint="eastAsia" w:ascii="宋体" w:hAnsi="宋体" w:eastAsia="宋体" w:cs="宋体"/>
                <w:b/>
                <w:color w:val="auto"/>
                <w:spacing w:val="20"/>
                <w:sz w:val="24"/>
                <w:szCs w:val="24"/>
                <w:highlight w:val="none"/>
              </w:rPr>
            </w:pPr>
          </w:p>
        </w:tc>
      </w:tr>
      <w:tr w14:paraId="476D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1C41DFD">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358ACD48">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45873825">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5D844CB">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2A979A8">
            <w:pPr>
              <w:spacing w:line="360" w:lineRule="exact"/>
              <w:jc w:val="center"/>
              <w:rPr>
                <w:rFonts w:hint="eastAsia" w:ascii="宋体" w:hAnsi="宋体" w:eastAsia="宋体" w:cs="宋体"/>
                <w:b/>
                <w:color w:val="auto"/>
                <w:spacing w:val="20"/>
                <w:sz w:val="24"/>
                <w:szCs w:val="24"/>
                <w:highlight w:val="none"/>
              </w:rPr>
            </w:pPr>
          </w:p>
        </w:tc>
      </w:tr>
      <w:tr w14:paraId="0150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20B1305">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4902F825">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DB16E44">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05800C73">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5A38E43">
            <w:pPr>
              <w:spacing w:line="360" w:lineRule="exact"/>
              <w:jc w:val="center"/>
              <w:rPr>
                <w:rFonts w:hint="eastAsia" w:ascii="宋体" w:hAnsi="宋体" w:eastAsia="宋体" w:cs="宋体"/>
                <w:b/>
                <w:color w:val="auto"/>
                <w:spacing w:val="20"/>
                <w:sz w:val="24"/>
                <w:szCs w:val="24"/>
                <w:highlight w:val="none"/>
              </w:rPr>
            </w:pPr>
          </w:p>
        </w:tc>
      </w:tr>
      <w:tr w14:paraId="60C3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783DAE8E">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132F21E1">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2906DA34">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725D8981">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66236279">
            <w:pPr>
              <w:spacing w:line="360" w:lineRule="exact"/>
              <w:jc w:val="center"/>
              <w:rPr>
                <w:rFonts w:hint="eastAsia" w:ascii="宋体" w:hAnsi="宋体" w:eastAsia="宋体" w:cs="宋体"/>
                <w:b/>
                <w:color w:val="auto"/>
                <w:spacing w:val="20"/>
                <w:sz w:val="24"/>
                <w:szCs w:val="24"/>
                <w:highlight w:val="none"/>
              </w:rPr>
            </w:pPr>
          </w:p>
        </w:tc>
      </w:tr>
      <w:tr w14:paraId="6091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09EDD34F">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5455DA30">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381F1237">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DFE1C1E">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4A0B2413">
            <w:pPr>
              <w:spacing w:line="360" w:lineRule="exact"/>
              <w:jc w:val="center"/>
              <w:rPr>
                <w:rFonts w:hint="eastAsia" w:ascii="宋体" w:hAnsi="宋体" w:eastAsia="宋体" w:cs="宋体"/>
                <w:b/>
                <w:color w:val="auto"/>
                <w:spacing w:val="20"/>
                <w:sz w:val="24"/>
                <w:szCs w:val="24"/>
                <w:highlight w:val="none"/>
              </w:rPr>
            </w:pPr>
          </w:p>
        </w:tc>
      </w:tr>
      <w:tr w14:paraId="2E3D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29" w:hRule="atLeast"/>
          <w:jc w:val="center"/>
        </w:trPr>
        <w:tc>
          <w:tcPr>
            <w:tcW w:w="2044" w:type="dxa"/>
            <w:tcBorders>
              <w:top w:val="single" w:color="auto" w:sz="2" w:space="0"/>
              <w:left w:val="single" w:color="auto" w:sz="2" w:space="0"/>
              <w:bottom w:val="single" w:color="auto" w:sz="2" w:space="0"/>
              <w:right w:val="single" w:color="auto" w:sz="4" w:space="0"/>
            </w:tcBorders>
            <w:tcMar>
              <w:left w:w="28" w:type="dxa"/>
              <w:right w:w="28" w:type="dxa"/>
            </w:tcMar>
            <w:vAlign w:val="center"/>
          </w:tcPr>
          <w:p w14:paraId="59D5FBD2">
            <w:pPr>
              <w:spacing w:line="360" w:lineRule="exact"/>
              <w:jc w:val="center"/>
              <w:rPr>
                <w:rFonts w:hint="eastAsia" w:ascii="宋体" w:hAnsi="宋体" w:eastAsia="宋体" w:cs="宋体"/>
                <w:b/>
                <w:color w:val="auto"/>
                <w:spacing w:val="20"/>
                <w:sz w:val="24"/>
                <w:szCs w:val="24"/>
                <w:highlight w:val="none"/>
              </w:rPr>
            </w:pPr>
          </w:p>
        </w:tc>
        <w:tc>
          <w:tcPr>
            <w:tcW w:w="5567" w:type="dxa"/>
            <w:tcBorders>
              <w:top w:val="single" w:color="auto" w:sz="2" w:space="0"/>
              <w:left w:val="single" w:color="auto" w:sz="4" w:space="0"/>
              <w:bottom w:val="single" w:color="auto" w:sz="2" w:space="0"/>
              <w:right w:val="single" w:color="auto" w:sz="2" w:space="0"/>
            </w:tcBorders>
            <w:vAlign w:val="center"/>
          </w:tcPr>
          <w:p w14:paraId="7673D7C7">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1E93C0D4">
            <w:pPr>
              <w:spacing w:line="360" w:lineRule="exact"/>
              <w:jc w:val="center"/>
              <w:rPr>
                <w:rFonts w:hint="eastAsia" w:ascii="宋体" w:hAnsi="宋体" w:eastAsia="宋体" w:cs="宋体"/>
                <w:b/>
                <w:color w:val="auto"/>
                <w:spacing w:val="20"/>
                <w:sz w:val="24"/>
                <w:szCs w:val="24"/>
                <w:highlight w:val="none"/>
              </w:rPr>
            </w:pPr>
          </w:p>
        </w:tc>
        <w:tc>
          <w:tcPr>
            <w:tcW w:w="709" w:type="dxa"/>
            <w:tcBorders>
              <w:top w:val="single" w:color="auto" w:sz="2" w:space="0"/>
              <w:left w:val="single" w:color="auto" w:sz="4" w:space="0"/>
              <w:bottom w:val="single" w:color="auto" w:sz="2" w:space="0"/>
              <w:right w:val="single" w:color="auto" w:sz="2" w:space="0"/>
            </w:tcBorders>
            <w:vAlign w:val="center"/>
          </w:tcPr>
          <w:p w14:paraId="61E44CA2">
            <w:pPr>
              <w:spacing w:line="360" w:lineRule="exact"/>
              <w:jc w:val="center"/>
              <w:rPr>
                <w:rFonts w:hint="eastAsia" w:ascii="宋体" w:hAnsi="宋体" w:eastAsia="宋体" w:cs="宋体"/>
                <w:b/>
                <w:color w:val="auto"/>
                <w:spacing w:val="20"/>
                <w:sz w:val="24"/>
                <w:szCs w:val="24"/>
                <w:highlight w:val="none"/>
              </w:rPr>
            </w:pPr>
          </w:p>
        </w:tc>
        <w:tc>
          <w:tcPr>
            <w:tcW w:w="1145" w:type="dxa"/>
            <w:tcBorders>
              <w:top w:val="single" w:color="auto" w:sz="2" w:space="0"/>
              <w:left w:val="single" w:color="auto" w:sz="4" w:space="0"/>
              <w:bottom w:val="single" w:color="auto" w:sz="2" w:space="0"/>
              <w:right w:val="single" w:color="auto" w:sz="2" w:space="0"/>
            </w:tcBorders>
            <w:vAlign w:val="center"/>
          </w:tcPr>
          <w:p w14:paraId="15E15A81">
            <w:pPr>
              <w:spacing w:line="360" w:lineRule="exact"/>
              <w:jc w:val="center"/>
              <w:rPr>
                <w:rFonts w:hint="eastAsia" w:ascii="宋体" w:hAnsi="宋体" w:eastAsia="宋体" w:cs="宋体"/>
                <w:b/>
                <w:color w:val="auto"/>
                <w:spacing w:val="20"/>
                <w:sz w:val="24"/>
                <w:szCs w:val="24"/>
                <w:highlight w:val="none"/>
              </w:rPr>
            </w:pPr>
          </w:p>
        </w:tc>
      </w:tr>
    </w:tbl>
    <w:p w14:paraId="4C671259">
      <w:pPr>
        <w:spacing w:after="156" w:afterLines="50" w:line="360" w:lineRule="auto"/>
        <w:jc w:val="center"/>
        <w:outlineLvl w:val="0"/>
        <w:rPr>
          <w:rFonts w:hint="eastAsia" w:ascii="宋体" w:hAnsi="宋体" w:eastAsia="宋体" w:cs="宋体"/>
          <w:b/>
          <w:color w:val="auto"/>
          <w:sz w:val="24"/>
          <w:szCs w:val="24"/>
          <w:highlight w:val="none"/>
        </w:rPr>
        <w:sectPr>
          <w:footerReference r:id="rId4" w:type="default"/>
          <w:pgSz w:w="11906" w:h="16838"/>
          <w:pgMar w:top="1247" w:right="1304" w:bottom="1247" w:left="1304" w:header="851" w:footer="992" w:gutter="0"/>
          <w:pgNumType w:start="3"/>
          <w:cols w:space="720" w:num="1"/>
          <w:docGrid w:type="lines" w:linePitch="312" w:charSpace="0"/>
        </w:sectPr>
      </w:pPr>
    </w:p>
    <w:p w14:paraId="61D5B1FB">
      <w:pPr>
        <w:pageBreakBefore/>
        <w:autoSpaceDN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B2.磋商函</w:t>
      </w:r>
    </w:p>
    <w:p w14:paraId="3C797700">
      <w:pPr>
        <w:autoSpaceDN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中冠工程管理咨询有限公司</w:t>
      </w:r>
    </w:p>
    <w:p w14:paraId="44DC1FBC">
      <w:pPr>
        <w:autoSpaceDN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（供应商全称）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（全名、职务）</w:t>
      </w:r>
      <w:r>
        <w:rPr>
          <w:rFonts w:hint="eastAsia" w:ascii="宋体" w:hAnsi="宋体" w:eastAsia="宋体" w:cs="宋体"/>
          <w:color w:val="auto"/>
          <w:sz w:val="24"/>
          <w:szCs w:val="24"/>
          <w:highlight w:val="none"/>
        </w:rPr>
        <w:t>为本公司合法代理人，参加贵方组织的</w:t>
      </w:r>
      <w:r>
        <w:rPr>
          <w:rFonts w:hint="eastAsia" w:ascii="宋体" w:hAnsi="宋体" w:eastAsia="宋体" w:cs="宋体"/>
          <w:b/>
          <w:color w:val="auto"/>
          <w:sz w:val="24"/>
          <w:szCs w:val="24"/>
          <w:highlight w:val="none"/>
          <w:u w:val="single"/>
          <w:lang w:eastAsia="zh-CN"/>
        </w:rPr>
        <w:t>浙江省第五届体育大会开闭幕式策划及执行服务</w:t>
      </w: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u w:val="single"/>
          <w:lang w:eastAsia="zh-CN"/>
        </w:rPr>
        <w:t>ZGTZZB2025-0403</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竞争性磋商活动，代表本公司处理本次项目中的一切事宜，在此：</w:t>
      </w:r>
    </w:p>
    <w:p w14:paraId="0C151217">
      <w:pPr>
        <w:autoSpaceDN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1、提供竞争性磋商文件中“磋商须知”规定的全部磋商响应文件。</w:t>
      </w:r>
    </w:p>
    <w:p w14:paraId="6A889BCF">
      <w:pPr>
        <w:autoSpaceDN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2、据此函，签字代表宣布并承诺如下：</w:t>
      </w:r>
    </w:p>
    <w:p w14:paraId="21C39D43">
      <w:pPr>
        <w:autoSpaceDN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（1）磋商报价为报价一览表载明的磋商报价。</w:t>
      </w:r>
    </w:p>
    <w:p w14:paraId="0BA069B0">
      <w:pPr>
        <w:autoSpaceDN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本报价已经包含了本次项目应纳的税金及竞争性磋商文件规定的报价方式应包含的其它费用。本报价在磋商有效期内固定不变，并在合同有效期内不受利率波动的影响。</w:t>
      </w:r>
    </w:p>
    <w:p w14:paraId="136C9DE6">
      <w:pPr>
        <w:autoSpaceDN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（2）本磋商响应文件自磋商响应文件递交截止之日起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天内有效。</w:t>
      </w:r>
    </w:p>
    <w:p w14:paraId="52691E7A">
      <w:pPr>
        <w:autoSpaceDN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（3）我们已详细审查全部竞争性磋商文件及有关的澄清/修改文件(若有)，我们完全理解并同意放弃对这方面提出任何异议的权利。</w:t>
      </w:r>
    </w:p>
    <w:p w14:paraId="6BAD2C7B">
      <w:pPr>
        <w:autoSpaceDN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（4）保证遵守竞争性磋商文件有关条款规定。</w:t>
      </w:r>
    </w:p>
    <w:p w14:paraId="4014FA34">
      <w:pPr>
        <w:autoSpaceDN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（5）保证在确定成交后忠实地执行与采购人所签署的合同，并承担合同规定的责任义务。</w:t>
      </w:r>
    </w:p>
    <w:p w14:paraId="57EF63C8">
      <w:pPr>
        <w:autoSpaceDN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全同意竞争性磋商文件中有关代理服务费的条款，保证在确定成交后按照竞争性磋商文件规定的金额、时间和方式，向贵方一次性交纳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参加，我们自愿放弃任何方式进行抗辩的权力。</w:t>
      </w:r>
    </w:p>
    <w:p w14:paraId="70F6B9F5">
      <w:pPr>
        <w:autoSpaceDN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FE215F7">
      <w:pPr>
        <w:autoSpaceDN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3、与本项目磋商有关的一切往来通讯请寄：</w:t>
      </w:r>
    </w:p>
    <w:p w14:paraId="4C024D01">
      <w:pPr>
        <w:autoSpaceDN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41076200">
      <w:pPr>
        <w:autoSpaceDN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邮编：电话：传真：</w:t>
      </w:r>
    </w:p>
    <w:p w14:paraId="28D60792">
      <w:pPr>
        <w:autoSpaceDN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CF2B404">
      <w:pPr>
        <w:autoSpaceDN w:val="0"/>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47E13A77">
      <w:pPr>
        <w:autoSpaceDN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法定代表人或授权委托人签字或电子印章：</w:t>
      </w:r>
    </w:p>
    <w:p w14:paraId="4CA80E3D">
      <w:pPr>
        <w:autoSpaceDN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6CE40F4">
      <w:pPr>
        <w:pageBreakBefore/>
        <w:autoSpaceDN w:val="0"/>
        <w:spacing w:line="360" w:lineRule="auto"/>
        <w:jc w:val="center"/>
        <w:rPr>
          <w:rFonts w:hint="eastAsia" w:ascii="宋体" w:hAnsi="宋体" w:eastAsia="宋体" w:cs="宋体"/>
          <w:b/>
          <w:color w:val="auto"/>
          <w:sz w:val="24"/>
          <w:szCs w:val="24"/>
          <w:highlight w:val="none"/>
        </w:rPr>
        <w:sectPr>
          <w:footerReference r:id="rId5" w:type="default"/>
          <w:pgSz w:w="11907" w:h="16840"/>
          <w:pgMar w:top="1134" w:right="1474" w:bottom="1134" w:left="1474" w:header="709" w:footer="1134" w:gutter="1"/>
          <w:cols w:space="720" w:num="1"/>
          <w:docGrid w:type="lines" w:linePitch="312" w:charSpace="0"/>
        </w:sectPr>
      </w:pPr>
    </w:p>
    <w:p w14:paraId="5D76413C">
      <w:pPr>
        <w:pageBreakBefore/>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B3.法定代表人身份证明</w:t>
      </w:r>
    </w:p>
    <w:p w14:paraId="0B320FB3">
      <w:pPr>
        <w:autoSpaceDN w:val="0"/>
        <w:spacing w:after="156" w:after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24656EFD">
      <w:pPr>
        <w:autoSpaceDN w:val="0"/>
        <w:spacing w:after="156" w:after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p w14:paraId="70D5723E">
      <w:pPr>
        <w:autoSpaceDN w:val="0"/>
        <w:spacing w:after="156" w:after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53B14222">
      <w:pPr>
        <w:autoSpaceDN w:val="0"/>
        <w:spacing w:after="156" w:after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成立时间：年月日</w:t>
      </w:r>
    </w:p>
    <w:p w14:paraId="732BD4C3">
      <w:pPr>
        <w:autoSpaceDN w:val="0"/>
        <w:spacing w:after="156" w:after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p w14:paraId="6DB89161">
      <w:pPr>
        <w:autoSpaceDN w:val="0"/>
        <w:spacing w:after="156" w:after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姓名：性别：年龄：职务：</w:t>
      </w:r>
    </w:p>
    <w:p w14:paraId="5B070E85">
      <w:pPr>
        <w:autoSpaceDN w:val="0"/>
        <w:spacing w:after="156" w:after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51E1A75A">
      <w:pPr>
        <w:autoSpaceDN w:val="0"/>
        <w:spacing w:after="156" w:after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4265FD1">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系（供应商名称）的法定代表人。</w:t>
      </w:r>
    </w:p>
    <w:p w14:paraId="37E28F4F">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E5E0991">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5E024F75">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1DC5A47">
      <w:pPr>
        <w:autoSpaceDN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2DFC71AD">
      <w:pPr>
        <w:autoSpaceDN w:val="0"/>
        <w:spacing w:line="400" w:lineRule="exact"/>
        <w:ind w:right="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14:paraId="051A78B8">
      <w:pPr>
        <w:autoSpaceDN w:val="0"/>
        <w:spacing w:line="400" w:lineRule="exact"/>
        <w:ind w:right="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7632D703">
      <w:pPr>
        <w:autoSpaceDN w:val="0"/>
        <w:spacing w:line="400" w:lineRule="exact"/>
        <w:ind w:right="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8E1D192">
      <w:pPr>
        <w:autoSpaceDN w:val="0"/>
        <w:spacing w:line="400" w:lineRule="exact"/>
        <w:ind w:right="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w:t>
      </w:r>
      <w:r>
        <w:rPr>
          <w:rFonts w:hint="eastAsia" w:ascii="宋体" w:hAnsi="宋体" w:eastAsia="宋体" w:cs="宋体"/>
          <w:b/>
          <w:bCs/>
          <w:color w:val="auto"/>
          <w:sz w:val="24"/>
          <w:szCs w:val="24"/>
          <w:highlight w:val="none"/>
        </w:rPr>
        <w:t>法定代表人身份证复印件</w:t>
      </w:r>
    </w:p>
    <w:p w14:paraId="357EB396">
      <w:pPr>
        <w:pageBreakBefore/>
        <w:autoSpaceDN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B4.法定代表人授权书</w:t>
      </w:r>
    </w:p>
    <w:p w14:paraId="0950448E">
      <w:pPr>
        <w:autoSpaceDN w:val="0"/>
        <w:spacing w:line="440" w:lineRule="exact"/>
        <w:ind w:left="540" w:leftChars="257" w:firstLine="1465" w:firstLineChars="608"/>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p>
    <w:p w14:paraId="5D03F747">
      <w:pPr>
        <w:autoSpaceDN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台州市体育事业发展中心</w:t>
      </w:r>
    </w:p>
    <w:p w14:paraId="17FB8A0B">
      <w:pPr>
        <w:autoSpaceDN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（供应商全称）</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（法定代表人姓名）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（授权代表姓名）</w:t>
      </w:r>
      <w:r>
        <w:rPr>
          <w:rFonts w:hint="eastAsia" w:ascii="宋体" w:hAnsi="宋体" w:eastAsia="宋体" w:cs="宋体"/>
          <w:color w:val="auto"/>
          <w:sz w:val="24"/>
          <w:szCs w:val="24"/>
          <w:highlight w:val="none"/>
        </w:rPr>
        <w:t>为授权代表，参加</w:t>
      </w:r>
      <w:r>
        <w:rPr>
          <w:rFonts w:hint="eastAsia" w:ascii="宋体" w:hAnsi="宋体" w:eastAsia="宋体" w:cs="宋体"/>
          <w:color w:val="auto"/>
          <w:sz w:val="24"/>
          <w:szCs w:val="24"/>
          <w:highlight w:val="none"/>
          <w:u w:val="single"/>
          <w:lang w:eastAsia="zh-CN"/>
        </w:rPr>
        <w:t>浙江省第五届体育大会开闭幕式策划及执行服务</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eastAsia="zh-CN"/>
        </w:rPr>
        <w:t>ZGTZZB2025-0403</w:t>
      </w:r>
      <w:r>
        <w:rPr>
          <w:rFonts w:hint="eastAsia" w:ascii="宋体" w:hAnsi="宋体" w:eastAsia="宋体" w:cs="宋体"/>
          <w:color w:val="auto"/>
          <w:sz w:val="24"/>
          <w:szCs w:val="24"/>
          <w:highlight w:val="none"/>
        </w:rPr>
        <w:t>）磋商活动，其在磋商活动中的一切行为本单位均予承认。</w:t>
      </w:r>
    </w:p>
    <w:p w14:paraId="27C804F6">
      <w:pPr>
        <w:autoSpaceDN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47471DF">
      <w:pPr>
        <w:autoSpaceDN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49D42867">
      <w:pPr>
        <w:autoSpaceDN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14:paraId="32E5A937">
      <w:pPr>
        <w:autoSpaceDN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1174142">
      <w:pPr>
        <w:autoSpaceDN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3D2E57B6">
      <w:pPr>
        <w:autoSpaceDN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4436F37">
      <w:pPr>
        <w:autoSpaceDN w:val="0"/>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7AEAE35C">
      <w:pPr>
        <w:autoSpaceDN w:val="0"/>
        <w:spacing w:line="48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5DC1C8D1">
      <w:pPr>
        <w:autoSpaceDN w:val="0"/>
        <w:spacing w:line="48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p>
    <w:p w14:paraId="23AAA35D">
      <w:pPr>
        <w:autoSpaceDN w:val="0"/>
        <w:spacing w:line="48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　</w:t>
      </w:r>
    </w:p>
    <w:p w14:paraId="4286EF8F">
      <w:pPr>
        <w:autoSpaceDN w:val="0"/>
        <w:spacing w:line="48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5DAFB709">
      <w:pPr>
        <w:autoSpaceDN w:val="0"/>
        <w:spacing w:line="48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传真：电话：邮编：</w:t>
      </w:r>
    </w:p>
    <w:p w14:paraId="59B5AE26">
      <w:pPr>
        <w:autoSpaceDN w:val="0"/>
        <w:spacing w:line="48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0A7F3532">
      <w:pPr>
        <w:autoSpaceDN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590E8B8B">
      <w:pPr>
        <w:autoSpaceDN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247EA50C">
      <w:pPr>
        <w:autoSpaceDN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后附：</w:t>
      </w:r>
    </w:p>
    <w:p w14:paraId="0BC3EC89">
      <w:pPr>
        <w:autoSpaceDN w:val="0"/>
        <w:spacing w:line="360" w:lineRule="auto"/>
        <w:ind w:firstLine="602" w:firstLineChars="2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1、授权代表身份证复印件；</w:t>
      </w:r>
    </w:p>
    <w:p w14:paraId="38857102">
      <w:pPr>
        <w:autoSpaceDN w:val="0"/>
        <w:spacing w:line="440" w:lineRule="exact"/>
        <w:jc w:val="center"/>
        <w:rPr>
          <w:rFonts w:hint="eastAsia" w:ascii="宋体" w:hAnsi="宋体" w:eastAsia="宋体" w:cs="宋体"/>
          <w:color w:val="auto"/>
          <w:sz w:val="24"/>
          <w:szCs w:val="24"/>
          <w:highlight w:val="none"/>
        </w:rPr>
      </w:pPr>
      <w:r>
        <w:rPr>
          <w:rStyle w:val="43"/>
          <w:rFonts w:hint="eastAsia" w:ascii="宋体" w:hAnsi="宋体" w:cs="宋体"/>
          <w:color w:val="auto"/>
          <w:szCs w:val="24"/>
          <w:highlight w:val="none"/>
        </w:rPr>
        <w:br w:type="page"/>
      </w:r>
      <w:bookmarkStart w:id="40" w:name="_Hlk35437321"/>
      <w:r>
        <w:rPr>
          <w:rFonts w:hint="eastAsia" w:ascii="宋体" w:hAnsi="宋体" w:eastAsia="宋体" w:cs="宋体"/>
          <w:b/>
          <w:color w:val="auto"/>
          <w:spacing w:val="20"/>
          <w:sz w:val="24"/>
          <w:szCs w:val="24"/>
          <w:highlight w:val="none"/>
        </w:rPr>
        <w:t>B5.商务条款响应表</w:t>
      </w:r>
    </w:p>
    <w:p w14:paraId="43C174ED">
      <w:pPr>
        <w:autoSpaceDN w:val="0"/>
        <w:snapToGrid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eastAsia="zh-CN"/>
        </w:rPr>
        <w:t>ZGTZZB2025-0403</w:t>
      </w:r>
    </w:p>
    <w:p w14:paraId="366E539E">
      <w:pPr>
        <w:autoSpaceDN w:val="0"/>
        <w:snapToGrid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浙江省第五届体育大会开闭幕式策划及执行服务</w:t>
      </w:r>
    </w:p>
    <w:tbl>
      <w:tblPr>
        <w:tblStyle w:val="26"/>
        <w:tblW w:w="944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70"/>
        <w:gridCol w:w="6728"/>
        <w:gridCol w:w="926"/>
        <w:gridCol w:w="1122"/>
      </w:tblGrid>
      <w:tr w14:paraId="3C9F5E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2"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50FCFE79">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728" w:type="dxa"/>
            <w:tcBorders>
              <w:top w:val="single" w:color="auto" w:sz="4" w:space="0"/>
              <w:left w:val="single" w:color="auto" w:sz="4" w:space="0"/>
              <w:bottom w:val="single" w:color="auto" w:sz="4" w:space="0"/>
              <w:right w:val="single" w:color="auto" w:sz="4" w:space="0"/>
            </w:tcBorders>
            <w:vAlign w:val="center"/>
          </w:tcPr>
          <w:p w14:paraId="01A97585">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磋商要求</w:t>
            </w:r>
          </w:p>
        </w:tc>
        <w:tc>
          <w:tcPr>
            <w:tcW w:w="926" w:type="dxa"/>
            <w:tcBorders>
              <w:top w:val="single" w:color="auto" w:sz="4" w:space="0"/>
              <w:left w:val="single" w:color="auto" w:sz="4" w:space="0"/>
              <w:bottom w:val="single" w:color="auto" w:sz="4" w:space="0"/>
              <w:right w:val="single" w:color="auto" w:sz="4" w:space="0"/>
            </w:tcBorders>
            <w:vAlign w:val="center"/>
          </w:tcPr>
          <w:p w14:paraId="3042E766">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w:t>
            </w:r>
          </w:p>
        </w:tc>
        <w:tc>
          <w:tcPr>
            <w:tcW w:w="1122" w:type="dxa"/>
            <w:tcBorders>
              <w:top w:val="single" w:color="auto" w:sz="4" w:space="0"/>
              <w:left w:val="single" w:color="auto" w:sz="4" w:space="0"/>
              <w:bottom w:val="single" w:color="auto" w:sz="4" w:space="0"/>
              <w:right w:val="single" w:color="auto" w:sz="4" w:space="0"/>
            </w:tcBorders>
            <w:vAlign w:val="center"/>
          </w:tcPr>
          <w:p w14:paraId="61771306">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55EBC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27496D1E">
            <w:pPr>
              <w:spacing w:line="36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8" w:type="dxa"/>
            <w:tcBorders>
              <w:top w:val="single" w:color="auto" w:sz="4" w:space="0"/>
              <w:left w:val="single" w:color="auto" w:sz="4" w:space="0"/>
              <w:bottom w:val="single" w:color="auto" w:sz="4" w:space="0"/>
              <w:right w:val="single" w:color="auto" w:sz="4" w:space="0"/>
            </w:tcBorders>
            <w:vAlign w:val="center"/>
          </w:tcPr>
          <w:p w14:paraId="63B40012">
            <w:pPr>
              <w:autoSpaceDE w:val="0"/>
              <w:autoSpaceDN w:val="0"/>
              <w:adjustRightIn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eastAsia" w:ascii="宋体" w:hAnsi="宋体" w:eastAsia="宋体"/>
                <w:bCs/>
                <w:color w:val="auto"/>
                <w:sz w:val="24"/>
                <w:highlight w:val="none"/>
              </w:rPr>
              <w:t>自签订合同之日起至闭幕式圆满结束并妥善清场为止</w:t>
            </w:r>
            <w:r>
              <w:rPr>
                <w:rFonts w:hint="eastAsia" w:ascii="宋体" w:hAnsi="宋体" w:eastAsia="宋体" w:cs="宋体"/>
                <w:color w:val="auto"/>
                <w:sz w:val="24"/>
                <w:szCs w:val="24"/>
                <w:highlight w:val="none"/>
              </w:rPr>
              <w:t>。</w:t>
            </w:r>
          </w:p>
        </w:tc>
        <w:tc>
          <w:tcPr>
            <w:tcW w:w="926" w:type="dxa"/>
            <w:tcBorders>
              <w:top w:val="single" w:color="auto" w:sz="4" w:space="0"/>
              <w:left w:val="single" w:color="auto" w:sz="4" w:space="0"/>
              <w:bottom w:val="single" w:color="auto" w:sz="4" w:space="0"/>
              <w:right w:val="single" w:color="auto" w:sz="4" w:space="0"/>
            </w:tcBorders>
            <w:vAlign w:val="center"/>
          </w:tcPr>
          <w:p w14:paraId="393B5417">
            <w:pPr>
              <w:autoSpaceDN w:val="0"/>
              <w:adjustRightInd w:val="0"/>
              <w:snapToGrid w:val="0"/>
              <w:spacing w:line="400" w:lineRule="exact"/>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52BE0B2E">
            <w:pPr>
              <w:autoSpaceDN w:val="0"/>
              <w:adjustRightInd w:val="0"/>
              <w:snapToGrid w:val="0"/>
              <w:spacing w:line="400" w:lineRule="exact"/>
              <w:jc w:val="center"/>
              <w:rPr>
                <w:rFonts w:hint="eastAsia" w:ascii="宋体" w:hAnsi="宋体" w:eastAsia="宋体" w:cs="宋体"/>
                <w:color w:val="auto"/>
                <w:sz w:val="24"/>
                <w:szCs w:val="24"/>
                <w:highlight w:val="none"/>
              </w:rPr>
            </w:pPr>
          </w:p>
        </w:tc>
      </w:tr>
      <w:tr w14:paraId="58C146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6B0C35A3">
            <w:pPr>
              <w:spacing w:line="36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8" w:type="dxa"/>
            <w:tcBorders>
              <w:top w:val="single" w:color="auto" w:sz="4" w:space="0"/>
              <w:left w:val="single" w:color="auto" w:sz="4" w:space="0"/>
              <w:bottom w:val="single" w:color="auto" w:sz="4" w:space="0"/>
              <w:right w:val="single" w:color="auto" w:sz="4" w:space="0"/>
            </w:tcBorders>
            <w:vAlign w:val="center"/>
          </w:tcPr>
          <w:p w14:paraId="7C13D079">
            <w:pPr>
              <w:autoSpaceDE w:val="0"/>
              <w:autoSpaceDN w:val="0"/>
              <w:adjustRightInd w:val="0"/>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服务地点：采购人指定地点。</w:t>
            </w:r>
          </w:p>
        </w:tc>
        <w:tc>
          <w:tcPr>
            <w:tcW w:w="926" w:type="dxa"/>
            <w:tcBorders>
              <w:top w:val="single" w:color="auto" w:sz="4" w:space="0"/>
              <w:left w:val="single" w:color="auto" w:sz="4" w:space="0"/>
              <w:bottom w:val="single" w:color="auto" w:sz="4" w:space="0"/>
              <w:right w:val="single" w:color="auto" w:sz="4" w:space="0"/>
            </w:tcBorders>
            <w:vAlign w:val="center"/>
          </w:tcPr>
          <w:p w14:paraId="1A007489">
            <w:pPr>
              <w:autoSpaceDN w:val="0"/>
              <w:adjustRightInd w:val="0"/>
              <w:snapToGrid w:val="0"/>
              <w:spacing w:line="400" w:lineRule="exact"/>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34A747BF">
            <w:pPr>
              <w:autoSpaceDN w:val="0"/>
              <w:adjustRightInd w:val="0"/>
              <w:snapToGrid w:val="0"/>
              <w:spacing w:line="400" w:lineRule="exact"/>
              <w:jc w:val="center"/>
              <w:rPr>
                <w:rFonts w:hint="eastAsia" w:ascii="宋体" w:hAnsi="宋体" w:eastAsia="宋体" w:cs="宋体"/>
                <w:color w:val="auto"/>
                <w:sz w:val="24"/>
                <w:szCs w:val="24"/>
                <w:highlight w:val="none"/>
              </w:rPr>
            </w:pPr>
          </w:p>
        </w:tc>
      </w:tr>
      <w:tr w14:paraId="1EB67A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03ECA0E0">
            <w:pPr>
              <w:spacing w:line="36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8" w:type="dxa"/>
            <w:tcBorders>
              <w:top w:val="single" w:color="auto" w:sz="4" w:space="0"/>
              <w:left w:val="single" w:color="auto" w:sz="4" w:space="0"/>
              <w:bottom w:val="single" w:color="auto" w:sz="4" w:space="0"/>
              <w:right w:val="single" w:color="auto" w:sz="4" w:space="0"/>
            </w:tcBorders>
            <w:vAlign w:val="center"/>
          </w:tcPr>
          <w:p w14:paraId="366018C9">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履约保证金：无</w:t>
            </w:r>
          </w:p>
        </w:tc>
        <w:tc>
          <w:tcPr>
            <w:tcW w:w="926" w:type="dxa"/>
            <w:tcBorders>
              <w:top w:val="single" w:color="auto" w:sz="4" w:space="0"/>
              <w:left w:val="single" w:color="auto" w:sz="4" w:space="0"/>
              <w:bottom w:val="single" w:color="auto" w:sz="4" w:space="0"/>
              <w:right w:val="single" w:color="auto" w:sz="4" w:space="0"/>
            </w:tcBorders>
            <w:vAlign w:val="center"/>
          </w:tcPr>
          <w:p w14:paraId="263ED38B">
            <w:pPr>
              <w:autoSpaceDN w:val="0"/>
              <w:adjustRightInd w:val="0"/>
              <w:snapToGrid w:val="0"/>
              <w:spacing w:line="400" w:lineRule="exact"/>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076FE3EB">
            <w:pPr>
              <w:autoSpaceDN w:val="0"/>
              <w:adjustRightInd w:val="0"/>
              <w:snapToGrid w:val="0"/>
              <w:spacing w:line="400" w:lineRule="exact"/>
              <w:jc w:val="center"/>
              <w:rPr>
                <w:rFonts w:hint="eastAsia" w:ascii="宋体" w:hAnsi="宋体" w:eastAsia="宋体" w:cs="宋体"/>
                <w:color w:val="auto"/>
                <w:sz w:val="24"/>
                <w:szCs w:val="24"/>
                <w:highlight w:val="none"/>
              </w:rPr>
            </w:pPr>
          </w:p>
        </w:tc>
      </w:tr>
      <w:tr w14:paraId="5AAD5B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7B66C7A9">
            <w:pPr>
              <w:spacing w:line="36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8" w:type="dxa"/>
            <w:tcBorders>
              <w:top w:val="single" w:color="auto" w:sz="4" w:space="0"/>
              <w:left w:val="single" w:color="auto" w:sz="4" w:space="0"/>
              <w:bottom w:val="single" w:color="auto" w:sz="4" w:space="0"/>
              <w:right w:val="single" w:color="auto" w:sz="4" w:space="0"/>
            </w:tcBorders>
            <w:vAlign w:val="center"/>
          </w:tcPr>
          <w:p w14:paraId="67ABE6DA">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p w14:paraId="6113ABA7">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bCs/>
                <w:color w:val="auto"/>
                <w:sz w:val="24"/>
                <w:highlight w:val="none"/>
                <w:lang w:eastAsia="zh-CN"/>
              </w:rPr>
              <w:t>在合同生效以及具备实施条件后7个工作日内,采购人向供应商支付合同总金额的40%作为预付款；开幕式举办前10个工作日且所有策划方案经采购人确定通过后支付合同总金额的20%；闭幕式结束后支付合同总金额的20%；供应商向采购人移交相关材料，由采购人组织验收并根据验收考核结果支付剩余款项</w:t>
            </w:r>
            <w:r>
              <w:rPr>
                <w:rFonts w:hint="eastAsia" w:ascii="宋体" w:hAnsi="宋体" w:eastAsia="宋体" w:cs="宋体"/>
                <w:color w:val="auto"/>
                <w:sz w:val="24"/>
                <w:szCs w:val="24"/>
                <w:highlight w:val="none"/>
              </w:rPr>
              <w:t>。</w:t>
            </w:r>
          </w:p>
        </w:tc>
        <w:tc>
          <w:tcPr>
            <w:tcW w:w="926" w:type="dxa"/>
            <w:tcBorders>
              <w:top w:val="single" w:color="auto" w:sz="4" w:space="0"/>
              <w:left w:val="single" w:color="auto" w:sz="4" w:space="0"/>
              <w:bottom w:val="single" w:color="auto" w:sz="4" w:space="0"/>
              <w:right w:val="single" w:color="auto" w:sz="4" w:space="0"/>
            </w:tcBorders>
            <w:vAlign w:val="center"/>
          </w:tcPr>
          <w:p w14:paraId="609F4B1D">
            <w:pPr>
              <w:autoSpaceDN w:val="0"/>
              <w:adjustRightInd w:val="0"/>
              <w:snapToGrid w:val="0"/>
              <w:spacing w:line="400" w:lineRule="exact"/>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25488D03">
            <w:pPr>
              <w:autoSpaceDN w:val="0"/>
              <w:adjustRightInd w:val="0"/>
              <w:snapToGrid w:val="0"/>
              <w:spacing w:line="400" w:lineRule="exact"/>
              <w:jc w:val="center"/>
              <w:rPr>
                <w:rFonts w:hint="eastAsia" w:ascii="宋体" w:hAnsi="宋体" w:eastAsia="宋体" w:cs="宋体"/>
                <w:color w:val="auto"/>
                <w:sz w:val="24"/>
                <w:szCs w:val="24"/>
                <w:highlight w:val="none"/>
              </w:rPr>
            </w:pPr>
          </w:p>
        </w:tc>
      </w:tr>
      <w:tr w14:paraId="734E7E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0F0DDFE2">
            <w:pPr>
              <w:spacing w:line="36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8" w:type="dxa"/>
            <w:tcBorders>
              <w:top w:val="single" w:color="auto" w:sz="4" w:space="0"/>
              <w:left w:val="single" w:color="auto" w:sz="4" w:space="0"/>
              <w:bottom w:val="single" w:color="auto" w:sz="4" w:space="0"/>
              <w:right w:val="single" w:color="auto" w:sz="4" w:space="0"/>
            </w:tcBorders>
            <w:vAlign w:val="center"/>
          </w:tcPr>
          <w:p w14:paraId="6477F728">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3AAF94EC">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1、最高限价：本项目设置总价最高限价人民币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5500000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元整，供应商报价超过最高限价的，均作无效投标处理。</w:t>
            </w:r>
          </w:p>
          <w:p w14:paraId="6B79FB8B">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w:t>
            </w:r>
            <w:r>
              <w:rPr>
                <w:rFonts w:hint="eastAsia" w:ascii="宋体" w:hAnsi="宋体" w:eastAsia="宋体" w:cs="宋体"/>
                <w:color w:val="auto"/>
                <w:sz w:val="24"/>
                <w:szCs w:val="24"/>
                <w:highlight w:val="none"/>
                <w:lang w:val="zh-CN"/>
              </w:rPr>
              <w:t>报价包含</w:t>
            </w:r>
            <w:r>
              <w:rPr>
                <w:rFonts w:hint="eastAsia" w:ascii="宋体" w:hAnsi="宋体" w:eastAsia="宋体" w:cs="宋体"/>
                <w:color w:val="auto"/>
                <w:sz w:val="24"/>
                <w:szCs w:val="24"/>
                <w:highlight w:val="none"/>
              </w:rPr>
              <w:t>负责承担本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一切费用，包括负责</w:t>
            </w:r>
            <w:r>
              <w:rPr>
                <w:rFonts w:hint="eastAsia" w:ascii="宋体" w:hAnsi="宋体" w:eastAsia="宋体" w:cs="宋体"/>
                <w:color w:val="auto"/>
                <w:sz w:val="24"/>
                <w:szCs w:val="24"/>
                <w:highlight w:val="none"/>
                <w:lang w:eastAsia="zh-CN"/>
              </w:rPr>
              <w:t>浙江省第五届体育大会开闭幕式和时尚科技体育嘉年华（</w:t>
            </w:r>
            <w:r>
              <w:rPr>
                <w:rFonts w:hint="eastAsia" w:ascii="宋体" w:hAnsi="宋体" w:eastAsia="宋体" w:cs="宋体"/>
                <w:color w:val="auto"/>
                <w:sz w:val="24"/>
                <w:szCs w:val="24"/>
                <w:highlight w:val="none"/>
                <w:lang w:val="en-US" w:eastAsia="zh-CN"/>
              </w:rPr>
              <w:t>含彩排期间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所有工作人员（总导演、总撰稿、执行导演、舞美设计、音乐设计以及其他岗位人员</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）和其他完成</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w:t>
            </w:r>
            <w:r>
              <w:rPr>
                <w:rFonts w:hint="eastAsia" w:ascii="宋体" w:hAnsi="宋体" w:eastAsia="宋体" w:cs="宋体"/>
                <w:color w:val="auto"/>
                <w:sz w:val="24"/>
                <w:szCs w:val="24"/>
                <w:highlight w:val="none"/>
                <w:lang w:eastAsia="zh-CN"/>
              </w:rPr>
              <w:t>、时尚科技体育嘉年华活动</w:t>
            </w:r>
            <w:r>
              <w:rPr>
                <w:rFonts w:hint="eastAsia" w:ascii="宋体" w:hAnsi="宋体" w:eastAsia="宋体" w:cs="宋体"/>
                <w:color w:val="auto"/>
                <w:sz w:val="24"/>
                <w:szCs w:val="24"/>
                <w:highlight w:val="none"/>
                <w:lang w:val="en-US" w:eastAsia="zh-CN"/>
              </w:rPr>
              <w:t>及接待</w:t>
            </w:r>
            <w:r>
              <w:rPr>
                <w:rFonts w:hint="eastAsia" w:ascii="宋体" w:hAnsi="宋体" w:eastAsia="宋体" w:cs="宋体"/>
                <w:color w:val="auto"/>
                <w:sz w:val="24"/>
                <w:szCs w:val="24"/>
                <w:highlight w:val="none"/>
              </w:rPr>
              <w:t>工作任务所需的一切费用，包括但不限于人员劳务、交通、食宿、以及相关硬件设备及耗材、音视频素材制作、相关物资、保险、税金等所有费用。投标人须按照项目组委会下达的其他任务要求，无条件、全方位做好一切</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闭幕式领域所需及新增的所有工作任务，采购人不承担本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明确约定由采购人承担之外的任何其他费用。</w:t>
            </w:r>
          </w:p>
        </w:tc>
        <w:tc>
          <w:tcPr>
            <w:tcW w:w="926" w:type="dxa"/>
            <w:tcBorders>
              <w:top w:val="single" w:color="auto" w:sz="4" w:space="0"/>
              <w:left w:val="single" w:color="auto" w:sz="4" w:space="0"/>
              <w:bottom w:val="single" w:color="auto" w:sz="4" w:space="0"/>
              <w:right w:val="single" w:color="auto" w:sz="4" w:space="0"/>
            </w:tcBorders>
            <w:vAlign w:val="center"/>
          </w:tcPr>
          <w:p w14:paraId="2A2C354D">
            <w:pPr>
              <w:autoSpaceDN w:val="0"/>
              <w:adjustRightInd w:val="0"/>
              <w:snapToGrid w:val="0"/>
              <w:spacing w:line="400" w:lineRule="exact"/>
              <w:jc w:val="center"/>
              <w:rPr>
                <w:rFonts w:hint="eastAsia" w:ascii="宋体" w:hAnsi="宋体" w:eastAsia="宋体" w:cs="宋体"/>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vAlign w:val="center"/>
          </w:tcPr>
          <w:p w14:paraId="609544AE">
            <w:pPr>
              <w:autoSpaceDN w:val="0"/>
              <w:adjustRightInd w:val="0"/>
              <w:snapToGrid w:val="0"/>
              <w:spacing w:line="400" w:lineRule="exact"/>
              <w:jc w:val="center"/>
              <w:rPr>
                <w:rFonts w:hint="eastAsia" w:ascii="宋体" w:hAnsi="宋体" w:eastAsia="宋体" w:cs="宋体"/>
                <w:color w:val="auto"/>
                <w:sz w:val="24"/>
                <w:szCs w:val="24"/>
                <w:highlight w:val="none"/>
              </w:rPr>
            </w:pPr>
          </w:p>
        </w:tc>
      </w:tr>
      <w:tr w14:paraId="5CBD5B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527CC471">
            <w:pPr>
              <w:spacing w:line="36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8" w:type="dxa"/>
            <w:tcBorders>
              <w:top w:val="single" w:color="auto" w:sz="4" w:space="0"/>
              <w:left w:val="single" w:color="auto" w:sz="4" w:space="0"/>
              <w:bottom w:val="single" w:color="auto" w:sz="4" w:space="0"/>
              <w:right w:val="single" w:color="auto" w:sz="4" w:space="0"/>
            </w:tcBorders>
            <w:vAlign w:val="center"/>
          </w:tcPr>
          <w:p w14:paraId="0818CA32">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转包与分包：不允许。</w:t>
            </w:r>
          </w:p>
        </w:tc>
        <w:tc>
          <w:tcPr>
            <w:tcW w:w="926" w:type="dxa"/>
            <w:tcBorders>
              <w:top w:val="single" w:color="auto" w:sz="4" w:space="0"/>
              <w:left w:val="single" w:color="auto" w:sz="4" w:space="0"/>
              <w:bottom w:val="single" w:color="auto" w:sz="4" w:space="0"/>
              <w:right w:val="single" w:color="auto" w:sz="4" w:space="0"/>
            </w:tcBorders>
            <w:vAlign w:val="center"/>
          </w:tcPr>
          <w:p w14:paraId="3ADB284E">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22" w:type="dxa"/>
            <w:tcBorders>
              <w:top w:val="single" w:color="auto" w:sz="4" w:space="0"/>
              <w:left w:val="single" w:color="auto" w:sz="4" w:space="0"/>
              <w:bottom w:val="single" w:color="auto" w:sz="4" w:space="0"/>
              <w:right w:val="single" w:color="auto" w:sz="4" w:space="0"/>
            </w:tcBorders>
            <w:vAlign w:val="center"/>
          </w:tcPr>
          <w:p w14:paraId="4FDCBA4B">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C4522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14:paraId="2F4BB518">
            <w:pPr>
              <w:spacing w:line="36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8" w:type="dxa"/>
            <w:tcBorders>
              <w:top w:val="single" w:color="auto" w:sz="4" w:space="0"/>
              <w:left w:val="single" w:color="auto" w:sz="4" w:space="0"/>
              <w:bottom w:val="single" w:color="auto" w:sz="4" w:space="0"/>
              <w:right w:val="single" w:color="auto" w:sz="4" w:space="0"/>
            </w:tcBorders>
            <w:vAlign w:val="center"/>
          </w:tcPr>
          <w:p w14:paraId="160E7C19">
            <w:pPr>
              <w:autoSpaceDE w:val="0"/>
              <w:autoSpaceDN w:val="0"/>
              <w:adjustRightInd w:val="0"/>
              <w:spacing w:line="44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授予合同：</w:t>
            </w:r>
          </w:p>
          <w:p w14:paraId="602B25B9">
            <w:pPr>
              <w:autoSpaceDE w:val="0"/>
              <w:autoSpaceDN w:val="0"/>
              <w:adjustRightInd w:val="0"/>
              <w:spacing w:line="44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1、成交通知书发出之日起30天内，成交供应商应按照竞争性磋商文件的规定、成交供应商的磋商响应及成交通知书确定的金额签订合同。</w:t>
            </w:r>
          </w:p>
          <w:p w14:paraId="11CF8133">
            <w:pPr>
              <w:autoSpaceDE w:val="0"/>
              <w:autoSpaceDN w:val="0"/>
              <w:adjustRightInd w:val="0"/>
              <w:spacing w:line="440" w:lineRule="exact"/>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成交供应商如不遵守竞争性磋商文件或磋商响应文件各项条款的邀约与要约，或在接到成交通知书后借故拖延，拒签合同的，采购人将按《浙江省政府采购供应商注册及诚信管理暂行办法》的规定上报诚信状况。给采购人造成的损失的还应当予以赔偿。</w:t>
            </w:r>
          </w:p>
        </w:tc>
        <w:tc>
          <w:tcPr>
            <w:tcW w:w="926" w:type="dxa"/>
            <w:tcBorders>
              <w:top w:val="single" w:color="auto" w:sz="4" w:space="0"/>
              <w:left w:val="single" w:color="auto" w:sz="4" w:space="0"/>
              <w:bottom w:val="single" w:color="auto" w:sz="4" w:space="0"/>
              <w:right w:val="single" w:color="auto" w:sz="4" w:space="0"/>
            </w:tcBorders>
            <w:vAlign w:val="center"/>
          </w:tcPr>
          <w:p w14:paraId="5013D839">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22" w:type="dxa"/>
            <w:tcBorders>
              <w:top w:val="single" w:color="auto" w:sz="4" w:space="0"/>
              <w:left w:val="single" w:color="auto" w:sz="4" w:space="0"/>
              <w:bottom w:val="single" w:color="auto" w:sz="4" w:space="0"/>
              <w:right w:val="single" w:color="auto" w:sz="4" w:space="0"/>
            </w:tcBorders>
            <w:vAlign w:val="center"/>
          </w:tcPr>
          <w:p w14:paraId="7DCCC144">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176BE7BB">
      <w:pPr>
        <w:autoSpaceDN w:val="0"/>
        <w:adjustRightInd w:val="0"/>
        <w:snapToGrid w:val="0"/>
        <w:spacing w:line="440" w:lineRule="exact"/>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注：须与商务条款逐项比较填写，如不填写，视同为完全响应且无偏离。</w:t>
      </w:r>
    </w:p>
    <w:p w14:paraId="059D57B7">
      <w:pPr>
        <w:autoSpaceDN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供应商（盖章）：</w:t>
      </w:r>
    </w:p>
    <w:p w14:paraId="40764863">
      <w:pPr>
        <w:autoSpaceDN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法定代表人或授权委托人签字或电子印章：</w:t>
      </w:r>
    </w:p>
    <w:p w14:paraId="485E0E44">
      <w:pPr>
        <w:autoSpaceDN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6FECF30">
      <w:pPr>
        <w:autoSpaceDN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br w:type="page"/>
      </w:r>
      <w:r>
        <w:rPr>
          <w:rFonts w:hint="eastAsia" w:ascii="宋体" w:hAnsi="宋体" w:eastAsia="宋体" w:cs="宋体"/>
          <w:b/>
          <w:color w:val="auto"/>
          <w:spacing w:val="20"/>
          <w:sz w:val="24"/>
          <w:szCs w:val="24"/>
          <w:highlight w:val="none"/>
        </w:rPr>
        <w:t>B6.用户需求书响应表</w:t>
      </w:r>
    </w:p>
    <w:p w14:paraId="79965541">
      <w:pPr>
        <w:autoSpaceDN w:val="0"/>
        <w:snapToGrid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eastAsia="zh-CN"/>
        </w:rPr>
        <w:t>ZGTZZB2025-0403</w:t>
      </w:r>
    </w:p>
    <w:p w14:paraId="4AB94E6C">
      <w:pPr>
        <w:autoSpaceDN w:val="0"/>
        <w:snapToGrid w:val="0"/>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浙江省第五届体育大会开闭幕式策划及执行服务</w:t>
      </w:r>
    </w:p>
    <w:tbl>
      <w:tblPr>
        <w:tblStyle w:val="2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8"/>
        <w:gridCol w:w="2824"/>
        <w:gridCol w:w="2835"/>
        <w:gridCol w:w="2369"/>
      </w:tblGrid>
      <w:tr w14:paraId="6FABA5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D71E670">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63BACA0B">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磋商要求</w:t>
            </w:r>
          </w:p>
        </w:tc>
        <w:tc>
          <w:tcPr>
            <w:tcW w:w="2835" w:type="dxa"/>
            <w:tcBorders>
              <w:top w:val="single" w:color="auto" w:sz="4" w:space="0"/>
              <w:left w:val="single" w:color="auto" w:sz="4" w:space="0"/>
              <w:bottom w:val="single" w:color="auto" w:sz="4" w:space="0"/>
              <w:right w:val="single" w:color="auto" w:sz="4" w:space="0"/>
            </w:tcBorders>
            <w:vAlign w:val="center"/>
          </w:tcPr>
          <w:p w14:paraId="231DB475">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w:t>
            </w:r>
          </w:p>
        </w:tc>
        <w:tc>
          <w:tcPr>
            <w:tcW w:w="2369" w:type="dxa"/>
            <w:tcBorders>
              <w:top w:val="single" w:color="auto" w:sz="4" w:space="0"/>
              <w:left w:val="single" w:color="auto" w:sz="4" w:space="0"/>
              <w:bottom w:val="single" w:color="auto" w:sz="4" w:space="0"/>
              <w:right w:val="single" w:color="auto" w:sz="4" w:space="0"/>
            </w:tcBorders>
            <w:vAlign w:val="center"/>
          </w:tcPr>
          <w:p w14:paraId="0D37ED2D">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7F12F6A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ABA8596">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24" w:type="dxa"/>
            <w:tcBorders>
              <w:top w:val="single" w:color="auto" w:sz="4" w:space="0"/>
              <w:left w:val="single" w:color="auto" w:sz="4" w:space="0"/>
              <w:bottom w:val="single" w:color="auto" w:sz="4" w:space="0"/>
              <w:right w:val="single" w:color="auto" w:sz="4" w:space="0"/>
            </w:tcBorders>
            <w:vAlign w:val="center"/>
          </w:tcPr>
          <w:p w14:paraId="0B92DC57">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35" w:type="dxa"/>
            <w:tcBorders>
              <w:top w:val="single" w:color="auto" w:sz="4" w:space="0"/>
              <w:left w:val="single" w:color="auto" w:sz="4" w:space="0"/>
              <w:bottom w:val="single" w:color="auto" w:sz="4" w:space="0"/>
              <w:right w:val="single" w:color="auto" w:sz="4" w:space="0"/>
            </w:tcBorders>
            <w:vAlign w:val="center"/>
          </w:tcPr>
          <w:p w14:paraId="1384BD23">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9" w:type="dxa"/>
            <w:tcBorders>
              <w:top w:val="single" w:color="auto" w:sz="4" w:space="0"/>
              <w:left w:val="single" w:color="auto" w:sz="4" w:space="0"/>
              <w:bottom w:val="single" w:color="auto" w:sz="4" w:space="0"/>
              <w:right w:val="single" w:color="auto" w:sz="4" w:space="0"/>
            </w:tcBorders>
            <w:vAlign w:val="center"/>
          </w:tcPr>
          <w:p w14:paraId="2B8BBEE0">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0B9C8B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8630C0B">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24" w:type="dxa"/>
            <w:tcBorders>
              <w:top w:val="single" w:color="auto" w:sz="4" w:space="0"/>
              <w:left w:val="single" w:color="auto" w:sz="4" w:space="0"/>
              <w:bottom w:val="single" w:color="auto" w:sz="4" w:space="0"/>
              <w:right w:val="single" w:color="auto" w:sz="4" w:space="0"/>
            </w:tcBorders>
            <w:vAlign w:val="center"/>
          </w:tcPr>
          <w:p w14:paraId="382E80BE">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35" w:type="dxa"/>
            <w:tcBorders>
              <w:top w:val="single" w:color="auto" w:sz="4" w:space="0"/>
              <w:left w:val="single" w:color="auto" w:sz="4" w:space="0"/>
              <w:bottom w:val="single" w:color="auto" w:sz="4" w:space="0"/>
              <w:right w:val="single" w:color="auto" w:sz="4" w:space="0"/>
            </w:tcBorders>
            <w:vAlign w:val="center"/>
          </w:tcPr>
          <w:p w14:paraId="18DB6C4A">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9" w:type="dxa"/>
            <w:tcBorders>
              <w:top w:val="single" w:color="auto" w:sz="4" w:space="0"/>
              <w:left w:val="single" w:color="auto" w:sz="4" w:space="0"/>
              <w:bottom w:val="single" w:color="auto" w:sz="4" w:space="0"/>
              <w:right w:val="single" w:color="auto" w:sz="4" w:space="0"/>
            </w:tcBorders>
            <w:vAlign w:val="center"/>
          </w:tcPr>
          <w:p w14:paraId="566AC77D">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2BAC4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4026D048">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24" w:type="dxa"/>
            <w:tcBorders>
              <w:top w:val="single" w:color="auto" w:sz="4" w:space="0"/>
              <w:left w:val="single" w:color="auto" w:sz="4" w:space="0"/>
              <w:bottom w:val="single" w:color="auto" w:sz="4" w:space="0"/>
              <w:right w:val="single" w:color="auto" w:sz="4" w:space="0"/>
            </w:tcBorders>
            <w:vAlign w:val="center"/>
          </w:tcPr>
          <w:p w14:paraId="340C5D85">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35" w:type="dxa"/>
            <w:tcBorders>
              <w:top w:val="single" w:color="auto" w:sz="4" w:space="0"/>
              <w:left w:val="single" w:color="auto" w:sz="4" w:space="0"/>
              <w:bottom w:val="single" w:color="auto" w:sz="4" w:space="0"/>
              <w:right w:val="single" w:color="auto" w:sz="4" w:space="0"/>
            </w:tcBorders>
            <w:vAlign w:val="center"/>
          </w:tcPr>
          <w:p w14:paraId="15F37870">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9" w:type="dxa"/>
            <w:tcBorders>
              <w:top w:val="single" w:color="auto" w:sz="4" w:space="0"/>
              <w:left w:val="single" w:color="auto" w:sz="4" w:space="0"/>
              <w:bottom w:val="single" w:color="auto" w:sz="4" w:space="0"/>
              <w:right w:val="single" w:color="auto" w:sz="4" w:space="0"/>
            </w:tcBorders>
            <w:vAlign w:val="center"/>
          </w:tcPr>
          <w:p w14:paraId="674DA554">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4D0A22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06D21E6">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24" w:type="dxa"/>
            <w:tcBorders>
              <w:top w:val="single" w:color="auto" w:sz="4" w:space="0"/>
              <w:left w:val="single" w:color="auto" w:sz="4" w:space="0"/>
              <w:bottom w:val="single" w:color="auto" w:sz="4" w:space="0"/>
              <w:right w:val="single" w:color="auto" w:sz="4" w:space="0"/>
            </w:tcBorders>
            <w:vAlign w:val="center"/>
          </w:tcPr>
          <w:p w14:paraId="4E84929D">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35" w:type="dxa"/>
            <w:tcBorders>
              <w:top w:val="single" w:color="auto" w:sz="4" w:space="0"/>
              <w:left w:val="single" w:color="auto" w:sz="4" w:space="0"/>
              <w:bottom w:val="single" w:color="auto" w:sz="4" w:space="0"/>
              <w:right w:val="single" w:color="auto" w:sz="4" w:space="0"/>
            </w:tcBorders>
            <w:vAlign w:val="center"/>
          </w:tcPr>
          <w:p w14:paraId="256DC6E4">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9" w:type="dxa"/>
            <w:tcBorders>
              <w:top w:val="single" w:color="auto" w:sz="4" w:space="0"/>
              <w:left w:val="single" w:color="auto" w:sz="4" w:space="0"/>
              <w:bottom w:val="single" w:color="auto" w:sz="4" w:space="0"/>
              <w:right w:val="single" w:color="auto" w:sz="4" w:space="0"/>
            </w:tcBorders>
            <w:vAlign w:val="center"/>
          </w:tcPr>
          <w:p w14:paraId="65F03EBF">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ED2C4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192092D8">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24" w:type="dxa"/>
            <w:tcBorders>
              <w:top w:val="single" w:color="auto" w:sz="4" w:space="0"/>
              <w:left w:val="single" w:color="auto" w:sz="4" w:space="0"/>
              <w:bottom w:val="single" w:color="auto" w:sz="4" w:space="0"/>
              <w:right w:val="single" w:color="auto" w:sz="4" w:space="0"/>
            </w:tcBorders>
            <w:vAlign w:val="center"/>
          </w:tcPr>
          <w:p w14:paraId="3F8EC454">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835" w:type="dxa"/>
            <w:tcBorders>
              <w:top w:val="single" w:color="auto" w:sz="4" w:space="0"/>
              <w:left w:val="single" w:color="auto" w:sz="4" w:space="0"/>
              <w:bottom w:val="single" w:color="auto" w:sz="4" w:space="0"/>
              <w:right w:val="single" w:color="auto" w:sz="4" w:space="0"/>
            </w:tcBorders>
            <w:vAlign w:val="center"/>
          </w:tcPr>
          <w:p w14:paraId="1B5047BA">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2369" w:type="dxa"/>
            <w:tcBorders>
              <w:top w:val="single" w:color="auto" w:sz="4" w:space="0"/>
              <w:left w:val="single" w:color="auto" w:sz="4" w:space="0"/>
              <w:bottom w:val="single" w:color="auto" w:sz="4" w:space="0"/>
              <w:right w:val="single" w:color="auto" w:sz="4" w:space="0"/>
            </w:tcBorders>
            <w:vAlign w:val="center"/>
          </w:tcPr>
          <w:p w14:paraId="1DE1EDC6">
            <w:pPr>
              <w:autoSpaceDN w:val="0"/>
              <w:adjustRightInd w:val="0"/>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6DA421DC">
      <w:pPr>
        <w:autoSpaceDN w:val="0"/>
        <w:adjustRightInd w:val="0"/>
        <w:snapToGrid w:val="0"/>
        <w:spacing w:line="440" w:lineRule="exact"/>
        <w:ind w:left="2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与第四章“用户需求书”逐项比较，如有偏离的，须在本表中列明，并提供详细的偏离说明。如供应商未在本表中列出偏离说明，即使其在磋商响应文件的其他部分说明与磋商文件要求有所不同或回避不答，亦视为完全符合磋商文件中所要求的最佳值并写入合同。若成交供应商在成交及合同签订前，以上述事项为借口而不履行合同签订手续及执行合同，则视作其放弃成交资格。</w:t>
      </w:r>
    </w:p>
    <w:p w14:paraId="2664C01C">
      <w:pPr>
        <w:autoSpaceDN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62D2B27C">
      <w:pPr>
        <w:autoSpaceDN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D2613BD">
      <w:pPr>
        <w:autoSpaceDN w:val="0"/>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90CEA34">
      <w:pPr>
        <w:autoSpaceDN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16B8DC5">
      <w:pPr>
        <w:autoSpaceDN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法定代表人或授权委托人签字或电子印章：</w:t>
      </w:r>
    </w:p>
    <w:p w14:paraId="20ACF4FE">
      <w:pPr>
        <w:autoSpaceDN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DCF1636">
      <w:pPr>
        <w:pageBreakBefore/>
        <w:autoSpaceDN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B7.针对本项目拟定的人员配备情况</w:t>
      </w:r>
    </w:p>
    <w:tbl>
      <w:tblPr>
        <w:tblStyle w:val="26"/>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77"/>
        <w:gridCol w:w="1290"/>
        <w:gridCol w:w="770"/>
        <w:gridCol w:w="770"/>
        <w:gridCol w:w="770"/>
        <w:gridCol w:w="770"/>
        <w:gridCol w:w="1214"/>
        <w:gridCol w:w="1344"/>
        <w:gridCol w:w="1134"/>
      </w:tblGrid>
      <w:tr w14:paraId="52D5AB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4C7BEF0F">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姓名</w:t>
            </w:r>
          </w:p>
        </w:tc>
        <w:tc>
          <w:tcPr>
            <w:tcW w:w="1290" w:type="dxa"/>
            <w:tcBorders>
              <w:top w:val="single" w:color="auto" w:sz="4" w:space="0"/>
              <w:left w:val="single" w:color="auto" w:sz="4" w:space="0"/>
              <w:bottom w:val="single" w:color="auto" w:sz="4" w:space="0"/>
              <w:right w:val="single" w:color="auto" w:sz="4" w:space="0"/>
            </w:tcBorders>
            <w:vAlign w:val="center"/>
          </w:tcPr>
          <w:p w14:paraId="740E0516">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本项目拟任岗位</w:t>
            </w:r>
          </w:p>
        </w:tc>
        <w:tc>
          <w:tcPr>
            <w:tcW w:w="770" w:type="dxa"/>
            <w:tcBorders>
              <w:top w:val="single" w:color="auto" w:sz="4" w:space="0"/>
              <w:left w:val="single" w:color="auto" w:sz="4" w:space="0"/>
              <w:bottom w:val="single" w:color="auto" w:sz="4" w:space="0"/>
              <w:right w:val="single" w:color="auto" w:sz="4" w:space="0"/>
            </w:tcBorders>
            <w:vAlign w:val="center"/>
          </w:tcPr>
          <w:p w14:paraId="4B3D4DEA">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性别</w:t>
            </w:r>
          </w:p>
        </w:tc>
        <w:tc>
          <w:tcPr>
            <w:tcW w:w="770" w:type="dxa"/>
            <w:tcBorders>
              <w:top w:val="single" w:color="auto" w:sz="4" w:space="0"/>
              <w:left w:val="single" w:color="auto" w:sz="4" w:space="0"/>
              <w:bottom w:val="single" w:color="auto" w:sz="4" w:space="0"/>
              <w:right w:val="single" w:color="auto" w:sz="4" w:space="0"/>
            </w:tcBorders>
            <w:vAlign w:val="center"/>
          </w:tcPr>
          <w:p w14:paraId="2F57F682">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年龄</w:t>
            </w:r>
          </w:p>
        </w:tc>
        <w:tc>
          <w:tcPr>
            <w:tcW w:w="770" w:type="dxa"/>
            <w:tcBorders>
              <w:top w:val="single" w:color="auto" w:sz="4" w:space="0"/>
              <w:left w:val="single" w:color="auto" w:sz="4" w:space="0"/>
              <w:bottom w:val="single" w:color="auto" w:sz="4" w:space="0"/>
              <w:right w:val="single" w:color="auto" w:sz="4" w:space="0"/>
            </w:tcBorders>
            <w:vAlign w:val="center"/>
          </w:tcPr>
          <w:p w14:paraId="28551E95">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学历</w:t>
            </w:r>
          </w:p>
        </w:tc>
        <w:tc>
          <w:tcPr>
            <w:tcW w:w="770" w:type="dxa"/>
            <w:tcBorders>
              <w:top w:val="single" w:color="auto" w:sz="4" w:space="0"/>
              <w:left w:val="single" w:color="auto" w:sz="4" w:space="0"/>
              <w:bottom w:val="single" w:color="auto" w:sz="4" w:space="0"/>
              <w:right w:val="single" w:color="auto" w:sz="4" w:space="0"/>
            </w:tcBorders>
            <w:vAlign w:val="center"/>
          </w:tcPr>
          <w:p w14:paraId="5263540B">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专业</w:t>
            </w:r>
          </w:p>
        </w:tc>
        <w:tc>
          <w:tcPr>
            <w:tcW w:w="1214" w:type="dxa"/>
            <w:tcBorders>
              <w:top w:val="single" w:color="auto" w:sz="4" w:space="0"/>
              <w:left w:val="single" w:color="auto" w:sz="4" w:space="0"/>
              <w:bottom w:val="single" w:color="auto" w:sz="4" w:space="0"/>
              <w:right w:val="single" w:color="auto" w:sz="4" w:space="0"/>
            </w:tcBorders>
            <w:vAlign w:val="center"/>
          </w:tcPr>
          <w:p w14:paraId="2832F5F8">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职务</w:t>
            </w:r>
          </w:p>
          <w:p w14:paraId="1BD5F662">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/职称</w:t>
            </w:r>
          </w:p>
        </w:tc>
        <w:tc>
          <w:tcPr>
            <w:tcW w:w="1344" w:type="dxa"/>
            <w:tcBorders>
              <w:top w:val="single" w:color="auto" w:sz="4" w:space="0"/>
              <w:left w:val="single" w:color="auto" w:sz="4" w:space="0"/>
              <w:bottom w:val="single" w:color="auto" w:sz="4" w:space="0"/>
              <w:right w:val="single" w:color="auto" w:sz="4" w:space="0"/>
            </w:tcBorders>
            <w:vAlign w:val="center"/>
          </w:tcPr>
          <w:p w14:paraId="67764A47">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工作年限</w:t>
            </w:r>
          </w:p>
        </w:tc>
        <w:tc>
          <w:tcPr>
            <w:tcW w:w="1134" w:type="dxa"/>
            <w:tcBorders>
              <w:top w:val="single" w:color="auto" w:sz="4" w:space="0"/>
              <w:left w:val="single" w:color="auto" w:sz="4" w:space="0"/>
              <w:bottom w:val="single" w:color="auto" w:sz="4" w:space="0"/>
              <w:right w:val="single" w:color="auto" w:sz="4" w:space="0"/>
            </w:tcBorders>
            <w:vAlign w:val="center"/>
          </w:tcPr>
          <w:p w14:paraId="4C882A87">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备注</w:t>
            </w:r>
          </w:p>
        </w:tc>
      </w:tr>
      <w:tr w14:paraId="1ABB113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2D2C35E1">
            <w:pPr>
              <w:autoSpaceDN w:val="0"/>
              <w:spacing w:line="400" w:lineRule="exact"/>
              <w:jc w:val="center"/>
              <w:rPr>
                <w:rFonts w:hint="eastAsia" w:ascii="宋体" w:hAnsi="宋体" w:eastAsia="宋体" w:cs="宋体"/>
                <w:bCs/>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3A29B8C">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7FC4E254">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27506FA2">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452AF03A">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26A3371A">
            <w:pPr>
              <w:autoSpaceDN w:val="0"/>
              <w:spacing w:line="400" w:lineRule="exact"/>
              <w:jc w:val="center"/>
              <w:rPr>
                <w:rFonts w:hint="eastAsia" w:ascii="宋体" w:hAnsi="宋体" w:eastAsia="宋体" w:cs="宋体"/>
                <w:bCs/>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52274342">
            <w:pPr>
              <w:autoSpaceDN w:val="0"/>
              <w:spacing w:line="400" w:lineRule="exact"/>
              <w:jc w:val="center"/>
              <w:rPr>
                <w:rFonts w:hint="eastAsia" w:ascii="宋体" w:hAnsi="宋体" w:eastAsia="宋体" w:cs="宋体"/>
                <w:bCs/>
                <w:color w:val="auto"/>
                <w:sz w:val="24"/>
                <w:szCs w:val="24"/>
                <w:highlight w:val="none"/>
              </w:rPr>
            </w:pPr>
          </w:p>
        </w:tc>
        <w:tc>
          <w:tcPr>
            <w:tcW w:w="1344" w:type="dxa"/>
            <w:tcBorders>
              <w:top w:val="single" w:color="auto" w:sz="4" w:space="0"/>
              <w:left w:val="single" w:color="auto" w:sz="4" w:space="0"/>
              <w:bottom w:val="single" w:color="auto" w:sz="4" w:space="0"/>
              <w:right w:val="single" w:color="auto" w:sz="4" w:space="0"/>
            </w:tcBorders>
          </w:tcPr>
          <w:p w14:paraId="0C6DD68B">
            <w:pPr>
              <w:autoSpaceDN w:val="0"/>
              <w:spacing w:line="400" w:lineRule="exact"/>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4F8B352">
            <w:pPr>
              <w:autoSpaceDN w:val="0"/>
              <w:spacing w:line="400" w:lineRule="exact"/>
              <w:jc w:val="center"/>
              <w:rPr>
                <w:rFonts w:hint="eastAsia" w:ascii="宋体" w:hAnsi="宋体" w:eastAsia="宋体" w:cs="宋体"/>
                <w:color w:val="auto"/>
                <w:sz w:val="24"/>
                <w:szCs w:val="24"/>
                <w:highlight w:val="none"/>
              </w:rPr>
            </w:pPr>
          </w:p>
        </w:tc>
      </w:tr>
      <w:tr w14:paraId="095F63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7C83C614">
            <w:pPr>
              <w:autoSpaceDN w:val="0"/>
              <w:spacing w:line="400" w:lineRule="exact"/>
              <w:jc w:val="center"/>
              <w:rPr>
                <w:rFonts w:hint="eastAsia" w:ascii="宋体" w:hAnsi="宋体" w:eastAsia="宋体" w:cs="宋体"/>
                <w:bCs/>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492750E">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0B22F95C">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7207B6CD">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1C370913">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12B4F244">
            <w:pPr>
              <w:autoSpaceDN w:val="0"/>
              <w:spacing w:line="400" w:lineRule="exact"/>
              <w:jc w:val="center"/>
              <w:rPr>
                <w:rFonts w:hint="eastAsia" w:ascii="宋体" w:hAnsi="宋体" w:eastAsia="宋体" w:cs="宋体"/>
                <w:bCs/>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492A1D11">
            <w:pPr>
              <w:autoSpaceDN w:val="0"/>
              <w:spacing w:line="400" w:lineRule="exact"/>
              <w:jc w:val="center"/>
              <w:rPr>
                <w:rFonts w:hint="eastAsia" w:ascii="宋体" w:hAnsi="宋体" w:eastAsia="宋体" w:cs="宋体"/>
                <w:bCs/>
                <w:color w:val="auto"/>
                <w:sz w:val="24"/>
                <w:szCs w:val="24"/>
                <w:highlight w:val="none"/>
              </w:rPr>
            </w:pPr>
          </w:p>
        </w:tc>
        <w:tc>
          <w:tcPr>
            <w:tcW w:w="1344" w:type="dxa"/>
            <w:tcBorders>
              <w:top w:val="single" w:color="auto" w:sz="4" w:space="0"/>
              <w:left w:val="single" w:color="auto" w:sz="4" w:space="0"/>
              <w:bottom w:val="single" w:color="auto" w:sz="4" w:space="0"/>
              <w:right w:val="single" w:color="auto" w:sz="4" w:space="0"/>
            </w:tcBorders>
          </w:tcPr>
          <w:p w14:paraId="16EE1310">
            <w:pPr>
              <w:autoSpaceDN w:val="0"/>
              <w:spacing w:line="400" w:lineRule="exact"/>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A98E06A">
            <w:pPr>
              <w:autoSpaceDN w:val="0"/>
              <w:spacing w:line="400" w:lineRule="exact"/>
              <w:jc w:val="center"/>
              <w:rPr>
                <w:rFonts w:hint="eastAsia" w:ascii="宋体" w:hAnsi="宋体" w:eastAsia="宋体" w:cs="宋体"/>
                <w:color w:val="auto"/>
                <w:sz w:val="24"/>
                <w:szCs w:val="24"/>
                <w:highlight w:val="none"/>
              </w:rPr>
            </w:pPr>
          </w:p>
        </w:tc>
      </w:tr>
      <w:tr w14:paraId="4DF45CD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563D21F1">
            <w:pPr>
              <w:autoSpaceDN w:val="0"/>
              <w:spacing w:line="400" w:lineRule="exact"/>
              <w:jc w:val="center"/>
              <w:rPr>
                <w:rFonts w:hint="eastAsia" w:ascii="宋体" w:hAnsi="宋体" w:eastAsia="宋体" w:cs="宋体"/>
                <w:bCs/>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59CDA6E7">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0E7A249D">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7259FE0A">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6A1EADFB">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54E274BB">
            <w:pPr>
              <w:autoSpaceDN w:val="0"/>
              <w:spacing w:line="400" w:lineRule="exact"/>
              <w:jc w:val="center"/>
              <w:rPr>
                <w:rFonts w:hint="eastAsia" w:ascii="宋体" w:hAnsi="宋体" w:eastAsia="宋体" w:cs="宋体"/>
                <w:bCs/>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5725D5CB">
            <w:pPr>
              <w:autoSpaceDN w:val="0"/>
              <w:spacing w:line="400" w:lineRule="exact"/>
              <w:jc w:val="center"/>
              <w:rPr>
                <w:rFonts w:hint="eastAsia" w:ascii="宋体" w:hAnsi="宋体" w:eastAsia="宋体" w:cs="宋体"/>
                <w:bCs/>
                <w:color w:val="auto"/>
                <w:sz w:val="24"/>
                <w:szCs w:val="24"/>
                <w:highlight w:val="none"/>
              </w:rPr>
            </w:pPr>
          </w:p>
        </w:tc>
        <w:tc>
          <w:tcPr>
            <w:tcW w:w="1344" w:type="dxa"/>
            <w:tcBorders>
              <w:top w:val="single" w:color="auto" w:sz="4" w:space="0"/>
              <w:left w:val="single" w:color="auto" w:sz="4" w:space="0"/>
              <w:bottom w:val="single" w:color="auto" w:sz="4" w:space="0"/>
              <w:right w:val="single" w:color="auto" w:sz="4" w:space="0"/>
            </w:tcBorders>
          </w:tcPr>
          <w:p w14:paraId="1CA2D926">
            <w:pPr>
              <w:autoSpaceDN w:val="0"/>
              <w:spacing w:line="400" w:lineRule="exact"/>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FEA48E">
            <w:pPr>
              <w:autoSpaceDN w:val="0"/>
              <w:spacing w:line="400" w:lineRule="exact"/>
              <w:jc w:val="center"/>
              <w:rPr>
                <w:rFonts w:hint="eastAsia" w:ascii="宋体" w:hAnsi="宋体" w:eastAsia="宋体" w:cs="宋体"/>
                <w:color w:val="auto"/>
                <w:sz w:val="24"/>
                <w:szCs w:val="24"/>
                <w:highlight w:val="none"/>
              </w:rPr>
            </w:pPr>
          </w:p>
        </w:tc>
      </w:tr>
      <w:tr w14:paraId="6F8A65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6B8E67DB">
            <w:pPr>
              <w:autoSpaceDN w:val="0"/>
              <w:spacing w:line="400" w:lineRule="exact"/>
              <w:jc w:val="center"/>
              <w:rPr>
                <w:rFonts w:hint="eastAsia" w:ascii="宋体" w:hAnsi="宋体" w:eastAsia="宋体" w:cs="宋体"/>
                <w:bCs/>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1D357073">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4A174342">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4A4A6AF7">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761ED2C5">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65CEB007">
            <w:pPr>
              <w:autoSpaceDN w:val="0"/>
              <w:spacing w:line="400" w:lineRule="exact"/>
              <w:jc w:val="center"/>
              <w:rPr>
                <w:rFonts w:hint="eastAsia" w:ascii="宋体" w:hAnsi="宋体" w:eastAsia="宋体" w:cs="宋体"/>
                <w:bCs/>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7D8A0883">
            <w:pPr>
              <w:autoSpaceDN w:val="0"/>
              <w:spacing w:line="400" w:lineRule="exact"/>
              <w:jc w:val="center"/>
              <w:rPr>
                <w:rFonts w:hint="eastAsia" w:ascii="宋体" w:hAnsi="宋体" w:eastAsia="宋体" w:cs="宋体"/>
                <w:bCs/>
                <w:color w:val="auto"/>
                <w:sz w:val="24"/>
                <w:szCs w:val="24"/>
                <w:highlight w:val="none"/>
              </w:rPr>
            </w:pPr>
          </w:p>
        </w:tc>
        <w:tc>
          <w:tcPr>
            <w:tcW w:w="1344" w:type="dxa"/>
            <w:tcBorders>
              <w:top w:val="single" w:color="auto" w:sz="4" w:space="0"/>
              <w:left w:val="single" w:color="auto" w:sz="4" w:space="0"/>
              <w:bottom w:val="single" w:color="auto" w:sz="4" w:space="0"/>
              <w:right w:val="single" w:color="auto" w:sz="4" w:space="0"/>
            </w:tcBorders>
          </w:tcPr>
          <w:p w14:paraId="6B60175F">
            <w:pPr>
              <w:autoSpaceDN w:val="0"/>
              <w:spacing w:line="400" w:lineRule="exact"/>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1613AE3">
            <w:pPr>
              <w:autoSpaceDN w:val="0"/>
              <w:spacing w:line="400" w:lineRule="exact"/>
              <w:jc w:val="center"/>
              <w:rPr>
                <w:rFonts w:hint="eastAsia" w:ascii="宋体" w:hAnsi="宋体" w:eastAsia="宋体" w:cs="宋体"/>
                <w:color w:val="auto"/>
                <w:sz w:val="24"/>
                <w:szCs w:val="24"/>
                <w:highlight w:val="none"/>
              </w:rPr>
            </w:pPr>
          </w:p>
        </w:tc>
      </w:tr>
      <w:tr w14:paraId="181528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4C0BB066">
            <w:pPr>
              <w:autoSpaceDN w:val="0"/>
              <w:spacing w:line="400" w:lineRule="exact"/>
              <w:jc w:val="center"/>
              <w:rPr>
                <w:rFonts w:hint="eastAsia" w:ascii="宋体" w:hAnsi="宋体" w:eastAsia="宋体" w:cs="宋体"/>
                <w:bCs/>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264148FF">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23B7CFF1">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1FF18B2B">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4960C908">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1E66A3FE">
            <w:pPr>
              <w:autoSpaceDN w:val="0"/>
              <w:spacing w:line="400" w:lineRule="exact"/>
              <w:jc w:val="center"/>
              <w:rPr>
                <w:rFonts w:hint="eastAsia" w:ascii="宋体" w:hAnsi="宋体" w:eastAsia="宋体" w:cs="宋体"/>
                <w:bCs/>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19EB9A00">
            <w:pPr>
              <w:autoSpaceDN w:val="0"/>
              <w:spacing w:line="400" w:lineRule="exact"/>
              <w:jc w:val="center"/>
              <w:rPr>
                <w:rFonts w:hint="eastAsia" w:ascii="宋体" w:hAnsi="宋体" w:eastAsia="宋体" w:cs="宋体"/>
                <w:bCs/>
                <w:color w:val="auto"/>
                <w:sz w:val="24"/>
                <w:szCs w:val="24"/>
                <w:highlight w:val="none"/>
              </w:rPr>
            </w:pPr>
          </w:p>
        </w:tc>
        <w:tc>
          <w:tcPr>
            <w:tcW w:w="1344" w:type="dxa"/>
            <w:tcBorders>
              <w:top w:val="single" w:color="auto" w:sz="4" w:space="0"/>
              <w:left w:val="single" w:color="auto" w:sz="4" w:space="0"/>
              <w:bottom w:val="single" w:color="auto" w:sz="4" w:space="0"/>
              <w:right w:val="single" w:color="auto" w:sz="4" w:space="0"/>
            </w:tcBorders>
          </w:tcPr>
          <w:p w14:paraId="34A7A012">
            <w:pPr>
              <w:autoSpaceDN w:val="0"/>
              <w:spacing w:line="400" w:lineRule="exact"/>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431E1F">
            <w:pPr>
              <w:autoSpaceDN w:val="0"/>
              <w:spacing w:line="400" w:lineRule="exact"/>
              <w:jc w:val="center"/>
              <w:rPr>
                <w:rFonts w:hint="eastAsia" w:ascii="宋体" w:hAnsi="宋体" w:eastAsia="宋体" w:cs="宋体"/>
                <w:color w:val="auto"/>
                <w:sz w:val="24"/>
                <w:szCs w:val="24"/>
                <w:highlight w:val="none"/>
              </w:rPr>
            </w:pPr>
          </w:p>
        </w:tc>
      </w:tr>
      <w:tr w14:paraId="006A4C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345D872A">
            <w:pPr>
              <w:autoSpaceDN w:val="0"/>
              <w:spacing w:line="400" w:lineRule="exact"/>
              <w:jc w:val="center"/>
              <w:rPr>
                <w:rFonts w:hint="eastAsia" w:ascii="宋体" w:hAnsi="宋体" w:eastAsia="宋体" w:cs="宋体"/>
                <w:bCs/>
                <w:color w:val="auto"/>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77AAF07A">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56756958">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00249FDE">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4BB65782">
            <w:pPr>
              <w:autoSpaceDN w:val="0"/>
              <w:spacing w:line="400" w:lineRule="exact"/>
              <w:jc w:val="center"/>
              <w:rPr>
                <w:rFonts w:hint="eastAsia" w:ascii="宋体" w:hAnsi="宋体" w:eastAsia="宋体" w:cs="宋体"/>
                <w:bCs/>
                <w:color w:val="auto"/>
                <w:sz w:val="24"/>
                <w:szCs w:val="24"/>
                <w:highlight w:val="none"/>
              </w:rPr>
            </w:pPr>
          </w:p>
        </w:tc>
        <w:tc>
          <w:tcPr>
            <w:tcW w:w="770" w:type="dxa"/>
            <w:tcBorders>
              <w:top w:val="single" w:color="auto" w:sz="4" w:space="0"/>
              <w:left w:val="single" w:color="auto" w:sz="4" w:space="0"/>
              <w:bottom w:val="single" w:color="auto" w:sz="4" w:space="0"/>
              <w:right w:val="single" w:color="auto" w:sz="4" w:space="0"/>
            </w:tcBorders>
            <w:vAlign w:val="center"/>
          </w:tcPr>
          <w:p w14:paraId="4CEBD798">
            <w:pPr>
              <w:autoSpaceDN w:val="0"/>
              <w:spacing w:line="400" w:lineRule="exact"/>
              <w:jc w:val="center"/>
              <w:rPr>
                <w:rFonts w:hint="eastAsia" w:ascii="宋体" w:hAnsi="宋体" w:eastAsia="宋体" w:cs="宋体"/>
                <w:bCs/>
                <w:color w:val="auto"/>
                <w:sz w:val="24"/>
                <w:szCs w:val="24"/>
                <w:highlight w:val="none"/>
              </w:rPr>
            </w:pPr>
          </w:p>
        </w:tc>
        <w:tc>
          <w:tcPr>
            <w:tcW w:w="1214" w:type="dxa"/>
            <w:tcBorders>
              <w:top w:val="single" w:color="auto" w:sz="4" w:space="0"/>
              <w:left w:val="single" w:color="auto" w:sz="4" w:space="0"/>
              <w:bottom w:val="single" w:color="auto" w:sz="4" w:space="0"/>
              <w:right w:val="single" w:color="auto" w:sz="4" w:space="0"/>
            </w:tcBorders>
            <w:vAlign w:val="center"/>
          </w:tcPr>
          <w:p w14:paraId="20DB1C88">
            <w:pPr>
              <w:autoSpaceDN w:val="0"/>
              <w:spacing w:line="400" w:lineRule="exact"/>
              <w:jc w:val="center"/>
              <w:rPr>
                <w:rFonts w:hint="eastAsia" w:ascii="宋体" w:hAnsi="宋体" w:eastAsia="宋体" w:cs="宋体"/>
                <w:bCs/>
                <w:color w:val="auto"/>
                <w:sz w:val="24"/>
                <w:szCs w:val="24"/>
                <w:highlight w:val="none"/>
              </w:rPr>
            </w:pPr>
          </w:p>
        </w:tc>
        <w:tc>
          <w:tcPr>
            <w:tcW w:w="1344" w:type="dxa"/>
            <w:tcBorders>
              <w:top w:val="single" w:color="auto" w:sz="4" w:space="0"/>
              <w:left w:val="single" w:color="auto" w:sz="4" w:space="0"/>
              <w:bottom w:val="single" w:color="auto" w:sz="4" w:space="0"/>
              <w:right w:val="single" w:color="auto" w:sz="4" w:space="0"/>
            </w:tcBorders>
          </w:tcPr>
          <w:p w14:paraId="699550DB">
            <w:pPr>
              <w:autoSpaceDN w:val="0"/>
              <w:spacing w:line="400" w:lineRule="exact"/>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D95C7DA">
            <w:pPr>
              <w:autoSpaceDN w:val="0"/>
              <w:spacing w:line="400" w:lineRule="exact"/>
              <w:jc w:val="center"/>
              <w:rPr>
                <w:rFonts w:hint="eastAsia" w:ascii="宋体" w:hAnsi="宋体" w:eastAsia="宋体" w:cs="宋体"/>
                <w:color w:val="auto"/>
                <w:sz w:val="24"/>
                <w:szCs w:val="24"/>
                <w:highlight w:val="none"/>
              </w:rPr>
            </w:pPr>
          </w:p>
        </w:tc>
      </w:tr>
      <w:tr w14:paraId="7C7C88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03EC46B6">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90" w:type="dxa"/>
            <w:tcBorders>
              <w:top w:val="single" w:color="auto" w:sz="4" w:space="0"/>
              <w:left w:val="single" w:color="auto" w:sz="4" w:space="0"/>
              <w:bottom w:val="single" w:color="auto" w:sz="4" w:space="0"/>
              <w:right w:val="single" w:color="auto" w:sz="4" w:space="0"/>
            </w:tcBorders>
            <w:vAlign w:val="center"/>
          </w:tcPr>
          <w:p w14:paraId="34FB2168">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7617B557">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6046FDD6">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2E828338">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4EDEFF52">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14" w:type="dxa"/>
            <w:tcBorders>
              <w:top w:val="single" w:color="auto" w:sz="4" w:space="0"/>
              <w:left w:val="single" w:color="auto" w:sz="4" w:space="0"/>
              <w:bottom w:val="single" w:color="auto" w:sz="4" w:space="0"/>
              <w:right w:val="single" w:color="auto" w:sz="4" w:space="0"/>
            </w:tcBorders>
            <w:vAlign w:val="center"/>
          </w:tcPr>
          <w:p w14:paraId="2100DB08">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344" w:type="dxa"/>
            <w:tcBorders>
              <w:top w:val="single" w:color="auto" w:sz="4" w:space="0"/>
              <w:left w:val="single" w:color="auto" w:sz="4" w:space="0"/>
              <w:bottom w:val="single" w:color="auto" w:sz="4" w:space="0"/>
              <w:right w:val="single" w:color="auto" w:sz="4" w:space="0"/>
            </w:tcBorders>
          </w:tcPr>
          <w:p w14:paraId="5CCD580C">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14:paraId="37F6FA5F">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790B3D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6AF2F305">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90" w:type="dxa"/>
            <w:tcBorders>
              <w:top w:val="single" w:color="auto" w:sz="4" w:space="0"/>
              <w:left w:val="single" w:color="auto" w:sz="4" w:space="0"/>
              <w:bottom w:val="single" w:color="auto" w:sz="4" w:space="0"/>
              <w:right w:val="single" w:color="auto" w:sz="4" w:space="0"/>
            </w:tcBorders>
            <w:vAlign w:val="center"/>
          </w:tcPr>
          <w:p w14:paraId="66000049">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4D639F3D">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3BD93086">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1BF39DA4">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5040E42D">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14" w:type="dxa"/>
            <w:tcBorders>
              <w:top w:val="single" w:color="auto" w:sz="4" w:space="0"/>
              <w:left w:val="single" w:color="auto" w:sz="4" w:space="0"/>
              <w:bottom w:val="single" w:color="auto" w:sz="4" w:space="0"/>
              <w:right w:val="single" w:color="auto" w:sz="4" w:space="0"/>
            </w:tcBorders>
            <w:vAlign w:val="center"/>
          </w:tcPr>
          <w:p w14:paraId="15FF8CC3">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344" w:type="dxa"/>
            <w:tcBorders>
              <w:top w:val="single" w:color="auto" w:sz="4" w:space="0"/>
              <w:left w:val="single" w:color="auto" w:sz="4" w:space="0"/>
              <w:bottom w:val="single" w:color="auto" w:sz="4" w:space="0"/>
              <w:right w:val="single" w:color="auto" w:sz="4" w:space="0"/>
            </w:tcBorders>
          </w:tcPr>
          <w:p w14:paraId="2421309A">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14:paraId="3626592E">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4FDCD5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22367226">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90" w:type="dxa"/>
            <w:tcBorders>
              <w:top w:val="single" w:color="auto" w:sz="4" w:space="0"/>
              <w:left w:val="single" w:color="auto" w:sz="4" w:space="0"/>
              <w:bottom w:val="single" w:color="auto" w:sz="4" w:space="0"/>
              <w:right w:val="single" w:color="auto" w:sz="4" w:space="0"/>
            </w:tcBorders>
            <w:vAlign w:val="center"/>
          </w:tcPr>
          <w:p w14:paraId="2C634E34">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58BA2C19">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499D4654">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2D5D1147">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083B3E34">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14" w:type="dxa"/>
            <w:tcBorders>
              <w:top w:val="single" w:color="auto" w:sz="4" w:space="0"/>
              <w:left w:val="single" w:color="auto" w:sz="4" w:space="0"/>
              <w:bottom w:val="single" w:color="auto" w:sz="4" w:space="0"/>
              <w:right w:val="single" w:color="auto" w:sz="4" w:space="0"/>
            </w:tcBorders>
            <w:vAlign w:val="center"/>
          </w:tcPr>
          <w:p w14:paraId="21241361">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344" w:type="dxa"/>
            <w:tcBorders>
              <w:top w:val="single" w:color="auto" w:sz="4" w:space="0"/>
              <w:left w:val="single" w:color="auto" w:sz="4" w:space="0"/>
              <w:bottom w:val="single" w:color="auto" w:sz="4" w:space="0"/>
              <w:right w:val="single" w:color="auto" w:sz="4" w:space="0"/>
            </w:tcBorders>
          </w:tcPr>
          <w:p w14:paraId="4189EA9C">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14:paraId="6A5D9871">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2F6D0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26C8E04B">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90" w:type="dxa"/>
            <w:tcBorders>
              <w:top w:val="single" w:color="auto" w:sz="4" w:space="0"/>
              <w:left w:val="single" w:color="auto" w:sz="4" w:space="0"/>
              <w:bottom w:val="single" w:color="auto" w:sz="4" w:space="0"/>
              <w:right w:val="single" w:color="auto" w:sz="4" w:space="0"/>
            </w:tcBorders>
            <w:vAlign w:val="center"/>
          </w:tcPr>
          <w:p w14:paraId="2A2710BA">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442A350C">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3BA1569E">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0DD9C699">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7DC75C7B">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14" w:type="dxa"/>
            <w:tcBorders>
              <w:top w:val="single" w:color="auto" w:sz="4" w:space="0"/>
              <w:left w:val="single" w:color="auto" w:sz="4" w:space="0"/>
              <w:bottom w:val="single" w:color="auto" w:sz="4" w:space="0"/>
              <w:right w:val="single" w:color="auto" w:sz="4" w:space="0"/>
            </w:tcBorders>
            <w:vAlign w:val="center"/>
          </w:tcPr>
          <w:p w14:paraId="4DC9BA09">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344" w:type="dxa"/>
            <w:tcBorders>
              <w:top w:val="single" w:color="auto" w:sz="4" w:space="0"/>
              <w:left w:val="single" w:color="auto" w:sz="4" w:space="0"/>
              <w:bottom w:val="single" w:color="auto" w:sz="4" w:space="0"/>
              <w:right w:val="single" w:color="auto" w:sz="4" w:space="0"/>
            </w:tcBorders>
          </w:tcPr>
          <w:p w14:paraId="608E0927">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14:paraId="510225F2">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5E464D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2805A3D3">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90" w:type="dxa"/>
            <w:tcBorders>
              <w:top w:val="single" w:color="auto" w:sz="4" w:space="0"/>
              <w:left w:val="single" w:color="auto" w:sz="4" w:space="0"/>
              <w:bottom w:val="single" w:color="auto" w:sz="4" w:space="0"/>
              <w:right w:val="single" w:color="auto" w:sz="4" w:space="0"/>
            </w:tcBorders>
            <w:vAlign w:val="center"/>
          </w:tcPr>
          <w:p w14:paraId="376D091B">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0C56822D">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3F638E8B">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6B9C6E48">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60E49E3E">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14" w:type="dxa"/>
            <w:tcBorders>
              <w:top w:val="single" w:color="auto" w:sz="4" w:space="0"/>
              <w:left w:val="single" w:color="auto" w:sz="4" w:space="0"/>
              <w:bottom w:val="single" w:color="auto" w:sz="4" w:space="0"/>
              <w:right w:val="single" w:color="auto" w:sz="4" w:space="0"/>
            </w:tcBorders>
            <w:vAlign w:val="center"/>
          </w:tcPr>
          <w:p w14:paraId="46DC4EB8">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344" w:type="dxa"/>
            <w:tcBorders>
              <w:top w:val="single" w:color="auto" w:sz="4" w:space="0"/>
              <w:left w:val="single" w:color="auto" w:sz="4" w:space="0"/>
              <w:bottom w:val="single" w:color="auto" w:sz="4" w:space="0"/>
              <w:right w:val="single" w:color="auto" w:sz="4" w:space="0"/>
            </w:tcBorders>
          </w:tcPr>
          <w:p w14:paraId="0584E156">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14:paraId="33FE2035">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3A1A7B1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14:paraId="1420D2BF">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90" w:type="dxa"/>
            <w:tcBorders>
              <w:top w:val="single" w:color="auto" w:sz="4" w:space="0"/>
              <w:left w:val="single" w:color="auto" w:sz="4" w:space="0"/>
              <w:bottom w:val="single" w:color="auto" w:sz="4" w:space="0"/>
              <w:right w:val="single" w:color="auto" w:sz="4" w:space="0"/>
            </w:tcBorders>
            <w:vAlign w:val="center"/>
          </w:tcPr>
          <w:p w14:paraId="7E7B6C3B">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5767B0F7">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50C198AB">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606F8BB0">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770" w:type="dxa"/>
            <w:tcBorders>
              <w:top w:val="single" w:color="auto" w:sz="4" w:space="0"/>
              <w:left w:val="single" w:color="auto" w:sz="4" w:space="0"/>
              <w:bottom w:val="single" w:color="auto" w:sz="4" w:space="0"/>
              <w:right w:val="single" w:color="auto" w:sz="4" w:space="0"/>
            </w:tcBorders>
            <w:vAlign w:val="center"/>
          </w:tcPr>
          <w:p w14:paraId="733F20EF">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214" w:type="dxa"/>
            <w:tcBorders>
              <w:top w:val="single" w:color="auto" w:sz="4" w:space="0"/>
              <w:left w:val="single" w:color="auto" w:sz="4" w:space="0"/>
              <w:bottom w:val="single" w:color="auto" w:sz="4" w:space="0"/>
              <w:right w:val="single" w:color="auto" w:sz="4" w:space="0"/>
            </w:tcBorders>
            <w:vAlign w:val="center"/>
          </w:tcPr>
          <w:p w14:paraId="104518B2">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p>
        </w:tc>
        <w:tc>
          <w:tcPr>
            <w:tcW w:w="1344" w:type="dxa"/>
            <w:tcBorders>
              <w:top w:val="single" w:color="auto" w:sz="4" w:space="0"/>
              <w:left w:val="single" w:color="auto" w:sz="4" w:space="0"/>
              <w:bottom w:val="single" w:color="auto" w:sz="4" w:space="0"/>
              <w:right w:val="single" w:color="auto" w:sz="4" w:space="0"/>
            </w:tcBorders>
          </w:tcPr>
          <w:p w14:paraId="0A9F0932">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14:paraId="7A35455B">
            <w:pPr>
              <w:autoSpaceDN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5BFC6C03">
      <w:pPr>
        <w:autoSpaceDN w:val="0"/>
        <w:snapToGrid w:val="0"/>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2FFADD0C">
      <w:pPr>
        <w:autoSpaceDN w:val="0"/>
        <w:snapToGrid w:val="0"/>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1.在填写时，如本表格不适合投标单位的实际情况，可根据本表格式自行划表填写。</w:t>
      </w:r>
    </w:p>
    <w:p w14:paraId="676033A2">
      <w:pPr>
        <w:autoSpaceDN w:val="0"/>
        <w:snapToGrid w:val="0"/>
        <w:spacing w:line="44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2.需按</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文件需求、评分标准要求提供证书材料及其他相关证明材料。</w:t>
      </w:r>
    </w:p>
    <w:p w14:paraId="17E17201">
      <w:pPr>
        <w:autoSpaceDN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w:t>
      </w:r>
    </w:p>
    <w:p w14:paraId="18A857C6">
      <w:pPr>
        <w:autoSpaceDN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w:t>
      </w:r>
    </w:p>
    <w:p w14:paraId="75C7A91D">
      <w:pPr>
        <w:autoSpaceDN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w:t>
      </w:r>
    </w:p>
    <w:p w14:paraId="61B7AFB4">
      <w:pPr>
        <w:autoSpaceDN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7EC1C1BD">
      <w:pPr>
        <w:autoSpaceDN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法定代表人或授权委托人签字或电子印章：</w:t>
      </w:r>
    </w:p>
    <w:p w14:paraId="26DF7C56">
      <w:pPr>
        <w:autoSpaceDN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8CE5637">
      <w:pPr>
        <w:autoSpaceDN w:val="0"/>
        <w:snapToGrid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w:t>
      </w:r>
    </w:p>
    <w:p w14:paraId="78D8ABEA">
      <w:pPr>
        <w:pageBreakBefore/>
        <w:autoSpaceDN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B8.针对本项目制定的各项服务方案；</w:t>
      </w:r>
    </w:p>
    <w:p w14:paraId="54A0AF30">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247FA964">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7E0F974C">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3CEF2835">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357C7CE8">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0EBF6245">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0F7D7C69">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5CD69034">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45C4FABB">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54118D56">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1D9B9C7E">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71303536">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0B6DD1E8">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7C7ED91A">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006C39C4">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4BC9314D">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554EA9F5">
      <w:pPr>
        <w:autoSpaceDN w:val="0"/>
        <w:spacing w:line="360" w:lineRule="auto"/>
        <w:ind w:firstLine="482" w:firstLineChars="200"/>
        <w:jc w:val="left"/>
        <w:rPr>
          <w:rFonts w:hint="eastAsia" w:ascii="宋体" w:hAnsi="宋体" w:eastAsia="宋体" w:cs="宋体"/>
          <w:b/>
          <w:bCs/>
          <w:color w:val="auto"/>
          <w:sz w:val="24"/>
          <w:szCs w:val="24"/>
          <w:highlight w:val="none"/>
        </w:rPr>
      </w:pPr>
    </w:p>
    <w:p w14:paraId="5B963E32">
      <w:pPr>
        <w:autoSpaceDN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B9.第三章“评定成交的标准”中“商务技术评分表”要求提供的资料（如有需提供）；</w:t>
      </w:r>
    </w:p>
    <w:p w14:paraId="7BB829E8">
      <w:pPr>
        <w:autoSpaceDN w:val="0"/>
        <w:snapToGrid w:val="0"/>
        <w:spacing w:line="440" w:lineRule="exact"/>
        <w:rPr>
          <w:rFonts w:hint="eastAsia" w:ascii="宋体" w:hAnsi="宋体" w:eastAsia="宋体" w:cs="宋体"/>
          <w:color w:val="auto"/>
          <w:highlight w:val="none"/>
        </w:rPr>
      </w:pPr>
      <w:r>
        <w:rPr>
          <w:rFonts w:hint="eastAsia" w:ascii="宋体" w:hAnsi="宋体" w:eastAsia="宋体" w:cs="宋体"/>
          <w:b/>
          <w:bCs/>
          <w:color w:val="auto"/>
          <w:szCs w:val="21"/>
          <w:highlight w:val="none"/>
        </w:rPr>
        <w:br w:type="page"/>
      </w:r>
    </w:p>
    <w:p w14:paraId="528AF290">
      <w:pPr>
        <w:pageBreakBefore/>
        <w:autoSpaceDN w:val="0"/>
        <w:spacing w:line="360" w:lineRule="auto"/>
        <w:rPr>
          <w:rFonts w:hint="eastAsia" w:ascii="宋体" w:hAnsi="宋体" w:eastAsia="宋体" w:cs="宋体"/>
          <w:color w:val="auto"/>
          <w:highlight w:val="none"/>
        </w:rPr>
      </w:pPr>
      <w:r>
        <w:rPr>
          <w:rFonts w:hint="eastAsia" w:ascii="宋体" w:hAnsi="宋体" w:eastAsia="宋体" w:cs="宋体"/>
          <w:b/>
          <w:color w:val="auto"/>
          <w:sz w:val="32"/>
          <w:szCs w:val="32"/>
          <w:highlight w:val="none"/>
        </w:rPr>
        <w:t>封面</w:t>
      </w:r>
    </w:p>
    <w:p w14:paraId="73BD55D9">
      <w:pPr>
        <w:autoSpaceDN w:val="0"/>
        <w:spacing w:line="360" w:lineRule="auto"/>
        <w:rPr>
          <w:rFonts w:hint="eastAsia" w:ascii="宋体" w:hAnsi="宋体" w:eastAsia="宋体" w:cs="宋体"/>
          <w:color w:val="auto"/>
          <w:highlight w:val="none"/>
        </w:rPr>
      </w:pPr>
      <w:r>
        <w:rPr>
          <w:rFonts w:hint="eastAsia" w:ascii="宋体" w:hAnsi="宋体" w:eastAsia="宋体" w:cs="宋体"/>
          <w:b/>
          <w:color w:val="auto"/>
          <w:sz w:val="32"/>
          <w:szCs w:val="32"/>
          <w:highlight w:val="none"/>
        </w:rPr>
        <w:t> </w:t>
      </w:r>
    </w:p>
    <w:p w14:paraId="1B46DAB3">
      <w:pPr>
        <w:autoSpaceDN w:val="0"/>
        <w:spacing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t> </w:t>
      </w:r>
    </w:p>
    <w:p w14:paraId="021AABCD">
      <w:pPr>
        <w:autoSpaceDN w:val="0"/>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浙江省第五届体育大会开闭幕式策划及执行服务</w:t>
      </w:r>
      <w:r>
        <w:rPr>
          <w:rFonts w:hint="eastAsia" w:ascii="宋体" w:hAnsi="宋体" w:eastAsia="宋体" w:cs="宋体"/>
          <w:b/>
          <w:bCs/>
          <w:color w:val="auto"/>
          <w:sz w:val="52"/>
          <w:szCs w:val="52"/>
          <w:highlight w:val="none"/>
        </w:rPr>
        <w:t> </w:t>
      </w:r>
    </w:p>
    <w:p w14:paraId="22BAB4EE">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0FFE0477">
      <w:pPr>
        <w:autoSpaceDN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lang w:eastAsia="zh-CN"/>
        </w:rPr>
        <w:t>ZGTZZB2025-0403</w:t>
      </w:r>
    </w:p>
    <w:p w14:paraId="0140AD8B">
      <w:pPr>
        <w:autoSpaceDN w:val="0"/>
        <w:rPr>
          <w:rFonts w:hint="eastAsia" w:ascii="宋体" w:hAnsi="宋体" w:eastAsia="宋体" w:cs="宋体"/>
          <w:color w:val="auto"/>
          <w:highlight w:val="none"/>
        </w:rPr>
      </w:pPr>
      <w:r>
        <w:rPr>
          <w:rFonts w:hint="eastAsia" w:ascii="宋体" w:hAnsi="宋体" w:eastAsia="宋体" w:cs="宋体"/>
          <w:color w:val="auto"/>
          <w:sz w:val="28"/>
          <w:szCs w:val="28"/>
          <w:highlight w:val="none"/>
        </w:rPr>
        <w:t> </w:t>
      </w:r>
    </w:p>
    <w:p w14:paraId="6BFBA367">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（报价文件）</w:t>
      </w:r>
    </w:p>
    <w:p w14:paraId="23391388">
      <w:pPr>
        <w:autoSpaceDN w:val="0"/>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 </w:t>
      </w:r>
    </w:p>
    <w:p w14:paraId="0F42392A">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72"/>
          <w:szCs w:val="72"/>
          <w:highlight w:val="none"/>
        </w:rPr>
        <w:t>磋商响应文件</w:t>
      </w:r>
    </w:p>
    <w:p w14:paraId="78EC1335">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00F9008D">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63438B8A">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14:paraId="46F4A569">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供应商全称：</w:t>
      </w:r>
      <w:r>
        <w:rPr>
          <w:rFonts w:hint="eastAsia" w:ascii="宋体" w:hAnsi="宋体" w:eastAsia="宋体" w:cs="宋体"/>
          <w:color w:val="auto"/>
          <w:sz w:val="36"/>
          <w:szCs w:val="36"/>
          <w:highlight w:val="none"/>
          <w:u w:val="single"/>
        </w:rPr>
        <w:t>（加盖单位公章）</w:t>
      </w:r>
    </w:p>
    <w:p w14:paraId="503AE345">
      <w:pPr>
        <w:pStyle w:val="14"/>
        <w:autoSpaceDN w:val="0"/>
        <w:ind w:left="101" w:leftChars="48" w:firstLine="1680" w:firstLineChars="800"/>
        <w:jc w:val="left"/>
        <w:rPr>
          <w:rFonts w:hint="eastAsia" w:ascii="宋体" w:hAnsi="宋体" w:eastAsia="宋体" w:cs="宋体"/>
          <w:color w:val="auto"/>
          <w:highlight w:val="none"/>
        </w:rPr>
      </w:pPr>
      <w:r>
        <w:rPr>
          <w:rFonts w:hint="eastAsia" w:ascii="宋体" w:hAnsi="宋体" w:eastAsia="宋体" w:cs="宋体"/>
          <w:color w:val="auto"/>
          <w:szCs w:val="28"/>
          <w:highlight w:val="none"/>
          <w:u w:val="single"/>
        </w:rPr>
        <w:t> </w:t>
      </w:r>
    </w:p>
    <w:p w14:paraId="609B3B34">
      <w:pPr>
        <w:autoSpaceDN w:val="0"/>
        <w:spacing w:line="360" w:lineRule="auto"/>
        <w:jc w:val="center"/>
        <w:rPr>
          <w:rFonts w:hint="eastAsia" w:ascii="宋体" w:hAnsi="宋体" w:eastAsia="宋体" w:cs="宋体"/>
          <w:color w:val="auto"/>
          <w:highlight w:val="none"/>
        </w:rPr>
      </w:pPr>
      <w:r>
        <w:rPr>
          <w:rFonts w:hint="eastAsia" w:ascii="宋体" w:hAnsi="宋体" w:eastAsia="宋体" w:cs="宋体"/>
          <w:color w:val="auto"/>
          <w:sz w:val="36"/>
          <w:szCs w:val="36"/>
          <w:highlight w:val="none"/>
        </w:rPr>
        <w:t>年月日</w:t>
      </w:r>
    </w:p>
    <w:p w14:paraId="762EED61">
      <w:pPr>
        <w:pageBreakBefore/>
        <w:autoSpaceDN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C1.报价一览表（初次）</w:t>
      </w:r>
    </w:p>
    <w:p w14:paraId="51A35825">
      <w:pPr>
        <w:autoSpaceDN w:val="0"/>
        <w:snapToGrid w:val="0"/>
        <w:spacing w:line="360" w:lineRule="auto"/>
        <w:rPr>
          <w:rFonts w:hint="eastAsia" w:ascii="宋体" w:hAnsi="宋体" w:eastAsia="宋体" w:cs="宋体"/>
          <w:color w:val="auto"/>
          <w:sz w:val="24"/>
          <w:szCs w:val="24"/>
          <w:highlight w:val="none"/>
        </w:rPr>
      </w:pPr>
    </w:p>
    <w:p w14:paraId="6374E8D1">
      <w:pPr>
        <w:autoSpaceDN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lang w:eastAsia="zh-CN"/>
        </w:rPr>
        <w:t>ZGTZZB2025-0403</w:t>
      </w:r>
    </w:p>
    <w:p w14:paraId="675C90B6">
      <w:pPr>
        <w:autoSpaceDN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eastAsia="zh-CN"/>
        </w:rPr>
        <w:t>浙江省第五届体育大会开闭幕式策划及执行服务</w:t>
      </w:r>
    </w:p>
    <w:p w14:paraId="56A8D42B">
      <w:pPr>
        <w:tabs>
          <w:tab w:val="left" w:pos="8280"/>
        </w:tabs>
        <w:autoSpaceDE w:val="0"/>
        <w:autoSpaceDN w:val="0"/>
        <w:adjustRightInd w:val="0"/>
        <w:spacing w:line="360" w:lineRule="auto"/>
        <w:ind w:firstLine="360" w:firstLineChars="15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单位：人民币</w:t>
      </w:r>
    </w:p>
    <w:tbl>
      <w:tblPr>
        <w:tblStyle w:val="2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546"/>
        <w:gridCol w:w="6057"/>
      </w:tblGrid>
      <w:tr w14:paraId="42E3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41" w:type="dxa"/>
            <w:vAlign w:val="center"/>
          </w:tcPr>
          <w:p w14:paraId="47BF6469">
            <w:pPr>
              <w:tabs>
                <w:tab w:val="left" w:pos="8280"/>
              </w:tabs>
              <w:autoSpaceDE w:val="0"/>
              <w:autoSpaceDN w:val="0"/>
              <w:adjustRightIn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46" w:type="dxa"/>
            <w:vAlign w:val="center"/>
          </w:tcPr>
          <w:p w14:paraId="358FBB10">
            <w:pPr>
              <w:autoSpaceDE w:val="0"/>
              <w:autoSpaceDN w:val="0"/>
              <w:adjustRightInd w:val="0"/>
              <w:spacing w:line="240" w:lineRule="exact"/>
              <w:ind w:right="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6057" w:type="dxa"/>
            <w:vAlign w:val="center"/>
          </w:tcPr>
          <w:p w14:paraId="0392D37A">
            <w:pPr>
              <w:autoSpaceDE w:val="0"/>
              <w:autoSpaceDN w:val="0"/>
              <w:adjustRightInd w:val="0"/>
              <w:spacing w:line="240" w:lineRule="exact"/>
              <w:ind w:right="25"/>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投标报价总价（元）</w:t>
            </w:r>
          </w:p>
        </w:tc>
      </w:tr>
      <w:tr w14:paraId="0D5C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41" w:type="dxa"/>
            <w:vMerge w:val="restart"/>
            <w:vAlign w:val="center"/>
          </w:tcPr>
          <w:p w14:paraId="6F18072F">
            <w:pPr>
              <w:tabs>
                <w:tab w:val="left" w:pos="8280"/>
              </w:tabs>
              <w:autoSpaceDE w:val="0"/>
              <w:autoSpaceDN w:val="0"/>
              <w:adjustRightIn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46" w:type="dxa"/>
            <w:vMerge w:val="restart"/>
            <w:vAlign w:val="center"/>
          </w:tcPr>
          <w:p w14:paraId="37220577">
            <w:pPr>
              <w:tabs>
                <w:tab w:val="left" w:pos="8280"/>
              </w:tabs>
              <w:autoSpaceDE w:val="0"/>
              <w:autoSpaceDN w:val="0"/>
              <w:adjustRightInd w:val="0"/>
              <w:spacing w:line="300" w:lineRule="exact"/>
              <w:jc w:val="center"/>
              <w:rPr>
                <w:rFonts w:hint="eastAsia" w:ascii="宋体" w:hAnsi="宋体" w:cs="宋体" w:eastAsia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浙江省第五届体育大会开闭幕式</w:t>
            </w:r>
            <w:r>
              <w:rPr>
                <w:rFonts w:hint="eastAsia" w:asciiTheme="minorEastAsia" w:hAnsiTheme="minorEastAsia" w:eastAsiaTheme="minorEastAsia" w:cstheme="minorEastAsia"/>
                <w:color w:val="auto"/>
                <w:sz w:val="24"/>
                <w:szCs w:val="24"/>
                <w:highlight w:val="none"/>
                <w:lang w:eastAsia="zh-CN"/>
              </w:rPr>
              <w:t>和</w:t>
            </w:r>
            <w:r>
              <w:rPr>
                <w:rFonts w:hint="eastAsia" w:asciiTheme="minorEastAsia" w:hAnsiTheme="minorEastAsia" w:eastAsiaTheme="minorEastAsia" w:cstheme="minorEastAsia"/>
                <w:color w:val="auto"/>
                <w:sz w:val="24"/>
                <w:szCs w:val="24"/>
                <w:highlight w:val="none"/>
                <w:lang w:val="en-US" w:eastAsia="zh-CN"/>
              </w:rPr>
              <w:t>时尚科技体育嘉年华</w:t>
            </w:r>
            <w:r>
              <w:rPr>
                <w:rFonts w:hint="eastAsia" w:asciiTheme="minorEastAsia" w:hAnsiTheme="minorEastAsia" w:eastAsiaTheme="minorEastAsia" w:cstheme="minorEastAsia"/>
                <w:color w:val="auto"/>
                <w:sz w:val="24"/>
                <w:szCs w:val="24"/>
                <w:highlight w:val="none"/>
              </w:rPr>
              <w:t>执行服务演出的整体策划、筹备和组织实施工作</w:t>
            </w:r>
            <w:r>
              <w:rPr>
                <w:rFonts w:hint="eastAsia" w:asciiTheme="minorEastAsia" w:hAnsiTheme="minorEastAsia" w:cstheme="minorEastAsia"/>
                <w:color w:val="auto"/>
                <w:sz w:val="24"/>
                <w:szCs w:val="24"/>
                <w:highlight w:val="none"/>
                <w:lang w:eastAsia="zh-CN"/>
              </w:rPr>
              <w:t>等所有服务内容</w:t>
            </w:r>
          </w:p>
        </w:tc>
        <w:tc>
          <w:tcPr>
            <w:tcW w:w="6057" w:type="dxa"/>
            <w:vAlign w:val="center"/>
          </w:tcPr>
          <w:p w14:paraId="08EBF617">
            <w:pPr>
              <w:tabs>
                <w:tab w:val="left" w:pos="8280"/>
              </w:tabs>
              <w:autoSpaceDE w:val="0"/>
              <w:autoSpaceDN w:val="0"/>
              <w:adjustRightInd w:val="0"/>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r>
      <w:tr w14:paraId="5100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41" w:type="dxa"/>
            <w:vMerge w:val="continue"/>
            <w:vAlign w:val="center"/>
          </w:tcPr>
          <w:p w14:paraId="215E2AF5">
            <w:pPr>
              <w:tabs>
                <w:tab w:val="left" w:pos="8280"/>
              </w:tabs>
              <w:autoSpaceDE w:val="0"/>
              <w:autoSpaceDN w:val="0"/>
              <w:adjustRightInd w:val="0"/>
              <w:spacing w:line="300" w:lineRule="exact"/>
              <w:jc w:val="center"/>
              <w:rPr>
                <w:rFonts w:hint="eastAsia" w:ascii="宋体" w:hAnsi="宋体" w:eastAsia="宋体" w:cs="宋体"/>
                <w:color w:val="auto"/>
                <w:sz w:val="24"/>
                <w:szCs w:val="24"/>
                <w:highlight w:val="none"/>
              </w:rPr>
            </w:pPr>
          </w:p>
        </w:tc>
        <w:tc>
          <w:tcPr>
            <w:tcW w:w="2546" w:type="dxa"/>
            <w:vMerge w:val="continue"/>
            <w:vAlign w:val="center"/>
          </w:tcPr>
          <w:p w14:paraId="6E4031F9">
            <w:pPr>
              <w:tabs>
                <w:tab w:val="left" w:pos="8280"/>
              </w:tabs>
              <w:autoSpaceDE w:val="0"/>
              <w:autoSpaceDN w:val="0"/>
              <w:adjustRightInd w:val="0"/>
              <w:spacing w:line="300" w:lineRule="exact"/>
              <w:jc w:val="center"/>
              <w:rPr>
                <w:rFonts w:hint="eastAsia" w:ascii="宋体" w:hAnsi="宋体" w:eastAsia="宋体" w:cs="宋体"/>
                <w:color w:val="auto"/>
                <w:sz w:val="24"/>
                <w:szCs w:val="24"/>
                <w:highlight w:val="none"/>
              </w:rPr>
            </w:pPr>
          </w:p>
        </w:tc>
        <w:tc>
          <w:tcPr>
            <w:tcW w:w="6057" w:type="dxa"/>
            <w:vAlign w:val="center"/>
          </w:tcPr>
          <w:p w14:paraId="68AFF2D2">
            <w:pPr>
              <w:tabs>
                <w:tab w:val="left" w:pos="8280"/>
              </w:tabs>
              <w:autoSpaceDE w:val="0"/>
              <w:autoSpaceDN w:val="0"/>
              <w:adjustRightInd w:val="0"/>
              <w:spacing w:line="3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r>
      <w:tr w14:paraId="213C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387" w:type="dxa"/>
            <w:gridSpan w:val="2"/>
            <w:vAlign w:val="center"/>
          </w:tcPr>
          <w:p w14:paraId="4C8F2932">
            <w:pPr>
              <w:tabs>
                <w:tab w:val="left" w:pos="8280"/>
              </w:tabs>
              <w:autoSpaceDE w:val="0"/>
              <w:autoSpaceDN w:val="0"/>
              <w:adjustRightInd w:val="0"/>
              <w:spacing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p>
        </w:tc>
        <w:tc>
          <w:tcPr>
            <w:tcW w:w="6057" w:type="dxa"/>
            <w:vAlign w:val="center"/>
          </w:tcPr>
          <w:p w14:paraId="5B7B5D6C">
            <w:pPr>
              <w:tabs>
                <w:tab w:val="left" w:pos="8280"/>
              </w:tabs>
              <w:autoSpaceDE w:val="0"/>
              <w:autoSpaceDN w:val="0"/>
              <w:adjustRightInd w:val="0"/>
              <w:spacing w:line="300" w:lineRule="exact"/>
              <w:jc w:val="center"/>
              <w:rPr>
                <w:rFonts w:hint="eastAsia" w:ascii="宋体" w:hAnsi="宋体" w:eastAsia="宋体" w:cs="宋体"/>
                <w:color w:val="auto"/>
                <w:sz w:val="24"/>
                <w:szCs w:val="24"/>
                <w:highlight w:val="none"/>
              </w:rPr>
            </w:pPr>
            <w:r>
              <w:rPr>
                <w:rFonts w:hint="eastAsia" w:ascii="宋体" w:hAnsi="宋体" w:eastAsia="宋体"/>
                <w:bCs/>
                <w:color w:val="auto"/>
                <w:sz w:val="24"/>
                <w:highlight w:val="none"/>
              </w:rPr>
              <w:t>自签订合同之日起至闭幕式圆满结束并妥善清场为止</w:t>
            </w:r>
          </w:p>
        </w:tc>
      </w:tr>
    </w:tbl>
    <w:p w14:paraId="6B4A362A">
      <w:pPr>
        <w:autoSpaceDN w:val="0"/>
        <w:snapToGrid w:val="0"/>
        <w:spacing w:line="440" w:lineRule="exact"/>
        <w:jc w:val="right"/>
        <w:rPr>
          <w:rFonts w:hint="eastAsia" w:ascii="宋体" w:hAnsi="宋体" w:eastAsia="宋体" w:cs="宋体"/>
          <w:color w:val="auto"/>
          <w:sz w:val="24"/>
          <w:szCs w:val="24"/>
          <w:highlight w:val="none"/>
        </w:rPr>
      </w:pPr>
    </w:p>
    <w:p w14:paraId="15ED43E6">
      <w:pPr>
        <w:autoSpaceDN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kern w:val="0"/>
          <w:sz w:val="24"/>
          <w:szCs w:val="24"/>
          <w:highlight w:val="none"/>
        </w:rPr>
        <w:t>注：</w:t>
      </w:r>
      <w:r>
        <w:rPr>
          <w:rFonts w:hint="eastAsia" w:ascii="宋体" w:hAnsi="宋体" w:eastAsia="宋体" w:cs="宋体"/>
          <w:color w:val="auto"/>
          <w:sz w:val="24"/>
          <w:szCs w:val="24"/>
          <w:highlight w:val="none"/>
        </w:rPr>
        <w:t>投标报价总价包括负责</w:t>
      </w:r>
      <w:r>
        <w:rPr>
          <w:rFonts w:hint="eastAsia" w:ascii="宋体" w:hAnsi="宋体" w:eastAsia="宋体" w:cs="宋体"/>
          <w:color w:val="auto"/>
          <w:sz w:val="24"/>
          <w:szCs w:val="24"/>
          <w:highlight w:val="none"/>
          <w:lang w:eastAsia="zh-CN"/>
        </w:rPr>
        <w:t>浙江省第五届体育大会开闭幕式和时尚科技体育嘉年华（</w:t>
      </w:r>
      <w:r>
        <w:rPr>
          <w:rFonts w:hint="eastAsia" w:ascii="宋体" w:hAnsi="宋体" w:eastAsia="宋体" w:cs="宋体"/>
          <w:color w:val="auto"/>
          <w:sz w:val="24"/>
          <w:szCs w:val="24"/>
          <w:highlight w:val="none"/>
          <w:lang w:val="en-US" w:eastAsia="zh-CN"/>
        </w:rPr>
        <w:t>含彩排期间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所有工作人员（总导演、总撰稿、执行导演、舞美设计、音乐设计以及其他岗位人员</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）和其他完成</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w:t>
      </w:r>
      <w:r>
        <w:rPr>
          <w:rFonts w:hint="eastAsia" w:ascii="宋体" w:hAnsi="宋体" w:eastAsia="宋体" w:cs="宋体"/>
          <w:color w:val="auto"/>
          <w:sz w:val="24"/>
          <w:szCs w:val="24"/>
          <w:highlight w:val="none"/>
          <w:lang w:eastAsia="zh-CN"/>
        </w:rPr>
        <w:t>、时尚科技体育嘉年华活动</w:t>
      </w:r>
      <w:r>
        <w:rPr>
          <w:rFonts w:hint="eastAsia" w:ascii="宋体" w:hAnsi="宋体" w:eastAsia="宋体" w:cs="宋体"/>
          <w:color w:val="auto"/>
          <w:sz w:val="24"/>
          <w:szCs w:val="24"/>
          <w:highlight w:val="none"/>
          <w:lang w:val="en-US" w:eastAsia="zh-CN"/>
        </w:rPr>
        <w:t>及接待</w:t>
      </w:r>
      <w:r>
        <w:rPr>
          <w:rFonts w:hint="eastAsia" w:ascii="宋体" w:hAnsi="宋体" w:eastAsia="宋体" w:cs="宋体"/>
          <w:color w:val="auto"/>
          <w:sz w:val="24"/>
          <w:szCs w:val="24"/>
          <w:highlight w:val="none"/>
        </w:rPr>
        <w:t>工作任务所需的一切费用，包括但不限于人员劳务、交通、食宿、以及相关硬件设备及耗材、音视频素材制作、相关物资、保险、税金等所有费用。投标人须按照项目组委会下达的其他任务要求，无条件、全方位做好一切</w:t>
      </w:r>
      <w:r>
        <w:rPr>
          <w:rFonts w:hint="eastAsia" w:ascii="宋体" w:hAnsi="宋体" w:eastAsia="宋体" w:cs="宋体"/>
          <w:color w:val="auto"/>
          <w:sz w:val="24"/>
          <w:szCs w:val="24"/>
          <w:highlight w:val="none"/>
          <w:lang w:eastAsia="zh-CN"/>
        </w:rPr>
        <w:t>开</w:t>
      </w:r>
      <w:r>
        <w:rPr>
          <w:rFonts w:hint="eastAsia" w:ascii="宋体" w:hAnsi="宋体" w:eastAsia="宋体" w:cs="宋体"/>
          <w:color w:val="auto"/>
          <w:sz w:val="24"/>
          <w:szCs w:val="24"/>
          <w:highlight w:val="none"/>
        </w:rPr>
        <w:t>闭幕式领域所需及新增的所有工作任务，采购人不承担本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明确约定由采购人承担之外的任何其他费用。</w:t>
      </w:r>
    </w:p>
    <w:p w14:paraId="519608F3">
      <w:pPr>
        <w:autoSpaceDN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2.报价一经涂改，应在涂改处加盖单位公章或者由法定代表人或授权委托人签字或盖章，否则其投标作无效标处理。</w:t>
      </w:r>
    </w:p>
    <w:p w14:paraId="7E68A10A">
      <w:pPr>
        <w:autoSpaceDN w:val="0"/>
        <w:spacing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F5328C4">
      <w:pPr>
        <w:autoSpaceDN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6EF0B245">
      <w:pPr>
        <w:autoSpaceDN w:val="0"/>
        <w:snapToGrid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法定代表人或授权委托人签字或电子印章：</w:t>
      </w:r>
    </w:p>
    <w:p w14:paraId="115C0E51">
      <w:pPr>
        <w:autoSpaceDN w:val="0"/>
        <w:snapToGrid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bookmarkStart w:id="41" w:name="_Hlk35438624"/>
    </w:p>
    <w:bookmarkEnd w:id="40"/>
    <w:bookmarkEnd w:id="41"/>
    <w:p w14:paraId="339A254C">
      <w:pPr>
        <w:rPr>
          <w:rFonts w:hint="eastAsia" w:hAnsi="宋体" w:cs="宋体"/>
          <w:b/>
          <w:color w:val="auto"/>
          <w:szCs w:val="24"/>
          <w:highlight w:val="none"/>
        </w:rPr>
      </w:pPr>
      <w:r>
        <w:rPr>
          <w:rFonts w:hAnsi="宋体" w:cs="宋体"/>
          <w:b/>
          <w:color w:val="auto"/>
          <w:szCs w:val="24"/>
          <w:highlight w:val="none"/>
        </w:rPr>
        <w:br w:type="page"/>
      </w:r>
    </w:p>
    <w:p w14:paraId="56230002">
      <w:pPr>
        <w:pageBreakBefore/>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C2、中小企业声明函（如有）；</w:t>
      </w:r>
    </w:p>
    <w:p w14:paraId="7C641887">
      <w:pPr>
        <w:tabs>
          <w:tab w:val="left" w:pos="3825"/>
        </w:tabs>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中小企业声明函（服务）</w:t>
      </w:r>
    </w:p>
    <w:p w14:paraId="60CAFF90">
      <w:pPr>
        <w:tabs>
          <w:tab w:val="left" w:pos="3825"/>
        </w:tabs>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w:t>
      </w:r>
    </w:p>
    <w:p w14:paraId="11A57865">
      <w:pPr>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w:t>
      </w:r>
      <w:r>
        <w:rPr>
          <w:rFonts w:hint="eastAsia" w:ascii="宋体" w:hAnsi="宋体" w:eastAsia="宋体" w:cs="宋体"/>
          <w:b/>
          <w:bCs/>
          <w:color w:val="auto"/>
          <w:sz w:val="24"/>
          <w:szCs w:val="24"/>
          <w:highlight w:val="none"/>
          <w:u w:val="single"/>
          <w:lang w:eastAsia="zh-CN"/>
        </w:rPr>
        <w:t>台州市体育事业发展中心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w:t>
      </w:r>
      <w:r>
        <w:rPr>
          <w:rFonts w:hint="eastAsia" w:ascii="宋体" w:hAnsi="宋体" w:eastAsia="宋体" w:cs="宋体"/>
          <w:b/>
          <w:bCs/>
          <w:color w:val="auto"/>
          <w:sz w:val="24"/>
          <w:szCs w:val="24"/>
          <w:highlight w:val="none"/>
          <w:u w:val="single"/>
          <w:lang w:eastAsia="zh-CN"/>
        </w:rPr>
        <w:t>浙江省第五届体育大会开闭幕式策划及执行服务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14:paraId="68FE8B96">
      <w:pPr>
        <w:numPr>
          <w:ilvl w:val="0"/>
          <w:numId w:val="13"/>
        </w:numPr>
        <w:autoSpaceDN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浙江省第五届体育大会开闭幕式策划及执行服务</w:t>
      </w:r>
      <w:r>
        <w:rPr>
          <w:rFonts w:hint="eastAsia" w:ascii="宋体" w:hAnsi="宋体" w:eastAsia="宋体" w:cs="宋体"/>
          <w:color w:val="auto"/>
          <w:sz w:val="24"/>
          <w:szCs w:val="24"/>
          <w:highlight w:val="none"/>
        </w:rPr>
        <w:t>，属于</w:t>
      </w:r>
      <w:r>
        <w:rPr>
          <w:rFonts w:hint="eastAsia" w:ascii="宋体" w:hAnsi="宋体" w:eastAsia="宋体" w:cs="宋体"/>
          <w:b/>
          <w:color w:val="auto"/>
          <w:sz w:val="24"/>
          <w:szCs w:val="24"/>
          <w:highlight w:val="none"/>
          <w:u w:val="single"/>
          <w:lang w:eastAsia="zh-CN"/>
        </w:rPr>
        <w:t>其他未列明行业</w:t>
      </w:r>
      <w:r>
        <w:rPr>
          <w:rFonts w:hint="eastAsia" w:ascii="宋体" w:hAnsi="宋体" w:eastAsia="宋体" w:cs="宋体"/>
          <w:b/>
          <w:bCs/>
          <w:color w:val="auto"/>
          <w:kern w:val="0"/>
          <w:sz w:val="24"/>
          <w:szCs w:val="24"/>
          <w:highlight w:val="none"/>
          <w:u w:val="single"/>
        </w:rPr>
        <w:t>（此项内容不允许更改）</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，从业人员</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人，营业收入为</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万元，资产总额为</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w:t>
      </w:r>
    </w:p>
    <w:p w14:paraId="08BF85CB">
      <w:pPr>
        <w:numPr>
          <w:ilvl w:val="0"/>
          <w:numId w:val="13"/>
        </w:numPr>
        <w:autoSpaceDN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浙江省第五届体育大会开闭幕式策划及执行服务</w:t>
      </w:r>
      <w:r>
        <w:rPr>
          <w:rFonts w:hint="eastAsia" w:ascii="宋体" w:hAnsi="宋体" w:eastAsia="宋体" w:cs="宋体"/>
          <w:color w:val="auto"/>
          <w:sz w:val="24"/>
          <w:szCs w:val="24"/>
          <w:highlight w:val="none"/>
        </w:rPr>
        <w:t>，属于</w:t>
      </w:r>
      <w:r>
        <w:rPr>
          <w:rFonts w:hint="eastAsia" w:ascii="宋体" w:hAnsi="宋体" w:eastAsia="宋体" w:cs="宋体"/>
          <w:b/>
          <w:color w:val="auto"/>
          <w:sz w:val="24"/>
          <w:szCs w:val="24"/>
          <w:highlight w:val="none"/>
          <w:u w:val="single"/>
          <w:lang w:eastAsia="zh-CN"/>
        </w:rPr>
        <w:t>其他未列明行业</w:t>
      </w:r>
      <w:r>
        <w:rPr>
          <w:rFonts w:hint="eastAsia" w:ascii="宋体" w:hAnsi="宋体" w:eastAsia="宋体" w:cs="宋体"/>
          <w:b/>
          <w:bCs/>
          <w:color w:val="auto"/>
          <w:kern w:val="0"/>
          <w:sz w:val="24"/>
          <w:szCs w:val="24"/>
          <w:highlight w:val="none"/>
          <w:u w:val="single"/>
        </w:rPr>
        <w:t>（此项内容不允许更改）</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，从业人员</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人，营业收入为</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万元，资产总额为</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b/>
          <w:bCs/>
          <w:color w:val="auto"/>
          <w:sz w:val="24"/>
          <w:szCs w:val="24"/>
          <w:highlight w:val="none"/>
          <w:u w:val="single"/>
        </w:rPr>
        <w:t>（本项为必填项）</w:t>
      </w:r>
      <w:r>
        <w:rPr>
          <w:rFonts w:hint="eastAsia" w:ascii="宋体" w:hAnsi="宋体" w:eastAsia="宋体" w:cs="宋体"/>
          <w:color w:val="auto"/>
          <w:sz w:val="24"/>
          <w:szCs w:val="24"/>
          <w:highlight w:val="none"/>
        </w:rPr>
        <w:t>。</w:t>
      </w:r>
    </w:p>
    <w:p w14:paraId="2F0BC742">
      <w:pPr>
        <w:autoSpaceDN w:val="0"/>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05F85E56">
      <w:pPr>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2C7E515">
      <w:pPr>
        <w:autoSpaceDN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F7E1953">
      <w:pPr>
        <w:autoSpaceDN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F4EF2A7">
      <w:pPr>
        <w:autoSpaceDN w:val="0"/>
        <w:snapToGrid w:val="0"/>
        <w:spacing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AE87252">
      <w:pPr>
        <w:autoSpaceDN w:val="0"/>
        <w:snapToGrid w:val="0"/>
        <w:spacing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8D91654">
      <w:pPr>
        <w:autoSpaceDN w:val="0"/>
        <w:snapToGrid w:val="0"/>
        <w:spacing w:line="360" w:lineRule="auto"/>
        <w:rPr>
          <w:rFonts w:hint="eastAsia" w:ascii="宋体" w:hAnsi="宋体" w:eastAsia="宋体" w:cs="宋体"/>
          <w:color w:val="auto"/>
          <w:sz w:val="24"/>
          <w:szCs w:val="24"/>
          <w:highlight w:val="none"/>
        </w:rPr>
      </w:pPr>
    </w:p>
    <w:p w14:paraId="4654D557">
      <w:pPr>
        <w:autoSpaceDN w:val="0"/>
        <w:spacing w:line="480" w:lineRule="auto"/>
        <w:ind w:firstLine="3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52EBD632">
      <w:pPr>
        <w:autoSpaceDN w:val="0"/>
        <w:spacing w:line="3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风险提示：</w:t>
      </w:r>
    </w:p>
    <w:p w14:paraId="6E90C7A9">
      <w:pPr>
        <w:autoSpaceDN w:val="0"/>
        <w:spacing w:line="3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1、《中小企业声明函》格式中所属行业不允许修改，并明确各标的对应所属企业类型。</w:t>
      </w:r>
    </w:p>
    <w:p w14:paraId="2C6A2600">
      <w:pPr>
        <w:autoSpaceDN w:val="0"/>
        <w:spacing w:line="30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2、供应商应当对其出具的《中小企业声明函》真实性负责，供应商出具的《中小企业声明函》内容不实的，属于提供虚假材料谋取中标。</w:t>
      </w:r>
    </w:p>
    <w:p w14:paraId="00116000">
      <w:pPr>
        <w:autoSpaceDN w:val="0"/>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C2、残疾人福利单位声明函（非残疾人福利性单位无需提供本函）</w:t>
      </w:r>
    </w:p>
    <w:p w14:paraId="30114A57">
      <w:pPr>
        <w:pStyle w:val="11"/>
        <w:widowControl/>
        <w:autoSpaceDN w:val="0"/>
        <w:spacing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w:t>
      </w:r>
    </w:p>
    <w:p w14:paraId="22FE0A07">
      <w:pPr>
        <w:pStyle w:val="11"/>
        <w:widowControl/>
        <w:autoSpaceDN w:val="0"/>
        <w:spacing w:line="480" w:lineRule="auto"/>
        <w:jc w:val="center"/>
        <w:rPr>
          <w:rFonts w:hint="eastAsia" w:ascii="宋体" w:hAnsi="宋体" w:cs="宋体"/>
          <w:color w:val="auto"/>
          <w:sz w:val="24"/>
          <w:highlight w:val="none"/>
        </w:rPr>
      </w:pPr>
      <w:r>
        <w:rPr>
          <w:rFonts w:hint="eastAsia" w:ascii="宋体" w:hAnsi="宋体" w:cs="宋体"/>
          <w:b/>
          <w:color w:val="auto"/>
          <w:sz w:val="24"/>
          <w:highlight w:val="none"/>
        </w:rPr>
        <w:t>残疾人福利性单位声明函</w:t>
      </w:r>
    </w:p>
    <w:p w14:paraId="6C97246A">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民政部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B1794D">
      <w:pPr>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23C0F13">
      <w:pPr>
        <w:autoSpaceDN w:val="0"/>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3CDE3005">
      <w:pPr>
        <w:tabs>
          <w:tab w:val="left" w:pos="4860"/>
        </w:tabs>
        <w:autoSpaceDN w:val="0"/>
        <w:spacing w:line="480" w:lineRule="auto"/>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7D323920">
      <w:pPr>
        <w:autoSpaceDN w:val="0"/>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3474F77">
      <w:pPr>
        <w:autoSpaceDN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注：</w:t>
      </w:r>
    </w:p>
    <w:p w14:paraId="1CC8079D">
      <w:pPr>
        <w:autoSpaceDN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享受政府采购支持政策的残疾人福利性单位应当同时满足以下条件：</w:t>
      </w:r>
    </w:p>
    <w:p w14:paraId="7A2801AE">
      <w:pPr>
        <w:autoSpaceDN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（一）安置的残疾人占本单位在职职工人数的比例不低于25%（含25%），并且安置的残疾人人数不少于10人（含10人）；</w:t>
      </w:r>
    </w:p>
    <w:p w14:paraId="4BCBAB37">
      <w:pPr>
        <w:autoSpaceDN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（二）依法与安置的每位残疾人签订了一年以上（含一年）的劳动合同或服务协议；</w:t>
      </w:r>
    </w:p>
    <w:p w14:paraId="3722EB41">
      <w:pPr>
        <w:autoSpaceDN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（三）为安置的每位残疾人按月足额缴纳了基本养老保险、基本医疗保险、失业保险、工伤保险和生育保险等社会保险费；</w:t>
      </w:r>
    </w:p>
    <w:p w14:paraId="7E9E9F8F">
      <w:pPr>
        <w:autoSpaceDN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（四）通过银行等金融机构向安置的每位残疾人，按月支付了不低于单位所在区县适用的经省级人民政府批准的月最低工资标准的工资；</w:t>
      </w:r>
    </w:p>
    <w:p w14:paraId="7746DB49">
      <w:pPr>
        <w:autoSpaceDN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（五）提供本单位制造的货物、承担的工程或者服务（以下简称产品），或者提供其他残疾人福利性单位制造的货物（不包括使用非残疾人福利性单位注册商标的货物）。</w:t>
      </w:r>
    </w:p>
    <w:p w14:paraId="0391AC6D">
      <w:pPr>
        <w:autoSpaceDN w:val="0"/>
        <w:spacing w:line="360" w:lineRule="auto"/>
        <w:rPr>
          <w:rFonts w:hint="eastAsia" w:ascii="宋体" w:hAnsi="宋体" w:eastAsia="宋体" w:cs="宋体"/>
          <w:b/>
          <w:bCs/>
          <w:color w:val="auto"/>
          <w:sz w:val="24"/>
          <w:szCs w:val="24"/>
          <w:highlight w:val="none"/>
        </w:rPr>
        <w:sectPr>
          <w:footerReference r:id="rId6" w:type="default"/>
          <w:pgSz w:w="11907" w:h="16840"/>
          <w:pgMar w:top="1134" w:right="1474" w:bottom="1134" w:left="1474" w:header="709" w:footer="1134" w:gutter="1"/>
          <w:cols w:space="720" w:num="1"/>
          <w:docGrid w:type="lines" w:linePitch="312" w:charSpace="0"/>
        </w:sectPr>
      </w:pPr>
      <w:r>
        <w:rPr>
          <w:rFonts w:hint="eastAsia" w:ascii="宋体" w:hAnsi="宋体" w:eastAsia="宋体" w:cs="宋体"/>
          <w:b/>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75C3B13">
      <w:pPr>
        <w:pStyle w:val="41"/>
        <w:widowControl w:val="0"/>
        <w:snapToGrid w:val="0"/>
        <w:spacing w:after="156" w:line="480" w:lineRule="exact"/>
        <w:ind w:firstLine="482" w:firstLineChars="200"/>
        <w:rPr>
          <w:rFonts w:hAnsi="宋体" w:cs="宋体"/>
          <w:b/>
          <w:color w:val="auto"/>
          <w:sz w:val="24"/>
          <w:szCs w:val="24"/>
          <w:highlight w:val="none"/>
          <w:lang w:val="en-GB"/>
        </w:rPr>
      </w:pPr>
      <w:r>
        <w:rPr>
          <w:rFonts w:hAnsi="宋体" w:cs="宋体"/>
          <w:b/>
          <w:color w:val="auto"/>
          <w:sz w:val="24"/>
          <w:szCs w:val="24"/>
          <w:highlight w:val="none"/>
        </w:rPr>
        <w:t>参加本项目采购活动的供应商须填写“政府采购活动现场确认声明书”，并在开标后30分钟内将扫描件发送至代理机构邮箱</w:t>
      </w:r>
      <w:r>
        <w:rPr>
          <w:color w:val="auto"/>
          <w:highlight w:val="none"/>
        </w:rPr>
        <w:fldChar w:fldCharType="begin"/>
      </w:r>
      <w:r>
        <w:rPr>
          <w:color w:val="auto"/>
          <w:highlight w:val="none"/>
        </w:rPr>
        <w:instrText xml:space="preserve"> HYPERLINK "mailto:zgtzfgs@163.com" </w:instrText>
      </w:r>
      <w:r>
        <w:rPr>
          <w:color w:val="auto"/>
          <w:highlight w:val="none"/>
        </w:rPr>
        <w:fldChar w:fldCharType="separate"/>
      </w:r>
      <w:r>
        <w:rPr>
          <w:rFonts w:hAnsi="宋体" w:cs="宋体"/>
          <w:b/>
          <w:color w:val="auto"/>
          <w:sz w:val="24"/>
          <w:szCs w:val="24"/>
          <w:highlight w:val="none"/>
        </w:rPr>
        <w:t>zgtzfgs@163.com</w:t>
      </w:r>
      <w:r>
        <w:rPr>
          <w:rFonts w:hAnsi="宋体" w:cs="宋体"/>
          <w:b/>
          <w:color w:val="auto"/>
          <w:sz w:val="24"/>
          <w:szCs w:val="24"/>
          <w:highlight w:val="none"/>
        </w:rPr>
        <w:fldChar w:fldCharType="end"/>
      </w:r>
      <w:r>
        <w:rPr>
          <w:rFonts w:hAnsi="宋体" w:cs="宋体"/>
          <w:b/>
          <w:color w:val="auto"/>
          <w:sz w:val="24"/>
          <w:szCs w:val="24"/>
          <w:highlight w:val="none"/>
        </w:rPr>
        <w:t>)</w:t>
      </w:r>
    </w:p>
    <w:p w14:paraId="295159CE">
      <w:pPr>
        <w:pStyle w:val="41"/>
        <w:widowControl w:val="0"/>
        <w:snapToGrid w:val="0"/>
        <w:spacing w:line="500" w:lineRule="exact"/>
        <w:jc w:val="center"/>
        <w:rPr>
          <w:rFonts w:hAnsi="宋体" w:cs="宋体"/>
          <w:color w:val="auto"/>
          <w:sz w:val="36"/>
          <w:szCs w:val="36"/>
          <w:highlight w:val="none"/>
        </w:rPr>
      </w:pPr>
      <w:r>
        <w:rPr>
          <w:rFonts w:hAnsi="宋体" w:cs="宋体"/>
          <w:color w:val="auto"/>
          <w:sz w:val="36"/>
          <w:szCs w:val="36"/>
          <w:highlight w:val="none"/>
        </w:rPr>
        <w:t>政府采购活动现场确认声明书</w:t>
      </w:r>
    </w:p>
    <w:p w14:paraId="67902AA6">
      <w:pPr>
        <w:pStyle w:val="41"/>
        <w:widowControl w:val="0"/>
        <w:snapToGrid w:val="0"/>
        <w:spacing w:line="520" w:lineRule="exact"/>
        <w:jc w:val="both"/>
        <w:rPr>
          <w:rFonts w:hAnsi="宋体" w:cs="宋体"/>
          <w:b/>
          <w:color w:val="auto"/>
          <w:sz w:val="24"/>
          <w:szCs w:val="24"/>
          <w:highlight w:val="none"/>
        </w:rPr>
      </w:pPr>
      <w:r>
        <w:rPr>
          <w:rFonts w:hAnsi="宋体" w:cs="宋体"/>
          <w:color w:val="auto"/>
          <w:kern w:val="0"/>
          <w:sz w:val="24"/>
          <w:szCs w:val="24"/>
          <w:highlight w:val="none"/>
          <w:u w:val="single"/>
        </w:rPr>
        <w:t>中冠工程管理咨询有限公司</w:t>
      </w:r>
      <w:r>
        <w:rPr>
          <w:rFonts w:hAnsi="宋体" w:cs="宋体"/>
          <w:color w:val="auto"/>
          <w:kern w:val="0"/>
          <w:sz w:val="24"/>
          <w:szCs w:val="24"/>
          <w:highlight w:val="none"/>
        </w:rPr>
        <w:t>：</w:t>
      </w:r>
    </w:p>
    <w:p w14:paraId="482269F8">
      <w:pPr>
        <w:pStyle w:val="41"/>
        <w:widowControl w:val="0"/>
        <w:snapToGrid w:val="0"/>
        <w:spacing w:line="520" w:lineRule="exact"/>
        <w:ind w:firstLine="504" w:firstLineChars="200"/>
        <w:jc w:val="both"/>
        <w:rPr>
          <w:rFonts w:hAnsi="宋体" w:cs="宋体"/>
          <w:color w:val="auto"/>
          <w:spacing w:val="6"/>
          <w:sz w:val="24"/>
          <w:szCs w:val="24"/>
          <w:highlight w:val="none"/>
        </w:rPr>
      </w:pPr>
      <w:r>
        <w:rPr>
          <w:rFonts w:hAnsi="宋体" w:cs="宋体"/>
          <w:color w:val="auto"/>
          <w:spacing w:val="6"/>
          <w:sz w:val="24"/>
          <w:szCs w:val="24"/>
          <w:highlight w:val="none"/>
        </w:rPr>
        <w:t>本人经由</w:t>
      </w:r>
      <w:r>
        <w:rPr>
          <w:rFonts w:hAnsi="宋体" w:cs="宋体"/>
          <w:color w:val="auto"/>
          <w:spacing w:val="6"/>
          <w:sz w:val="24"/>
          <w:szCs w:val="24"/>
          <w:highlight w:val="none"/>
          <w:u w:val="single"/>
        </w:rPr>
        <w:t>（单位）</w:t>
      </w:r>
      <w:r>
        <w:rPr>
          <w:rFonts w:hAnsi="宋体" w:cs="宋体"/>
          <w:color w:val="auto"/>
          <w:spacing w:val="6"/>
          <w:sz w:val="24"/>
          <w:szCs w:val="24"/>
          <w:highlight w:val="none"/>
        </w:rPr>
        <w:t>法人代表（负责人）</w:t>
      </w:r>
      <w:r>
        <w:rPr>
          <w:rFonts w:hAnsi="宋体" w:cs="宋体"/>
          <w:color w:val="auto"/>
          <w:spacing w:val="6"/>
          <w:sz w:val="24"/>
          <w:szCs w:val="24"/>
          <w:highlight w:val="none"/>
          <w:u w:val="single"/>
        </w:rPr>
        <w:t>（姓名）</w:t>
      </w:r>
      <w:r>
        <w:rPr>
          <w:rFonts w:hAnsi="宋体" w:cs="宋体"/>
          <w:color w:val="auto"/>
          <w:spacing w:val="6"/>
          <w:sz w:val="24"/>
          <w:szCs w:val="24"/>
          <w:highlight w:val="none"/>
        </w:rPr>
        <w:t>合法授权参加</w:t>
      </w:r>
      <w:r>
        <w:rPr>
          <w:rFonts w:hAnsi="宋体" w:cs="宋体"/>
          <w:color w:val="auto"/>
          <w:spacing w:val="6"/>
          <w:sz w:val="24"/>
          <w:szCs w:val="24"/>
          <w:highlight w:val="none"/>
          <w:u w:val="single"/>
        </w:rPr>
        <w:t>（项目名称）（项目编号：          ）</w:t>
      </w:r>
      <w:r>
        <w:rPr>
          <w:rFonts w:hAnsi="宋体" w:cs="宋体"/>
          <w:color w:val="auto"/>
          <w:spacing w:val="6"/>
          <w:sz w:val="24"/>
          <w:szCs w:val="24"/>
          <w:highlight w:val="none"/>
        </w:rPr>
        <w:t>政府采购活动，经与本单位法人代表（负责人）联系确认，现就有关公平竞争事项郑重声明如下：</w:t>
      </w:r>
    </w:p>
    <w:p w14:paraId="33EB7823">
      <w:pPr>
        <w:pStyle w:val="42"/>
        <w:widowControl/>
        <w:snapToGrid w:val="0"/>
        <w:spacing w:line="5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一、本单位与采购人之间□不存在利害关系□存在下列利害关系：</w:t>
      </w:r>
    </w:p>
    <w:p w14:paraId="4E656FFE">
      <w:pPr>
        <w:pStyle w:val="42"/>
        <w:widowControl/>
        <w:snapToGrid w:val="0"/>
        <w:spacing w:line="5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A.投资关系    B.行政隶属关系    C.业务指导关系</w:t>
      </w:r>
    </w:p>
    <w:p w14:paraId="23988252">
      <w:pPr>
        <w:pStyle w:val="42"/>
        <w:widowControl/>
        <w:snapToGrid w:val="0"/>
        <w:spacing w:line="520" w:lineRule="exac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D.其他可能</w:t>
      </w:r>
      <w:r>
        <w:rPr>
          <w:rFonts w:ascii="宋体" w:hAnsi="宋体" w:cs="宋体"/>
          <w:color w:val="auto"/>
          <w:sz w:val="24"/>
          <w:szCs w:val="24"/>
          <w:highlight w:val="none"/>
        </w:rPr>
        <w:t>影响采购公正的</w:t>
      </w:r>
      <w:r>
        <w:rPr>
          <w:rFonts w:ascii="宋体" w:hAnsi="宋体" w:cs="宋体"/>
          <w:color w:val="auto"/>
          <w:kern w:val="0"/>
          <w:sz w:val="24"/>
          <w:szCs w:val="24"/>
          <w:highlight w:val="none"/>
        </w:rPr>
        <w:t>利害关系</w:t>
      </w:r>
      <w:r>
        <w:rPr>
          <w:rFonts w:ascii="宋体" w:hAnsi="宋体" w:cs="宋体"/>
          <w:color w:val="auto"/>
          <w:kern w:val="0"/>
          <w:sz w:val="24"/>
          <w:szCs w:val="24"/>
          <w:highlight w:val="none"/>
          <w:u w:val="single"/>
        </w:rPr>
        <w:t>（如有，请如实说明）</w:t>
      </w:r>
      <w:r>
        <w:rPr>
          <w:rFonts w:ascii="宋体" w:hAnsi="宋体" w:cs="宋体"/>
          <w:color w:val="auto"/>
          <w:kern w:val="0"/>
          <w:sz w:val="24"/>
          <w:szCs w:val="24"/>
          <w:highlight w:val="none"/>
        </w:rPr>
        <w:t>。</w:t>
      </w:r>
    </w:p>
    <w:p w14:paraId="60685B0C">
      <w:pPr>
        <w:pStyle w:val="42"/>
        <w:widowControl/>
        <w:snapToGrid w:val="0"/>
        <w:spacing w:line="520" w:lineRule="exact"/>
        <w:rPr>
          <w:rFonts w:ascii="宋体" w:hAnsi="宋体" w:cs="宋体"/>
          <w:color w:val="auto"/>
          <w:kern w:val="0"/>
          <w:sz w:val="24"/>
          <w:szCs w:val="24"/>
          <w:highlight w:val="none"/>
        </w:rPr>
      </w:pPr>
      <w:r>
        <w:rPr>
          <w:rFonts w:ascii="宋体" w:hAnsi="宋体" w:cs="宋体"/>
          <w:color w:val="auto"/>
          <w:spacing w:val="6"/>
          <w:sz w:val="24"/>
          <w:szCs w:val="24"/>
          <w:highlight w:val="none"/>
        </w:rPr>
        <w:t>二、</w:t>
      </w:r>
      <w:r>
        <w:rPr>
          <w:rFonts w:ascii="宋体" w:hAnsi="宋体" w:cs="宋体"/>
          <w:color w:val="auto"/>
          <w:kern w:val="0"/>
          <w:sz w:val="24"/>
          <w:szCs w:val="24"/>
          <w:highlight w:val="none"/>
        </w:rPr>
        <w:t>现已清楚知道参加本项目采购活动的其他所有供应商名称，本单位□与其他所有供应商之间均不存在利害关系□与</w:t>
      </w:r>
      <w:r>
        <w:rPr>
          <w:rFonts w:ascii="宋体" w:hAnsi="宋体" w:cs="宋体"/>
          <w:color w:val="auto"/>
          <w:kern w:val="0"/>
          <w:sz w:val="24"/>
          <w:szCs w:val="24"/>
          <w:highlight w:val="none"/>
          <w:u w:val="single"/>
        </w:rPr>
        <w:t>（供应商名称）</w:t>
      </w:r>
      <w:r>
        <w:rPr>
          <w:rFonts w:ascii="宋体" w:hAnsi="宋体" w:cs="宋体"/>
          <w:color w:val="auto"/>
          <w:kern w:val="0"/>
          <w:sz w:val="24"/>
          <w:szCs w:val="24"/>
          <w:highlight w:val="none"/>
        </w:rPr>
        <w:t>之间存在下列利害关系：</w:t>
      </w:r>
    </w:p>
    <w:p w14:paraId="01E2FBB9">
      <w:pPr>
        <w:pStyle w:val="41"/>
        <w:widowControl w:val="0"/>
        <w:snapToGrid w:val="0"/>
        <w:spacing w:line="520" w:lineRule="exact"/>
        <w:jc w:val="both"/>
        <w:rPr>
          <w:rFonts w:hAnsi="宋体" w:cs="宋体"/>
          <w:color w:val="auto"/>
          <w:kern w:val="0"/>
          <w:sz w:val="24"/>
          <w:szCs w:val="24"/>
          <w:highlight w:val="none"/>
        </w:rPr>
      </w:pPr>
      <w:r>
        <w:rPr>
          <w:rFonts w:hAnsi="宋体" w:cs="宋体"/>
          <w:color w:val="auto"/>
          <w:kern w:val="0"/>
          <w:sz w:val="24"/>
          <w:szCs w:val="24"/>
          <w:highlight w:val="none"/>
        </w:rPr>
        <w:t xml:space="preserve">  A.法定代表人或负责人或实际控制人是同一人；</w:t>
      </w:r>
    </w:p>
    <w:p w14:paraId="4A79813E">
      <w:pPr>
        <w:pStyle w:val="41"/>
        <w:widowControl w:val="0"/>
        <w:snapToGrid w:val="0"/>
        <w:spacing w:line="52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B.法定代表人或负责人或实际控制人是夫妻关系；</w:t>
      </w:r>
    </w:p>
    <w:p w14:paraId="02304F50">
      <w:pPr>
        <w:pStyle w:val="41"/>
        <w:widowControl w:val="0"/>
        <w:snapToGrid w:val="0"/>
        <w:spacing w:line="52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C.法定代表人或负责人或实际控制人是直系血亲关系；</w:t>
      </w:r>
    </w:p>
    <w:p w14:paraId="31203905">
      <w:pPr>
        <w:pStyle w:val="41"/>
        <w:widowControl w:val="0"/>
        <w:snapToGrid w:val="0"/>
        <w:spacing w:line="520" w:lineRule="exact"/>
        <w:jc w:val="both"/>
        <w:rPr>
          <w:rFonts w:hAnsi="宋体" w:cs="宋体"/>
          <w:color w:val="auto"/>
          <w:spacing w:val="6"/>
          <w:sz w:val="24"/>
          <w:szCs w:val="24"/>
          <w:highlight w:val="none"/>
        </w:rPr>
      </w:pPr>
      <w:r>
        <w:rPr>
          <w:rFonts w:hAnsi="宋体" w:cs="宋体"/>
          <w:color w:val="auto"/>
          <w:kern w:val="0"/>
          <w:sz w:val="24"/>
          <w:szCs w:val="24"/>
          <w:highlight w:val="none"/>
        </w:rPr>
        <w:t xml:space="preserve">  D.法定代表人或负责人或实际控制人存在三代以内旁系血亲关系；</w:t>
      </w:r>
    </w:p>
    <w:p w14:paraId="3BD1643D">
      <w:pPr>
        <w:pStyle w:val="41"/>
        <w:widowControl w:val="0"/>
        <w:snapToGrid w:val="0"/>
        <w:spacing w:line="520" w:lineRule="exact"/>
        <w:jc w:val="both"/>
        <w:rPr>
          <w:rFonts w:hAnsi="宋体" w:cs="宋体"/>
          <w:color w:val="auto"/>
          <w:kern w:val="0"/>
          <w:sz w:val="24"/>
          <w:szCs w:val="24"/>
          <w:highlight w:val="none"/>
        </w:rPr>
      </w:pPr>
      <w:r>
        <w:rPr>
          <w:rFonts w:hAnsi="宋体" w:cs="宋体"/>
          <w:color w:val="auto"/>
          <w:kern w:val="0"/>
          <w:sz w:val="24"/>
          <w:szCs w:val="24"/>
          <w:highlight w:val="none"/>
        </w:rPr>
        <w:t xml:space="preserve">  E.法定代表人或负责人或实际控制人存在近姻亲关系；</w:t>
      </w:r>
    </w:p>
    <w:p w14:paraId="09BA55C1">
      <w:pPr>
        <w:pStyle w:val="41"/>
        <w:widowControl w:val="0"/>
        <w:snapToGrid w:val="0"/>
        <w:spacing w:line="520" w:lineRule="exact"/>
        <w:jc w:val="both"/>
        <w:rPr>
          <w:rFonts w:hAnsi="宋体" w:cs="宋体"/>
          <w:color w:val="auto"/>
          <w:kern w:val="0"/>
          <w:sz w:val="24"/>
          <w:szCs w:val="24"/>
          <w:highlight w:val="none"/>
        </w:rPr>
      </w:pPr>
      <w:r>
        <w:rPr>
          <w:rFonts w:hAnsi="宋体" w:cs="宋体"/>
          <w:color w:val="auto"/>
          <w:kern w:val="0"/>
          <w:sz w:val="24"/>
          <w:szCs w:val="24"/>
          <w:highlight w:val="none"/>
        </w:rPr>
        <w:t xml:space="preserve">  F.法定代表人或负责人或实际控制人存在股份控制或实际控制关系；</w:t>
      </w:r>
    </w:p>
    <w:p w14:paraId="1937DD5E">
      <w:pPr>
        <w:pStyle w:val="41"/>
        <w:widowControl w:val="0"/>
        <w:snapToGrid w:val="0"/>
        <w:spacing w:line="520" w:lineRule="exact"/>
        <w:ind w:firstLine="120" w:firstLineChars="50"/>
        <w:jc w:val="both"/>
        <w:outlineLvl w:val="0"/>
        <w:rPr>
          <w:rFonts w:hAnsi="宋体" w:cs="宋体"/>
          <w:color w:val="auto"/>
          <w:kern w:val="0"/>
          <w:sz w:val="24"/>
          <w:szCs w:val="24"/>
          <w:highlight w:val="none"/>
        </w:rPr>
      </w:pPr>
      <w:bookmarkStart w:id="42" w:name="_Toc4291"/>
      <w:bookmarkStart w:id="43" w:name="_Toc14475"/>
      <w:bookmarkStart w:id="44" w:name="_Toc13936"/>
      <w:r>
        <w:rPr>
          <w:rFonts w:hAnsi="宋体" w:cs="宋体"/>
          <w:color w:val="auto"/>
          <w:kern w:val="0"/>
          <w:sz w:val="24"/>
          <w:szCs w:val="24"/>
          <w:highlight w:val="none"/>
        </w:rPr>
        <w:t>G.存在共同直接或间接投资设立子公司、联营企业和合营企业情况；</w:t>
      </w:r>
      <w:bookmarkEnd w:id="42"/>
      <w:bookmarkEnd w:id="43"/>
      <w:bookmarkEnd w:id="44"/>
    </w:p>
    <w:p w14:paraId="27A37A42">
      <w:pPr>
        <w:pStyle w:val="41"/>
        <w:widowControl w:val="0"/>
        <w:snapToGrid w:val="0"/>
        <w:spacing w:line="520" w:lineRule="exact"/>
        <w:jc w:val="both"/>
        <w:rPr>
          <w:rFonts w:hAnsi="宋体" w:cs="宋体"/>
          <w:color w:val="auto"/>
          <w:sz w:val="24"/>
          <w:szCs w:val="24"/>
          <w:highlight w:val="none"/>
        </w:rPr>
      </w:pPr>
      <w:r>
        <w:rPr>
          <w:rFonts w:hAnsi="宋体" w:cs="宋体"/>
          <w:color w:val="auto"/>
          <w:kern w:val="0"/>
          <w:sz w:val="24"/>
          <w:szCs w:val="24"/>
          <w:highlight w:val="none"/>
        </w:rPr>
        <w:t xml:space="preserve">  H.存在分级代理或代销关系、同一生产制造商关系、</w:t>
      </w:r>
      <w:r>
        <w:rPr>
          <w:rFonts w:hAnsi="宋体" w:cs="宋体"/>
          <w:color w:val="auto"/>
          <w:sz w:val="24"/>
          <w:szCs w:val="24"/>
          <w:highlight w:val="none"/>
        </w:rPr>
        <w:t>管理关系、重要业务（占主营业务收入50%以上）或重要财务往来关系（如融资）等其他实质性控制关系；</w:t>
      </w:r>
    </w:p>
    <w:p w14:paraId="565C28EE">
      <w:pPr>
        <w:pStyle w:val="42"/>
        <w:widowControl/>
        <w:snapToGrid w:val="0"/>
        <w:spacing w:line="520" w:lineRule="exact"/>
        <w:rPr>
          <w:rFonts w:ascii="宋体" w:hAnsi="宋体" w:cs="宋体"/>
          <w:color w:val="auto"/>
          <w:kern w:val="0"/>
          <w:sz w:val="24"/>
          <w:szCs w:val="24"/>
          <w:highlight w:val="none"/>
        </w:rPr>
      </w:pPr>
      <w:r>
        <w:rPr>
          <w:rFonts w:ascii="宋体" w:hAnsi="宋体" w:cs="宋体"/>
          <w:color w:val="auto"/>
          <w:sz w:val="24"/>
          <w:szCs w:val="24"/>
          <w:highlight w:val="none"/>
        </w:rPr>
        <w:t xml:space="preserve">  I</w:t>
      </w:r>
      <w:r>
        <w:rPr>
          <w:rFonts w:ascii="宋体" w:hAnsi="宋体" w:cs="宋体"/>
          <w:color w:val="auto"/>
          <w:kern w:val="0"/>
          <w:sz w:val="24"/>
          <w:szCs w:val="24"/>
          <w:highlight w:val="none"/>
        </w:rPr>
        <w:t>.</w:t>
      </w:r>
      <w:r>
        <w:rPr>
          <w:rFonts w:ascii="宋体" w:hAnsi="宋体" w:cs="宋体"/>
          <w:color w:val="auto"/>
          <w:sz w:val="24"/>
          <w:szCs w:val="24"/>
          <w:highlight w:val="none"/>
        </w:rPr>
        <w:t>其他利害关系情况</w:t>
      </w:r>
      <w:r>
        <w:rPr>
          <w:rFonts w:ascii="宋体" w:hAnsi="宋体" w:cs="宋体"/>
          <w:color w:val="auto"/>
          <w:kern w:val="0"/>
          <w:sz w:val="24"/>
          <w:szCs w:val="24"/>
          <w:highlight w:val="none"/>
        </w:rPr>
        <w:t>。</w:t>
      </w:r>
    </w:p>
    <w:p w14:paraId="4344D604">
      <w:pPr>
        <w:pStyle w:val="42"/>
        <w:widowControl/>
        <w:numPr>
          <w:ilvl w:val="0"/>
          <w:numId w:val="14"/>
        </w:numPr>
        <w:snapToGrid w:val="0"/>
        <w:spacing w:line="520" w:lineRule="exact"/>
        <w:ind w:firstLine="453" w:firstLineChars="189"/>
        <w:rPr>
          <w:rFonts w:ascii="宋体" w:hAnsi="宋体" w:cs="宋体"/>
          <w:color w:val="auto"/>
          <w:kern w:val="0"/>
          <w:sz w:val="24"/>
          <w:szCs w:val="24"/>
          <w:highlight w:val="none"/>
        </w:rPr>
      </w:pPr>
      <w:r>
        <w:rPr>
          <w:rFonts w:ascii="宋体" w:hAnsi="宋体" w:cs="宋体"/>
          <w:color w:val="auto"/>
          <w:sz w:val="24"/>
          <w:szCs w:val="24"/>
          <w:highlight w:val="none"/>
        </w:rPr>
        <w:t>现已清楚知道并</w:t>
      </w:r>
      <w:r>
        <w:rPr>
          <w:rFonts w:ascii="宋体" w:hAnsi="宋体" w:cs="宋体"/>
          <w:color w:val="auto"/>
          <w:kern w:val="0"/>
          <w:sz w:val="24"/>
          <w:szCs w:val="24"/>
          <w:highlight w:val="none"/>
        </w:rPr>
        <w:t>严格遵守政府采购法律法规和现场纪律。</w:t>
      </w:r>
    </w:p>
    <w:p w14:paraId="31B29C2B">
      <w:pPr>
        <w:pStyle w:val="42"/>
        <w:widowControl/>
        <w:numPr>
          <w:ilvl w:val="0"/>
          <w:numId w:val="14"/>
        </w:numPr>
        <w:snapToGrid w:val="0"/>
        <w:spacing w:line="520" w:lineRule="exact"/>
        <w:ind w:firstLine="453" w:firstLineChars="189"/>
        <w:rPr>
          <w:rFonts w:ascii="宋体" w:hAnsi="宋体" w:cs="宋体"/>
          <w:color w:val="auto"/>
          <w:sz w:val="24"/>
          <w:szCs w:val="24"/>
          <w:highlight w:val="none"/>
        </w:rPr>
      </w:pPr>
      <w:r>
        <w:rPr>
          <w:rFonts w:ascii="宋体" w:hAnsi="宋体" w:cs="宋体"/>
          <w:color w:val="auto"/>
          <w:kern w:val="0"/>
          <w:sz w:val="24"/>
          <w:szCs w:val="24"/>
          <w:highlight w:val="none"/>
        </w:rPr>
        <w:t>我发现供应商</w:t>
      </w:r>
      <w:r>
        <w:rPr>
          <w:rFonts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之间存在或可能存在上述第二条第项利害关系。</w:t>
      </w:r>
    </w:p>
    <w:p w14:paraId="1486C707">
      <w:pPr>
        <w:pStyle w:val="42"/>
        <w:widowControl/>
        <w:snapToGrid w:val="0"/>
        <w:spacing w:line="520" w:lineRule="exact"/>
        <w:jc w:val="right"/>
        <w:rPr>
          <w:rFonts w:ascii="宋体" w:hAnsi="宋体" w:cs="宋体"/>
          <w:color w:val="auto"/>
          <w:sz w:val="24"/>
          <w:szCs w:val="24"/>
          <w:highlight w:val="none"/>
        </w:rPr>
      </w:pPr>
      <w:r>
        <w:rPr>
          <w:rFonts w:ascii="宋体" w:hAnsi="宋体" w:cs="宋体"/>
          <w:color w:val="auto"/>
          <w:sz w:val="24"/>
          <w:szCs w:val="24"/>
          <w:highlight w:val="none"/>
        </w:rPr>
        <w:t>（供应商代表签名）：</w:t>
      </w:r>
    </w:p>
    <w:p w14:paraId="348A360C">
      <w:pPr>
        <w:jc w:val="right"/>
        <w:rPr>
          <w:color w:val="auto"/>
          <w:highlight w:val="none"/>
        </w:rPr>
      </w:pPr>
      <w:r>
        <w:rPr>
          <w:rFonts w:hint="eastAsia" w:ascii="宋体" w:hAnsi="宋体" w:eastAsia="宋体" w:cs="宋体"/>
          <w:color w:val="auto"/>
          <w:sz w:val="24"/>
          <w:szCs w:val="24"/>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9A31">
    <w:pPr>
      <w:pStyle w:val="17"/>
      <w:jc w:val="right"/>
    </w:pPr>
  </w:p>
  <w:p w14:paraId="36516D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B15FA">
    <w:pPr>
      <w:pStyle w:val="1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423F1">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7F423F1">
                    <w:pPr>
                      <w:pStyle w:val="17"/>
                    </w:pPr>
                    <w:r>
                      <w:fldChar w:fldCharType="begin"/>
                    </w:r>
                    <w:r>
                      <w:instrText xml:space="preserve"> PAGE  \* MERGEFORMAT </w:instrText>
                    </w:r>
                    <w:r>
                      <w:fldChar w:fldCharType="separate"/>
                    </w:r>
                    <w:r>
                      <w:t>3</w:t>
                    </w:r>
                    <w:r>
                      <w:fldChar w:fldCharType="end"/>
                    </w:r>
                  </w:p>
                </w:txbxContent>
              </v:textbox>
            </v:shape>
          </w:pict>
        </mc:Fallback>
      </mc:AlternateContent>
    </w:r>
  </w:p>
  <w:p w14:paraId="564D81AB">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66238">
    <w:pPr>
      <w:pStyle w:val="1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BF51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CCBF519">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782E8BBB">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5AF1">
    <w:pPr>
      <w:pStyle w:val="1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DE4E5">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FDE4E5">
                    <w:pPr>
                      <w:pStyle w:val="17"/>
                    </w:pPr>
                    <w:r>
                      <w:fldChar w:fldCharType="begin"/>
                    </w:r>
                    <w:r>
                      <w:instrText xml:space="preserve"> PAGE  \* MERGEFORMAT </w:instrText>
                    </w:r>
                    <w:r>
                      <w:fldChar w:fldCharType="separate"/>
                    </w:r>
                    <w:r>
                      <w:t>3</w:t>
                    </w:r>
                    <w:r>
                      <w:fldChar w:fldCharType="end"/>
                    </w:r>
                  </w:p>
                </w:txbxContent>
              </v:textbox>
            </v:shape>
          </w:pict>
        </mc:Fallback>
      </mc:AlternateContent>
    </w:r>
  </w:p>
  <w:p w14:paraId="020CC82E">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9998C"/>
    <w:multiLevelType w:val="singleLevel"/>
    <w:tmpl w:val="82F9998C"/>
    <w:lvl w:ilvl="0" w:tentative="0">
      <w:start w:val="1"/>
      <w:numFmt w:val="decimal"/>
      <w:suff w:val="nothing"/>
      <w:lvlText w:val="%1、"/>
      <w:lvlJc w:val="left"/>
    </w:lvl>
  </w:abstractNum>
  <w:abstractNum w:abstractNumId="1">
    <w:nsid w:val="8B5AEC4B"/>
    <w:multiLevelType w:val="singleLevel"/>
    <w:tmpl w:val="8B5AEC4B"/>
    <w:lvl w:ilvl="0" w:tentative="0">
      <w:start w:val="1"/>
      <w:numFmt w:val="decimal"/>
      <w:lvlText w:val="%1."/>
      <w:lvlJc w:val="left"/>
      <w:pPr>
        <w:tabs>
          <w:tab w:val="left" w:pos="312"/>
        </w:tabs>
      </w:pPr>
    </w:lvl>
  </w:abstractNum>
  <w:abstractNum w:abstractNumId="2">
    <w:nsid w:val="8F3CADF1"/>
    <w:multiLevelType w:val="singleLevel"/>
    <w:tmpl w:val="8F3CADF1"/>
    <w:lvl w:ilvl="0" w:tentative="0">
      <w:start w:val="1"/>
      <w:numFmt w:val="decimal"/>
      <w:suff w:val="nothing"/>
      <w:lvlText w:val="（%1）"/>
      <w:lvlJc w:val="left"/>
    </w:lvl>
  </w:abstractNum>
  <w:abstractNum w:abstractNumId="3">
    <w:nsid w:val="A4AD2D8E"/>
    <w:multiLevelType w:val="singleLevel"/>
    <w:tmpl w:val="A4AD2D8E"/>
    <w:lvl w:ilvl="0" w:tentative="0">
      <w:start w:val="1"/>
      <w:numFmt w:val="decimal"/>
      <w:suff w:val="nothing"/>
      <w:lvlText w:val="（%1）"/>
      <w:lvlJc w:val="left"/>
    </w:lvl>
  </w:abstractNum>
  <w:abstractNum w:abstractNumId="4">
    <w:nsid w:val="D05A5DD5"/>
    <w:multiLevelType w:val="singleLevel"/>
    <w:tmpl w:val="D05A5DD5"/>
    <w:lvl w:ilvl="0" w:tentative="0">
      <w:start w:val="1"/>
      <w:numFmt w:val="decimal"/>
      <w:suff w:val="nothing"/>
      <w:lvlText w:val="（%1）"/>
      <w:lvlJc w:val="left"/>
    </w:lvl>
  </w:abstractNum>
  <w:abstractNum w:abstractNumId="5">
    <w:nsid w:val="E06A08B4"/>
    <w:multiLevelType w:val="singleLevel"/>
    <w:tmpl w:val="E06A08B4"/>
    <w:lvl w:ilvl="0" w:tentative="0">
      <w:start w:val="1"/>
      <w:numFmt w:val="decimal"/>
      <w:suff w:val="nothing"/>
      <w:lvlText w:val="（%1）"/>
      <w:lvlJc w:val="left"/>
    </w:lvl>
  </w:abstractNum>
  <w:abstractNum w:abstractNumId="6">
    <w:nsid w:val="E1604F67"/>
    <w:multiLevelType w:val="singleLevel"/>
    <w:tmpl w:val="E1604F67"/>
    <w:lvl w:ilvl="0" w:tentative="0">
      <w:start w:val="1"/>
      <w:numFmt w:val="decimal"/>
      <w:suff w:val="nothing"/>
      <w:lvlText w:val="（%1）"/>
      <w:lvlJc w:val="left"/>
    </w:lvl>
  </w:abstractNum>
  <w:abstractNum w:abstractNumId="7">
    <w:nsid w:val="E8056A66"/>
    <w:multiLevelType w:val="singleLevel"/>
    <w:tmpl w:val="E8056A66"/>
    <w:lvl w:ilvl="0" w:tentative="0">
      <w:start w:val="1"/>
      <w:numFmt w:val="decimal"/>
      <w:suff w:val="nothing"/>
      <w:lvlText w:val="（%1）"/>
      <w:lvlJc w:val="left"/>
    </w:lvl>
  </w:abstractNum>
  <w:abstractNum w:abstractNumId="8">
    <w:nsid w:val="ECFC9DFC"/>
    <w:multiLevelType w:val="singleLevel"/>
    <w:tmpl w:val="ECFC9DFC"/>
    <w:lvl w:ilvl="0" w:tentative="0">
      <w:start w:val="1"/>
      <w:numFmt w:val="decimal"/>
      <w:suff w:val="nothing"/>
      <w:lvlText w:val="（%1）"/>
      <w:lvlJc w:val="left"/>
    </w:lvl>
  </w:abstractNum>
  <w:abstractNum w:abstractNumId="9">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9209CD5"/>
    <w:multiLevelType w:val="singleLevel"/>
    <w:tmpl w:val="59209CD5"/>
    <w:lvl w:ilvl="0" w:tentative="0">
      <w:start w:val="1"/>
      <w:numFmt w:val="decimal"/>
      <w:suff w:val="nothing"/>
      <w:lvlText w:val="（%1）"/>
      <w:lvlJc w:val="left"/>
    </w:lvl>
  </w:abstractNum>
  <w:abstractNum w:abstractNumId="12">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3">
    <w:nsid w:val="68F7BBB1"/>
    <w:multiLevelType w:val="singleLevel"/>
    <w:tmpl w:val="68F7BBB1"/>
    <w:lvl w:ilvl="0" w:tentative="0">
      <w:start w:val="1"/>
      <w:numFmt w:val="decimal"/>
      <w:suff w:val="nothing"/>
      <w:lvlText w:val="（%1）"/>
      <w:lvlJc w:val="left"/>
    </w:lvl>
  </w:abstractNum>
  <w:num w:numId="1">
    <w:abstractNumId w:val="12"/>
  </w:num>
  <w:num w:numId="2">
    <w:abstractNumId w:val="9"/>
  </w:num>
  <w:num w:numId="3">
    <w:abstractNumId w:val="13"/>
  </w:num>
  <w:num w:numId="4">
    <w:abstractNumId w:val="3"/>
  </w:num>
  <w:num w:numId="5">
    <w:abstractNumId w:val="8"/>
  </w:num>
  <w:num w:numId="6">
    <w:abstractNumId w:val="7"/>
  </w:num>
  <w:num w:numId="7">
    <w:abstractNumId w:val="5"/>
  </w:num>
  <w:num w:numId="8">
    <w:abstractNumId w:val="2"/>
  </w:num>
  <w:num w:numId="9">
    <w:abstractNumId w:val="6"/>
  </w:num>
  <w:num w:numId="10">
    <w:abstractNumId w:val="4"/>
  </w:num>
  <w:num w:numId="11">
    <w:abstractNumId w:val="11"/>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hMmY3ZDY3ZWY5ZjhkMmU3YjE5MjgzYWU4NThiZDAifQ=="/>
  </w:docVars>
  <w:rsids>
    <w:rsidRoot w:val="00A72B5A"/>
    <w:rsid w:val="00006F64"/>
    <w:rsid w:val="0005529F"/>
    <w:rsid w:val="00070910"/>
    <w:rsid w:val="0007628E"/>
    <w:rsid w:val="0008524C"/>
    <w:rsid w:val="00087FA5"/>
    <w:rsid w:val="000B36B8"/>
    <w:rsid w:val="000E57E8"/>
    <w:rsid w:val="00155B7B"/>
    <w:rsid w:val="00156A4A"/>
    <w:rsid w:val="001575CB"/>
    <w:rsid w:val="001919DF"/>
    <w:rsid w:val="001F47AA"/>
    <w:rsid w:val="00220790"/>
    <w:rsid w:val="00226F85"/>
    <w:rsid w:val="00251C36"/>
    <w:rsid w:val="00265514"/>
    <w:rsid w:val="00287344"/>
    <w:rsid w:val="002C6ED7"/>
    <w:rsid w:val="002F3CB6"/>
    <w:rsid w:val="002F41A5"/>
    <w:rsid w:val="00315FF7"/>
    <w:rsid w:val="00320892"/>
    <w:rsid w:val="00322991"/>
    <w:rsid w:val="00326842"/>
    <w:rsid w:val="00333B3A"/>
    <w:rsid w:val="003344EC"/>
    <w:rsid w:val="0035540B"/>
    <w:rsid w:val="0036299F"/>
    <w:rsid w:val="00364CE3"/>
    <w:rsid w:val="00364F54"/>
    <w:rsid w:val="00366A22"/>
    <w:rsid w:val="003A3D2D"/>
    <w:rsid w:val="003E3C49"/>
    <w:rsid w:val="003E4943"/>
    <w:rsid w:val="003E619A"/>
    <w:rsid w:val="00405891"/>
    <w:rsid w:val="00416146"/>
    <w:rsid w:val="0042052C"/>
    <w:rsid w:val="0043667F"/>
    <w:rsid w:val="00440882"/>
    <w:rsid w:val="00454535"/>
    <w:rsid w:val="004561D9"/>
    <w:rsid w:val="00474787"/>
    <w:rsid w:val="00476C75"/>
    <w:rsid w:val="00490636"/>
    <w:rsid w:val="004914A7"/>
    <w:rsid w:val="004D0FBB"/>
    <w:rsid w:val="004E0415"/>
    <w:rsid w:val="004E59E5"/>
    <w:rsid w:val="004E7F35"/>
    <w:rsid w:val="004F3120"/>
    <w:rsid w:val="00502C9B"/>
    <w:rsid w:val="00532CEC"/>
    <w:rsid w:val="00547839"/>
    <w:rsid w:val="00583FB7"/>
    <w:rsid w:val="00586050"/>
    <w:rsid w:val="00596C11"/>
    <w:rsid w:val="005B7294"/>
    <w:rsid w:val="00601191"/>
    <w:rsid w:val="00614831"/>
    <w:rsid w:val="00614D52"/>
    <w:rsid w:val="006428ED"/>
    <w:rsid w:val="00650FB8"/>
    <w:rsid w:val="006868B6"/>
    <w:rsid w:val="006B1DA8"/>
    <w:rsid w:val="00710EF7"/>
    <w:rsid w:val="00712744"/>
    <w:rsid w:val="00712F8D"/>
    <w:rsid w:val="007339F8"/>
    <w:rsid w:val="00772B54"/>
    <w:rsid w:val="00780E4C"/>
    <w:rsid w:val="007A1A30"/>
    <w:rsid w:val="007A6841"/>
    <w:rsid w:val="007C769E"/>
    <w:rsid w:val="00830203"/>
    <w:rsid w:val="008450A9"/>
    <w:rsid w:val="0085490E"/>
    <w:rsid w:val="008676F6"/>
    <w:rsid w:val="00883092"/>
    <w:rsid w:val="00883852"/>
    <w:rsid w:val="00886BB7"/>
    <w:rsid w:val="00886F15"/>
    <w:rsid w:val="00893CBB"/>
    <w:rsid w:val="00896E2A"/>
    <w:rsid w:val="008C1343"/>
    <w:rsid w:val="008C5786"/>
    <w:rsid w:val="008E086A"/>
    <w:rsid w:val="009016B8"/>
    <w:rsid w:val="0090437B"/>
    <w:rsid w:val="00957F38"/>
    <w:rsid w:val="00965C3C"/>
    <w:rsid w:val="00967936"/>
    <w:rsid w:val="009A309C"/>
    <w:rsid w:val="009B0F73"/>
    <w:rsid w:val="009B320B"/>
    <w:rsid w:val="009B47E9"/>
    <w:rsid w:val="009D21FB"/>
    <w:rsid w:val="009E33CF"/>
    <w:rsid w:val="009E65A0"/>
    <w:rsid w:val="009F22CC"/>
    <w:rsid w:val="00A01C05"/>
    <w:rsid w:val="00A249A7"/>
    <w:rsid w:val="00A3652C"/>
    <w:rsid w:val="00A430B3"/>
    <w:rsid w:val="00A6780B"/>
    <w:rsid w:val="00A70180"/>
    <w:rsid w:val="00A72B5A"/>
    <w:rsid w:val="00A85E1C"/>
    <w:rsid w:val="00A9031A"/>
    <w:rsid w:val="00A92944"/>
    <w:rsid w:val="00AC72A1"/>
    <w:rsid w:val="00AC72B8"/>
    <w:rsid w:val="00AD488F"/>
    <w:rsid w:val="00AE327B"/>
    <w:rsid w:val="00AE7741"/>
    <w:rsid w:val="00B06129"/>
    <w:rsid w:val="00B10E5E"/>
    <w:rsid w:val="00B148FC"/>
    <w:rsid w:val="00B23BA3"/>
    <w:rsid w:val="00B2482E"/>
    <w:rsid w:val="00B2505A"/>
    <w:rsid w:val="00B30995"/>
    <w:rsid w:val="00B32C27"/>
    <w:rsid w:val="00B46C0E"/>
    <w:rsid w:val="00B47DEE"/>
    <w:rsid w:val="00B61E55"/>
    <w:rsid w:val="00B6522F"/>
    <w:rsid w:val="00B76E5D"/>
    <w:rsid w:val="00B9089B"/>
    <w:rsid w:val="00BA3D99"/>
    <w:rsid w:val="00BA6BBE"/>
    <w:rsid w:val="00BA7C3B"/>
    <w:rsid w:val="00BB225B"/>
    <w:rsid w:val="00BB3EBD"/>
    <w:rsid w:val="00C167F1"/>
    <w:rsid w:val="00C3770B"/>
    <w:rsid w:val="00C510B1"/>
    <w:rsid w:val="00C73187"/>
    <w:rsid w:val="00CA61CB"/>
    <w:rsid w:val="00CE78B4"/>
    <w:rsid w:val="00CF6A82"/>
    <w:rsid w:val="00D023BB"/>
    <w:rsid w:val="00D13158"/>
    <w:rsid w:val="00D15853"/>
    <w:rsid w:val="00D1644B"/>
    <w:rsid w:val="00D17C5D"/>
    <w:rsid w:val="00D34FA3"/>
    <w:rsid w:val="00D35CD7"/>
    <w:rsid w:val="00D42481"/>
    <w:rsid w:val="00D44471"/>
    <w:rsid w:val="00D4636C"/>
    <w:rsid w:val="00D503BE"/>
    <w:rsid w:val="00D51316"/>
    <w:rsid w:val="00D63228"/>
    <w:rsid w:val="00DB6EFF"/>
    <w:rsid w:val="00DC2912"/>
    <w:rsid w:val="00DC538E"/>
    <w:rsid w:val="00E0097A"/>
    <w:rsid w:val="00E11AEF"/>
    <w:rsid w:val="00E30AF9"/>
    <w:rsid w:val="00E42702"/>
    <w:rsid w:val="00E44ED2"/>
    <w:rsid w:val="00E526A6"/>
    <w:rsid w:val="00E5571B"/>
    <w:rsid w:val="00E66C9B"/>
    <w:rsid w:val="00E86088"/>
    <w:rsid w:val="00E917F2"/>
    <w:rsid w:val="00EA72A2"/>
    <w:rsid w:val="00EB7B1D"/>
    <w:rsid w:val="00ED431D"/>
    <w:rsid w:val="00EE072E"/>
    <w:rsid w:val="00EE54CC"/>
    <w:rsid w:val="00EF114F"/>
    <w:rsid w:val="00EF271E"/>
    <w:rsid w:val="00EF722C"/>
    <w:rsid w:val="00F107B2"/>
    <w:rsid w:val="00F26157"/>
    <w:rsid w:val="00F4711D"/>
    <w:rsid w:val="00F52714"/>
    <w:rsid w:val="00F55771"/>
    <w:rsid w:val="00F675EF"/>
    <w:rsid w:val="00F67C76"/>
    <w:rsid w:val="00F80A10"/>
    <w:rsid w:val="00F86B7E"/>
    <w:rsid w:val="00F90A00"/>
    <w:rsid w:val="00F94B78"/>
    <w:rsid w:val="00FA0C98"/>
    <w:rsid w:val="00FA6708"/>
    <w:rsid w:val="00FC05AD"/>
    <w:rsid w:val="01665496"/>
    <w:rsid w:val="01957F61"/>
    <w:rsid w:val="01C31391"/>
    <w:rsid w:val="01E44FDB"/>
    <w:rsid w:val="02DC2156"/>
    <w:rsid w:val="02E01C47"/>
    <w:rsid w:val="02ED1C6E"/>
    <w:rsid w:val="02F54FC6"/>
    <w:rsid w:val="02FF5E45"/>
    <w:rsid w:val="0337738D"/>
    <w:rsid w:val="03B86720"/>
    <w:rsid w:val="049F51EA"/>
    <w:rsid w:val="04BF763A"/>
    <w:rsid w:val="05541611"/>
    <w:rsid w:val="05595CE0"/>
    <w:rsid w:val="05856AD5"/>
    <w:rsid w:val="065414D0"/>
    <w:rsid w:val="06B17456"/>
    <w:rsid w:val="070C28DE"/>
    <w:rsid w:val="07255CEE"/>
    <w:rsid w:val="073A569E"/>
    <w:rsid w:val="07416B0A"/>
    <w:rsid w:val="07605B88"/>
    <w:rsid w:val="076D7821"/>
    <w:rsid w:val="07C414E9"/>
    <w:rsid w:val="086D0535"/>
    <w:rsid w:val="088E5CA1"/>
    <w:rsid w:val="08DD3BC7"/>
    <w:rsid w:val="08EE4992"/>
    <w:rsid w:val="09A339CE"/>
    <w:rsid w:val="0A1977EC"/>
    <w:rsid w:val="0A375EC4"/>
    <w:rsid w:val="0A4505E1"/>
    <w:rsid w:val="0A6A0A6E"/>
    <w:rsid w:val="0A762E91"/>
    <w:rsid w:val="0AC914C6"/>
    <w:rsid w:val="0B1A381C"/>
    <w:rsid w:val="0B2C4E98"/>
    <w:rsid w:val="0B5B3377"/>
    <w:rsid w:val="0B9F765E"/>
    <w:rsid w:val="0BCA5242"/>
    <w:rsid w:val="0BD240F7"/>
    <w:rsid w:val="0D896A37"/>
    <w:rsid w:val="0DD00FE8"/>
    <w:rsid w:val="0E356B7C"/>
    <w:rsid w:val="0E680D42"/>
    <w:rsid w:val="0EC00B7E"/>
    <w:rsid w:val="0F5F5CA1"/>
    <w:rsid w:val="0FE10E8A"/>
    <w:rsid w:val="0FE20680"/>
    <w:rsid w:val="10024649"/>
    <w:rsid w:val="10801BA0"/>
    <w:rsid w:val="1097589E"/>
    <w:rsid w:val="10AF2C58"/>
    <w:rsid w:val="10E8039B"/>
    <w:rsid w:val="10FB40F0"/>
    <w:rsid w:val="114535BD"/>
    <w:rsid w:val="11991213"/>
    <w:rsid w:val="11B12A00"/>
    <w:rsid w:val="124D2EA4"/>
    <w:rsid w:val="126B1F8B"/>
    <w:rsid w:val="12AC3C7F"/>
    <w:rsid w:val="12B207DE"/>
    <w:rsid w:val="12B329C6"/>
    <w:rsid w:val="13082AF4"/>
    <w:rsid w:val="130B7EEE"/>
    <w:rsid w:val="13584851"/>
    <w:rsid w:val="13C55BE9"/>
    <w:rsid w:val="14115C0D"/>
    <w:rsid w:val="144234A1"/>
    <w:rsid w:val="14950F9F"/>
    <w:rsid w:val="14F05DE7"/>
    <w:rsid w:val="15C00E49"/>
    <w:rsid w:val="15EF3AF7"/>
    <w:rsid w:val="162F4032"/>
    <w:rsid w:val="16A9130C"/>
    <w:rsid w:val="16BA2357"/>
    <w:rsid w:val="172F064F"/>
    <w:rsid w:val="174F484D"/>
    <w:rsid w:val="17ED0522"/>
    <w:rsid w:val="183C1FBD"/>
    <w:rsid w:val="18F25DD8"/>
    <w:rsid w:val="1A9829AF"/>
    <w:rsid w:val="1AC76DF0"/>
    <w:rsid w:val="1B155DAE"/>
    <w:rsid w:val="1B2D1349"/>
    <w:rsid w:val="1B7173EF"/>
    <w:rsid w:val="1B917B2A"/>
    <w:rsid w:val="1BA3785E"/>
    <w:rsid w:val="1BFB1448"/>
    <w:rsid w:val="1C4C1CA3"/>
    <w:rsid w:val="1C67350C"/>
    <w:rsid w:val="1CD76B45"/>
    <w:rsid w:val="1D3C1D18"/>
    <w:rsid w:val="1D513315"/>
    <w:rsid w:val="1D6E17A5"/>
    <w:rsid w:val="1D707149"/>
    <w:rsid w:val="1DB55626"/>
    <w:rsid w:val="1DD106B2"/>
    <w:rsid w:val="1DED0645"/>
    <w:rsid w:val="1E4A5073"/>
    <w:rsid w:val="1E4A5D6E"/>
    <w:rsid w:val="1E805C34"/>
    <w:rsid w:val="1F182311"/>
    <w:rsid w:val="1F2E7802"/>
    <w:rsid w:val="1F7C289F"/>
    <w:rsid w:val="203925B0"/>
    <w:rsid w:val="207F2392"/>
    <w:rsid w:val="208E5AB1"/>
    <w:rsid w:val="210E39CB"/>
    <w:rsid w:val="21493791"/>
    <w:rsid w:val="21BE0F4D"/>
    <w:rsid w:val="228D26CE"/>
    <w:rsid w:val="22C32593"/>
    <w:rsid w:val="22C5455D"/>
    <w:rsid w:val="22D93E8C"/>
    <w:rsid w:val="22F5203E"/>
    <w:rsid w:val="23A67EEB"/>
    <w:rsid w:val="23E97DD8"/>
    <w:rsid w:val="251E1D03"/>
    <w:rsid w:val="25361FF8"/>
    <w:rsid w:val="26121868"/>
    <w:rsid w:val="264F486A"/>
    <w:rsid w:val="266924C2"/>
    <w:rsid w:val="26997A1F"/>
    <w:rsid w:val="269C6D59"/>
    <w:rsid w:val="26D7485F"/>
    <w:rsid w:val="271909D4"/>
    <w:rsid w:val="27723A43"/>
    <w:rsid w:val="278F5996"/>
    <w:rsid w:val="27A42993"/>
    <w:rsid w:val="27C378A9"/>
    <w:rsid w:val="27DA6DDB"/>
    <w:rsid w:val="27EF7E63"/>
    <w:rsid w:val="280D27C6"/>
    <w:rsid w:val="28494B1E"/>
    <w:rsid w:val="28BC5ABB"/>
    <w:rsid w:val="28CF6BE9"/>
    <w:rsid w:val="290F5AC5"/>
    <w:rsid w:val="292F44DF"/>
    <w:rsid w:val="29842A7C"/>
    <w:rsid w:val="29AE7AF9"/>
    <w:rsid w:val="29E715D9"/>
    <w:rsid w:val="2A2658E2"/>
    <w:rsid w:val="2A337EB4"/>
    <w:rsid w:val="2A9A007E"/>
    <w:rsid w:val="2AD64354"/>
    <w:rsid w:val="2B14398C"/>
    <w:rsid w:val="2B2067D5"/>
    <w:rsid w:val="2B394B81"/>
    <w:rsid w:val="2B606BD1"/>
    <w:rsid w:val="2BB5796E"/>
    <w:rsid w:val="2BC310C2"/>
    <w:rsid w:val="2BF612E4"/>
    <w:rsid w:val="2C12595C"/>
    <w:rsid w:val="2C245E51"/>
    <w:rsid w:val="2CA451E4"/>
    <w:rsid w:val="2CED1093"/>
    <w:rsid w:val="2CF33A75"/>
    <w:rsid w:val="2CF77A09"/>
    <w:rsid w:val="2DEA131C"/>
    <w:rsid w:val="2E3C1B78"/>
    <w:rsid w:val="2E666BF4"/>
    <w:rsid w:val="2F490659"/>
    <w:rsid w:val="2F544C9F"/>
    <w:rsid w:val="2F893734"/>
    <w:rsid w:val="2FAA48BF"/>
    <w:rsid w:val="2FCE7E34"/>
    <w:rsid w:val="2FE029D7"/>
    <w:rsid w:val="301F4E37"/>
    <w:rsid w:val="30AD0B0B"/>
    <w:rsid w:val="30DA7426"/>
    <w:rsid w:val="30E23621"/>
    <w:rsid w:val="30EF5893"/>
    <w:rsid w:val="315C542C"/>
    <w:rsid w:val="31660CB9"/>
    <w:rsid w:val="31770131"/>
    <w:rsid w:val="31833619"/>
    <w:rsid w:val="31D245A1"/>
    <w:rsid w:val="32AA7F54"/>
    <w:rsid w:val="32D93EDF"/>
    <w:rsid w:val="331309CD"/>
    <w:rsid w:val="3321133C"/>
    <w:rsid w:val="3452625F"/>
    <w:rsid w:val="348002E4"/>
    <w:rsid w:val="34AC10D9"/>
    <w:rsid w:val="35531BEF"/>
    <w:rsid w:val="35E71041"/>
    <w:rsid w:val="35FE5964"/>
    <w:rsid w:val="365D6B2F"/>
    <w:rsid w:val="36B57CB2"/>
    <w:rsid w:val="377E3F17"/>
    <w:rsid w:val="382375D4"/>
    <w:rsid w:val="38887767"/>
    <w:rsid w:val="388C0E59"/>
    <w:rsid w:val="391E1E7A"/>
    <w:rsid w:val="392751D2"/>
    <w:rsid w:val="39705CA8"/>
    <w:rsid w:val="39A64349"/>
    <w:rsid w:val="39AE1450"/>
    <w:rsid w:val="3A8A2E0E"/>
    <w:rsid w:val="3B4E4D9F"/>
    <w:rsid w:val="3B820DE6"/>
    <w:rsid w:val="3BE8038D"/>
    <w:rsid w:val="3C2679C3"/>
    <w:rsid w:val="3CA64660"/>
    <w:rsid w:val="3CB84BBF"/>
    <w:rsid w:val="3CDB07AE"/>
    <w:rsid w:val="3CE27D8E"/>
    <w:rsid w:val="3CED6733"/>
    <w:rsid w:val="3CEF3846"/>
    <w:rsid w:val="3D711112"/>
    <w:rsid w:val="3D9D3CB5"/>
    <w:rsid w:val="3DB35286"/>
    <w:rsid w:val="3DB35CAC"/>
    <w:rsid w:val="3DB86D41"/>
    <w:rsid w:val="3DCB066F"/>
    <w:rsid w:val="3DF27B4F"/>
    <w:rsid w:val="3E23240C"/>
    <w:rsid w:val="3EF913BF"/>
    <w:rsid w:val="3F023A70"/>
    <w:rsid w:val="3FB452E6"/>
    <w:rsid w:val="3FE07E89"/>
    <w:rsid w:val="401B7113"/>
    <w:rsid w:val="40362E2E"/>
    <w:rsid w:val="412C782A"/>
    <w:rsid w:val="41683B7B"/>
    <w:rsid w:val="422624CB"/>
    <w:rsid w:val="42295B17"/>
    <w:rsid w:val="42984A4B"/>
    <w:rsid w:val="43D67F21"/>
    <w:rsid w:val="44D17153"/>
    <w:rsid w:val="44E65F41"/>
    <w:rsid w:val="456A0921"/>
    <w:rsid w:val="45B47DEE"/>
    <w:rsid w:val="46256F3D"/>
    <w:rsid w:val="4695272D"/>
    <w:rsid w:val="46B739C7"/>
    <w:rsid w:val="46CE1765"/>
    <w:rsid w:val="47FC5A7C"/>
    <w:rsid w:val="48254FD3"/>
    <w:rsid w:val="4884619D"/>
    <w:rsid w:val="48E44E8E"/>
    <w:rsid w:val="48E704DA"/>
    <w:rsid w:val="49632A85"/>
    <w:rsid w:val="4972249A"/>
    <w:rsid w:val="49793828"/>
    <w:rsid w:val="49E35145"/>
    <w:rsid w:val="4A2046C9"/>
    <w:rsid w:val="4A3634C7"/>
    <w:rsid w:val="4A3E2DA2"/>
    <w:rsid w:val="4A7A7858"/>
    <w:rsid w:val="4ABF0634"/>
    <w:rsid w:val="4B6422B6"/>
    <w:rsid w:val="4B73486A"/>
    <w:rsid w:val="4B7527F3"/>
    <w:rsid w:val="4B797B0F"/>
    <w:rsid w:val="4BAE1C60"/>
    <w:rsid w:val="4C1D1848"/>
    <w:rsid w:val="4C1E06B7"/>
    <w:rsid w:val="4C7E7789"/>
    <w:rsid w:val="4CA72C4C"/>
    <w:rsid w:val="4CA87F80"/>
    <w:rsid w:val="4CF758D4"/>
    <w:rsid w:val="4D3A1520"/>
    <w:rsid w:val="4D7066A8"/>
    <w:rsid w:val="4F343D4D"/>
    <w:rsid w:val="4F7F76BE"/>
    <w:rsid w:val="509B6C36"/>
    <w:rsid w:val="51064C2C"/>
    <w:rsid w:val="51A12A51"/>
    <w:rsid w:val="52320A18"/>
    <w:rsid w:val="52323818"/>
    <w:rsid w:val="525C5A95"/>
    <w:rsid w:val="527E5A0B"/>
    <w:rsid w:val="53AB0A82"/>
    <w:rsid w:val="54880DC3"/>
    <w:rsid w:val="549E2395"/>
    <w:rsid w:val="54F14BBA"/>
    <w:rsid w:val="551238C5"/>
    <w:rsid w:val="553B5E36"/>
    <w:rsid w:val="55801A9A"/>
    <w:rsid w:val="55A04916"/>
    <w:rsid w:val="55A27C63"/>
    <w:rsid w:val="56850611"/>
    <w:rsid w:val="57270C1E"/>
    <w:rsid w:val="576B22D6"/>
    <w:rsid w:val="577404EA"/>
    <w:rsid w:val="57B41ECF"/>
    <w:rsid w:val="57B91294"/>
    <w:rsid w:val="57C765F6"/>
    <w:rsid w:val="57DC3E1D"/>
    <w:rsid w:val="58B8779D"/>
    <w:rsid w:val="5934038E"/>
    <w:rsid w:val="59D423B5"/>
    <w:rsid w:val="5A493FB1"/>
    <w:rsid w:val="5A76346C"/>
    <w:rsid w:val="5A9A1850"/>
    <w:rsid w:val="5B2D48AB"/>
    <w:rsid w:val="5B765E19"/>
    <w:rsid w:val="5B8816A9"/>
    <w:rsid w:val="5B932D95"/>
    <w:rsid w:val="5BAC35E9"/>
    <w:rsid w:val="5C4C0928"/>
    <w:rsid w:val="5C9B365E"/>
    <w:rsid w:val="5D75056A"/>
    <w:rsid w:val="5DE22D76"/>
    <w:rsid w:val="5DF9063C"/>
    <w:rsid w:val="5E2C6C63"/>
    <w:rsid w:val="5E8B2BA0"/>
    <w:rsid w:val="5E9D190F"/>
    <w:rsid w:val="5EE906B0"/>
    <w:rsid w:val="5EEA306B"/>
    <w:rsid w:val="5F7E529D"/>
    <w:rsid w:val="5FC51376"/>
    <w:rsid w:val="601507C4"/>
    <w:rsid w:val="60161979"/>
    <w:rsid w:val="60457B68"/>
    <w:rsid w:val="606C1599"/>
    <w:rsid w:val="6070777B"/>
    <w:rsid w:val="60870BA7"/>
    <w:rsid w:val="60BF5B6D"/>
    <w:rsid w:val="615F2EAC"/>
    <w:rsid w:val="61C64CD9"/>
    <w:rsid w:val="61FB0E26"/>
    <w:rsid w:val="61FE0917"/>
    <w:rsid w:val="622B7232"/>
    <w:rsid w:val="627E7362"/>
    <w:rsid w:val="62960B4F"/>
    <w:rsid w:val="634E7210"/>
    <w:rsid w:val="639D5F0D"/>
    <w:rsid w:val="63A94039"/>
    <w:rsid w:val="63A948B2"/>
    <w:rsid w:val="643F0D73"/>
    <w:rsid w:val="64875619"/>
    <w:rsid w:val="65622716"/>
    <w:rsid w:val="65843322"/>
    <w:rsid w:val="65BF6A4D"/>
    <w:rsid w:val="666D7E19"/>
    <w:rsid w:val="66C67529"/>
    <w:rsid w:val="66E63727"/>
    <w:rsid w:val="66F10A4A"/>
    <w:rsid w:val="67006EDF"/>
    <w:rsid w:val="6784366C"/>
    <w:rsid w:val="68000819"/>
    <w:rsid w:val="68A04A02"/>
    <w:rsid w:val="68C87FAE"/>
    <w:rsid w:val="68F760C0"/>
    <w:rsid w:val="690600B1"/>
    <w:rsid w:val="694A2693"/>
    <w:rsid w:val="699650D5"/>
    <w:rsid w:val="69AA4EE0"/>
    <w:rsid w:val="69E06F49"/>
    <w:rsid w:val="6B1B42E7"/>
    <w:rsid w:val="6BA23AEA"/>
    <w:rsid w:val="6BC4672D"/>
    <w:rsid w:val="6BCC3834"/>
    <w:rsid w:val="6C255848"/>
    <w:rsid w:val="6CD429A0"/>
    <w:rsid w:val="6D140FEE"/>
    <w:rsid w:val="6DE634C7"/>
    <w:rsid w:val="6E00798F"/>
    <w:rsid w:val="6EBB6D90"/>
    <w:rsid w:val="6F6C78E5"/>
    <w:rsid w:val="6F8D3F04"/>
    <w:rsid w:val="6F95054C"/>
    <w:rsid w:val="6F977CB5"/>
    <w:rsid w:val="6FDB5921"/>
    <w:rsid w:val="702C2AF3"/>
    <w:rsid w:val="7047792D"/>
    <w:rsid w:val="704A2F79"/>
    <w:rsid w:val="70594A8A"/>
    <w:rsid w:val="70761FC0"/>
    <w:rsid w:val="70981F36"/>
    <w:rsid w:val="70E92792"/>
    <w:rsid w:val="71241A1C"/>
    <w:rsid w:val="71393CDB"/>
    <w:rsid w:val="71740CD3"/>
    <w:rsid w:val="71804EA4"/>
    <w:rsid w:val="71E35433"/>
    <w:rsid w:val="726F6CC7"/>
    <w:rsid w:val="72AC3A77"/>
    <w:rsid w:val="72EC51B3"/>
    <w:rsid w:val="73076EFF"/>
    <w:rsid w:val="732025C2"/>
    <w:rsid w:val="73267CCD"/>
    <w:rsid w:val="732B52E4"/>
    <w:rsid w:val="73634A7D"/>
    <w:rsid w:val="73E00E2F"/>
    <w:rsid w:val="74512B28"/>
    <w:rsid w:val="74732A9E"/>
    <w:rsid w:val="74A964C0"/>
    <w:rsid w:val="75137DDD"/>
    <w:rsid w:val="75297601"/>
    <w:rsid w:val="757B6AD4"/>
    <w:rsid w:val="758A34DD"/>
    <w:rsid w:val="75A7395C"/>
    <w:rsid w:val="75F70ED9"/>
    <w:rsid w:val="76C770D1"/>
    <w:rsid w:val="771639B9"/>
    <w:rsid w:val="77660698"/>
    <w:rsid w:val="779F1DFC"/>
    <w:rsid w:val="77BC25DC"/>
    <w:rsid w:val="78165609"/>
    <w:rsid w:val="7842260E"/>
    <w:rsid w:val="78C23FF4"/>
    <w:rsid w:val="78CC523C"/>
    <w:rsid w:val="797C23F5"/>
    <w:rsid w:val="798017B9"/>
    <w:rsid w:val="79AE6327"/>
    <w:rsid w:val="79AF73B4"/>
    <w:rsid w:val="79F503F9"/>
    <w:rsid w:val="7A262361"/>
    <w:rsid w:val="7A8377B3"/>
    <w:rsid w:val="7AAF05A8"/>
    <w:rsid w:val="7AD63D87"/>
    <w:rsid w:val="7B944CB6"/>
    <w:rsid w:val="7BDF78F4"/>
    <w:rsid w:val="7BFA3AA5"/>
    <w:rsid w:val="7C1F52BA"/>
    <w:rsid w:val="7C3E1BE4"/>
    <w:rsid w:val="7C5533D1"/>
    <w:rsid w:val="7C7A6994"/>
    <w:rsid w:val="7D40412D"/>
    <w:rsid w:val="7D9879F5"/>
    <w:rsid w:val="7D9B663C"/>
    <w:rsid w:val="7DD03735"/>
    <w:rsid w:val="7DE764EB"/>
    <w:rsid w:val="7E314C4D"/>
    <w:rsid w:val="7E7710C1"/>
    <w:rsid w:val="7E8568A3"/>
    <w:rsid w:val="7E957AB5"/>
    <w:rsid w:val="7ED92098"/>
    <w:rsid w:val="7F3E014D"/>
    <w:rsid w:val="7F4514DB"/>
    <w:rsid w:val="7F480FCB"/>
    <w:rsid w:val="7FBD5F3B"/>
    <w:rsid w:val="FDEF5C25"/>
    <w:rsid w:val="FF654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0"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0"/>
    <w:qFormat/>
    <w:uiPriority w:val="9"/>
    <w:pPr>
      <w:keepNext/>
      <w:keepLines/>
      <w:numPr>
        <w:ilvl w:val="0"/>
        <w:numId w:val="1"/>
      </w:numPr>
      <w:spacing w:before="60" w:after="60"/>
      <w:ind w:firstLine="0"/>
      <w:jc w:val="center"/>
      <w:outlineLvl w:val="0"/>
    </w:pPr>
    <w:rPr>
      <w:rFonts w:ascii="Times New Roman" w:hAnsi="Times New Roman" w:eastAsia="宋体" w:cs="Times New Roman"/>
      <w:b/>
      <w:bCs/>
      <w:kern w:val="44"/>
      <w:sz w:val="44"/>
      <w:szCs w:val="44"/>
    </w:rPr>
  </w:style>
  <w:style w:type="paragraph" w:styleId="5">
    <w:name w:val="heading 2"/>
    <w:basedOn w:val="6"/>
    <w:next w:val="1"/>
    <w:link w:val="5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1"/>
    <w:link w:val="52"/>
    <w:semiHidden/>
    <w:unhideWhenUsed/>
    <w:qFormat/>
    <w:uiPriority w:val="0"/>
    <w:pPr>
      <w:keepNext/>
      <w:keepLines/>
      <w:tabs>
        <w:tab w:val="left" w:pos="8280"/>
      </w:tabs>
      <w:spacing w:before="260" w:after="260" w:line="416" w:lineRule="auto"/>
      <w:outlineLvl w:val="2"/>
    </w:pPr>
    <w:rPr>
      <w:rFonts w:ascii="Times New Roman" w:hAnsi="Times New Roman" w:eastAsia="宋体" w:cs="Times New Roman"/>
      <w:bCs/>
      <w:szCs w:val="32"/>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6"/>
    <w:qFormat/>
    <w:uiPriority w:val="99"/>
    <w:pPr>
      <w:spacing w:after="0" w:line="360" w:lineRule="exact"/>
      <w:ind w:firstLine="200" w:firstLineChars="200"/>
    </w:pPr>
    <w:rPr>
      <w:rFonts w:ascii="Times New Roman" w:hAnsi="Times New Roman" w:eastAsia="宋体" w:cs="Times New Roman"/>
      <w:sz w:val="24"/>
      <w:szCs w:val="24"/>
    </w:rPr>
  </w:style>
  <w:style w:type="paragraph" w:styleId="3">
    <w:name w:val="Body Text"/>
    <w:basedOn w:val="1"/>
    <w:link w:val="45"/>
    <w:unhideWhenUsed/>
    <w:qFormat/>
    <w:uiPriority w:val="0"/>
    <w:pPr>
      <w:spacing w:after="120"/>
    </w:pPr>
  </w:style>
  <w:style w:type="paragraph" w:customStyle="1" w:styleId="6">
    <w:name w:val="目录 21"/>
    <w:basedOn w:val="1"/>
    <w:next w:val="1"/>
    <w:qFormat/>
    <w:uiPriority w:val="39"/>
    <w:pPr>
      <w:ind w:left="420"/>
    </w:pPr>
    <w:rPr>
      <w:rFonts w:ascii="Times New Roman" w:hAnsi="Times New Roman" w:eastAsia="宋体" w:cs="Times New Roman"/>
      <w:szCs w:val="24"/>
    </w:rPr>
  </w:style>
  <w:style w:type="paragraph" w:styleId="8">
    <w:name w:val="List Number"/>
    <w:basedOn w:val="1"/>
    <w:qFormat/>
    <w:uiPriority w:val="0"/>
    <w:pPr>
      <w:numPr>
        <w:ilvl w:val="0"/>
        <w:numId w:val="2"/>
      </w:numPr>
    </w:pPr>
    <w:rPr>
      <w:rFonts w:ascii="Times New Roman" w:hAnsi="Times New Roman" w:eastAsia="宋体" w:cs="Times New Roman"/>
      <w:szCs w:val="24"/>
    </w:rPr>
  </w:style>
  <w:style w:type="paragraph" w:styleId="9">
    <w:name w:val="Normal Indent"/>
    <w:basedOn w:val="1"/>
    <w:link w:val="38"/>
    <w:qFormat/>
    <w:uiPriority w:val="0"/>
    <w:pPr>
      <w:ind w:firstLine="420" w:firstLineChars="200"/>
    </w:pPr>
    <w:rPr>
      <w:rFonts w:ascii="等线" w:hAnsi="等线" w:eastAsia="宋体" w:cs="Times New Roman"/>
      <w:szCs w:val="24"/>
    </w:rPr>
  </w:style>
  <w:style w:type="paragraph" w:styleId="10">
    <w:name w:val="annotation text"/>
    <w:basedOn w:val="1"/>
    <w:link w:val="53"/>
    <w:qFormat/>
    <w:uiPriority w:val="99"/>
    <w:pPr>
      <w:jc w:val="left"/>
    </w:pPr>
    <w:rPr>
      <w:rFonts w:ascii="Times New Roman" w:hAnsi="Times New Roman" w:eastAsia="宋体" w:cs="Times New Roman"/>
      <w:szCs w:val="24"/>
    </w:rPr>
  </w:style>
  <w:style w:type="paragraph" w:styleId="11">
    <w:name w:val="Body Text Indent"/>
    <w:basedOn w:val="1"/>
    <w:next w:val="1"/>
    <w:link w:val="34"/>
    <w:unhideWhenUsed/>
    <w:qFormat/>
    <w:uiPriority w:val="0"/>
    <w:pPr>
      <w:spacing w:after="120"/>
      <w:ind w:left="420" w:leftChars="200"/>
    </w:pPr>
    <w:rPr>
      <w:rFonts w:ascii="等线" w:hAnsi="等线" w:eastAsia="宋体" w:cs="Times New Roman"/>
      <w:szCs w:val="24"/>
    </w:rPr>
  </w:style>
  <w:style w:type="paragraph" w:styleId="12">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hAnsi="Times New Roman" w:eastAsia="宋体" w:cs="Times New Roman"/>
      <w:color w:val="000000"/>
      <w:kern w:val="0"/>
      <w:sz w:val="24"/>
      <w:szCs w:val="24"/>
    </w:rPr>
  </w:style>
  <w:style w:type="paragraph" w:styleId="13">
    <w:name w:val="Plain Text"/>
    <w:basedOn w:val="1"/>
    <w:next w:val="14"/>
    <w:link w:val="36"/>
    <w:qFormat/>
    <w:uiPriority w:val="0"/>
    <w:rPr>
      <w:rFonts w:ascii="??" w:hAnsi="??" w:eastAsia="??" w:cs="宋体"/>
      <w:szCs w:val="21"/>
    </w:rPr>
  </w:style>
  <w:style w:type="paragraph" w:styleId="14">
    <w:name w:val="Date"/>
    <w:basedOn w:val="1"/>
    <w:next w:val="1"/>
    <w:link w:val="39"/>
    <w:unhideWhenUsed/>
    <w:qFormat/>
    <w:uiPriority w:val="99"/>
    <w:pPr>
      <w:ind w:left="100" w:leftChars="2500"/>
    </w:pPr>
  </w:style>
  <w:style w:type="paragraph" w:styleId="15">
    <w:name w:val="endnote text"/>
    <w:basedOn w:val="1"/>
    <w:qFormat/>
    <w:uiPriority w:val="99"/>
    <w:pPr>
      <w:snapToGrid w:val="0"/>
      <w:jc w:val="left"/>
    </w:pPr>
  </w:style>
  <w:style w:type="paragraph" w:styleId="16">
    <w:name w:val="Balloon Text"/>
    <w:basedOn w:val="1"/>
    <w:link w:val="35"/>
    <w:unhideWhenUsed/>
    <w:qFormat/>
    <w:uiPriority w:val="0"/>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middleDot" w:pos="8789"/>
      </w:tabs>
      <w:spacing w:line="360" w:lineRule="auto"/>
    </w:pPr>
    <w:rPr>
      <w:rFonts w:ascii="Times New Roman" w:hAnsi="Times New Roman" w:eastAsia="宋体" w:cs="Times New Roman"/>
      <w:sz w:val="24"/>
      <w:szCs w:val="20"/>
    </w:rPr>
  </w:style>
  <w:style w:type="paragraph" w:styleId="20">
    <w:name w:val="toc 6"/>
    <w:basedOn w:val="1"/>
    <w:next w:val="1"/>
    <w:unhideWhenUsed/>
    <w:qFormat/>
    <w:uiPriority w:val="39"/>
    <w:pPr>
      <w:ind w:left="2100" w:leftChars="1000"/>
    </w:pPr>
    <w:rPr>
      <w:rFonts w:ascii="等线" w:hAnsi="等线" w:eastAsia="宋体" w:cs="Times New Roman"/>
      <w:szCs w:val="24"/>
    </w:rPr>
  </w:style>
  <w:style w:type="paragraph" w:styleId="21">
    <w:name w:val="toc 2"/>
    <w:basedOn w:val="1"/>
    <w:next w:val="1"/>
    <w:unhideWhenUsed/>
    <w:qFormat/>
    <w:uiPriority w:val="0"/>
    <w:pPr>
      <w:ind w:left="420" w:leftChars="200"/>
    </w:pPr>
  </w:style>
  <w:style w:type="paragraph" w:styleId="22">
    <w:name w:val="Normal (Web)"/>
    <w:basedOn w:val="1"/>
    <w:next w:val="21"/>
    <w:link w:val="37"/>
    <w:qFormat/>
    <w:uiPriority w:val="0"/>
    <w:pPr>
      <w:widowControl/>
      <w:spacing w:before="100" w:beforeAutospacing="1" w:after="100" w:afterAutospacing="1" w:line="300" w:lineRule="atLeast"/>
      <w:jc w:val="left"/>
    </w:pPr>
    <w:rPr>
      <w:rFonts w:ascii="宋体" w:hAnsi="宋体" w:eastAsia="宋体" w:cs="Times New Roman"/>
      <w:kern w:val="0"/>
      <w:sz w:val="24"/>
      <w:szCs w:val="24"/>
    </w:rPr>
  </w:style>
  <w:style w:type="paragraph" w:styleId="23">
    <w:name w:val="Title"/>
    <w:basedOn w:val="1"/>
    <w:next w:val="1"/>
    <w:qFormat/>
    <w:uiPriority w:val="99"/>
    <w:pPr>
      <w:widowControl/>
      <w:jc w:val="center"/>
    </w:pPr>
    <w:rPr>
      <w:rFonts w:ascii="宋体"/>
      <w:kern w:val="0"/>
      <w:sz w:val="40"/>
    </w:rPr>
  </w:style>
  <w:style w:type="paragraph" w:styleId="24">
    <w:name w:val="annotation subject"/>
    <w:basedOn w:val="10"/>
    <w:next w:val="10"/>
    <w:link w:val="55"/>
    <w:qFormat/>
    <w:uiPriority w:val="0"/>
    <w:rPr>
      <w:b/>
      <w:bCs/>
    </w:rPr>
  </w:style>
  <w:style w:type="paragraph" w:styleId="25">
    <w:name w:val="Body Text First Indent 2"/>
    <w:basedOn w:val="11"/>
    <w:link w:val="40"/>
    <w:unhideWhenUsed/>
    <w:qFormat/>
    <w:uiPriority w:val="0"/>
    <w:pPr>
      <w:ind w:firstLine="420" w:firstLineChars="200"/>
    </w:pPr>
    <w:rPr>
      <w:rFonts w:asciiTheme="minorHAnsi" w:hAnsiTheme="minorHAnsi" w:eastAsiaTheme="minorEastAsia" w:cstheme="minorBidi"/>
      <w:szCs w:val="22"/>
    </w:rPr>
  </w:style>
  <w:style w:type="table" w:styleId="27">
    <w:name w:val="Table Grid"/>
    <w:basedOn w:val="26"/>
    <w:qFormat/>
    <w:uiPriority w:val="39"/>
    <w:pPr>
      <w:jc w:val="both"/>
    </w:pPr>
    <w:rPr>
      <w:rFonts w:ascii="Arial" w:hAnsi="Arial" w:eastAsia="宋体" w:cs="Times New Roman"/>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table" w:styleId="28">
    <w:name w:val="Table Theme"/>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99"/>
    <w:rPr>
      <w:color w:val="0000FF"/>
      <w:u w:val="single"/>
    </w:rPr>
  </w:style>
  <w:style w:type="character" w:styleId="31">
    <w:name w:val="annotation reference"/>
    <w:basedOn w:val="29"/>
    <w:qFormat/>
    <w:uiPriority w:val="0"/>
    <w:rPr>
      <w:sz w:val="21"/>
      <w:szCs w:val="21"/>
    </w:rPr>
  </w:style>
  <w:style w:type="character" w:customStyle="1" w:styleId="32">
    <w:name w:val="页眉 字符"/>
    <w:basedOn w:val="29"/>
    <w:link w:val="18"/>
    <w:qFormat/>
    <w:uiPriority w:val="0"/>
    <w:rPr>
      <w:sz w:val="18"/>
      <w:szCs w:val="18"/>
    </w:rPr>
  </w:style>
  <w:style w:type="character" w:customStyle="1" w:styleId="33">
    <w:name w:val="页脚 字符"/>
    <w:basedOn w:val="29"/>
    <w:link w:val="17"/>
    <w:qFormat/>
    <w:uiPriority w:val="99"/>
    <w:rPr>
      <w:sz w:val="18"/>
      <w:szCs w:val="18"/>
    </w:rPr>
  </w:style>
  <w:style w:type="character" w:customStyle="1" w:styleId="34">
    <w:name w:val="正文文本缩进 字符"/>
    <w:basedOn w:val="29"/>
    <w:link w:val="11"/>
    <w:qFormat/>
    <w:uiPriority w:val="0"/>
    <w:rPr>
      <w:rFonts w:ascii="等线" w:hAnsi="等线" w:eastAsia="宋体" w:cs="Times New Roman"/>
      <w:szCs w:val="24"/>
    </w:rPr>
  </w:style>
  <w:style w:type="character" w:customStyle="1" w:styleId="35">
    <w:name w:val="批注框文本 字符"/>
    <w:basedOn w:val="29"/>
    <w:link w:val="16"/>
    <w:qFormat/>
    <w:uiPriority w:val="0"/>
    <w:rPr>
      <w:sz w:val="18"/>
      <w:szCs w:val="18"/>
    </w:rPr>
  </w:style>
  <w:style w:type="character" w:customStyle="1" w:styleId="36">
    <w:name w:val="纯文本 字符"/>
    <w:basedOn w:val="29"/>
    <w:link w:val="13"/>
    <w:qFormat/>
    <w:uiPriority w:val="0"/>
    <w:rPr>
      <w:rFonts w:ascii="??" w:hAnsi="??" w:eastAsia="??" w:cs="宋体"/>
      <w:szCs w:val="21"/>
    </w:rPr>
  </w:style>
  <w:style w:type="character" w:customStyle="1" w:styleId="37">
    <w:name w:val="普通(网站) 字符"/>
    <w:link w:val="22"/>
    <w:qFormat/>
    <w:uiPriority w:val="0"/>
    <w:rPr>
      <w:rFonts w:ascii="宋体" w:hAnsi="宋体" w:eastAsia="宋体" w:cs="Times New Roman"/>
      <w:kern w:val="0"/>
      <w:sz w:val="24"/>
      <w:szCs w:val="24"/>
    </w:rPr>
  </w:style>
  <w:style w:type="character" w:customStyle="1" w:styleId="38">
    <w:name w:val="正文缩进 字符"/>
    <w:link w:val="9"/>
    <w:qFormat/>
    <w:uiPriority w:val="0"/>
    <w:rPr>
      <w:rFonts w:ascii="等线" w:hAnsi="等线" w:eastAsia="宋体" w:cs="Times New Roman"/>
      <w:szCs w:val="24"/>
    </w:rPr>
  </w:style>
  <w:style w:type="character" w:customStyle="1" w:styleId="39">
    <w:name w:val="日期 字符"/>
    <w:basedOn w:val="29"/>
    <w:link w:val="14"/>
    <w:qFormat/>
    <w:uiPriority w:val="99"/>
  </w:style>
  <w:style w:type="character" w:customStyle="1" w:styleId="40">
    <w:name w:val="正文文本首行缩进 2 字符"/>
    <w:basedOn w:val="34"/>
    <w:link w:val="25"/>
    <w:qFormat/>
    <w:uiPriority w:val="0"/>
    <w:rPr>
      <w:rFonts w:ascii="等线" w:hAnsi="等线" w:eastAsia="宋体" w:cs="Times New Roman"/>
      <w:szCs w:val="24"/>
    </w:rPr>
  </w:style>
  <w:style w:type="paragraph" w:customStyle="1" w:styleId="41">
    <w:name w:val="纯文本1"/>
    <w:basedOn w:val="42"/>
    <w:qFormat/>
    <w:uiPriority w:val="0"/>
    <w:pPr>
      <w:widowControl/>
      <w:jc w:val="left"/>
    </w:pPr>
    <w:rPr>
      <w:rFonts w:ascii="宋体" w:hAnsi="Courier New"/>
    </w:rPr>
  </w:style>
  <w:style w:type="paragraph" w:customStyle="1" w:styleId="4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43">
    <w:name w:val="标题 1 Char Char"/>
    <w:qFormat/>
    <w:uiPriority w:val="0"/>
    <w:rPr>
      <w:rFonts w:eastAsia="宋体"/>
      <w:b/>
      <w:spacing w:val="-2"/>
      <w:sz w:val="24"/>
      <w:lang w:val="en-US" w:eastAsia="zh-CN" w:bidi="ar-SA"/>
    </w:rPr>
  </w:style>
  <w:style w:type="paragraph" w:customStyle="1" w:styleId="44">
    <w:name w:val="纯文本2"/>
    <w:basedOn w:val="1"/>
    <w:qFormat/>
    <w:uiPriority w:val="0"/>
    <w:rPr>
      <w:rFonts w:hint="eastAsia" w:ascii="宋体" w:hAnsi="宋体" w:eastAsia="宋体" w:cs="Times New Roman"/>
      <w:szCs w:val="20"/>
    </w:rPr>
  </w:style>
  <w:style w:type="character" w:customStyle="1" w:styleId="45">
    <w:name w:val="正文文本 字符"/>
    <w:basedOn w:val="29"/>
    <w:link w:val="3"/>
    <w:semiHidden/>
    <w:qFormat/>
    <w:uiPriority w:val="99"/>
  </w:style>
  <w:style w:type="paragraph" w:customStyle="1" w:styleId="46">
    <w:name w:val="4、正文"/>
    <w:basedOn w:val="1"/>
    <w:qFormat/>
    <w:uiPriority w:val="99"/>
    <w:pPr>
      <w:ind w:firstLine="200" w:firstLineChars="200"/>
    </w:pPr>
    <w:rPr>
      <w:rFonts w:ascii="宋体" w:hAnsi="Times New Roman" w:eastAsia="宋体" w:cs="Times New Roman"/>
      <w:sz w:val="24"/>
      <w:szCs w:val="28"/>
    </w:rPr>
  </w:style>
  <w:style w:type="paragraph" w:customStyle="1" w:styleId="47">
    <w:name w:val="样式 样式1 + 首行缩进:  2 字符"/>
    <w:basedOn w:val="1"/>
    <w:qFormat/>
    <w:uiPriority w:val="0"/>
    <w:pPr>
      <w:spacing w:line="360" w:lineRule="exact"/>
      <w:ind w:firstLine="420" w:firstLineChars="200"/>
    </w:pPr>
    <w:rPr>
      <w:rFonts w:ascii="Arial" w:hAnsi="Arial" w:eastAsia="宋体" w:cs="宋体"/>
      <w:szCs w:val="20"/>
    </w:rPr>
  </w:style>
  <w:style w:type="character" w:customStyle="1" w:styleId="48">
    <w:name w:val="列表段落 字符"/>
    <w:link w:val="49"/>
    <w:qFormat/>
    <w:uiPriority w:val="34"/>
    <w:rPr>
      <w:sz w:val="24"/>
      <w:szCs w:val="24"/>
    </w:rPr>
  </w:style>
  <w:style w:type="paragraph" w:styleId="49">
    <w:name w:val="List Paragraph"/>
    <w:basedOn w:val="1"/>
    <w:link w:val="48"/>
    <w:qFormat/>
    <w:uiPriority w:val="34"/>
    <w:pPr>
      <w:spacing w:line="360" w:lineRule="auto"/>
      <w:ind w:firstLine="420" w:firstLineChars="200"/>
    </w:pPr>
    <w:rPr>
      <w:sz w:val="24"/>
      <w:szCs w:val="24"/>
    </w:rPr>
  </w:style>
  <w:style w:type="character" w:customStyle="1" w:styleId="50">
    <w:name w:val="标题 1 字符"/>
    <w:basedOn w:val="29"/>
    <w:link w:val="4"/>
    <w:qFormat/>
    <w:uiPriority w:val="9"/>
    <w:rPr>
      <w:rFonts w:ascii="Times New Roman" w:hAnsi="Times New Roman" w:eastAsia="宋体" w:cs="Times New Roman"/>
      <w:b/>
      <w:bCs/>
      <w:kern w:val="44"/>
      <w:sz w:val="44"/>
      <w:szCs w:val="44"/>
    </w:rPr>
  </w:style>
  <w:style w:type="character" w:customStyle="1" w:styleId="51">
    <w:name w:val="标题 2 字符"/>
    <w:basedOn w:val="29"/>
    <w:link w:val="5"/>
    <w:qFormat/>
    <w:uiPriority w:val="0"/>
    <w:rPr>
      <w:rFonts w:ascii="宋体" w:hAnsi="宋体" w:eastAsia="宋体" w:cs="Times New Roman"/>
      <w:b/>
      <w:sz w:val="32"/>
      <w:szCs w:val="28"/>
    </w:rPr>
  </w:style>
  <w:style w:type="character" w:customStyle="1" w:styleId="52">
    <w:name w:val="标题 3 字符"/>
    <w:basedOn w:val="29"/>
    <w:link w:val="7"/>
    <w:semiHidden/>
    <w:qFormat/>
    <w:uiPriority w:val="0"/>
    <w:rPr>
      <w:rFonts w:ascii="Times New Roman" w:hAnsi="Times New Roman" w:eastAsia="宋体" w:cs="Times New Roman"/>
      <w:bCs/>
      <w:szCs w:val="32"/>
    </w:rPr>
  </w:style>
  <w:style w:type="character" w:customStyle="1" w:styleId="53">
    <w:name w:val="批注文字 字符"/>
    <w:basedOn w:val="29"/>
    <w:link w:val="10"/>
    <w:qFormat/>
    <w:uiPriority w:val="99"/>
    <w:rPr>
      <w:rFonts w:ascii="Times New Roman" w:hAnsi="Times New Roman" w:eastAsia="宋体" w:cs="Times New Roman"/>
      <w:szCs w:val="24"/>
    </w:rPr>
  </w:style>
  <w:style w:type="paragraph" w:customStyle="1" w:styleId="54">
    <w:name w:val="Quote1"/>
    <w:next w:val="1"/>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character" w:customStyle="1" w:styleId="55">
    <w:name w:val="批注主题 字符"/>
    <w:basedOn w:val="53"/>
    <w:link w:val="24"/>
    <w:qFormat/>
    <w:uiPriority w:val="0"/>
    <w:rPr>
      <w:rFonts w:ascii="Times New Roman" w:hAnsi="Times New Roman" w:eastAsia="宋体" w:cs="Times New Roman"/>
      <w:b/>
      <w:bCs/>
      <w:szCs w:val="24"/>
    </w:rPr>
  </w:style>
  <w:style w:type="character" w:customStyle="1" w:styleId="56">
    <w:name w:val="正文文本首行缩进 字符"/>
    <w:basedOn w:val="45"/>
    <w:link w:val="2"/>
    <w:qFormat/>
    <w:uiPriority w:val="99"/>
    <w:rPr>
      <w:rFonts w:ascii="Times New Roman" w:hAnsi="Times New Roman" w:eastAsia="宋体" w:cs="Times New Roman"/>
      <w:sz w:val="24"/>
      <w:szCs w:val="24"/>
    </w:rPr>
  </w:style>
  <w:style w:type="paragraph" w:customStyle="1" w:styleId="5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5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5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6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4"/>
    <w:qFormat/>
    <w:uiPriority w:val="0"/>
    <w:rPr>
      <w:rFonts w:ascii="Times New Roman" w:hAnsi="Times New Roman" w:eastAsia="宋体" w:cs="Times New Roman"/>
      <w:sz w:val="21"/>
      <w:szCs w:val="22"/>
      <w:lang w:val="en-US" w:eastAsia="zh-CN" w:bidi="ar-SA"/>
    </w:rPr>
  </w:style>
  <w:style w:type="paragraph" w:customStyle="1" w:styleId="6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纯文本_3"/>
    <w:basedOn w:val="65"/>
    <w:qFormat/>
    <w:uiPriority w:val="0"/>
    <w:pPr>
      <w:widowControl/>
      <w:jc w:val="left"/>
    </w:pPr>
    <w:rPr>
      <w:rFonts w:ascii="宋体" w:hAnsi="Courier New" w:eastAsiaTheme="minorEastAsia" w:cstheme="minorBidi"/>
      <w:szCs w:val="21"/>
    </w:rPr>
  </w:style>
  <w:style w:type="paragraph" w:customStyle="1" w:styleId="67">
    <w:name w:val="纯文本_0_1"/>
    <w:basedOn w:val="1"/>
    <w:qFormat/>
    <w:uiPriority w:val="0"/>
    <w:pPr>
      <w:widowControl/>
      <w:jc w:val="left"/>
    </w:pPr>
    <w:rPr>
      <w:rFonts w:ascii="宋体" w:hAnsi="Courier New"/>
      <w:szCs w:val="21"/>
    </w:rPr>
  </w:style>
  <w:style w:type="paragraph" w:customStyle="1" w:styleId="6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font21"/>
    <w:basedOn w:val="29"/>
    <w:qFormat/>
    <w:uiPriority w:val="0"/>
    <w:rPr>
      <w:rFonts w:hint="default" w:ascii="Arial" w:hAnsi="Arial" w:cs="Arial"/>
      <w:color w:val="000000"/>
      <w:sz w:val="20"/>
      <w:szCs w:val="20"/>
      <w:u w:val="none"/>
    </w:rPr>
  </w:style>
  <w:style w:type="character" w:customStyle="1" w:styleId="73">
    <w:name w:val="font01"/>
    <w:basedOn w:val="29"/>
    <w:qFormat/>
    <w:uiPriority w:val="0"/>
    <w:rPr>
      <w:rFonts w:hint="eastAsia" w:ascii="宋体" w:hAnsi="宋体" w:eastAsia="宋体" w:cs="宋体"/>
      <w:color w:val="000000"/>
      <w:sz w:val="20"/>
      <w:szCs w:val="20"/>
      <w:u w:val="none"/>
    </w:rPr>
  </w:style>
  <w:style w:type="paragraph" w:customStyle="1" w:styleId="74">
    <w:name w:val="Table Paragraph"/>
    <w:basedOn w:val="1"/>
    <w:qFormat/>
    <w:uiPriority w:val="1"/>
    <w:rPr>
      <w:rFonts w:ascii="宋体" w:hAnsi="宋体" w:eastAsia="宋体" w:cs="宋体"/>
      <w:szCs w:val="24"/>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正文ok"/>
    <w:basedOn w:val="1"/>
    <w:qFormat/>
    <w:uiPriority w:val="0"/>
    <w:pPr>
      <w:widowControl/>
      <w:spacing w:line="360" w:lineRule="auto"/>
      <w:ind w:firstLine="200" w:firstLineChars="200"/>
      <w:jc w:val="left"/>
    </w:pPr>
    <w:rPr>
      <w:rFonts w:hint="eastAsia" w:ascii="宋体" w:hAnsi="Times New Roman" w:eastAsia="宋体" w:cs="Times New Roman"/>
      <w:kern w:val="0"/>
      <w:sz w:val="24"/>
      <w:szCs w:val="20"/>
    </w:rPr>
  </w:style>
  <w:style w:type="paragraph" w:customStyle="1" w:styleId="78">
    <w:name w:val="样式 标题 2 + Times New Roman 四号 非加粗 段前: 5 磅 段后: 0 磅 行距: 固定值 20..."/>
    <w:basedOn w:val="5"/>
    <w:qFormat/>
    <w:uiPriority w:val="99"/>
    <w:pPr>
      <w:spacing w:before="100" w:line="400" w:lineRule="exact"/>
      <w:ind w:left="0"/>
    </w:pPr>
    <w:rPr>
      <w:rFonts w:ascii="Times New Roman" w:hAnsi="Times New Roman" w:cs="宋体"/>
      <w:b w:val="0"/>
      <w:sz w:val="28"/>
      <w:szCs w:val="20"/>
    </w:rPr>
  </w:style>
  <w:style w:type="paragraph" w:customStyle="1" w:styleId="79">
    <w:name w:val="签发人"/>
    <w:basedOn w:val="1"/>
    <w:qFormat/>
    <w:uiPriority w:val="0"/>
    <w:rPr>
      <w:rFonts w:ascii="Times New Roman" w:hAnsi="Times New Roman" w:eastAsia="楷体" w:cs="Times New Roman"/>
      <w:sz w:val="32"/>
      <w:szCs w:val="24"/>
    </w:rPr>
  </w:style>
  <w:style w:type="paragraph" w:customStyle="1" w:styleId="80">
    <w:name w:val="列出段落2"/>
    <w:basedOn w:val="1"/>
    <w:qFormat/>
    <w:uiPriority w:val="0"/>
    <w:pPr>
      <w:ind w:firstLine="420" w:firstLineChars="200"/>
    </w:pPr>
    <w:rPr>
      <w:rFonts w:ascii="Calibri" w:hAnsi="Calibri" w:eastAsia="楷体_GB2312" w:cs="Times New Roman"/>
    </w:rPr>
  </w:style>
  <w:style w:type="paragraph" w:customStyle="1" w:styleId="81">
    <w:name w:val="须知二级小标题"/>
    <w:basedOn w:val="1"/>
    <w:qFormat/>
    <w:uiPriority w:val="0"/>
    <w:pPr>
      <w:spacing w:line="500" w:lineRule="exact"/>
    </w:pPr>
    <w:rPr>
      <w:rFonts w:ascii="宋体" w:hAnsi="Calibri" w:eastAsia="宋体" w:cs="Times New Roman"/>
      <w:b/>
      <w:sz w:val="24"/>
      <w:szCs w:val="20"/>
    </w:rPr>
  </w:style>
  <w:style w:type="paragraph" w:customStyle="1" w:styleId="82">
    <w:name w:val="Char1"/>
    <w:basedOn w:val="1"/>
    <w:qFormat/>
    <w:uiPriority w:val="0"/>
    <w:pPr>
      <w:jc w:val="center"/>
    </w:pPr>
    <w:rPr>
      <w:rFonts w:ascii="仿宋_GB2312" w:hAnsi="Times New Roman" w:eastAsia="仿宋_GB2312" w:cs="Times New Roman"/>
      <w:b/>
      <w:kern w:val="0"/>
      <w:sz w:val="32"/>
      <w:szCs w:val="32"/>
      <w:lang w:val="en-GB"/>
    </w:rPr>
  </w:style>
  <w:style w:type="paragraph" w:customStyle="1" w:styleId="83">
    <w:name w:val="*正文"/>
    <w:basedOn w:val="1"/>
    <w:qFormat/>
    <w:uiPriority w:val="0"/>
    <w:pPr>
      <w:spacing w:line="360" w:lineRule="auto"/>
      <w:ind w:left="420" w:leftChars="200" w:firstLine="200" w:firstLineChars="200"/>
    </w:pPr>
    <w:rPr>
      <w:rFonts w:ascii="宋体" w:hAnsi="宋体"/>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16059</Words>
  <Characters>17224</Characters>
  <Lines>229</Lines>
  <Paragraphs>64</Paragraphs>
  <TotalTime>24</TotalTime>
  <ScaleCrop>false</ScaleCrop>
  <LinksUpToDate>false</LinksUpToDate>
  <CharactersWithSpaces>17287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2025-02-14T18:17:00Z</dcterms:created>
  <dc:creator>戴艳燕</dc:creator>
  <cp:lastModifiedBy>WPS_1686713146</cp:lastModifiedBy>
  <cp:lastPrinted>2025-02-14T16:39:00Z</cp:lastPrinted>
  <dcterms:modified xsi:type="dcterms:W3CDTF">2025-04-15T02:56:05Z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06B9D3D7B98A4FE49FED88EE138338FB_13</vt:lpwstr>
  </property>
  <property fmtid="{D5CDD505-2E9C-101B-9397-08002B2CF9AE}" pid="4" name="KSOTemplateDocerSaveRecord">
    <vt:lpwstr>eyJoZGlkIjoiZGZhMmY3ZDY3ZWY5ZjhkMmU3YjE5MjgzYWU4NThiZDAiLCJ1c2VySWQiOiIxNTA5MDM2Njc5In0=</vt:lpwstr>
  </property>
</Properties>
</file>