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846E3">
      <w:pPr>
        <w:shd w:val="clear" w:color="auto" w:fill="FFFFFF"/>
        <w:tabs>
          <w:tab w:val="left" w:pos="4500"/>
        </w:tabs>
        <w:snapToGrid w:val="0"/>
        <w:spacing w:line="360" w:lineRule="auto"/>
        <w:textAlignment w:val="bottom"/>
        <w:rPr>
          <w:rFonts w:ascii="宋体" w:hAnsi="宋体" w:cs="宋体"/>
          <w:b/>
          <w:bCs/>
          <w:color w:val="auto"/>
          <w:spacing w:val="6"/>
          <w:sz w:val="52"/>
          <w:szCs w:val="52"/>
          <w:highlight w:val="none"/>
        </w:rPr>
      </w:pPr>
      <w:r>
        <w:rPr>
          <w:rFonts w:hint="eastAsia"/>
          <w:color w:val="auto"/>
          <w:sz w:val="48"/>
          <w:szCs w:val="48"/>
          <w:highlight w:val="none"/>
        </w:rPr>
        <w:drawing>
          <wp:inline distT="0" distB="0" distL="114300" distR="114300">
            <wp:extent cx="1057275" cy="771525"/>
            <wp:effectExtent l="0" t="0" r="9525" b="9525"/>
            <wp:docPr id="1" name="图片 1" descr="8b7073bde8a3f52f88d1b7191676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7073bde8a3f52f88d1b7191676f41"/>
                    <pic:cNvPicPr>
                      <a:picLocks noChangeAspect="1"/>
                    </pic:cNvPicPr>
                  </pic:nvPicPr>
                  <pic:blipFill>
                    <a:blip r:embed="rId12"/>
                    <a:stretch>
                      <a:fillRect/>
                    </a:stretch>
                  </pic:blipFill>
                  <pic:spPr>
                    <a:xfrm>
                      <a:off x="0" y="0"/>
                      <a:ext cx="1057275" cy="771525"/>
                    </a:xfrm>
                    <a:prstGeom prst="rect">
                      <a:avLst/>
                    </a:prstGeom>
                    <a:noFill/>
                    <a:ln>
                      <a:noFill/>
                    </a:ln>
                  </pic:spPr>
                </pic:pic>
              </a:graphicData>
            </a:graphic>
          </wp:inline>
        </w:drawing>
      </w:r>
    </w:p>
    <w:p w14:paraId="2CA5D38A">
      <w:pPr>
        <w:shd w:val="clear" w:color="auto" w:fill="FFFFFF"/>
        <w:tabs>
          <w:tab w:val="left" w:pos="4500"/>
        </w:tabs>
        <w:snapToGrid w:val="0"/>
        <w:spacing w:line="360" w:lineRule="auto"/>
        <w:jc w:val="center"/>
        <w:textAlignment w:val="bottom"/>
        <w:rPr>
          <w:rFonts w:hint="eastAsia" w:ascii="宋体" w:hAnsi="宋体" w:eastAsia="宋体" w:cs="宋体"/>
          <w:b/>
          <w:bCs/>
          <w:color w:val="auto"/>
          <w:sz w:val="72"/>
          <w:szCs w:val="72"/>
          <w:highlight w:val="none"/>
          <w:lang w:eastAsia="zh-CN"/>
        </w:rPr>
      </w:pPr>
      <w:r>
        <w:rPr>
          <w:rFonts w:hint="eastAsia" w:ascii="宋体" w:hAnsi="宋体" w:cs="宋体"/>
          <w:b/>
          <w:bCs/>
          <w:color w:val="auto"/>
          <w:sz w:val="72"/>
          <w:szCs w:val="72"/>
          <w:highlight w:val="none"/>
          <w:lang w:eastAsia="zh-CN"/>
        </w:rPr>
        <w:t>电动自行车检验检测设备采购项目</w:t>
      </w:r>
    </w:p>
    <w:p w14:paraId="016C1440">
      <w:pPr>
        <w:shd w:val="clear" w:color="auto" w:fill="FFFFFF"/>
        <w:tabs>
          <w:tab w:val="left" w:pos="4500"/>
        </w:tabs>
        <w:snapToGrid w:val="0"/>
        <w:spacing w:line="360" w:lineRule="auto"/>
        <w:jc w:val="center"/>
        <w:textAlignment w:val="bottom"/>
        <w:rPr>
          <w:rFonts w:hint="eastAsia" w:ascii="宋体" w:hAnsi="宋体" w:cs="宋体"/>
          <w:b/>
          <w:bCs/>
          <w:color w:val="auto"/>
          <w:sz w:val="72"/>
          <w:szCs w:val="72"/>
          <w:highlight w:val="none"/>
          <w:lang w:val="en-US" w:eastAsia="zh-CN"/>
        </w:rPr>
      </w:pPr>
    </w:p>
    <w:p w14:paraId="3DA3D3C5">
      <w:pPr>
        <w:shd w:val="clear" w:color="auto" w:fill="FFFFFF"/>
        <w:tabs>
          <w:tab w:val="left" w:pos="4500"/>
        </w:tabs>
        <w:snapToGrid w:val="0"/>
        <w:spacing w:line="360" w:lineRule="auto"/>
        <w:jc w:val="center"/>
        <w:textAlignment w:val="bottom"/>
        <w:rPr>
          <w:rFonts w:hint="eastAsia" w:ascii="宋体" w:hAnsi="宋体" w:cs="宋体"/>
          <w:b/>
          <w:bCs/>
          <w:color w:val="auto"/>
          <w:sz w:val="72"/>
          <w:szCs w:val="72"/>
          <w:highlight w:val="none"/>
          <w:lang w:val="en-US" w:eastAsia="zh-CN"/>
        </w:rPr>
      </w:pPr>
    </w:p>
    <w:p w14:paraId="3F835E17">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lang w:val="en-US" w:eastAsia="zh-CN"/>
        </w:rPr>
        <w:t>政府采购</w:t>
      </w:r>
      <w:r>
        <w:rPr>
          <w:rFonts w:hint="eastAsia" w:ascii="宋体" w:hAnsi="宋体" w:cs="宋体"/>
          <w:b/>
          <w:bCs/>
          <w:color w:val="auto"/>
          <w:sz w:val="72"/>
          <w:szCs w:val="72"/>
          <w:highlight w:val="none"/>
        </w:rPr>
        <w:t>文件</w:t>
      </w:r>
    </w:p>
    <w:p w14:paraId="03A8A9AA">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（线上电子招投标）</w:t>
      </w:r>
    </w:p>
    <w:p w14:paraId="3F32FAF7">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s="宋体"/>
          <w:color w:val="auto"/>
          <w:sz w:val="48"/>
          <w:szCs w:val="48"/>
          <w:highlight w:val="none"/>
        </w:rPr>
        <mc:AlternateContent>
          <mc:Choice Requires="wps">
            <w:drawing>
              <wp:anchor distT="0" distB="0" distL="114300" distR="114300" simplePos="0" relativeHeight="251662336"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2336;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DtYH4l7QEAAOIDAAAOAAAAZHJzL2Uyb0RvYy54bWytU81uEzEQ&#10;viPxDpbvZNOgVmWVTQ8N5YIgEvAAE9u7a8l/8rjZ5CV4ASRucOLInbehPAZj7zaUcsmBPXjH4/E3&#10;830zXl7trWE7FVF71/Cz2Zwz5YSX2nUN//D+5tklZ5jASTDeqYYfFPKr1dMnyyHUauF7b6SKjEAc&#10;1kNoeJ9SqKsKRa8s4MwH5eiw9dFCom3sKhlhIHRrqsV8flENPsoQvVCI5F2Ph3xCjKcA+rbVQq29&#10;uLXKpRE1KgOJKGGvA/JVqbZtlUhv2xZVYqbhxDSVlZKQvc1rtVpC3UUIvRZTCXBKCY84WdCOkh6h&#10;1pCA3Ub9D5TVInr0bZoJb6uRSFGEWJzNH2nzroegCheSGsNRdPx/sOLNbhOZlg2ntjuw1PC7T99/&#10;fvzy68dnWu++fWWXWaQhYE2x124Tpx2GTcyM9220+U9c2L4IezgKq/aJCXJePD/nTNz7qz+XQsT0&#10;SnnLstFwo13mCzXsXmOiRBR6H5LdxrGh4S/OFxkOaPhaajqZNhABdF25i95oeaONyTcwdttrE9kO&#10;8gCUL9Mh3L/CcpI1YD/GlaNxNHoF8qWTLB0CSePoRfBcglWSM6PoAWWLAKFOoM0pkZTauHxBlfGc&#10;eGZ9R0WztfXyUISu8o5aXyqexjTP1sM92Q+f5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O1gfiXtAQAA4gMAAA4AAAAAAAAAAQAgAAAAIwEAAGRycy9lMm9Eb2MueG1sUEsFBgAAAAAGAAYA&#10;WQEAAIIFAAAAAA==&#10;">
                <v:fill on="f" focussize="0,0"/>
                <v:stroke color="#000000" joinstyle="round"/>
                <v:imagedata o:title=""/>
                <o:lock v:ext="edit" aspectratio="f"/>
                <w10:wrap type="square"/>
              </v:line>
            </w:pict>
          </mc:Fallback>
        </mc:AlternateContent>
      </w:r>
    </w:p>
    <w:p w14:paraId="44DFEC79">
      <w:pPr>
        <w:spacing w:line="360" w:lineRule="auto"/>
        <w:ind w:left="-210" w:leftChars="-100" w:right="-57" w:firstLine="1200" w:firstLineChars="400"/>
        <w:rPr>
          <w:rFonts w:hint="eastAsia"/>
          <w:color w:val="auto"/>
          <w:sz w:val="30"/>
          <w:szCs w:val="30"/>
          <w:highlight w:val="none"/>
        </w:rPr>
      </w:pPr>
    </w:p>
    <w:p w14:paraId="77F1CC4C">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lang w:eastAsia="zh-CN"/>
        </w:rPr>
        <w:t xml:space="preserve">ZGTZZB2025-0202 </w:t>
      </w:r>
    </w:p>
    <w:p w14:paraId="2EBCD69C">
      <w:pPr>
        <w:spacing w:line="360" w:lineRule="auto"/>
        <w:ind w:left="-210" w:leftChars="-100" w:right="-57" w:firstLine="1200" w:firstLineChars="400"/>
        <w:rPr>
          <w:rFonts w:hint="eastAsia" w:eastAsia="宋体"/>
          <w:color w:val="auto"/>
          <w:sz w:val="30"/>
          <w:szCs w:val="30"/>
          <w:highlight w:val="none"/>
          <w:lang w:eastAsia="zh-CN"/>
        </w:rPr>
      </w:pPr>
      <w:r>
        <w:rPr>
          <w:color w:val="auto"/>
          <w:sz w:val="30"/>
          <w:szCs w:val="30"/>
          <w:highlight w:val="none"/>
        </w:rPr>
        <w:t>采购人：</w:t>
      </w:r>
      <w:r>
        <w:rPr>
          <w:rFonts w:hint="eastAsia" w:asciiTheme="minorEastAsia" w:hAnsiTheme="minorEastAsia" w:eastAsiaTheme="minorEastAsia"/>
          <w:color w:val="auto"/>
          <w:sz w:val="30"/>
          <w:szCs w:val="30"/>
          <w:highlight w:val="none"/>
          <w:lang w:eastAsia="zh-CN"/>
        </w:rPr>
        <w:t>台州市产品质量安全检测研究院</w:t>
      </w:r>
    </w:p>
    <w:p w14:paraId="5A6C1F46">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：中冠工程管理咨询有限公司</w:t>
      </w:r>
    </w:p>
    <w:p w14:paraId="2EFDB53E">
      <w:pPr>
        <w:spacing w:line="360" w:lineRule="auto"/>
        <w:ind w:left="-210" w:leftChars="-100" w:right="-57" w:firstLine="1200" w:firstLineChars="400"/>
        <w:jc w:val="center"/>
        <w:rPr>
          <w:rFonts w:ascii="宋体" w:hAnsi="宋体" w:cs="宋体"/>
          <w:b/>
          <w:bCs/>
          <w:color w:val="auto"/>
          <w:sz w:val="30"/>
          <w:szCs w:val="30"/>
          <w:highlight w:val="none"/>
        </w:rPr>
      </w:pPr>
      <w:r>
        <w:rPr>
          <w:color w:val="auto"/>
          <w:sz w:val="30"/>
          <w:szCs w:val="30"/>
          <w:highlight w:val="none"/>
        </w:rPr>
        <w:t>二〇</w:t>
      </w:r>
      <w:r>
        <w:rPr>
          <w:rFonts w:hint="eastAsia"/>
          <w:color w:val="auto"/>
          <w:sz w:val="30"/>
          <w:szCs w:val="30"/>
          <w:highlight w:val="none"/>
        </w:rPr>
        <w:t>二</w:t>
      </w:r>
      <w:r>
        <w:rPr>
          <w:rFonts w:hint="eastAsia"/>
          <w:color w:val="auto"/>
          <w:sz w:val="30"/>
          <w:szCs w:val="30"/>
          <w:highlight w:val="none"/>
          <w:lang w:eastAsia="zh-CN"/>
        </w:rPr>
        <w:t>五</w:t>
      </w:r>
      <w:r>
        <w:rPr>
          <w:color w:val="auto"/>
          <w:sz w:val="30"/>
          <w:szCs w:val="30"/>
          <w:highlight w:val="none"/>
        </w:rPr>
        <w:t>年</w:t>
      </w:r>
      <w:r>
        <w:rPr>
          <w:rFonts w:hint="eastAsia"/>
          <w:color w:val="auto"/>
          <w:sz w:val="30"/>
          <w:szCs w:val="30"/>
          <w:highlight w:val="none"/>
          <w:lang w:eastAsia="zh-CN"/>
        </w:rPr>
        <w:t>二</w:t>
      </w:r>
      <w:r>
        <w:rPr>
          <w:color w:val="auto"/>
          <w:sz w:val="30"/>
          <w:szCs w:val="30"/>
          <w:highlight w:val="none"/>
        </w:rPr>
        <w:t>月</w:t>
      </w:r>
    </w:p>
    <w:p w14:paraId="1E1D9049">
      <w:pPr>
        <w:pageBreakBefore/>
        <w:shd w:val="clear" w:color="auto" w:fill="FFFFFF"/>
        <w:snapToGrid w:val="0"/>
        <w:spacing w:line="360" w:lineRule="auto"/>
        <w:jc w:val="center"/>
        <w:rPr>
          <w:rFonts w:ascii="宋体" w:hAnsi="宋体" w:cs="宋体"/>
          <w:b/>
          <w:bCs/>
          <w:color w:val="auto"/>
          <w:sz w:val="24"/>
          <w:highlight w:val="none"/>
        </w:rPr>
        <w:sectPr>
          <w:footerReference r:id="rId3" w:type="first"/>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14:paraId="1F888E5F">
      <w:pPr>
        <w:spacing w:line="600" w:lineRule="auto"/>
        <w:jc w:val="center"/>
        <w:rPr>
          <w:rFonts w:ascii="宋体" w:hAnsi="宋体"/>
          <w:b/>
          <w:bCs/>
          <w:color w:val="auto"/>
          <w:sz w:val="44"/>
          <w:szCs w:val="44"/>
          <w:highlight w:val="none"/>
        </w:rPr>
      </w:pPr>
      <w:r>
        <w:rPr>
          <w:rFonts w:ascii="宋体" w:hAnsi="宋体"/>
          <w:b/>
          <w:bCs/>
          <w:color w:val="auto"/>
          <w:sz w:val="44"/>
          <w:szCs w:val="44"/>
          <w:highlight w:val="none"/>
        </w:rPr>
        <w:t>目录</w:t>
      </w:r>
    </w:p>
    <w:p w14:paraId="43B93DE6">
      <w:pPr>
        <w:pStyle w:val="21"/>
        <w:spacing w:line="600" w:lineRule="auto"/>
        <w:rPr>
          <w:b/>
          <w:bCs/>
          <w:color w:val="auto"/>
          <w:highlight w:val="none"/>
        </w:rPr>
      </w:pPr>
    </w:p>
    <w:p w14:paraId="4051332A">
      <w:pPr>
        <w:pStyle w:val="33"/>
        <w:tabs>
          <w:tab w:val="right" w:leader="dot" w:pos="8306"/>
          <w:tab w:val="clear" w:pos="8789"/>
        </w:tabs>
        <w:spacing w:line="720" w:lineRule="auto"/>
        <w:rPr>
          <w:b/>
          <w:bCs/>
          <w:color w:val="auto"/>
          <w:sz w:val="28"/>
          <w:szCs w:val="28"/>
          <w:highlight w:val="none"/>
        </w:rPr>
      </w:pPr>
      <w:r>
        <w:rPr>
          <w:rFonts w:hint="eastAsia" w:ascii="宋体" w:hAnsi="宋体" w:cs="宋体"/>
          <w:b/>
          <w:bCs/>
          <w:color w:val="auto"/>
          <w:szCs w:val="24"/>
          <w:highlight w:val="none"/>
        </w:rPr>
        <w:fldChar w:fldCharType="begin"/>
      </w:r>
      <w:r>
        <w:rPr>
          <w:rFonts w:hint="eastAsia" w:ascii="宋体" w:hAnsi="宋体" w:cs="宋体"/>
          <w:b/>
          <w:bCs/>
          <w:color w:val="auto"/>
          <w:szCs w:val="24"/>
          <w:highlight w:val="none"/>
        </w:rPr>
        <w:instrText xml:space="preserve">TOC \o "1-1" \h \u </w:instrText>
      </w:r>
      <w:r>
        <w:rPr>
          <w:rFonts w:hint="eastAsia" w:ascii="宋体" w:hAnsi="宋体" w:cs="宋体"/>
          <w:b/>
          <w:bCs/>
          <w:color w:val="auto"/>
          <w:szCs w:val="24"/>
          <w:highlight w:val="none"/>
        </w:rPr>
        <w:fldChar w:fldCharType="separate"/>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_Toc20272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第一部分  采购公告</w:t>
      </w:r>
      <w:r>
        <w:rPr>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_Toc20272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64F0C2B1">
      <w:pPr>
        <w:pStyle w:val="33"/>
        <w:tabs>
          <w:tab w:val="right" w:leader="dot" w:pos="8306"/>
          <w:tab w:val="clear" w:pos="8789"/>
        </w:tabs>
        <w:spacing w:line="720" w:lineRule="auto"/>
        <w:rPr>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_Toc11664 </w:instrText>
      </w:r>
      <w:r>
        <w:rPr>
          <w:rFonts w:hint="eastAsia" w:ascii="宋体" w:hAnsi="宋体" w:cs="宋体"/>
          <w:b/>
          <w:bCs/>
          <w:color w:val="auto"/>
          <w:sz w:val="28"/>
          <w:szCs w:val="28"/>
          <w:highlight w:val="none"/>
        </w:rPr>
        <w:fldChar w:fldCharType="separate"/>
      </w:r>
      <w:r>
        <w:rPr>
          <w:rFonts w:hint="eastAsia" w:cs="宋体" w:asciiTheme="minorEastAsia" w:hAnsiTheme="minorEastAsia" w:eastAsiaTheme="minorEastAsia"/>
          <w:b/>
          <w:bCs/>
          <w:color w:val="auto"/>
          <w:sz w:val="28"/>
          <w:szCs w:val="28"/>
          <w:highlight w:val="none"/>
        </w:rPr>
        <w:t>第二部分  投标资料表</w:t>
      </w:r>
      <w:r>
        <w:rPr>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_Toc11664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7</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177234C8">
      <w:pPr>
        <w:pStyle w:val="33"/>
        <w:tabs>
          <w:tab w:val="right" w:leader="dot" w:pos="8306"/>
          <w:tab w:val="clear" w:pos="8789"/>
        </w:tabs>
        <w:spacing w:line="720" w:lineRule="auto"/>
        <w:rPr>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_Toc6841 </w:instrText>
      </w:r>
      <w:r>
        <w:rPr>
          <w:rFonts w:hint="eastAsia" w:ascii="宋体" w:hAnsi="宋体" w:cs="宋体"/>
          <w:b/>
          <w:bCs/>
          <w:color w:val="auto"/>
          <w:sz w:val="28"/>
          <w:szCs w:val="28"/>
          <w:highlight w:val="none"/>
        </w:rPr>
        <w:fldChar w:fldCharType="separate"/>
      </w:r>
      <w:r>
        <w:rPr>
          <w:rFonts w:hint="eastAsia" w:asciiTheme="minorEastAsia" w:hAnsiTheme="minorEastAsia" w:eastAsiaTheme="minorEastAsia"/>
          <w:b/>
          <w:bCs/>
          <w:color w:val="auto"/>
          <w:sz w:val="28"/>
          <w:szCs w:val="28"/>
          <w:highlight w:val="none"/>
        </w:rPr>
        <w:t>第三部分  投标</w:t>
      </w:r>
      <w:r>
        <w:rPr>
          <w:rFonts w:hint="eastAsia" w:asciiTheme="minorEastAsia" w:hAnsiTheme="minorEastAsia" w:eastAsiaTheme="minorEastAsia"/>
          <w:b/>
          <w:bCs/>
          <w:color w:val="auto"/>
          <w:sz w:val="28"/>
          <w:szCs w:val="28"/>
          <w:highlight w:val="none"/>
          <w:lang w:eastAsia="zh-CN"/>
        </w:rPr>
        <w:t>人</w:t>
      </w:r>
      <w:r>
        <w:rPr>
          <w:rFonts w:hint="eastAsia" w:asciiTheme="minorEastAsia" w:hAnsiTheme="minorEastAsia" w:eastAsiaTheme="minorEastAsia"/>
          <w:b/>
          <w:bCs/>
          <w:color w:val="auto"/>
          <w:sz w:val="28"/>
          <w:szCs w:val="28"/>
          <w:highlight w:val="none"/>
        </w:rPr>
        <w:t>须知</w:t>
      </w:r>
      <w:r>
        <w:rPr>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_Toc6841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10</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01CCC735">
      <w:pPr>
        <w:pStyle w:val="33"/>
        <w:tabs>
          <w:tab w:val="right" w:leader="dot" w:pos="8306"/>
          <w:tab w:val="clear" w:pos="8789"/>
        </w:tabs>
        <w:spacing w:line="720" w:lineRule="auto"/>
        <w:rPr>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_Toc19853 </w:instrText>
      </w:r>
      <w:r>
        <w:rPr>
          <w:rFonts w:hint="eastAsia" w:ascii="宋体" w:hAnsi="宋体" w:cs="宋体"/>
          <w:b/>
          <w:bCs/>
          <w:color w:val="auto"/>
          <w:sz w:val="28"/>
          <w:szCs w:val="28"/>
          <w:highlight w:val="none"/>
        </w:rPr>
        <w:fldChar w:fldCharType="separate"/>
      </w:r>
      <w:r>
        <w:rPr>
          <w:rFonts w:hint="eastAsia" w:asciiTheme="minorEastAsia" w:hAnsiTheme="minorEastAsia" w:eastAsiaTheme="minorEastAsia"/>
          <w:b/>
          <w:bCs/>
          <w:color w:val="auto"/>
          <w:sz w:val="28"/>
          <w:szCs w:val="28"/>
          <w:highlight w:val="none"/>
        </w:rPr>
        <w:t xml:space="preserve">第四部分 </w:t>
      </w:r>
      <w:r>
        <w:rPr>
          <w:rFonts w:hint="eastAsia" w:asciiTheme="minorEastAsia" w:hAnsiTheme="minorEastAsia" w:eastAsiaTheme="minorEastAsia"/>
          <w:b/>
          <w:bCs/>
          <w:color w:val="auto"/>
          <w:sz w:val="28"/>
          <w:szCs w:val="28"/>
          <w:highlight w:val="none"/>
          <w:lang w:val="en-US" w:eastAsia="zh-CN"/>
        </w:rPr>
        <w:t xml:space="preserve"> </w:t>
      </w:r>
      <w:r>
        <w:rPr>
          <w:rFonts w:hint="eastAsia" w:asciiTheme="minorEastAsia" w:hAnsiTheme="minorEastAsia" w:eastAsiaTheme="minorEastAsia"/>
          <w:b/>
          <w:bCs/>
          <w:color w:val="auto"/>
          <w:sz w:val="28"/>
          <w:szCs w:val="28"/>
          <w:highlight w:val="none"/>
        </w:rPr>
        <w:t>评标办法及评分标准</w:t>
      </w:r>
      <w:r>
        <w:rPr>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_Toc19853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25</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1EFE12B3">
      <w:pPr>
        <w:pStyle w:val="33"/>
        <w:tabs>
          <w:tab w:val="right" w:leader="dot" w:pos="8306"/>
          <w:tab w:val="clear" w:pos="8789"/>
        </w:tabs>
        <w:spacing w:line="720" w:lineRule="auto"/>
        <w:rPr>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_Toc19606 </w:instrText>
      </w:r>
      <w:r>
        <w:rPr>
          <w:rFonts w:hint="eastAsia" w:ascii="宋体" w:hAnsi="宋体" w:cs="宋体"/>
          <w:b/>
          <w:bCs/>
          <w:color w:val="auto"/>
          <w:sz w:val="28"/>
          <w:szCs w:val="28"/>
          <w:highlight w:val="none"/>
        </w:rPr>
        <w:fldChar w:fldCharType="separate"/>
      </w:r>
      <w:r>
        <w:rPr>
          <w:rFonts w:hint="eastAsia" w:asciiTheme="minorEastAsia" w:hAnsiTheme="minorEastAsia" w:eastAsiaTheme="minorEastAsia"/>
          <w:b/>
          <w:bCs/>
          <w:color w:val="auto"/>
          <w:sz w:val="28"/>
          <w:szCs w:val="28"/>
          <w:highlight w:val="none"/>
        </w:rPr>
        <w:t>第五部分  采购内容及要求</w:t>
      </w:r>
      <w:r>
        <w:rPr>
          <w:b/>
          <w:bCs/>
          <w:color w:val="auto"/>
          <w:sz w:val="28"/>
          <w:szCs w:val="28"/>
          <w:highlight w:val="none"/>
        </w:rPr>
        <w:tab/>
      </w:r>
      <w:r>
        <w:rPr>
          <w:rFonts w:hint="eastAsia" w:ascii="宋体" w:hAnsi="宋体" w:eastAsia="宋体" w:cs="宋体"/>
          <w:b/>
          <w:bCs/>
          <w:color w:val="auto"/>
          <w:sz w:val="28"/>
          <w:szCs w:val="28"/>
          <w:highlight w:val="none"/>
          <w:lang w:val="en-US" w:eastAsia="zh-CN"/>
        </w:rPr>
        <w:t>3</w:t>
      </w:r>
      <w:r>
        <w:rPr>
          <w:rFonts w:hint="eastAsia" w:ascii="宋体" w:hAnsi="宋体" w:cs="宋体"/>
          <w:b/>
          <w:bCs/>
          <w:color w:val="auto"/>
          <w:sz w:val="28"/>
          <w:szCs w:val="28"/>
          <w:highlight w:val="none"/>
          <w:lang w:val="en-US" w:eastAsia="zh-CN"/>
        </w:rPr>
        <w:t>0</w:t>
      </w:r>
      <w:r>
        <w:rPr>
          <w:rFonts w:hint="eastAsia" w:ascii="宋体" w:hAnsi="宋体" w:cs="宋体"/>
          <w:b/>
          <w:bCs/>
          <w:color w:val="auto"/>
          <w:sz w:val="28"/>
          <w:szCs w:val="28"/>
          <w:highlight w:val="none"/>
        </w:rPr>
        <w:fldChar w:fldCharType="end"/>
      </w:r>
    </w:p>
    <w:p w14:paraId="2E13C389">
      <w:pPr>
        <w:pStyle w:val="33"/>
        <w:tabs>
          <w:tab w:val="right" w:leader="dot" w:pos="8306"/>
          <w:tab w:val="clear" w:pos="8789"/>
        </w:tabs>
        <w:spacing w:line="720" w:lineRule="auto"/>
        <w:rPr>
          <w:rFonts w:hint="eastAsia" w:eastAsia="宋体"/>
          <w:b/>
          <w:bCs/>
          <w:color w:val="auto"/>
          <w:sz w:val="28"/>
          <w:szCs w:val="28"/>
          <w:highlight w:val="none"/>
          <w:lang w:val="en-US" w:eastAsia="zh-CN"/>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_Toc13728 </w:instrText>
      </w:r>
      <w:r>
        <w:rPr>
          <w:rFonts w:hint="eastAsia" w:ascii="宋体" w:hAnsi="宋体" w:cs="宋体"/>
          <w:b/>
          <w:bCs/>
          <w:color w:val="auto"/>
          <w:sz w:val="28"/>
          <w:szCs w:val="28"/>
          <w:highlight w:val="none"/>
        </w:rPr>
        <w:fldChar w:fldCharType="separate"/>
      </w:r>
      <w:r>
        <w:rPr>
          <w:rFonts w:hint="eastAsia" w:asciiTheme="minorEastAsia" w:hAnsiTheme="minorEastAsia" w:eastAsiaTheme="minorEastAsia"/>
          <w:b/>
          <w:bCs/>
          <w:color w:val="auto"/>
          <w:sz w:val="28"/>
          <w:szCs w:val="28"/>
          <w:highlight w:val="none"/>
        </w:rPr>
        <w:t xml:space="preserve">第六部分 </w:t>
      </w:r>
      <w:r>
        <w:rPr>
          <w:rFonts w:hint="eastAsia" w:asciiTheme="minorEastAsia" w:hAnsiTheme="minorEastAsia" w:eastAsiaTheme="minorEastAsia"/>
          <w:b/>
          <w:bCs/>
          <w:color w:val="auto"/>
          <w:sz w:val="28"/>
          <w:szCs w:val="28"/>
          <w:highlight w:val="none"/>
          <w:lang w:val="en-US" w:eastAsia="zh-CN"/>
        </w:rPr>
        <w:t xml:space="preserve"> </w:t>
      </w:r>
      <w:r>
        <w:rPr>
          <w:rFonts w:hint="eastAsia" w:asciiTheme="minorEastAsia" w:hAnsiTheme="minorEastAsia" w:eastAsiaTheme="minorEastAsia"/>
          <w:b/>
          <w:bCs/>
          <w:color w:val="auto"/>
          <w:sz w:val="28"/>
          <w:szCs w:val="28"/>
          <w:highlight w:val="none"/>
        </w:rPr>
        <w:t>拟签订的合同文本</w:t>
      </w:r>
      <w:r>
        <w:rPr>
          <w:b/>
          <w:bCs/>
          <w:color w:val="auto"/>
          <w:sz w:val="28"/>
          <w:szCs w:val="28"/>
          <w:highlight w:val="none"/>
        </w:rPr>
        <w:tab/>
      </w:r>
      <w:r>
        <w:rPr>
          <w:rFonts w:hint="eastAsia" w:ascii="宋体" w:hAnsi="宋体" w:eastAsia="宋体" w:cs="宋体"/>
          <w:b/>
          <w:bCs/>
          <w:color w:val="auto"/>
          <w:sz w:val="28"/>
          <w:szCs w:val="28"/>
          <w:highlight w:val="none"/>
          <w:lang w:val="en-US" w:eastAsia="zh-CN"/>
        </w:rPr>
        <w:t>4</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9</w:t>
      </w:r>
    </w:p>
    <w:p w14:paraId="3781F491">
      <w:pPr>
        <w:pStyle w:val="33"/>
        <w:tabs>
          <w:tab w:val="right" w:leader="dot" w:pos="8306"/>
          <w:tab w:val="clear" w:pos="8789"/>
        </w:tabs>
        <w:spacing w:line="720" w:lineRule="auto"/>
        <w:rPr>
          <w:rFonts w:hint="eastAsia" w:eastAsia="宋体"/>
          <w:b/>
          <w:bCs/>
          <w:color w:val="auto"/>
          <w:sz w:val="28"/>
          <w:szCs w:val="28"/>
          <w:highlight w:val="none"/>
          <w:lang w:val="en-US" w:eastAsia="zh-CN"/>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_Toc29060 </w:instrText>
      </w:r>
      <w:r>
        <w:rPr>
          <w:rFonts w:hint="eastAsia" w:ascii="宋体" w:hAnsi="宋体" w:cs="宋体"/>
          <w:b/>
          <w:bCs/>
          <w:color w:val="auto"/>
          <w:sz w:val="28"/>
          <w:szCs w:val="28"/>
          <w:highlight w:val="none"/>
        </w:rPr>
        <w:fldChar w:fldCharType="separate"/>
      </w:r>
      <w:r>
        <w:rPr>
          <w:rFonts w:hint="eastAsia" w:asciiTheme="minorEastAsia" w:hAnsiTheme="minorEastAsia" w:eastAsiaTheme="minorEastAsia"/>
          <w:b/>
          <w:bCs/>
          <w:color w:val="auto"/>
          <w:sz w:val="28"/>
          <w:szCs w:val="28"/>
          <w:highlight w:val="none"/>
        </w:rPr>
        <w:t xml:space="preserve">第七部分  </w:t>
      </w:r>
      <w:r>
        <w:rPr>
          <w:rFonts w:hint="eastAsia" w:cs="宋体" w:asciiTheme="minorEastAsia" w:hAnsiTheme="minorEastAsia" w:eastAsiaTheme="minorEastAsia"/>
          <w:b/>
          <w:bCs/>
          <w:color w:val="auto"/>
          <w:sz w:val="28"/>
          <w:szCs w:val="28"/>
          <w:highlight w:val="none"/>
        </w:rPr>
        <w:t>格式与表格</w:t>
      </w:r>
      <w:r>
        <w:rPr>
          <w:b/>
          <w:bCs/>
          <w:color w:val="auto"/>
          <w:sz w:val="28"/>
          <w:szCs w:val="28"/>
          <w:highlight w:val="none"/>
        </w:rPr>
        <w:tab/>
      </w:r>
      <w:r>
        <w:rPr>
          <w:rFonts w:hint="eastAsia" w:ascii="宋体" w:hAnsi="宋体" w:eastAsia="宋体" w:cs="宋体"/>
          <w:b/>
          <w:bCs/>
          <w:color w:val="auto"/>
          <w:sz w:val="28"/>
          <w:szCs w:val="28"/>
          <w:highlight w:val="none"/>
          <w:lang w:val="en-US" w:eastAsia="zh-CN"/>
        </w:rPr>
        <w:t>5</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5</w:t>
      </w:r>
    </w:p>
    <w:p w14:paraId="7404CA21">
      <w:pPr>
        <w:pStyle w:val="33"/>
        <w:tabs>
          <w:tab w:val="right" w:leader="dot" w:pos="8306"/>
          <w:tab w:val="clear" w:pos="8789"/>
        </w:tabs>
        <w:spacing w:line="600" w:lineRule="auto"/>
        <w:rPr>
          <w:b/>
          <w:bCs/>
          <w:color w:val="auto"/>
          <w:highlight w:val="none"/>
        </w:rPr>
      </w:pPr>
    </w:p>
    <w:p w14:paraId="2FFC76C6">
      <w:pPr>
        <w:spacing w:line="600" w:lineRule="auto"/>
        <w:rPr>
          <w:rFonts w:ascii="宋体" w:hAnsi="宋体" w:cs="宋体"/>
          <w:color w:val="auto"/>
          <w:sz w:val="24"/>
          <w:highlight w:val="none"/>
        </w:rPr>
      </w:pPr>
      <w:r>
        <w:rPr>
          <w:rFonts w:hint="eastAsia" w:ascii="宋体" w:hAnsi="宋体" w:cs="宋体"/>
          <w:b/>
          <w:bCs/>
          <w:color w:val="auto"/>
          <w:highlight w:val="none"/>
        </w:rPr>
        <w:fldChar w:fldCharType="end"/>
      </w:r>
    </w:p>
    <w:p w14:paraId="18D2F8DC">
      <w:pPr>
        <w:pStyle w:val="21"/>
        <w:rPr>
          <w:color w:val="auto"/>
          <w:highlight w:val="none"/>
        </w:rPr>
      </w:pPr>
    </w:p>
    <w:p w14:paraId="45713DCE">
      <w:pPr>
        <w:rPr>
          <w:color w:val="auto"/>
          <w:highlight w:val="none"/>
        </w:rPr>
      </w:pPr>
    </w:p>
    <w:p w14:paraId="601F5E8E">
      <w:pPr>
        <w:pStyle w:val="21"/>
        <w:rPr>
          <w:color w:val="auto"/>
          <w:highlight w:val="none"/>
        </w:rPr>
      </w:pPr>
    </w:p>
    <w:p w14:paraId="00F6ED0E">
      <w:pPr>
        <w:rPr>
          <w:color w:val="auto"/>
          <w:highlight w:val="none"/>
        </w:rPr>
      </w:pPr>
    </w:p>
    <w:p w14:paraId="31BD9C4E">
      <w:pPr>
        <w:pStyle w:val="21"/>
        <w:rPr>
          <w:color w:val="auto"/>
          <w:highlight w:val="none"/>
        </w:rPr>
      </w:pPr>
    </w:p>
    <w:p w14:paraId="2EBC7E11">
      <w:pPr>
        <w:rPr>
          <w:color w:val="auto"/>
          <w:highlight w:val="none"/>
        </w:rPr>
      </w:pPr>
    </w:p>
    <w:p w14:paraId="41984AF7">
      <w:pPr>
        <w:pStyle w:val="21"/>
        <w:rPr>
          <w:color w:val="auto"/>
          <w:highlight w:val="none"/>
        </w:rPr>
      </w:pPr>
    </w:p>
    <w:p w14:paraId="2E8649E1">
      <w:pPr>
        <w:rPr>
          <w:color w:val="auto"/>
          <w:highlight w:val="none"/>
        </w:rPr>
      </w:pPr>
    </w:p>
    <w:p w14:paraId="7EF9DEAF">
      <w:pPr>
        <w:pStyle w:val="21"/>
        <w:rPr>
          <w:color w:val="auto"/>
          <w:highlight w:val="none"/>
        </w:rPr>
      </w:pPr>
    </w:p>
    <w:p w14:paraId="06431889">
      <w:pPr>
        <w:rPr>
          <w:color w:val="auto"/>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EE0982D">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bookmarkStart w:id="0" w:name="_Toc1038"/>
      <w:bookmarkStart w:id="1" w:name="_Toc8375"/>
      <w:bookmarkStart w:id="2" w:name="_Toc20272"/>
      <w:bookmarkStart w:id="3" w:name="_Toc11758"/>
      <w:bookmarkStart w:id="4" w:name="_Toc25290"/>
      <w:bookmarkStart w:id="5" w:name="_Toc18128"/>
      <w:bookmarkStart w:id="6" w:name="_Toc12459"/>
      <w:r>
        <w:rPr>
          <w:rFonts w:hint="eastAsia" w:ascii="宋体" w:hAnsi="宋体" w:cs="宋体"/>
          <w:b/>
          <w:bCs/>
          <w:color w:val="auto"/>
          <w:sz w:val="32"/>
          <w:szCs w:val="32"/>
          <w:highlight w:val="none"/>
        </w:rPr>
        <w:t>第一部分  采购公告</w:t>
      </w:r>
      <w:bookmarkEnd w:id="0"/>
      <w:bookmarkEnd w:id="1"/>
      <w:bookmarkEnd w:id="2"/>
      <w:bookmarkEnd w:id="3"/>
      <w:bookmarkEnd w:id="4"/>
      <w:bookmarkEnd w:id="5"/>
      <w:bookmarkEnd w:id="6"/>
    </w:p>
    <w:p w14:paraId="34637408">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eastAsiaTheme="minorEastAsia"/>
          <w:color w:val="auto"/>
          <w:sz w:val="24"/>
          <w:highlight w:val="none"/>
        </w:rPr>
      </w:pPr>
      <w:bookmarkStart w:id="7" w:name="_Hlk51884093"/>
      <w:bookmarkStart w:id="8" w:name="_Toc262312595"/>
      <w:bookmarkStart w:id="9" w:name="_Toc263083249"/>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5E466587">
      <w:pPr>
        <w:pBdr>
          <w:top w:val="single" w:color="auto" w:sz="4" w:space="1"/>
          <w:left w:val="single" w:color="auto" w:sz="4" w:space="4"/>
          <w:bottom w:val="single" w:color="auto" w:sz="4" w:space="1"/>
          <w:right w:val="single" w:color="auto" w:sz="4" w:space="4"/>
        </w:pBdr>
        <w:spacing w:line="38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电动自行车检验检测设备采购项目</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03</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18</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0C59D439">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6813D401">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ZGTZZB2025-0202 </w:t>
      </w:r>
    </w:p>
    <w:p w14:paraId="41C3DB40">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lang w:eastAsia="zh-CN"/>
        </w:rPr>
        <w:t>电动自行车检验检测设备采购项目</w:t>
      </w:r>
    </w:p>
    <w:p w14:paraId="05AD9135">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1670000</w:t>
      </w:r>
    </w:p>
    <w:p w14:paraId="1DA9CA3B">
      <w:pPr>
        <w:widowControl/>
        <w:spacing w:line="380" w:lineRule="exact"/>
        <w:ind w:firstLine="480" w:firstLineChars="200"/>
        <w:contextualSpacing/>
        <w:jc w:val="left"/>
        <w:rPr>
          <w:rFonts w:hint="default" w:cs="宋体" w:asciiTheme="minorEastAsia" w:hAnsiTheme="minorEastAsia" w:eastAsiaTheme="minorEastAsia"/>
          <w:color w:val="auto"/>
          <w:sz w:val="24"/>
          <w:highlight w:val="none"/>
          <w:lang w:val="en-US"/>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1670000</w:t>
      </w:r>
    </w:p>
    <w:p w14:paraId="3E06128A">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6ED87B4C">
      <w:pPr>
        <w:pStyle w:val="43"/>
        <w:spacing w:before="0" w:beforeAutospacing="0" w:after="0" w:afterAutospacing="0" w:line="380" w:lineRule="exact"/>
        <w:ind w:firstLine="482" w:firstLineChars="200"/>
        <w:contextualSpacing/>
        <w:rPr>
          <w:rFonts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7A0B3924">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标项名称：北斗检测设备采购项目</w:t>
      </w:r>
    </w:p>
    <w:p w14:paraId="699B9872">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w:t>
      </w:r>
      <w:r>
        <w:rPr>
          <w:rFonts w:hint="eastAsia" w:asciiTheme="minorEastAsia" w:hAnsiTheme="minorEastAsia" w:eastAsiaTheme="minorEastAsia"/>
          <w:color w:val="auto"/>
          <w:kern w:val="2"/>
          <w:highlight w:val="none"/>
          <w:lang w:val="en-US" w:eastAsia="zh-CN"/>
        </w:rPr>
        <w:t>套</w:t>
      </w:r>
    </w:p>
    <w:p w14:paraId="516E4555">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kern w:val="2"/>
          <w:highlight w:val="none"/>
        </w:rPr>
        <w:t>预算金额（元）：1300000</w:t>
      </w:r>
    </w:p>
    <w:p w14:paraId="5FEFA810">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hint="eastAsia" w:cs="宋体" w:asciiTheme="minorEastAsia" w:hAnsiTheme="minorEastAsia" w:eastAsiaTheme="minorEastAsia"/>
          <w:color w:val="auto"/>
          <w:sz w:val="24"/>
          <w:highlight w:val="none"/>
          <w:lang w:eastAsia="zh-CN"/>
        </w:rPr>
        <w:t>：1300000</w:t>
      </w:r>
    </w:p>
    <w:p w14:paraId="2DF6E0D2">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299659F7">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lang w:eastAsia="zh-CN"/>
        </w:rPr>
        <w:t>交货</w:t>
      </w:r>
      <w:r>
        <w:rPr>
          <w:rFonts w:hint="eastAsia" w:asciiTheme="minorEastAsia" w:hAnsiTheme="minorEastAsia" w:eastAsiaTheme="minorEastAsia"/>
          <w:color w:val="auto"/>
          <w:kern w:val="2"/>
          <w:highlight w:val="none"/>
          <w:lang w:val="en-US" w:eastAsia="zh-CN"/>
        </w:rPr>
        <w:t>期</w:t>
      </w:r>
      <w:r>
        <w:rPr>
          <w:rFonts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rPr>
        <w:t>合同签订之日起</w:t>
      </w:r>
      <w:r>
        <w:rPr>
          <w:rFonts w:hint="eastAsia" w:asciiTheme="minorEastAsia" w:hAnsiTheme="minorEastAsia" w:eastAsiaTheme="minorEastAsia"/>
          <w:color w:val="auto"/>
          <w:kern w:val="2"/>
          <w:highlight w:val="none"/>
          <w:lang w:val="en-US" w:eastAsia="zh-CN"/>
        </w:rPr>
        <w:t>30日历天</w:t>
      </w:r>
      <w:r>
        <w:rPr>
          <w:rFonts w:hint="eastAsia" w:asciiTheme="minorEastAsia" w:hAnsiTheme="minorEastAsia" w:eastAsiaTheme="minorEastAsia"/>
          <w:color w:val="auto"/>
          <w:kern w:val="2"/>
          <w:highlight w:val="none"/>
        </w:rPr>
        <w:t>内</w:t>
      </w:r>
      <w:r>
        <w:rPr>
          <w:rFonts w:hint="eastAsia" w:asciiTheme="minorEastAsia" w:hAnsiTheme="minorEastAsia" w:eastAsiaTheme="minorEastAsia"/>
          <w:color w:val="auto"/>
          <w:kern w:val="2"/>
          <w:highlight w:val="none"/>
          <w:lang w:val="en-US" w:eastAsia="zh-CN"/>
        </w:rPr>
        <w:t>完成</w:t>
      </w:r>
      <w:r>
        <w:rPr>
          <w:rFonts w:hint="eastAsia" w:ascii="宋体" w:hAnsi="宋体" w:cs="宋体"/>
          <w:bCs/>
          <w:color w:val="auto"/>
          <w:sz w:val="24"/>
          <w:szCs w:val="24"/>
          <w:highlight w:val="none"/>
          <w:lang w:val="en-US" w:eastAsia="zh-CN"/>
        </w:rPr>
        <w:t>场地基础改造、供货、</w:t>
      </w:r>
      <w:r>
        <w:rPr>
          <w:rFonts w:hint="eastAsia" w:asciiTheme="minorEastAsia" w:hAnsiTheme="minorEastAsia" w:eastAsiaTheme="minorEastAsia"/>
          <w:color w:val="auto"/>
          <w:kern w:val="2"/>
          <w:highlight w:val="none"/>
        </w:rPr>
        <w:t>安装</w:t>
      </w:r>
      <w:r>
        <w:rPr>
          <w:rFonts w:hint="eastAsia" w:asciiTheme="minorEastAsia" w:hAnsiTheme="minorEastAsia" w:eastAsiaTheme="minorEastAsia"/>
          <w:color w:val="auto"/>
          <w:kern w:val="2"/>
          <w:highlight w:val="none"/>
          <w:lang w:val="en-US" w:eastAsia="zh-CN"/>
        </w:rPr>
        <w:t>以及</w:t>
      </w:r>
      <w:r>
        <w:rPr>
          <w:rFonts w:hint="eastAsia" w:asciiTheme="minorEastAsia" w:hAnsiTheme="minorEastAsia" w:eastAsiaTheme="minorEastAsia"/>
          <w:color w:val="auto"/>
          <w:kern w:val="2"/>
          <w:highlight w:val="none"/>
        </w:rPr>
        <w:t>调试</w:t>
      </w:r>
      <w:r>
        <w:rPr>
          <w:rFonts w:hint="eastAsia" w:asciiTheme="minorEastAsia" w:hAnsiTheme="minorEastAsia" w:eastAsiaTheme="minorEastAsia"/>
          <w:color w:val="auto"/>
          <w:kern w:val="2"/>
          <w:highlight w:val="none"/>
          <w:lang w:eastAsia="zh-CN"/>
        </w:rPr>
        <w:t>。</w:t>
      </w:r>
    </w:p>
    <w:p w14:paraId="147E43A7">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7F63B689">
      <w:pPr>
        <w:widowControl/>
        <w:spacing w:line="380" w:lineRule="exact"/>
        <w:ind w:firstLine="480" w:firstLineChars="200"/>
        <w:contextualSpacing/>
        <w:jc w:val="left"/>
        <w:rPr>
          <w:color w:val="auto"/>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42207249">
      <w:pPr>
        <w:widowControl/>
        <w:spacing w:line="380" w:lineRule="exact"/>
        <w:ind w:firstLine="482" w:firstLineChars="200"/>
        <w:contextualSpacing/>
        <w:jc w:val="left"/>
        <w:rPr>
          <w:rFonts w:hint="eastAsia" w:cs="宋体" w:asciiTheme="minorEastAsia" w:hAnsiTheme="minorEastAsia" w:eastAsiaTheme="minorEastAsia"/>
          <w:b/>
          <w:bCs/>
          <w:color w:val="auto"/>
          <w:sz w:val="24"/>
          <w:highlight w:val="none"/>
          <w:lang w:eastAsia="zh-CN"/>
        </w:rPr>
      </w:pPr>
    </w:p>
    <w:p w14:paraId="68E60467">
      <w:pPr>
        <w:widowControl/>
        <w:spacing w:line="380" w:lineRule="exact"/>
        <w:ind w:firstLine="482" w:firstLineChars="200"/>
        <w:contextualSpacing/>
        <w:jc w:val="left"/>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标项二：</w:t>
      </w:r>
    </w:p>
    <w:p w14:paraId="7EE92627">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标项名称：防火阻燃检测设备采购项目</w:t>
      </w:r>
    </w:p>
    <w:p w14:paraId="1493CF92">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w:t>
      </w:r>
      <w:r>
        <w:rPr>
          <w:rFonts w:hint="eastAsia" w:asciiTheme="minorEastAsia" w:hAnsiTheme="minorEastAsia" w:eastAsiaTheme="minorEastAsia"/>
          <w:color w:val="auto"/>
          <w:kern w:val="2"/>
          <w:highlight w:val="none"/>
          <w:lang w:val="en-US" w:eastAsia="zh-CN"/>
        </w:rPr>
        <w:t>套</w:t>
      </w:r>
    </w:p>
    <w:p w14:paraId="2F51B654">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kern w:val="2"/>
          <w:highlight w:val="none"/>
        </w:rPr>
        <w:t>预算金额（元）：370000</w:t>
      </w:r>
    </w:p>
    <w:p w14:paraId="433975FC">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hint="eastAsia" w:cs="宋体" w:asciiTheme="minorEastAsia" w:hAnsiTheme="minorEastAsia" w:eastAsiaTheme="minorEastAsia"/>
          <w:color w:val="auto"/>
          <w:sz w:val="24"/>
          <w:highlight w:val="none"/>
          <w:lang w:eastAsia="zh-CN"/>
        </w:rPr>
        <w:t>：370000</w:t>
      </w:r>
    </w:p>
    <w:p w14:paraId="33A1EA44">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25C12CDD">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lang w:eastAsia="zh-CN"/>
        </w:rPr>
        <w:t>交货期</w:t>
      </w:r>
      <w:r>
        <w:rPr>
          <w:rFonts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rPr>
        <w:t>合同签订之日起</w:t>
      </w:r>
      <w:r>
        <w:rPr>
          <w:rFonts w:hint="eastAsia" w:asciiTheme="minorEastAsia" w:hAnsiTheme="minorEastAsia" w:eastAsiaTheme="minorEastAsia"/>
          <w:color w:val="auto"/>
          <w:kern w:val="2"/>
          <w:highlight w:val="none"/>
          <w:lang w:val="en-US" w:eastAsia="zh-CN"/>
        </w:rPr>
        <w:t>30日历天</w:t>
      </w:r>
      <w:r>
        <w:rPr>
          <w:rFonts w:hint="eastAsia" w:asciiTheme="minorEastAsia" w:hAnsiTheme="minorEastAsia" w:eastAsiaTheme="minorEastAsia"/>
          <w:color w:val="auto"/>
          <w:kern w:val="2"/>
          <w:highlight w:val="none"/>
        </w:rPr>
        <w:t>内</w:t>
      </w:r>
      <w:r>
        <w:rPr>
          <w:rFonts w:hint="eastAsia" w:asciiTheme="minorEastAsia" w:hAnsiTheme="minorEastAsia" w:eastAsiaTheme="minorEastAsia"/>
          <w:color w:val="auto"/>
          <w:kern w:val="2"/>
          <w:highlight w:val="none"/>
          <w:lang w:val="en-US" w:eastAsia="zh-CN"/>
        </w:rPr>
        <w:t>完成</w:t>
      </w:r>
      <w:r>
        <w:rPr>
          <w:rFonts w:hint="eastAsia" w:ascii="宋体" w:hAnsi="宋体" w:cs="宋体"/>
          <w:bCs/>
          <w:color w:val="auto"/>
          <w:sz w:val="24"/>
          <w:szCs w:val="24"/>
          <w:highlight w:val="none"/>
          <w:lang w:val="en-US" w:eastAsia="zh-CN"/>
        </w:rPr>
        <w:t>场地基础改造、供货、</w:t>
      </w:r>
      <w:r>
        <w:rPr>
          <w:rFonts w:hint="eastAsia" w:asciiTheme="minorEastAsia" w:hAnsiTheme="minorEastAsia" w:eastAsiaTheme="minorEastAsia"/>
          <w:color w:val="auto"/>
          <w:kern w:val="2"/>
          <w:highlight w:val="none"/>
        </w:rPr>
        <w:t>安装</w:t>
      </w:r>
      <w:r>
        <w:rPr>
          <w:rFonts w:hint="eastAsia" w:asciiTheme="minorEastAsia" w:hAnsiTheme="minorEastAsia" w:eastAsiaTheme="minorEastAsia"/>
          <w:color w:val="auto"/>
          <w:kern w:val="2"/>
          <w:highlight w:val="none"/>
          <w:lang w:val="en-US" w:eastAsia="zh-CN"/>
        </w:rPr>
        <w:t>以及</w:t>
      </w:r>
      <w:r>
        <w:rPr>
          <w:rFonts w:hint="eastAsia" w:asciiTheme="minorEastAsia" w:hAnsiTheme="minorEastAsia" w:eastAsiaTheme="minorEastAsia"/>
          <w:color w:val="auto"/>
          <w:kern w:val="2"/>
          <w:highlight w:val="none"/>
        </w:rPr>
        <w:t>调试</w:t>
      </w:r>
      <w:r>
        <w:rPr>
          <w:rFonts w:hint="eastAsia" w:asciiTheme="minorEastAsia" w:hAnsiTheme="minorEastAsia" w:eastAsiaTheme="minorEastAsia"/>
          <w:color w:val="auto"/>
          <w:kern w:val="2"/>
          <w:highlight w:val="none"/>
          <w:lang w:eastAsia="zh-CN"/>
        </w:rPr>
        <w:t>。</w:t>
      </w:r>
    </w:p>
    <w:p w14:paraId="231AD0AC">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4F4B836D">
      <w:pPr>
        <w:widowControl/>
        <w:spacing w:line="380" w:lineRule="exact"/>
        <w:ind w:firstLine="480" w:firstLineChars="200"/>
        <w:contextualSpacing/>
        <w:jc w:val="left"/>
        <w:rPr>
          <w:color w:val="auto"/>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59549370">
      <w:pPr>
        <w:widowControl/>
        <w:spacing w:line="380" w:lineRule="exact"/>
        <w:contextualSpacing/>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17421BC0">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63573914">
      <w:pPr>
        <w:widowControl/>
        <w:spacing w:line="380" w:lineRule="exact"/>
        <w:ind w:firstLine="480" w:firstLineChars="200"/>
        <w:contextualSpacing/>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color w:val="auto"/>
          <w:sz w:val="24"/>
          <w:highlight w:val="none"/>
        </w:rPr>
        <w:t>2、落实政府采购政策需满足的资格要求：</w:t>
      </w:r>
      <w:r>
        <w:rPr>
          <w:rFonts w:hint="eastAsia" w:cs="宋体" w:asciiTheme="minorEastAsia" w:hAnsiTheme="minorEastAsia" w:eastAsiaTheme="minorEastAsia"/>
          <w:b/>
          <w:bCs/>
          <w:color w:val="auto"/>
          <w:sz w:val="24"/>
          <w:highlight w:val="none"/>
          <w:lang w:eastAsia="zh-CN"/>
        </w:rPr>
        <w:t>本项目标项一、标项二均专门面向中小企业采购，货物及相关服务全部由符合政策要求的中小企业承接，提供中小企业声明函（残疾人福利性企业、监狱企业视同小微企业）。</w:t>
      </w:r>
    </w:p>
    <w:p w14:paraId="176D2C5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rPr>
        <w:t>无。</w:t>
      </w:r>
    </w:p>
    <w:p w14:paraId="6289A932">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0F605B">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7283DAEB">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w:t>
      </w:r>
      <w:r>
        <w:rPr>
          <w:rFonts w:hint="eastAsia" w:asciiTheme="minorEastAsia" w:hAnsiTheme="minorEastAsia" w:eastAsiaTheme="minorEastAsia"/>
          <w:color w:val="auto"/>
          <w:sz w:val="24"/>
          <w:highlight w:val="none"/>
          <w:lang w:eastAsia="zh-CN"/>
        </w:rPr>
        <w:t>2025年</w:t>
      </w:r>
      <w:r>
        <w:rPr>
          <w:rFonts w:hint="eastAsia" w:asciiTheme="minorEastAsia" w:hAnsiTheme="minorEastAsia" w:eastAsiaTheme="minorEastAsia"/>
          <w:color w:val="auto"/>
          <w:sz w:val="24"/>
          <w:highlight w:val="none"/>
          <w:lang w:val="en-US" w:eastAsia="zh-CN"/>
        </w:rPr>
        <w:t>03</w:t>
      </w:r>
      <w:r>
        <w:rPr>
          <w:rFonts w:hint="eastAsia" w:asciiTheme="minorEastAsia" w:hAnsiTheme="minorEastAsia" w:eastAsiaTheme="minorEastAsia"/>
          <w:color w:val="auto"/>
          <w:sz w:val="24"/>
          <w:highlight w:val="none"/>
          <w:lang w:eastAsia="zh-CN"/>
        </w:rPr>
        <w:t>月</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lang w:eastAsia="zh-CN"/>
        </w:rPr>
        <w:t>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008C626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036D89AE">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4CAE7689">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5951CB9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2C127341">
      <w:pPr>
        <w:widowControl/>
        <w:spacing w:line="380" w:lineRule="exact"/>
        <w:ind w:firstLine="590" w:firstLineChars="245"/>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0218A05D">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1145B382">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256BE2D3">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asciiTheme="minorEastAsia" w:hAnsiTheme="minorEastAsia" w:eastAsiaTheme="minorEastAsia"/>
          <w:color w:val="auto"/>
          <w:sz w:val="24"/>
          <w:highlight w:val="none"/>
          <w:lang w:eastAsia="zh-CN"/>
        </w:rPr>
        <w:t>2025年</w:t>
      </w:r>
      <w:r>
        <w:rPr>
          <w:rFonts w:hint="eastAsia" w:asciiTheme="minorEastAsia" w:hAnsiTheme="minorEastAsia" w:eastAsiaTheme="minorEastAsia"/>
          <w:color w:val="auto"/>
          <w:sz w:val="24"/>
          <w:highlight w:val="none"/>
          <w:lang w:val="en-US" w:eastAsia="zh-CN"/>
        </w:rPr>
        <w:t>03</w:t>
      </w:r>
      <w:r>
        <w:rPr>
          <w:rFonts w:hint="eastAsia" w:asciiTheme="minorEastAsia" w:hAnsiTheme="minorEastAsia" w:eastAsiaTheme="minorEastAsia"/>
          <w:color w:val="auto"/>
          <w:sz w:val="24"/>
          <w:highlight w:val="none"/>
          <w:lang w:eastAsia="zh-CN"/>
        </w:rPr>
        <w:t>月</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lang w:eastAsia="zh-CN"/>
        </w:rPr>
        <w:t>日</w:t>
      </w:r>
      <w:r>
        <w:rPr>
          <w:rFonts w:cs="宋体" w:asciiTheme="minorEastAsia" w:hAnsiTheme="minorEastAsia" w:eastAsiaTheme="minorEastAsia"/>
          <w:color w:val="auto"/>
          <w:sz w:val="24"/>
          <w:highlight w:val="none"/>
        </w:rPr>
        <w:t>09:00</w:t>
      </w:r>
      <w:r>
        <w:rPr>
          <w:rFonts w:hint="eastAsia" w:cs="宋体" w:asciiTheme="minorEastAsia" w:hAnsiTheme="minorEastAsia" w:eastAsiaTheme="minorEastAsia"/>
          <w:color w:val="auto"/>
          <w:sz w:val="24"/>
          <w:highlight w:val="none"/>
        </w:rPr>
        <w:t>:00</w:t>
      </w:r>
      <w:r>
        <w:rPr>
          <w:rFonts w:cs="宋体" w:asciiTheme="minorEastAsia" w:hAnsiTheme="minorEastAsia" w:eastAsiaTheme="minorEastAsia"/>
          <w:color w:val="auto"/>
          <w:sz w:val="24"/>
          <w:highlight w:val="none"/>
        </w:rPr>
        <w:t>（北京时间）</w:t>
      </w:r>
    </w:p>
    <w:p w14:paraId="2A44D866">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7EB4A866">
      <w:pPr>
        <w:widowControl/>
        <w:spacing w:line="380" w:lineRule="exact"/>
        <w:ind w:firstLine="472" w:firstLineChars="196"/>
        <w:contextualSpacing/>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b/>
          <w:color w:val="auto"/>
          <w:sz w:val="24"/>
          <w:highlight w:val="none"/>
        </w:rPr>
        <w:t>开标时间：</w:t>
      </w:r>
      <w:r>
        <w:rPr>
          <w:rFonts w:hint="eastAsia" w:asciiTheme="minorEastAsia" w:hAnsiTheme="minorEastAsia" w:eastAsiaTheme="minorEastAsia"/>
          <w:color w:val="auto"/>
          <w:sz w:val="24"/>
          <w:highlight w:val="none"/>
          <w:lang w:eastAsia="zh-CN"/>
        </w:rPr>
        <w:t>2025年</w:t>
      </w:r>
      <w:r>
        <w:rPr>
          <w:rFonts w:hint="eastAsia" w:asciiTheme="minorEastAsia" w:hAnsiTheme="minorEastAsia" w:eastAsiaTheme="minorEastAsia"/>
          <w:color w:val="auto"/>
          <w:sz w:val="24"/>
          <w:highlight w:val="none"/>
          <w:lang w:val="en-US" w:eastAsia="zh-CN"/>
        </w:rPr>
        <w:t>03</w:t>
      </w:r>
      <w:r>
        <w:rPr>
          <w:rFonts w:hint="eastAsia" w:asciiTheme="minorEastAsia" w:hAnsiTheme="minorEastAsia" w:eastAsiaTheme="minorEastAsia"/>
          <w:color w:val="auto"/>
          <w:sz w:val="24"/>
          <w:highlight w:val="none"/>
          <w:lang w:eastAsia="zh-CN"/>
        </w:rPr>
        <w:t>月</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lang w:eastAsia="zh-CN"/>
        </w:rPr>
        <w:t>日</w:t>
      </w:r>
      <w:r>
        <w:rPr>
          <w:rFonts w:cs="宋体" w:asciiTheme="minorEastAsia" w:hAnsiTheme="minorEastAsia" w:eastAsiaTheme="minorEastAsia"/>
          <w:color w:val="auto"/>
          <w:sz w:val="24"/>
          <w:highlight w:val="none"/>
        </w:rPr>
        <w:t>09:00</w:t>
      </w:r>
      <w:r>
        <w:rPr>
          <w:rFonts w:hint="eastAsia" w:cs="宋体" w:asciiTheme="minorEastAsia" w:hAnsiTheme="minorEastAsia" w:eastAsiaTheme="minorEastAsia"/>
          <w:color w:val="auto"/>
          <w:sz w:val="24"/>
          <w:highlight w:val="none"/>
        </w:rPr>
        <w:t>:00</w:t>
      </w:r>
    </w:p>
    <w:p w14:paraId="4D0A1F55">
      <w:pPr>
        <w:widowControl/>
        <w:spacing w:line="380" w:lineRule="exact"/>
        <w:ind w:firstLine="479" w:firstLineChars="199"/>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bCs/>
          <w:color w:val="auto"/>
          <w:sz w:val="24"/>
          <w:highlight w:val="none"/>
        </w:rPr>
        <w:t>台州市椒江区市府大道777号民泰大楼3楼一号开标室A场地。</w:t>
      </w:r>
    </w:p>
    <w:p w14:paraId="21CC422D">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6EEBED31">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3B3F4EA7">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16E7D549">
      <w:pPr>
        <w:widowControl/>
        <w:spacing w:line="380" w:lineRule="exact"/>
        <w:ind w:firstLine="480" w:firstLineChars="200"/>
        <w:contextualSpacing/>
        <w:rPr>
          <w:rFonts w:cs="宋体" w:asciiTheme="minorEastAsia" w:hAnsiTheme="minorEastAsia" w:eastAsiaTheme="minorEastAsia"/>
          <w:color w:val="auto"/>
          <w:sz w:val="24"/>
          <w:highlight w:val="none"/>
        </w:rPr>
      </w:pPr>
      <w:bookmarkStart w:id="10" w:name="_Toc28359008"/>
      <w:bookmarkStart w:id="11" w:name="_Toc35393627"/>
      <w:bookmarkStart w:id="12" w:name="_Toc35393796"/>
      <w:bookmarkStart w:id="13" w:name="_Toc28359085"/>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供应商认为采购文件使自己的权益受到损害的，可以自获取采购文件之日或者采购文件公告期限届满之日起</w:t>
      </w:r>
      <w:r>
        <w:rPr>
          <w:rFonts w:hint="eastAsia" w:cs="宋体" w:asciiTheme="minorEastAsia" w:hAnsiTheme="minorEastAsia" w:eastAsiaTheme="minorEastAsia"/>
          <w:b/>
          <w:color w:val="auto"/>
          <w:sz w:val="24"/>
          <w:highlight w:val="none"/>
        </w:rPr>
        <w:t>（公告期限届满后获取采购文件的，以公告期限届满之日为准）</w:t>
      </w:r>
      <w:r>
        <w:rPr>
          <w:rFonts w:cs="宋体" w:asciiTheme="minorEastAsia" w:hAnsiTheme="minorEastAsia" w:eastAsiaTheme="minorEastAsia"/>
          <w:color w:val="auto"/>
          <w:sz w:val="24"/>
          <w:highlight w:val="none"/>
        </w:rPr>
        <w:t>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576FFE">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其他事项：</w:t>
      </w:r>
    </w:p>
    <w:bookmarkEnd w:id="10"/>
    <w:bookmarkEnd w:id="11"/>
    <w:bookmarkEnd w:id="12"/>
    <w:bookmarkEnd w:id="13"/>
    <w:p w14:paraId="101279E3">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（1）需要落实的政府采购政策：</w:t>
      </w:r>
      <w:r>
        <w:rPr>
          <w:rFonts w:cs="宋体" w:asciiTheme="minorEastAsia" w:hAnsiTheme="minorEastAsia" w:eastAsiaTheme="minorEastAsia"/>
          <w:color w:val="auto"/>
          <w:sz w:val="24"/>
          <w:highlight w:val="none"/>
        </w:rPr>
        <w:t>《关于促进残疾人就业政府采购政策的通知》（财库</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201</w:t>
      </w:r>
      <w:r>
        <w:rPr>
          <w:rFonts w:hint="eastAsia" w:cs="宋体" w:asciiTheme="minorEastAsia" w:hAnsiTheme="minorEastAsia" w:eastAsiaTheme="minorEastAsia"/>
          <w:color w:val="auto"/>
          <w:sz w:val="24"/>
          <w:highlight w:val="none"/>
        </w:rPr>
        <w:t>7〕</w:t>
      </w:r>
      <w:r>
        <w:rPr>
          <w:rFonts w:cs="宋体" w:asciiTheme="minorEastAsia" w:hAnsiTheme="minorEastAsia" w:eastAsiaTheme="minorEastAsia"/>
          <w:color w:val="auto"/>
          <w:sz w:val="24"/>
          <w:highlight w:val="none"/>
        </w:rPr>
        <w:t>141号）、《</w:t>
      </w:r>
      <w:r>
        <w:rPr>
          <w:rFonts w:hint="eastAsia" w:cs="宋体" w:asciiTheme="minorEastAsia" w:hAnsiTheme="minorEastAsia" w:eastAsiaTheme="minorEastAsia"/>
          <w:color w:val="auto"/>
          <w:sz w:val="24"/>
          <w:highlight w:val="none"/>
        </w:rPr>
        <w:t>政府采购促进中小企业发展管理办法</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（财库〔2020〕46号）</w:t>
      </w:r>
      <w:r>
        <w:rPr>
          <w:rFonts w:cs="宋体" w:asciiTheme="minorEastAsia" w:hAnsiTheme="minorEastAsia" w:eastAsiaTheme="minorEastAsia"/>
          <w:color w:val="auto"/>
          <w:sz w:val="24"/>
          <w:highlight w:val="none"/>
        </w:rPr>
        <w:t>、《关于政府采购支持监狱企业发展有关问题的通知》（财库</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2014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68号）、《关于调整优化节能产品、环境标志产品政府采购执行机制的通知》（财库〔2019〕9号）</w:t>
      </w:r>
      <w:r>
        <w:rPr>
          <w:rFonts w:hint="eastAsia" w:cs="宋体" w:asciiTheme="minorEastAsia" w:hAnsiTheme="minorEastAsia" w:eastAsiaTheme="minorEastAsia"/>
          <w:color w:val="auto"/>
          <w:sz w:val="24"/>
          <w:highlight w:val="none"/>
        </w:rPr>
        <w:t>。</w:t>
      </w:r>
    </w:p>
    <w:p w14:paraId="21248540">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（2）电子招投标的说明：</w:t>
      </w:r>
    </w:p>
    <w:p w14:paraId="0B7CE501">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①电子招投标：本项目以数据电文形式，依托“政府采购云平台（www.zcygov.cn）”进行招投标活动，不接受纸质投标文件；</w:t>
      </w:r>
    </w:p>
    <w:p w14:paraId="3FE62A8D">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          </w:t>
      </w:r>
    </w:p>
    <w:p w14:paraId="3B7E573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③采购文件的获取：使用账号登录或者使用CA登录政采云平台；进入“项目采购”应用，在获取采购文件菜单中选择项目，获取采购文件； </w:t>
      </w:r>
    </w:p>
    <w:p w14:paraId="1F9FB320">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④投标文件的制作：在“政采云电子交易客户端”中完成“填写基本信息”、“导入投标文件”、“标书关联”、“标书检查”、“电子签名”、“生成电子标书”等操作；</w:t>
      </w:r>
    </w:p>
    <w:p w14:paraId="64296E2A">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⑤采购人、采购代理机构将依托政采云平台完成本项目的电子交易活动，平台不接受未按上述方式获取采购文件的供应商进行投标活动；</w:t>
      </w:r>
    </w:p>
    <w:p w14:paraId="783EFF4A">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⑥对未按上述方式获取采购文件的供应商对该文件提出的质疑，采购人或采购代理机构将不予处理；</w:t>
      </w:r>
    </w:p>
    <w:p w14:paraId="428B8F0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⑦不提供采购文件纸质版；</w:t>
      </w:r>
    </w:p>
    <w:p w14:paraId="502196D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⑧投标文件的传输递交：投标人在投标截止时间前将加密的投标文件上传至政府采购云平台，并在投标截止时间前递交备份投标文件1份。备份投标文件的制作、递交详见采购文件第二部分“</w:t>
      </w:r>
      <w:r>
        <w:rPr>
          <w:rFonts w:cs="宋体" w:asciiTheme="minorEastAsia" w:hAnsiTheme="minorEastAsia" w:eastAsiaTheme="minorEastAsia"/>
          <w:color w:val="auto"/>
          <w:sz w:val="24"/>
          <w:highlight w:val="none"/>
        </w:rPr>
        <w:t>投标资料表</w:t>
      </w:r>
      <w:r>
        <w:rPr>
          <w:rFonts w:hint="eastAsia" w:cs="宋体" w:asciiTheme="minorEastAsia" w:hAnsiTheme="minorEastAsia" w:eastAsiaTheme="minorEastAsia"/>
          <w:color w:val="auto"/>
          <w:sz w:val="24"/>
          <w:highlight w:val="none"/>
        </w:rPr>
        <w:t>”第9条；</w:t>
      </w:r>
    </w:p>
    <w:p w14:paraId="26E10919">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77174CE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⑩具体操作指南：详见政采云平台“服务中心-帮助文档-项目采购-操作流程-电子招投标-政府采购项目电子交易管理操作指南-供应商”。</w:t>
      </w:r>
    </w:p>
    <w:p w14:paraId="3EF605D4">
      <w:pPr>
        <w:snapToGrid w:val="0"/>
        <w:spacing w:line="380" w:lineRule="exact"/>
        <w:outlineLvl w:val="1"/>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16B4178B">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10262E53">
      <w:pPr>
        <w:widowControl/>
        <w:spacing w:line="460" w:lineRule="exact"/>
        <w:ind w:firstLine="480" w:firstLineChars="200"/>
        <w:contextualSpacing/>
        <w:jc w:val="left"/>
        <w:rPr>
          <w:rFonts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名称：</w:t>
      </w:r>
      <w:r>
        <w:rPr>
          <w:rFonts w:hint="eastAsia" w:asciiTheme="minorEastAsia" w:hAnsiTheme="minorEastAsia" w:eastAsiaTheme="minorEastAsia"/>
          <w:color w:val="auto"/>
          <w:sz w:val="24"/>
          <w:szCs w:val="24"/>
          <w:highlight w:val="none"/>
        </w:rPr>
        <w:t>台州市产品质量安全检测研究院</w:t>
      </w:r>
    </w:p>
    <w:p w14:paraId="0B013CC6">
      <w:pPr>
        <w:widowControl/>
        <w:spacing w:line="460" w:lineRule="exact"/>
        <w:ind w:firstLine="480" w:firstLineChars="200"/>
        <w:contextualSpacing/>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地址：台州市开发大道东段788号</w:t>
      </w:r>
    </w:p>
    <w:p w14:paraId="5265341F">
      <w:pPr>
        <w:widowControl/>
        <w:spacing w:line="460" w:lineRule="exact"/>
        <w:ind w:firstLine="480" w:firstLineChars="200"/>
        <w:contextualSpacing/>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项目联系人（询问）：</w:t>
      </w:r>
      <w:r>
        <w:rPr>
          <w:rFonts w:hint="eastAsia" w:asciiTheme="minorEastAsia" w:hAnsiTheme="minorEastAsia" w:eastAsiaTheme="minorEastAsia"/>
          <w:color w:val="auto"/>
          <w:sz w:val="24"/>
          <w:szCs w:val="24"/>
          <w:highlight w:val="none"/>
          <w:lang w:eastAsia="zh-CN"/>
        </w:rPr>
        <w:t>戴老师</w:t>
      </w:r>
      <w:r>
        <w:rPr>
          <w:rFonts w:hint="eastAsia" w:asciiTheme="minorEastAsia" w:hAnsiTheme="minorEastAsia" w:eastAsiaTheme="minorEastAsia"/>
          <w:color w:val="auto"/>
          <w:sz w:val="24"/>
          <w:szCs w:val="24"/>
          <w:highlight w:val="none"/>
        </w:rPr>
        <w:t xml:space="preserve"> </w:t>
      </w:r>
    </w:p>
    <w:p w14:paraId="0A42DFC1">
      <w:pPr>
        <w:widowControl/>
        <w:spacing w:line="460" w:lineRule="exact"/>
        <w:ind w:firstLine="480" w:firstLineChars="200"/>
        <w:contextualSpacing/>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项目联系方式（询问）0576-88328139</w:t>
      </w:r>
    </w:p>
    <w:p w14:paraId="64B39D52">
      <w:pPr>
        <w:widowControl/>
        <w:spacing w:line="460" w:lineRule="exact"/>
        <w:ind w:firstLine="480" w:firstLineChars="200"/>
        <w:contextualSpacing/>
        <w:jc w:val="lef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质疑联系人：黄</w:t>
      </w:r>
      <w:r>
        <w:rPr>
          <w:rFonts w:hint="eastAsia" w:asciiTheme="minorEastAsia" w:hAnsiTheme="minorEastAsia" w:eastAsiaTheme="minorEastAsia"/>
          <w:color w:val="auto"/>
          <w:sz w:val="24"/>
          <w:szCs w:val="24"/>
          <w:highlight w:val="none"/>
          <w:lang w:val="en-US" w:eastAsia="zh-CN"/>
        </w:rPr>
        <w:t>老师</w:t>
      </w:r>
    </w:p>
    <w:p w14:paraId="5FCA29B6">
      <w:pPr>
        <w:widowControl/>
        <w:spacing w:line="460" w:lineRule="exact"/>
        <w:ind w:firstLine="480" w:firstLineChars="200"/>
        <w:contextualSpacing/>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质疑联系方式：0576-88325246</w:t>
      </w:r>
    </w:p>
    <w:p w14:paraId="2A66FCFC">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6A75E5DC">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00337081">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cs="Arial" w:asciiTheme="minorEastAsia" w:hAnsiTheme="minorEastAsia" w:eastAsiaTheme="minorEastAsia"/>
          <w:color w:val="auto"/>
          <w:sz w:val="24"/>
          <w:highlight w:val="none"/>
        </w:rPr>
        <w:t>3</w:t>
      </w:r>
      <w:r>
        <w:rPr>
          <w:rFonts w:hint="eastAsia" w:cs="Arial" w:asciiTheme="minorEastAsia" w:hAnsiTheme="minorEastAsia" w:eastAsiaTheme="minorEastAsia"/>
          <w:color w:val="auto"/>
          <w:sz w:val="24"/>
          <w:highlight w:val="none"/>
        </w:rPr>
        <w:t>7</w:t>
      </w:r>
      <w:r>
        <w:rPr>
          <w:rFonts w:cs="Arial" w:asciiTheme="minorEastAsia" w:hAnsiTheme="minorEastAsia" w:eastAsiaTheme="minorEastAsia"/>
          <w:color w:val="auto"/>
          <w:sz w:val="24"/>
          <w:highlight w:val="none"/>
        </w:rPr>
        <w:t>8号4楼</w:t>
      </w:r>
    </w:p>
    <w:p w14:paraId="5AAA6492">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r>
        <w:rPr>
          <w:rFonts w:cs="Arial" w:asciiTheme="minorEastAsia" w:hAnsiTheme="minorEastAsia" w:eastAsiaTheme="minorEastAsia"/>
          <w:color w:val="auto"/>
          <w:sz w:val="24"/>
          <w:highlight w:val="none"/>
        </w:rPr>
        <w:t>0576-81810806</w:t>
      </w:r>
    </w:p>
    <w:p w14:paraId="48409943">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项目联系人（询问）：戴艳燕、陈金泉、王莎莎</w:t>
      </w:r>
    </w:p>
    <w:p w14:paraId="6B3516F9">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w:t>
      </w:r>
      <w:r>
        <w:rPr>
          <w:rFonts w:cs="Arial" w:asciiTheme="minorEastAsia" w:hAnsiTheme="minorEastAsia" w:eastAsiaTheme="minorEastAsia"/>
          <w:color w:val="auto"/>
          <w:sz w:val="24"/>
          <w:highlight w:val="none"/>
        </w:rPr>
        <w:t>0576-81810227、18968407875</w:t>
      </w:r>
    </w:p>
    <w:p w14:paraId="22593ADD">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质疑联系人：唐虹波</w:t>
      </w:r>
    </w:p>
    <w:p w14:paraId="56FF00EF">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4A2FFEEC">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4D1C08D1">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505071AC">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050116F3">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p>
    <w:p w14:paraId="0F83978B">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48082CB0">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4810E505">
      <w:pPr>
        <w:pStyle w:val="2"/>
        <w:ind w:firstLine="0" w:firstLineChars="0"/>
        <w:jc w:val="center"/>
        <w:rPr>
          <w:rFonts w:asciiTheme="minorEastAsia" w:hAnsiTheme="minorEastAsia" w:eastAsiaTheme="minorEastAsia"/>
          <w:b/>
          <w:color w:val="auto"/>
          <w:sz w:val="24"/>
          <w:highlight w:val="none"/>
        </w:rPr>
      </w:pPr>
    </w:p>
    <w:p w14:paraId="3C9B040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w:t>
      </w:r>
      <w:r>
        <w:rPr>
          <w:rFonts w:hint="eastAsia" w:cs="宋体" w:asciiTheme="minorEastAsia" w:hAnsiTheme="minorEastAsia" w:eastAsiaTheme="minorEastAsia"/>
          <w:b/>
          <w:color w:val="auto"/>
          <w:sz w:val="24"/>
          <w:highlight w:val="none"/>
        </w:rPr>
        <w:t>中标人如有融资需求，可使用以下服务</w:t>
      </w:r>
    </w:p>
    <w:p w14:paraId="7933679E">
      <w:pPr>
        <w:pStyle w:val="2"/>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1240"/>
        <w:gridCol w:w="1600"/>
        <w:gridCol w:w="3748"/>
      </w:tblGrid>
      <w:tr w14:paraId="574E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shd w:val="clear" w:color="auto" w:fill="EEECE1" w:themeFill="background2"/>
            <w:vAlign w:val="center"/>
          </w:tcPr>
          <w:p w14:paraId="2282DA88">
            <w:pPr>
              <w:ind w:firstLine="240"/>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1240" w:type="dxa"/>
            <w:shd w:val="clear" w:color="auto" w:fill="EEECE1" w:themeFill="background2"/>
            <w:vAlign w:val="center"/>
          </w:tcPr>
          <w:p w14:paraId="5658F723">
            <w:pP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1600" w:type="dxa"/>
            <w:shd w:val="clear" w:color="auto" w:fill="EEECE1" w:themeFill="background2"/>
            <w:vAlign w:val="center"/>
          </w:tcPr>
          <w:p w14:paraId="721B340F">
            <w:pPr>
              <w:ind w:firstLine="240"/>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3748" w:type="dxa"/>
            <w:shd w:val="clear" w:color="auto" w:fill="EEECE1" w:themeFill="background2"/>
            <w:vAlign w:val="center"/>
          </w:tcPr>
          <w:p w14:paraId="1CF211D9">
            <w:pPr>
              <w:ind w:firstLine="240"/>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7DC2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010EC8C8">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1240" w:type="dxa"/>
            <w:vAlign w:val="center"/>
          </w:tcPr>
          <w:p w14:paraId="7A0F98C9">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0291C636">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3748" w:type="dxa"/>
            <w:vAlign w:val="center"/>
          </w:tcPr>
          <w:p w14:paraId="345C557D">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792E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5654A78F">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1240" w:type="dxa"/>
            <w:vAlign w:val="center"/>
          </w:tcPr>
          <w:p w14:paraId="6C835A7B">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4BA753CA">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3748" w:type="dxa"/>
            <w:vAlign w:val="center"/>
          </w:tcPr>
          <w:p w14:paraId="69769E53">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77E9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5B16EEF2">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1240" w:type="dxa"/>
            <w:vAlign w:val="center"/>
          </w:tcPr>
          <w:p w14:paraId="5A8429F4">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063AD289">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3748" w:type="dxa"/>
            <w:vAlign w:val="center"/>
          </w:tcPr>
          <w:p w14:paraId="0B03A9B1">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4721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335A8A3D">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1240" w:type="dxa"/>
            <w:vAlign w:val="center"/>
          </w:tcPr>
          <w:p w14:paraId="376D8020">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2E6D2513">
            <w:pPr>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en-US" w:eastAsia="zh-CN"/>
              </w:rPr>
              <w:t xml:space="preserve"> </w:t>
            </w:r>
            <w:r>
              <w:rPr>
                <w:rFonts w:hint="eastAsia" w:asciiTheme="minorEastAsia" w:hAnsiTheme="minorEastAsia" w:eastAsiaTheme="minorEastAsia"/>
                <w:color w:val="auto"/>
                <w:kern w:val="0"/>
                <w:sz w:val="24"/>
                <w:highlight w:val="none"/>
              </w:rPr>
              <w:t>王海</w:t>
            </w:r>
          </w:p>
        </w:tc>
        <w:tc>
          <w:tcPr>
            <w:tcW w:w="3748" w:type="dxa"/>
            <w:vAlign w:val="center"/>
          </w:tcPr>
          <w:p w14:paraId="62AB2101">
            <w:pPr>
              <w:ind w:firstLine="240"/>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13857677798</w:t>
            </w:r>
          </w:p>
        </w:tc>
      </w:tr>
      <w:tr w14:paraId="06E1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30CC1051">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1240" w:type="dxa"/>
            <w:vAlign w:val="center"/>
          </w:tcPr>
          <w:p w14:paraId="6C6FA92A">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24E0A372">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3748" w:type="dxa"/>
            <w:vAlign w:val="center"/>
          </w:tcPr>
          <w:p w14:paraId="5C5326AE">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6C14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0EB53CDB">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1240" w:type="dxa"/>
            <w:vAlign w:val="center"/>
          </w:tcPr>
          <w:p w14:paraId="2045E0DB">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74619F5B">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3748" w:type="dxa"/>
            <w:vAlign w:val="center"/>
          </w:tcPr>
          <w:p w14:paraId="5AD9DB0C">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69B3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433D46C1">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1240" w:type="dxa"/>
            <w:vAlign w:val="center"/>
          </w:tcPr>
          <w:p w14:paraId="65C057B0">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5BE285CC">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3748" w:type="dxa"/>
            <w:vAlign w:val="center"/>
          </w:tcPr>
          <w:p w14:paraId="4471622B">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7CDB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2C9EF156">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1240" w:type="dxa"/>
            <w:vAlign w:val="center"/>
          </w:tcPr>
          <w:p w14:paraId="683B04CE">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1600" w:type="dxa"/>
            <w:vAlign w:val="center"/>
          </w:tcPr>
          <w:p w14:paraId="7E8D19EF">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3748" w:type="dxa"/>
            <w:vAlign w:val="center"/>
          </w:tcPr>
          <w:p w14:paraId="12FE4030">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556A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39E49DE9">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1240" w:type="dxa"/>
            <w:vAlign w:val="center"/>
          </w:tcPr>
          <w:p w14:paraId="49FB20C2">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1600" w:type="dxa"/>
            <w:vAlign w:val="center"/>
          </w:tcPr>
          <w:p w14:paraId="659F39CF">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3748" w:type="dxa"/>
            <w:vAlign w:val="center"/>
          </w:tcPr>
          <w:p w14:paraId="3AAB5363">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5AFC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08CE3CF8">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1240" w:type="dxa"/>
            <w:vAlign w:val="center"/>
          </w:tcPr>
          <w:p w14:paraId="0EE2F687">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1600" w:type="dxa"/>
            <w:vAlign w:val="center"/>
          </w:tcPr>
          <w:p w14:paraId="3DBD92D8">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3748" w:type="dxa"/>
            <w:vAlign w:val="center"/>
          </w:tcPr>
          <w:p w14:paraId="767D4D52">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4CC2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4E7AD7C2">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1240" w:type="dxa"/>
            <w:vAlign w:val="center"/>
          </w:tcPr>
          <w:p w14:paraId="547F6D48">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1600" w:type="dxa"/>
            <w:vAlign w:val="center"/>
          </w:tcPr>
          <w:p w14:paraId="6F2CEEB0">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3748" w:type="dxa"/>
            <w:vAlign w:val="center"/>
          </w:tcPr>
          <w:p w14:paraId="4EDA30ED">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783D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4D2EF70B">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1240" w:type="dxa"/>
            <w:vAlign w:val="center"/>
          </w:tcPr>
          <w:p w14:paraId="3A4171F3">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62722274">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3748" w:type="dxa"/>
            <w:vAlign w:val="center"/>
          </w:tcPr>
          <w:p w14:paraId="6DEE5F7F">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1625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10AD6879">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1240" w:type="dxa"/>
            <w:vAlign w:val="center"/>
          </w:tcPr>
          <w:p w14:paraId="3FE99D59">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1600" w:type="dxa"/>
            <w:vAlign w:val="center"/>
          </w:tcPr>
          <w:p w14:paraId="650242EB">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3748" w:type="dxa"/>
            <w:vAlign w:val="center"/>
          </w:tcPr>
          <w:p w14:paraId="6CDF25F8">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7181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56C9C60F">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1240" w:type="dxa"/>
            <w:vAlign w:val="center"/>
          </w:tcPr>
          <w:p w14:paraId="74A6B0AD">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1600" w:type="dxa"/>
            <w:vAlign w:val="center"/>
          </w:tcPr>
          <w:p w14:paraId="39632D3B">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3748" w:type="dxa"/>
            <w:vAlign w:val="center"/>
          </w:tcPr>
          <w:p w14:paraId="3BE86E26">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48C3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3CD73488">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1240" w:type="dxa"/>
            <w:vAlign w:val="center"/>
          </w:tcPr>
          <w:p w14:paraId="71D2643D">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1600" w:type="dxa"/>
            <w:vAlign w:val="center"/>
          </w:tcPr>
          <w:p w14:paraId="13FF9E4A">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3748" w:type="dxa"/>
            <w:vAlign w:val="center"/>
          </w:tcPr>
          <w:p w14:paraId="17E30E64">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69D3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22991BB6">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1240" w:type="dxa"/>
            <w:vAlign w:val="center"/>
          </w:tcPr>
          <w:p w14:paraId="4E5E85FD">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1600" w:type="dxa"/>
            <w:vAlign w:val="center"/>
          </w:tcPr>
          <w:p w14:paraId="1E4272FA">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3748" w:type="dxa"/>
            <w:vAlign w:val="center"/>
          </w:tcPr>
          <w:p w14:paraId="68EDBEDB">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26F4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42B270A8">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1240" w:type="dxa"/>
            <w:vAlign w:val="center"/>
          </w:tcPr>
          <w:p w14:paraId="23434480">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1600" w:type="dxa"/>
            <w:vAlign w:val="center"/>
          </w:tcPr>
          <w:p w14:paraId="37367F96">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3748" w:type="dxa"/>
            <w:vAlign w:val="center"/>
          </w:tcPr>
          <w:p w14:paraId="51EB2B3C">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006B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24A2A254">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1240" w:type="dxa"/>
            <w:vAlign w:val="center"/>
          </w:tcPr>
          <w:p w14:paraId="4D37142A">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505B5F23">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3748" w:type="dxa"/>
            <w:vAlign w:val="center"/>
          </w:tcPr>
          <w:p w14:paraId="1F99C0C3">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6617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18514718">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1240" w:type="dxa"/>
            <w:vAlign w:val="center"/>
          </w:tcPr>
          <w:p w14:paraId="094618D6">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7574B6C5">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3748" w:type="dxa"/>
            <w:vAlign w:val="center"/>
          </w:tcPr>
          <w:p w14:paraId="5FA7DC03">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7269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3" w:type="dxa"/>
            <w:vAlign w:val="center"/>
          </w:tcPr>
          <w:p w14:paraId="16A56E81">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1240" w:type="dxa"/>
            <w:vAlign w:val="center"/>
          </w:tcPr>
          <w:p w14:paraId="6CF33C02">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1600" w:type="dxa"/>
            <w:vAlign w:val="center"/>
          </w:tcPr>
          <w:p w14:paraId="7BB1EFDA">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3748" w:type="dxa"/>
            <w:vAlign w:val="center"/>
          </w:tcPr>
          <w:p w14:paraId="77A8376A">
            <w:pPr>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0F62157B">
      <w:pPr>
        <w:pStyle w:val="26"/>
        <w:spacing w:beforeLines="50" w:afterLines="50" w:line="360" w:lineRule="auto"/>
        <w:outlineLvl w:val="0"/>
        <w:rPr>
          <w:rFonts w:asciiTheme="minorEastAsia" w:hAnsiTheme="minorEastAsia" w:eastAsiaTheme="minorEastAsia"/>
          <w:color w:val="auto"/>
          <w:sz w:val="24"/>
          <w:szCs w:val="24"/>
          <w:highlight w:val="none"/>
        </w:rPr>
      </w:pPr>
    </w:p>
    <w:p w14:paraId="5CA75404">
      <w:pPr>
        <w:pStyle w:val="2"/>
        <w:ind w:firstLine="482"/>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5FAA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shd w:val="clear" w:color="auto" w:fill="DDD9C4" w:themeFill="background2" w:themeFillShade="E6"/>
            <w:vAlign w:val="center"/>
          </w:tcPr>
          <w:p w14:paraId="00A8A32D">
            <w:pPr>
              <w:ind w:firstLine="240"/>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shd w:val="clear" w:color="auto" w:fill="DDD9C4" w:themeFill="background2" w:themeFillShade="E6"/>
            <w:vAlign w:val="center"/>
          </w:tcPr>
          <w:p w14:paraId="17D37835">
            <w:pPr>
              <w:ind w:firstLine="240"/>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shd w:val="clear" w:color="auto" w:fill="DDD9C4" w:themeFill="background2" w:themeFillShade="E6"/>
            <w:vAlign w:val="center"/>
          </w:tcPr>
          <w:p w14:paraId="032B44BF">
            <w:pPr>
              <w:ind w:firstLine="240"/>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shd w:val="clear" w:color="auto" w:fill="DDD9C4" w:themeFill="background2" w:themeFillShade="E6"/>
            <w:vAlign w:val="center"/>
          </w:tcPr>
          <w:p w14:paraId="2D410571">
            <w:pPr>
              <w:ind w:firstLine="240"/>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46C6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44699BA2">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vAlign w:val="center"/>
          </w:tcPr>
          <w:p w14:paraId="4C79E3A3">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191DCE9D">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vAlign w:val="center"/>
          </w:tcPr>
          <w:p w14:paraId="343BF25A">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5087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4D8164AB">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vAlign w:val="center"/>
          </w:tcPr>
          <w:p w14:paraId="2D05A177">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vAlign w:val="center"/>
          </w:tcPr>
          <w:p w14:paraId="4C550E3D">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vAlign w:val="center"/>
          </w:tcPr>
          <w:p w14:paraId="4756372B">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2F69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6E3361AB">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vAlign w:val="center"/>
          </w:tcPr>
          <w:p w14:paraId="34D8CDE7">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vAlign w:val="center"/>
          </w:tcPr>
          <w:p w14:paraId="31011005">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vAlign w:val="center"/>
          </w:tcPr>
          <w:p w14:paraId="546CFD50">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45FB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5D04D6F0">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vAlign w:val="center"/>
          </w:tcPr>
          <w:p w14:paraId="277DBE72">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vAlign w:val="center"/>
          </w:tcPr>
          <w:p w14:paraId="3A4BD8EE">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vAlign w:val="center"/>
          </w:tcPr>
          <w:p w14:paraId="4C057F98">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50A5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526A3575">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vAlign w:val="center"/>
          </w:tcPr>
          <w:p w14:paraId="54FBBA34">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53BA383C">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vAlign w:val="center"/>
          </w:tcPr>
          <w:p w14:paraId="7AF524AB">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70B6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671D36F">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vAlign w:val="center"/>
          </w:tcPr>
          <w:p w14:paraId="4D8A59BB">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vAlign w:val="center"/>
          </w:tcPr>
          <w:p w14:paraId="6E959625">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vAlign w:val="center"/>
          </w:tcPr>
          <w:p w14:paraId="3176D457">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0664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0B92BF93">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vAlign w:val="center"/>
          </w:tcPr>
          <w:p w14:paraId="237504E2">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vAlign w:val="center"/>
          </w:tcPr>
          <w:p w14:paraId="602F5D08">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vAlign w:val="center"/>
          </w:tcPr>
          <w:p w14:paraId="05B762FB">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3153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6BD89673">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vAlign w:val="center"/>
          </w:tcPr>
          <w:p w14:paraId="1D0EF8A8">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vAlign w:val="center"/>
          </w:tcPr>
          <w:p w14:paraId="56099B66">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vAlign w:val="center"/>
          </w:tcPr>
          <w:p w14:paraId="4E758401">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6C108264">
      <w:pPr>
        <w:spacing w:line="276" w:lineRule="auto"/>
        <w:ind w:firstLine="843" w:firstLineChars="350"/>
        <w:jc w:val="center"/>
        <w:rPr>
          <w:rFonts w:cs="宋体" w:asciiTheme="minorEastAsia" w:hAnsiTheme="minorEastAsia" w:eastAsiaTheme="minorEastAsia"/>
          <w:b/>
          <w:color w:val="auto"/>
          <w:sz w:val="24"/>
          <w:highlight w:val="none"/>
        </w:rPr>
      </w:pPr>
    </w:p>
    <w:p w14:paraId="391B2323">
      <w:pPr>
        <w:spacing w:line="276" w:lineRule="auto"/>
        <w:ind w:firstLine="843" w:firstLineChars="3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971"/>
        <w:gridCol w:w="1147"/>
        <w:gridCol w:w="1768"/>
      </w:tblGrid>
      <w:tr w14:paraId="6DD7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1" w:type="dxa"/>
            <w:vAlign w:val="center"/>
          </w:tcPr>
          <w:p w14:paraId="432BA954">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保险公司名称</w:t>
            </w:r>
          </w:p>
        </w:tc>
        <w:tc>
          <w:tcPr>
            <w:tcW w:w="2971" w:type="dxa"/>
            <w:vAlign w:val="center"/>
          </w:tcPr>
          <w:p w14:paraId="39E71933">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保费率</w:t>
            </w:r>
          </w:p>
        </w:tc>
        <w:tc>
          <w:tcPr>
            <w:tcW w:w="1147" w:type="dxa"/>
            <w:vAlign w:val="center"/>
          </w:tcPr>
          <w:p w14:paraId="51F2D661">
            <w:pPr>
              <w:spacing w:line="276" w:lineRule="auto"/>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联系人</w:t>
            </w:r>
          </w:p>
        </w:tc>
        <w:tc>
          <w:tcPr>
            <w:tcW w:w="1768" w:type="dxa"/>
            <w:vAlign w:val="center"/>
          </w:tcPr>
          <w:p w14:paraId="63B46B3E">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p>
        </w:tc>
      </w:tr>
      <w:tr w14:paraId="4DFC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43DEB2A9">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971" w:type="dxa"/>
            <w:vAlign w:val="center"/>
          </w:tcPr>
          <w:p w14:paraId="0ECCB7D6">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年费率3%，最低保费500元</w:t>
            </w:r>
          </w:p>
        </w:tc>
        <w:tc>
          <w:tcPr>
            <w:tcW w:w="1147" w:type="dxa"/>
            <w:vAlign w:val="center"/>
          </w:tcPr>
          <w:p w14:paraId="52755A31">
            <w:pPr>
              <w:spacing w:line="276" w:lineRule="auto"/>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68" w:type="dxa"/>
            <w:vAlign w:val="center"/>
          </w:tcPr>
          <w:p w14:paraId="45F494B5">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380C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36351FCC">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971" w:type="dxa"/>
            <w:vAlign w:val="center"/>
          </w:tcPr>
          <w:p w14:paraId="17170EC1">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147" w:type="dxa"/>
            <w:vAlign w:val="center"/>
          </w:tcPr>
          <w:p w14:paraId="25E708A5">
            <w:pPr>
              <w:spacing w:line="276" w:lineRule="auto"/>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68" w:type="dxa"/>
            <w:vAlign w:val="center"/>
          </w:tcPr>
          <w:p w14:paraId="71D794E8">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7441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71" w:type="dxa"/>
            <w:vAlign w:val="center"/>
          </w:tcPr>
          <w:p w14:paraId="1FF4B3ED">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天安财产保险股份有限公司台州中心支公司</w:t>
            </w:r>
          </w:p>
        </w:tc>
        <w:tc>
          <w:tcPr>
            <w:tcW w:w="2971" w:type="dxa"/>
            <w:vAlign w:val="center"/>
          </w:tcPr>
          <w:p w14:paraId="1B3DFD39">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年费率1%-2%，最低保费500元</w:t>
            </w:r>
          </w:p>
        </w:tc>
        <w:tc>
          <w:tcPr>
            <w:tcW w:w="1147" w:type="dxa"/>
            <w:vAlign w:val="center"/>
          </w:tcPr>
          <w:p w14:paraId="53430E35">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罗赛</w:t>
            </w:r>
          </w:p>
        </w:tc>
        <w:tc>
          <w:tcPr>
            <w:tcW w:w="1768" w:type="dxa"/>
            <w:vAlign w:val="center"/>
          </w:tcPr>
          <w:p w14:paraId="01624207">
            <w:pPr>
              <w:spacing w:line="276" w:lineRule="auto"/>
              <w:ind w:firstLine="24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13736605643</w:t>
            </w:r>
          </w:p>
        </w:tc>
      </w:tr>
    </w:tbl>
    <w:p w14:paraId="5872D54C">
      <w:pPr>
        <w:spacing w:line="400" w:lineRule="exact"/>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23388883">
      <w:pPr>
        <w:spacing w:line="400" w:lineRule="exact"/>
        <w:ind w:firstLine="482" w:firstLineChars="200"/>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7"/>
    </w:p>
    <w:p w14:paraId="32C0D991">
      <w:pPr>
        <w:spacing w:line="360" w:lineRule="auto"/>
        <w:rPr>
          <w:color w:val="auto"/>
          <w:szCs w:val="21"/>
          <w:highlight w:val="none"/>
        </w:rPr>
        <w:sectPr>
          <w:headerReference r:id="rId5" w:type="default"/>
          <w:footerReference r:id="rId6" w:type="default"/>
          <w:pgSz w:w="11907" w:h="16840"/>
          <w:pgMar w:top="1247" w:right="1531" w:bottom="1304" w:left="1531" w:header="284" w:footer="705" w:gutter="0"/>
          <w:pgBorders>
            <w:top w:val="none" w:sz="0" w:space="0"/>
            <w:left w:val="none" w:sz="0" w:space="0"/>
            <w:bottom w:val="none" w:sz="0" w:space="0"/>
            <w:right w:val="none" w:sz="0" w:space="0"/>
          </w:pgBorders>
          <w:pgNumType w:fmt="decimal" w:start="1"/>
          <w:cols w:space="720" w:num="1"/>
          <w:docGrid w:linePitch="285" w:charSpace="0"/>
        </w:sectPr>
      </w:pPr>
    </w:p>
    <w:bookmarkEnd w:id="8"/>
    <w:bookmarkEnd w:id="9"/>
    <w:p w14:paraId="60AED5FD">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4" w:name="_Toc11440"/>
      <w:bookmarkStart w:id="15" w:name="_Toc3692"/>
      <w:bookmarkStart w:id="16" w:name="_Toc32413"/>
      <w:bookmarkStart w:id="17" w:name="_Toc22671"/>
      <w:bookmarkStart w:id="18" w:name="_Toc18266"/>
      <w:bookmarkStart w:id="19" w:name="_Toc11664"/>
      <w:r>
        <w:rPr>
          <w:rFonts w:hint="eastAsia" w:cs="宋体" w:asciiTheme="minorEastAsia" w:hAnsiTheme="minorEastAsia" w:eastAsiaTheme="minorEastAsia"/>
          <w:b/>
          <w:bCs/>
          <w:color w:val="auto"/>
          <w:sz w:val="32"/>
          <w:szCs w:val="32"/>
          <w:highlight w:val="none"/>
        </w:rPr>
        <w:t xml:space="preserve">第二部分  </w:t>
      </w:r>
      <w:bookmarkEnd w:id="14"/>
      <w:bookmarkEnd w:id="15"/>
      <w:bookmarkEnd w:id="16"/>
      <w:bookmarkEnd w:id="17"/>
      <w:bookmarkEnd w:id="18"/>
      <w:bookmarkStart w:id="20" w:name="_Toc53870597"/>
      <w:bookmarkStart w:id="21" w:name="_Toc8189"/>
      <w:bookmarkStart w:id="22" w:name="_Toc233618971"/>
      <w:bookmarkStart w:id="23" w:name="_Toc14033"/>
      <w:bookmarkStart w:id="24" w:name="_Toc354996695"/>
      <w:bookmarkStart w:id="25" w:name="_Toc5551"/>
      <w:bookmarkStart w:id="26" w:name="_Toc32345"/>
      <w:r>
        <w:rPr>
          <w:rFonts w:hint="eastAsia" w:cs="宋体" w:asciiTheme="minorEastAsia" w:hAnsiTheme="minorEastAsia" w:eastAsiaTheme="minorEastAsia"/>
          <w:b/>
          <w:bCs/>
          <w:color w:val="auto"/>
          <w:sz w:val="32"/>
          <w:szCs w:val="32"/>
          <w:highlight w:val="none"/>
        </w:rPr>
        <w:t>投标资料表</w:t>
      </w:r>
      <w:bookmarkEnd w:id="19"/>
      <w:bookmarkEnd w:id="20"/>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75"/>
        <w:gridCol w:w="1336"/>
        <w:gridCol w:w="6063"/>
      </w:tblGrid>
      <w:tr w14:paraId="7E3AC1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shd w:val="clear" w:color="auto" w:fill="DDD9C4" w:themeFill="background2" w:themeFillShade="E6"/>
            <w:vAlign w:val="center"/>
          </w:tcPr>
          <w:p w14:paraId="2F94A719">
            <w:pPr>
              <w:spacing w:line="360" w:lineRule="exact"/>
              <w:ind w:left="-108" w:right="-113"/>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3"/>
            <w:tcBorders>
              <w:bottom w:val="single" w:color="auto" w:sz="4" w:space="0"/>
            </w:tcBorders>
            <w:shd w:val="clear" w:color="auto" w:fill="DDD9C4" w:themeFill="background2" w:themeFillShade="E6"/>
            <w:vAlign w:val="center"/>
          </w:tcPr>
          <w:p w14:paraId="7DCBC6C7">
            <w:pPr>
              <w:spacing w:line="360" w:lineRule="exact"/>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0AEB43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88" w:hRule="atLeast"/>
          <w:jc w:val="center"/>
        </w:trPr>
        <w:tc>
          <w:tcPr>
            <w:tcW w:w="823" w:type="dxa"/>
            <w:vMerge w:val="restart"/>
            <w:vAlign w:val="center"/>
          </w:tcPr>
          <w:p w14:paraId="64A5EBCA">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3"/>
            <w:vAlign w:val="center"/>
          </w:tcPr>
          <w:p w14:paraId="3FF4934E">
            <w:pPr>
              <w:tabs>
                <w:tab w:val="left" w:pos="1580"/>
                <w:tab w:val="left" w:pos="3436"/>
                <w:tab w:val="left" w:pos="5512"/>
              </w:tabs>
              <w:spacing w:line="440" w:lineRule="exact"/>
              <w:ind w:left="21"/>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szCs w:val="24"/>
                <w:highlight w:val="none"/>
                <w:lang w:eastAsia="zh-CN"/>
              </w:rPr>
              <w:t>台州市产品质量安全检测研究院</w:t>
            </w:r>
          </w:p>
          <w:p w14:paraId="03A4C2B1">
            <w:pPr>
              <w:tabs>
                <w:tab w:val="left" w:pos="1580"/>
                <w:tab w:val="left" w:pos="3436"/>
                <w:tab w:val="left" w:pos="5512"/>
              </w:tabs>
              <w:spacing w:line="440" w:lineRule="exact"/>
              <w:ind w:left="21"/>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lang w:val="en-US" w:eastAsia="zh-CN"/>
              </w:rPr>
              <w:t>戴老师</w:t>
            </w:r>
            <w:r>
              <w:rPr>
                <w:rFonts w:hint="eastAsia" w:asciiTheme="minorEastAsia" w:hAnsiTheme="minorEastAsia" w:eastAsiaTheme="minorEastAsia"/>
                <w:color w:val="auto"/>
                <w:sz w:val="24"/>
                <w:highlight w:val="none"/>
              </w:rPr>
              <w:t>；联系电话：0576-88328139</w:t>
            </w:r>
          </w:p>
          <w:p w14:paraId="16E1DEA4">
            <w:pPr>
              <w:spacing w:line="460" w:lineRule="exact"/>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地址：台州市开发大道东段788号</w:t>
            </w:r>
          </w:p>
        </w:tc>
      </w:tr>
      <w:tr w14:paraId="25A072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375C57B8">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p>
        </w:tc>
        <w:tc>
          <w:tcPr>
            <w:tcW w:w="8874" w:type="dxa"/>
            <w:gridSpan w:val="3"/>
            <w:vAlign w:val="center"/>
          </w:tcPr>
          <w:p w14:paraId="02B39033">
            <w:pPr>
              <w:tabs>
                <w:tab w:val="left" w:pos="1580"/>
                <w:tab w:val="left" w:pos="3436"/>
                <w:tab w:val="left" w:pos="5512"/>
              </w:tabs>
              <w:spacing w:line="440" w:lineRule="exact"/>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代理机构：中冠工程管理咨询有限公司</w:t>
            </w:r>
          </w:p>
          <w:p w14:paraId="09ABFB88">
            <w:pPr>
              <w:tabs>
                <w:tab w:val="left" w:pos="1300"/>
              </w:tabs>
              <w:spacing w:line="440" w:lineRule="exact"/>
              <w:ind w:left="21"/>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戴艳燕、陈金泉</w:t>
            </w:r>
            <w:r>
              <w:rPr>
                <w:rFonts w:hint="eastAsia" w:cs="Arial" w:asciiTheme="minorEastAsia" w:hAnsiTheme="minorEastAsia" w:eastAsiaTheme="minorEastAsia"/>
                <w:color w:val="auto"/>
                <w:sz w:val="24"/>
                <w:highlight w:val="none"/>
                <w:lang w:eastAsia="zh-CN"/>
              </w:rPr>
              <w:t>、</w:t>
            </w:r>
            <w:r>
              <w:rPr>
                <w:rFonts w:hint="eastAsia" w:cs="Arial" w:asciiTheme="minorEastAsia" w:hAnsiTheme="minorEastAsia" w:eastAsiaTheme="minorEastAsia"/>
                <w:color w:val="auto"/>
                <w:sz w:val="24"/>
                <w:highlight w:val="none"/>
              </w:rPr>
              <w:t>王莎莎</w:t>
            </w:r>
          </w:p>
          <w:p w14:paraId="5CB2364A">
            <w:pPr>
              <w:spacing w:line="440" w:lineRule="exact"/>
              <w:contextualSpacing/>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传真：</w:t>
            </w:r>
            <w:r>
              <w:rPr>
                <w:rFonts w:cs="Arial" w:asciiTheme="minorEastAsia" w:hAnsiTheme="minorEastAsia" w:eastAsiaTheme="minorEastAsia"/>
                <w:color w:val="auto"/>
                <w:sz w:val="24"/>
                <w:highlight w:val="none"/>
              </w:rPr>
              <w:t>0576-81810806</w:t>
            </w:r>
          </w:p>
          <w:p w14:paraId="67F01A5C">
            <w:pPr>
              <w:spacing w:line="440" w:lineRule="exact"/>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cs="Arial" w:asciiTheme="minorEastAsia" w:hAnsiTheme="minorEastAsia" w:eastAsiaTheme="minorEastAsia"/>
                <w:color w:val="auto"/>
                <w:sz w:val="24"/>
                <w:highlight w:val="none"/>
              </w:rPr>
              <w:t>378号4楼</w:t>
            </w:r>
          </w:p>
        </w:tc>
      </w:tr>
      <w:tr w14:paraId="3BAD73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263C0021">
            <w:pPr>
              <w:spacing w:line="360" w:lineRule="exact"/>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3"/>
            <w:tcBorders>
              <w:top w:val="single" w:color="auto" w:sz="4" w:space="0"/>
              <w:bottom w:val="single" w:color="auto" w:sz="2" w:space="0"/>
            </w:tcBorders>
            <w:vAlign w:val="center"/>
          </w:tcPr>
          <w:p w14:paraId="1EB49482">
            <w:pPr>
              <w:spacing w:line="440" w:lineRule="exact"/>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w:t>
            </w:r>
            <w:r>
              <w:rPr>
                <w:rFonts w:hint="eastAsia" w:asciiTheme="minorEastAsia" w:hAnsiTheme="minorEastAsia" w:eastAsiaTheme="minorEastAsia"/>
                <w:color w:val="auto"/>
                <w:sz w:val="24"/>
                <w:highlight w:val="none"/>
                <w:lang w:val="en-US" w:eastAsia="zh-CN"/>
              </w:rPr>
              <w:t>方式</w:t>
            </w:r>
            <w:r>
              <w:rPr>
                <w:rFonts w:hint="eastAsia" w:asciiTheme="minorEastAsia" w:hAnsiTheme="minorEastAsia" w:eastAsiaTheme="minorEastAsia"/>
                <w:color w:val="auto"/>
                <w:sz w:val="24"/>
                <w:highlight w:val="none"/>
              </w:rPr>
              <w:t>：公开招标</w:t>
            </w:r>
          </w:p>
        </w:tc>
      </w:tr>
      <w:tr w14:paraId="6E383A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2ECCDC9B">
            <w:pPr>
              <w:spacing w:line="360" w:lineRule="exact"/>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3"/>
            <w:tcBorders>
              <w:top w:val="single" w:color="auto" w:sz="4" w:space="0"/>
              <w:bottom w:val="single" w:color="auto" w:sz="2" w:space="0"/>
            </w:tcBorders>
            <w:vAlign w:val="center"/>
          </w:tcPr>
          <w:p w14:paraId="459FCE7F">
            <w:pPr>
              <w:spacing w:line="440" w:lineRule="exact"/>
              <w:contextualSpacing/>
              <w:rPr>
                <w:rFonts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36673D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4765C950">
            <w:pPr>
              <w:spacing w:line="360" w:lineRule="exact"/>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3"/>
            <w:tcBorders>
              <w:top w:val="single" w:color="auto" w:sz="4" w:space="0"/>
              <w:bottom w:val="single" w:color="auto" w:sz="2" w:space="0"/>
            </w:tcBorders>
            <w:vAlign w:val="center"/>
          </w:tcPr>
          <w:p w14:paraId="5B23D288">
            <w:pPr>
              <w:spacing w:line="440" w:lineRule="exact"/>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4750A2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6409497">
            <w:pPr>
              <w:tabs>
                <w:tab w:val="left" w:pos="1580"/>
                <w:tab w:val="left" w:pos="3436"/>
                <w:tab w:val="left" w:pos="5512"/>
              </w:tabs>
              <w:spacing w:line="360" w:lineRule="exact"/>
              <w:ind w:left="21"/>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3"/>
            <w:vAlign w:val="center"/>
          </w:tcPr>
          <w:p w14:paraId="176082FA">
            <w:pPr>
              <w:spacing w:line="440" w:lineRule="exact"/>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5AB55F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EF69500">
            <w:pPr>
              <w:tabs>
                <w:tab w:val="left" w:pos="1580"/>
                <w:tab w:val="left" w:pos="3436"/>
                <w:tab w:val="left" w:pos="5512"/>
              </w:tabs>
              <w:spacing w:line="360" w:lineRule="exact"/>
              <w:ind w:left="21"/>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3"/>
            <w:vAlign w:val="center"/>
          </w:tcPr>
          <w:p w14:paraId="115888BF">
            <w:pPr>
              <w:spacing w:line="440" w:lineRule="exact"/>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54F814A9">
            <w:pPr>
              <w:spacing w:line="440" w:lineRule="exact"/>
              <w:contextualSpacing/>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1、最高限价</w:t>
            </w:r>
            <w:r>
              <w:rPr>
                <w:rFonts w:hint="eastAsia" w:asciiTheme="minorEastAsia" w:hAnsiTheme="minorEastAsia" w:eastAsiaTheme="minorEastAsia"/>
                <w:b/>
                <w:color w:val="auto"/>
                <w:sz w:val="24"/>
                <w:highlight w:val="none"/>
                <w:lang w:eastAsia="zh-CN"/>
              </w:rPr>
              <w:t>（元）：</w:t>
            </w:r>
            <w:r>
              <w:rPr>
                <w:rFonts w:hint="eastAsia" w:asciiTheme="minorEastAsia" w:hAnsiTheme="minorEastAsia" w:eastAsiaTheme="minorEastAsia"/>
                <w:b/>
                <w:color w:val="auto"/>
                <w:sz w:val="24"/>
                <w:highlight w:val="none"/>
                <w:lang w:val="en-US" w:eastAsia="zh-CN"/>
              </w:rPr>
              <w:t>标项一：1300000；标项二：370000。</w:t>
            </w:r>
            <w:r>
              <w:rPr>
                <w:rFonts w:hint="eastAsia" w:asciiTheme="minorEastAsia" w:hAnsiTheme="minorEastAsia" w:eastAsiaTheme="minorEastAsia"/>
                <w:b/>
                <w:color w:val="auto"/>
                <w:sz w:val="24"/>
                <w:highlight w:val="none"/>
              </w:rPr>
              <w:t>报价超过最高限价的，其投标将作无效投标处理。</w:t>
            </w:r>
          </w:p>
          <w:p w14:paraId="29DDA117">
            <w:pPr>
              <w:spacing w:line="360" w:lineRule="auto"/>
              <w:ind w:firstLine="480" w:firstLineChars="200"/>
              <w:rPr>
                <w:color w:val="auto"/>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2、投标报价应是采购文件所确定的采购内容及要求内全部工作内容的价格表现。其应包含实现标书的所有功能，采购人不再另外增加费用，其应包括（但不限于）</w:t>
            </w:r>
            <w:r>
              <w:rPr>
                <w:rFonts w:hint="eastAsia" w:ascii="Times New Roman" w:hAnsi="Times New Roman"/>
                <w:color w:val="auto"/>
                <w:kern w:val="0"/>
                <w:sz w:val="24"/>
                <w:szCs w:val="24"/>
                <w:highlight w:val="none"/>
                <w:lang w:eastAsia="zh-CN" w:bidi="en-US"/>
              </w:rPr>
              <w:t>包括</w:t>
            </w:r>
            <w:r>
              <w:rPr>
                <w:rFonts w:hint="eastAsia" w:ascii="宋体" w:hAnsi="宋体" w:cs="宋体"/>
                <w:bCs/>
                <w:color w:val="auto"/>
                <w:sz w:val="24"/>
                <w:szCs w:val="24"/>
                <w:highlight w:val="none"/>
                <w:lang w:val="en-US" w:eastAsia="zh-CN"/>
              </w:rPr>
              <w:t>场地基础改造、</w:t>
            </w:r>
            <w:r>
              <w:rPr>
                <w:rFonts w:hint="eastAsia" w:ascii="Times New Roman" w:hAnsi="Times New Roman"/>
                <w:color w:val="auto"/>
                <w:kern w:val="0"/>
                <w:sz w:val="24"/>
                <w:szCs w:val="24"/>
                <w:highlight w:val="none"/>
                <w:lang w:eastAsia="zh-CN" w:bidi="en-US"/>
              </w:rPr>
              <w:t>设备仪器与配件价格标准附件、备品备件、人工费、专用工具、包装、运输、装卸、保险、税金、货到就位以及接地施工、安装、调试、检测试验、第三方验收、检定校准、培训及相关证书获取、售后服务及质保期内的设备更换、保养、维护、合同包含的所有风险责任等各项费用及不可预见费等所需的全部费用。</w:t>
            </w:r>
          </w:p>
          <w:p w14:paraId="5A39D7A9">
            <w:pPr>
              <w:pStyle w:val="21"/>
              <w:spacing w:line="440" w:lineRule="exact"/>
              <w:ind w:firstLine="0"/>
              <w:jc w:val="left"/>
              <w:rPr>
                <w:rFonts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105E47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5E49AEDE">
            <w:pPr>
              <w:tabs>
                <w:tab w:val="left" w:pos="1580"/>
                <w:tab w:val="left" w:pos="3436"/>
                <w:tab w:val="left" w:pos="5512"/>
              </w:tabs>
              <w:spacing w:line="360" w:lineRule="exact"/>
              <w:ind w:left="21"/>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3"/>
            <w:vAlign w:val="center"/>
          </w:tcPr>
          <w:p w14:paraId="01993760">
            <w:pPr>
              <w:autoSpaceDE w:val="0"/>
              <w:autoSpaceDN w:val="0"/>
              <w:snapToGrid w:val="0"/>
              <w:spacing w:line="440" w:lineRule="exact"/>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786CEA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34DDC0CC">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3"/>
            <w:vAlign w:val="center"/>
          </w:tcPr>
          <w:p w14:paraId="4B465ED0">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32158905">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6B7C135C">
            <w:pPr>
              <w:pStyle w:val="21"/>
              <w:spacing w:line="440" w:lineRule="exact"/>
              <w:ind w:left="105" w:leftChars="50" w:firstLine="0"/>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582F1E5F">
            <w:pPr>
              <w:pStyle w:val="21"/>
              <w:spacing w:line="440" w:lineRule="exact"/>
              <w:ind w:left="105" w:leftChars="50" w:firstLine="0"/>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165FE948">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投标文件解密：投标供应商应在开标后30分钟内完成解密。</w:t>
            </w:r>
          </w:p>
          <w:p w14:paraId="514221D6">
            <w:pPr>
              <w:pStyle w:val="21"/>
              <w:spacing w:line="440" w:lineRule="exact"/>
              <w:ind w:firstLine="0"/>
              <w:jc w:val="left"/>
              <w:rPr>
                <w:rFonts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4、中标供应商中标后需提供纸质投标文件给采购人作为备案存档，纸质投标文件系电子投标文件纸质版，两者内容应一致；数量为：资格证明文件2份；资格及商务技术文件2份；报价文件2份。</w:t>
            </w:r>
          </w:p>
        </w:tc>
      </w:tr>
      <w:tr w14:paraId="18DF3B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2A0E52BA">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3"/>
            <w:vAlign w:val="center"/>
          </w:tcPr>
          <w:p w14:paraId="2D8C1C10">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1A43A380">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1、上传到政府采购云平台的电子加密投标文件（含资格证明文件、技术商务文件、报价文件）1份。</w:t>
            </w:r>
          </w:p>
          <w:p w14:paraId="1348386C">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2、电子备份投标文件（含资格证明文件、技术商务文件、报价文件）1份。备份投标文件是通过政采云电子交易客户端制作投标文件产生的备份文件，请投标供应商自行妥善保管。</w:t>
            </w:r>
          </w:p>
          <w:p w14:paraId="1B7E5AEB">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435A39D0">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443E8362">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color w:val="auto"/>
                <w:highlight w:val="none"/>
              </w:rPr>
              <w:fldChar w:fldCharType="begin"/>
            </w:r>
            <w:r>
              <w:rPr>
                <w:color w:val="auto"/>
                <w:highlight w:val="none"/>
              </w:rPr>
              <w:instrText xml:space="preserve"> HYPERLINK "mailto:zgtzfgs@163.com" </w:instrText>
            </w:r>
            <w:r>
              <w:rPr>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37588A50">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7FDE8D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3E72A330">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3"/>
            <w:tcBorders>
              <w:top w:val="single" w:color="auto" w:sz="2" w:space="0"/>
            </w:tcBorders>
            <w:vAlign w:val="center"/>
          </w:tcPr>
          <w:p w14:paraId="5E647B8D">
            <w:pPr>
              <w:autoSpaceDE w:val="0"/>
              <w:autoSpaceDN w:val="0"/>
              <w:snapToGrid w:val="0"/>
              <w:spacing w:line="440" w:lineRule="exact"/>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p>
        </w:tc>
      </w:tr>
      <w:tr w14:paraId="52DDE8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72A4D35C">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3"/>
            <w:tcBorders>
              <w:top w:val="single" w:color="auto" w:sz="2" w:space="0"/>
            </w:tcBorders>
            <w:vAlign w:val="center"/>
          </w:tcPr>
          <w:p w14:paraId="556BB01B">
            <w:pPr>
              <w:autoSpaceDE w:val="0"/>
              <w:autoSpaceDN w:val="0"/>
              <w:snapToGrid w:val="0"/>
              <w:spacing w:line="440" w:lineRule="exact"/>
              <w:contextualSpacing/>
              <w:jc w:val="left"/>
              <w:rPr>
                <w:rFonts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73C1BA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6F96E61D">
            <w:pPr>
              <w:autoSpaceDE w:val="0"/>
              <w:autoSpaceDN w:val="0"/>
              <w:snapToGrid w:val="0"/>
              <w:spacing w:line="360" w:lineRule="exact"/>
              <w:ind w:left="-95" w:right="-129"/>
              <w:contextualSpacing/>
              <w:jc w:val="center"/>
              <w:rPr>
                <w:rFonts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3"/>
            <w:vAlign w:val="center"/>
          </w:tcPr>
          <w:p w14:paraId="79792287">
            <w:pPr>
              <w:pStyle w:val="21"/>
              <w:numPr>
                <w:ilvl w:val="0"/>
                <w:numId w:val="0"/>
              </w:numPr>
              <w:spacing w:line="440" w:lineRule="exact"/>
              <w:jc w:val="left"/>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lang w:val="en-US" w:eastAsia="zh-CN"/>
              </w:rPr>
              <w:t>1、</w:t>
            </w:r>
            <w:r>
              <w:rPr>
                <w:rFonts w:cs="Times New Roman" w:asciiTheme="minorEastAsia" w:hAnsiTheme="minorEastAsia" w:eastAsiaTheme="minorEastAsia"/>
                <w:color w:val="auto"/>
                <w:sz w:val="24"/>
                <w:szCs w:val="24"/>
                <w:highlight w:val="none"/>
              </w:rPr>
              <w:t>现场踏勘</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不组织</w:t>
            </w:r>
            <w:r>
              <w:rPr>
                <w:rFonts w:hint="eastAsia" w:cs="Times New Roman" w:asciiTheme="minorEastAsia" w:hAnsiTheme="minorEastAsia" w:eastAsiaTheme="minorEastAsia"/>
                <w:b w:val="0"/>
                <w:bCs w:val="0"/>
                <w:color w:val="auto"/>
                <w:sz w:val="24"/>
                <w:szCs w:val="24"/>
                <w:highlight w:val="none"/>
                <w:lang w:eastAsia="zh-CN"/>
              </w:rPr>
              <w:t>；</w:t>
            </w:r>
          </w:p>
          <w:p w14:paraId="4630F88B">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2、节能产品、环保产品：无要求；</w:t>
            </w:r>
          </w:p>
          <w:p w14:paraId="4751DABC">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3、样品：</w:t>
            </w:r>
            <w:r>
              <w:rPr>
                <w:rFonts w:hint="eastAsia" w:cs="Times New Roman" w:asciiTheme="minorEastAsia" w:hAnsiTheme="minorEastAsia" w:eastAsiaTheme="minorEastAsia"/>
                <w:color w:val="auto"/>
                <w:sz w:val="24"/>
                <w:szCs w:val="24"/>
                <w:highlight w:val="none"/>
              </w:rPr>
              <w:t>无</w:t>
            </w:r>
            <w:r>
              <w:rPr>
                <w:rFonts w:cs="Times New Roman" w:asciiTheme="minorEastAsia" w:hAnsiTheme="minorEastAsia" w:eastAsiaTheme="minorEastAsia"/>
                <w:color w:val="auto"/>
                <w:sz w:val="24"/>
                <w:szCs w:val="24"/>
                <w:highlight w:val="none"/>
              </w:rPr>
              <w:t>；</w:t>
            </w:r>
          </w:p>
          <w:p w14:paraId="5D13B83D">
            <w:pPr>
              <w:pStyle w:val="21"/>
              <w:spacing w:line="440" w:lineRule="exact"/>
              <w:ind w:firstLine="0"/>
              <w:jc w:val="left"/>
              <w:rPr>
                <w:rFonts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4、现场演示：</w:t>
            </w:r>
            <w:r>
              <w:rPr>
                <w:rFonts w:hint="eastAsia" w:cs="Times New Roman" w:asciiTheme="minorEastAsia" w:hAnsiTheme="minorEastAsia" w:eastAsiaTheme="minorEastAsia"/>
                <w:color w:val="auto"/>
                <w:sz w:val="24"/>
                <w:szCs w:val="24"/>
                <w:highlight w:val="none"/>
              </w:rPr>
              <w:t>无</w:t>
            </w:r>
            <w:r>
              <w:rPr>
                <w:rFonts w:cs="Times New Roman" w:asciiTheme="minorEastAsia" w:hAnsiTheme="minorEastAsia" w:eastAsiaTheme="minorEastAsia"/>
                <w:color w:val="auto"/>
                <w:sz w:val="24"/>
                <w:szCs w:val="24"/>
                <w:highlight w:val="none"/>
              </w:rPr>
              <w:t>。</w:t>
            </w:r>
          </w:p>
        </w:tc>
      </w:tr>
      <w:tr w14:paraId="162A24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002FD02F">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75" w:type="dxa"/>
            <w:vAlign w:val="center"/>
          </w:tcPr>
          <w:p w14:paraId="378EF744">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399" w:type="dxa"/>
            <w:gridSpan w:val="2"/>
            <w:vAlign w:val="center"/>
          </w:tcPr>
          <w:p w14:paraId="56BD65FE">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F0FE"/>
            </w:r>
            <w:r>
              <w:rPr>
                <w:rFonts w:hint="eastAsia" w:asciiTheme="minorEastAsia" w:hAnsiTheme="minorEastAsia" w:eastAsiaTheme="minorEastAsia"/>
                <w:color w:val="auto"/>
                <w:sz w:val="24"/>
                <w:highlight w:val="none"/>
              </w:rPr>
              <w:t>本项目不允许采购进口产品。</w:t>
            </w:r>
          </w:p>
          <w:p w14:paraId="20A18C72">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12619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823" w:type="dxa"/>
            <w:vAlign w:val="center"/>
          </w:tcPr>
          <w:p w14:paraId="144EAA07">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75" w:type="dxa"/>
            <w:vAlign w:val="center"/>
          </w:tcPr>
          <w:p w14:paraId="1279D8BF">
            <w:pPr>
              <w:spacing w:line="440" w:lineRule="exact"/>
              <w:ind w:left="17" w:hanging="16" w:hangingChars="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399" w:type="dxa"/>
            <w:gridSpan w:val="2"/>
            <w:vAlign w:val="center"/>
          </w:tcPr>
          <w:p w14:paraId="15D7E56D">
            <w:pPr>
              <w:spacing w:line="440" w:lineRule="exact"/>
              <w:rPr>
                <w:rFonts w:hint="eastAsia" w:asciiTheme="minorEastAsia" w:hAnsiTheme="minorEastAsia" w:eastAsiaTheme="minorEastAsia"/>
                <w:color w:val="auto"/>
                <w:sz w:val="24"/>
                <w:highlight w:val="none"/>
                <w:u w:val="none"/>
                <w:lang w:val="en-US" w:eastAsia="zh-CN"/>
              </w:rPr>
            </w:pPr>
            <w:r>
              <w:rPr>
                <w:rFonts w:hint="eastAsia" w:asciiTheme="minorEastAsia" w:hAnsiTheme="minorEastAsia" w:eastAsiaTheme="minorEastAsia"/>
                <w:color w:val="auto"/>
                <w:sz w:val="24"/>
                <w:highlight w:val="none"/>
              </w:rPr>
              <w:sym w:font="Wingdings 2" w:char="0052"/>
            </w:r>
            <w:r>
              <w:rPr>
                <w:rFonts w:hint="eastAsia" w:asciiTheme="minorEastAsia" w:hAnsiTheme="minorEastAsia" w:eastAsiaTheme="minorEastAsia"/>
                <w:color w:val="auto"/>
                <w:sz w:val="24"/>
                <w:highlight w:val="none"/>
              </w:rPr>
              <w:t>A货物类，</w:t>
            </w:r>
            <w:r>
              <w:rPr>
                <w:rFonts w:hint="eastAsia" w:asciiTheme="minorEastAsia" w:hAnsiTheme="minorEastAsia" w:eastAsiaTheme="minorEastAsia"/>
                <w:color w:val="auto"/>
                <w:sz w:val="24"/>
                <w:highlight w:val="none"/>
                <w:lang w:eastAsia="zh-CN"/>
              </w:rPr>
              <w:t>标项一</w:t>
            </w:r>
            <w:r>
              <w:rPr>
                <w:rFonts w:hint="eastAsia" w:asciiTheme="minorEastAsia" w:hAnsiTheme="minorEastAsia" w:eastAsiaTheme="minorEastAsia"/>
                <w:color w:val="auto"/>
                <w:sz w:val="24"/>
                <w:highlight w:val="none"/>
              </w:rPr>
              <w:t>核心产品为：</w:t>
            </w:r>
            <w:r>
              <w:rPr>
                <w:rFonts w:hint="eastAsia" w:asciiTheme="minorEastAsia" w:hAnsiTheme="minorEastAsia" w:eastAsiaTheme="minorEastAsia"/>
                <w:color w:val="auto"/>
                <w:sz w:val="24"/>
                <w:highlight w:val="none"/>
                <w:u w:val="single"/>
                <w:lang w:val="en-US" w:eastAsia="zh-CN"/>
              </w:rPr>
              <w:t xml:space="preserve"> 卫星导航信号模拟器  </w:t>
            </w:r>
            <w:r>
              <w:rPr>
                <w:rFonts w:hint="eastAsia" w:asciiTheme="minorEastAsia" w:hAnsiTheme="minorEastAsia" w:eastAsiaTheme="minorEastAsia"/>
                <w:color w:val="auto"/>
                <w:sz w:val="24"/>
                <w:highlight w:val="none"/>
                <w:u w:val="none"/>
                <w:lang w:val="en-US" w:eastAsia="zh-CN"/>
              </w:rPr>
              <w:t>；</w:t>
            </w:r>
          </w:p>
          <w:p w14:paraId="22CAAEE3">
            <w:pPr>
              <w:spacing w:line="440" w:lineRule="exact"/>
              <w:ind w:firstLine="1440" w:firstLineChars="6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lang w:eastAsia="zh-CN"/>
              </w:rPr>
              <w:t>标项二</w:t>
            </w:r>
            <w:r>
              <w:rPr>
                <w:rFonts w:hint="eastAsia" w:asciiTheme="minorEastAsia" w:hAnsiTheme="minorEastAsia" w:eastAsiaTheme="minorEastAsia"/>
                <w:color w:val="auto"/>
                <w:sz w:val="24"/>
                <w:highlight w:val="none"/>
              </w:rPr>
              <w:t>核心产品为：</w:t>
            </w:r>
            <w:r>
              <w:rPr>
                <w:rFonts w:hint="eastAsia" w:asciiTheme="minorEastAsia" w:hAnsiTheme="minorEastAsia" w:eastAsiaTheme="minorEastAsia"/>
                <w:color w:val="auto"/>
                <w:sz w:val="24"/>
                <w:highlight w:val="none"/>
                <w:u w:val="single"/>
                <w:lang w:val="en-US" w:eastAsia="zh-CN"/>
              </w:rPr>
              <w:t xml:space="preserve"> 水平垂直燃烧试验机 </w:t>
            </w:r>
            <w:r>
              <w:rPr>
                <w:rFonts w:hint="eastAsia" w:asciiTheme="minorEastAsia" w:hAnsiTheme="minorEastAsia" w:eastAsiaTheme="minorEastAsia"/>
                <w:color w:val="auto"/>
                <w:sz w:val="24"/>
                <w:highlight w:val="none"/>
                <w:u w:val="none"/>
                <w:lang w:val="en-US" w:eastAsia="zh-CN"/>
              </w:rPr>
              <w:t>；</w:t>
            </w:r>
          </w:p>
          <w:p w14:paraId="63F78C2E">
            <w:pPr>
              <w:spacing w:line="44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7EE535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7" w:hRule="atLeast"/>
          <w:jc w:val="center"/>
        </w:trPr>
        <w:tc>
          <w:tcPr>
            <w:tcW w:w="823" w:type="dxa"/>
            <w:vMerge w:val="restart"/>
            <w:vAlign w:val="center"/>
          </w:tcPr>
          <w:p w14:paraId="19FB8099">
            <w:pPr>
              <w:keepNext w:val="0"/>
              <w:keepLines w:val="0"/>
              <w:suppressLineNumbers w:val="0"/>
              <w:autoSpaceDE w:val="0"/>
              <w:autoSpaceDN w:val="0"/>
              <w:snapToGrid w:val="0"/>
              <w:spacing w:before="0" w:beforeAutospacing="0" w:after="0" w:afterAutospacing="0" w:line="360" w:lineRule="exact"/>
              <w:ind w:left="-95" w:leftChars="0" w:right="-129" w:rightChars="0"/>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75" w:type="dxa"/>
            <w:vMerge w:val="restart"/>
            <w:vAlign w:val="center"/>
          </w:tcPr>
          <w:p w14:paraId="64537CFE">
            <w:pPr>
              <w:keepNext w:val="0"/>
              <w:keepLines w:val="0"/>
              <w:suppressLineNumbers w:val="0"/>
              <w:spacing w:before="0" w:beforeAutospacing="0" w:after="0" w:afterAutospacing="0" w:line="440" w:lineRule="exact"/>
              <w:ind w:left="0" w:leftChars="0" w:right="0" w:rightChars="0"/>
              <w:rPr>
                <w:rFonts w:hint="eastAsia" w:asciiTheme="minorEastAsia" w:hAnsiTheme="minorEastAsia" w:eastAsiaTheme="minorEastAsia"/>
                <w:color w:val="auto"/>
                <w:sz w:val="24"/>
                <w:highlight w:val="none"/>
              </w:rPr>
            </w:pPr>
            <w:r>
              <w:rPr>
                <w:rFonts w:hint="eastAsia" w:ascii="宋体" w:hAnsi="宋体" w:eastAsia="宋体" w:cs="宋体"/>
                <w:color w:val="auto"/>
                <w:sz w:val="24"/>
                <w:highlight w:val="none"/>
              </w:rPr>
              <w:t>采购标的对应的中小企业划分标准所属行业</w:t>
            </w:r>
          </w:p>
        </w:tc>
        <w:tc>
          <w:tcPr>
            <w:tcW w:w="1336" w:type="dxa"/>
            <w:tcBorders>
              <w:right w:val="single" w:color="auto" w:sz="4" w:space="0"/>
            </w:tcBorders>
            <w:vAlign w:val="center"/>
          </w:tcPr>
          <w:p w14:paraId="4373ED59">
            <w:pPr>
              <w:keepNext w:val="0"/>
              <w:keepLines w:val="0"/>
              <w:numPr>
                <w:ilvl w:val="0"/>
                <w:numId w:val="0"/>
              </w:numPr>
              <w:suppressLineNumbers w:val="0"/>
              <w:spacing w:before="0" w:beforeAutospacing="0" w:after="0" w:afterAutospacing="0" w:line="440" w:lineRule="exact"/>
              <w:ind w:left="0" w:leftChars="0" w:right="0" w:rightChars="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标项一</w:t>
            </w:r>
          </w:p>
        </w:tc>
        <w:tc>
          <w:tcPr>
            <w:tcW w:w="6063" w:type="dxa"/>
            <w:tcBorders>
              <w:left w:val="single" w:color="auto" w:sz="4" w:space="0"/>
            </w:tcBorders>
            <w:vAlign w:val="center"/>
          </w:tcPr>
          <w:p w14:paraId="5E573C54">
            <w:pPr>
              <w:keepNext w:val="0"/>
              <w:keepLines w:val="0"/>
              <w:numPr>
                <w:ilvl w:val="0"/>
                <w:numId w:val="6"/>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卫星导航信号模拟器</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072D892F">
            <w:pPr>
              <w:keepNext w:val="0"/>
              <w:keepLines w:val="0"/>
              <w:numPr>
                <w:ilvl w:val="0"/>
                <w:numId w:val="6"/>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RNSS转发器</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458B1C24">
            <w:pPr>
              <w:keepNext w:val="0"/>
              <w:keepLines w:val="0"/>
              <w:numPr>
                <w:ilvl w:val="0"/>
                <w:numId w:val="6"/>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外场标准基准点</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6D754B36">
            <w:pPr>
              <w:keepNext w:val="0"/>
              <w:keepLines w:val="0"/>
              <w:numPr>
                <w:ilvl w:val="0"/>
                <w:numId w:val="6"/>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屏蔽室</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51D1D58B">
            <w:pPr>
              <w:keepNext w:val="0"/>
              <w:keepLines w:val="0"/>
              <w:numPr>
                <w:ilvl w:val="0"/>
                <w:numId w:val="6"/>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测试评估软件</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068AAC38">
            <w:pPr>
              <w:keepNext w:val="0"/>
              <w:keepLines w:val="0"/>
              <w:numPr>
                <w:ilvl w:val="0"/>
                <w:numId w:val="6"/>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蜂窝信号转发器</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280AF7C6">
            <w:pPr>
              <w:keepNext w:val="0"/>
              <w:keepLines w:val="0"/>
              <w:numPr>
                <w:ilvl w:val="0"/>
                <w:numId w:val="6"/>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其他配套附件及服务</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tc>
      </w:tr>
      <w:tr w14:paraId="312692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3" w:type="dxa"/>
            <w:vMerge w:val="continue"/>
            <w:vAlign w:val="center"/>
          </w:tcPr>
          <w:p w14:paraId="42DBC3B5">
            <w:pPr>
              <w:keepNext w:val="0"/>
              <w:keepLines w:val="0"/>
              <w:suppressLineNumbers w:val="0"/>
              <w:autoSpaceDE w:val="0"/>
              <w:autoSpaceDN w:val="0"/>
              <w:snapToGrid w:val="0"/>
              <w:spacing w:before="0" w:beforeAutospacing="0" w:after="0" w:afterAutospacing="0" w:line="360" w:lineRule="exact"/>
              <w:ind w:left="-95" w:leftChars="0" w:right="-129" w:rightChars="0"/>
              <w:contextualSpacing/>
              <w:jc w:val="center"/>
              <w:rPr>
                <w:rFonts w:hint="eastAsia" w:asciiTheme="minorEastAsia" w:hAnsiTheme="minorEastAsia" w:eastAsiaTheme="minorEastAsia"/>
                <w:b/>
                <w:color w:val="auto"/>
                <w:sz w:val="24"/>
                <w:highlight w:val="none"/>
              </w:rPr>
            </w:pPr>
          </w:p>
        </w:tc>
        <w:tc>
          <w:tcPr>
            <w:tcW w:w="1475" w:type="dxa"/>
            <w:vMerge w:val="continue"/>
            <w:vAlign w:val="center"/>
          </w:tcPr>
          <w:p w14:paraId="2541ED3F">
            <w:pPr>
              <w:keepNext w:val="0"/>
              <w:keepLines w:val="0"/>
              <w:suppressLineNumbers w:val="0"/>
              <w:spacing w:before="0" w:beforeAutospacing="0" w:after="0" w:afterAutospacing="0" w:line="440" w:lineRule="exact"/>
              <w:ind w:left="0" w:leftChars="0" w:right="0" w:rightChars="0"/>
              <w:rPr>
                <w:rFonts w:hint="eastAsia" w:asciiTheme="minorEastAsia" w:hAnsiTheme="minorEastAsia" w:eastAsiaTheme="minorEastAsia"/>
                <w:color w:val="auto"/>
                <w:sz w:val="24"/>
                <w:highlight w:val="none"/>
              </w:rPr>
            </w:pPr>
          </w:p>
        </w:tc>
        <w:tc>
          <w:tcPr>
            <w:tcW w:w="1336" w:type="dxa"/>
            <w:tcBorders>
              <w:right w:val="single" w:color="auto" w:sz="4" w:space="0"/>
            </w:tcBorders>
            <w:vAlign w:val="center"/>
          </w:tcPr>
          <w:p w14:paraId="7F0DEEFC">
            <w:pPr>
              <w:keepNext w:val="0"/>
              <w:keepLines w:val="0"/>
              <w:numPr>
                <w:ilvl w:val="0"/>
                <w:numId w:val="0"/>
              </w:numPr>
              <w:suppressLineNumbers w:val="0"/>
              <w:spacing w:before="0" w:beforeAutospacing="0" w:after="0" w:afterAutospacing="0" w:line="440" w:lineRule="exact"/>
              <w:ind w:left="0" w:leftChars="0" w:right="0" w:rightChars="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标项二</w:t>
            </w:r>
          </w:p>
        </w:tc>
        <w:tc>
          <w:tcPr>
            <w:tcW w:w="6063" w:type="dxa"/>
            <w:tcBorders>
              <w:left w:val="single" w:color="auto" w:sz="4" w:space="0"/>
            </w:tcBorders>
            <w:vAlign w:val="center"/>
          </w:tcPr>
          <w:p w14:paraId="15470540">
            <w:pPr>
              <w:keepNext w:val="0"/>
              <w:keepLines w:val="0"/>
              <w:numPr>
                <w:ilvl w:val="0"/>
                <w:numId w:val="7"/>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水平垂直燃烧试验机</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6AD38468">
            <w:pPr>
              <w:keepNext w:val="0"/>
              <w:keepLines w:val="0"/>
              <w:numPr>
                <w:ilvl w:val="0"/>
                <w:numId w:val="7"/>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汽车内饰垂直燃烧测试仪</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0A5639D4">
            <w:pPr>
              <w:keepNext w:val="0"/>
              <w:keepLines w:val="0"/>
              <w:numPr>
                <w:ilvl w:val="0"/>
                <w:numId w:val="7"/>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纺织品垂直燃烧试验机</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3F03F8A9">
            <w:pPr>
              <w:keepNext w:val="0"/>
              <w:keepLines w:val="0"/>
              <w:numPr>
                <w:ilvl w:val="0"/>
                <w:numId w:val="7"/>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智能型氧指数测试仪</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23CD049B">
            <w:pPr>
              <w:keepNext w:val="0"/>
              <w:keepLines w:val="0"/>
              <w:numPr>
                <w:ilvl w:val="0"/>
                <w:numId w:val="7"/>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电线电缆燃烧试验机</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33003DA8">
            <w:pPr>
              <w:keepNext w:val="0"/>
              <w:keepLines w:val="0"/>
              <w:numPr>
                <w:ilvl w:val="0"/>
                <w:numId w:val="7"/>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建筑材料烟密度测试仪</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0AC8B89E">
            <w:pPr>
              <w:keepNext w:val="0"/>
              <w:keepLines w:val="0"/>
              <w:numPr>
                <w:ilvl w:val="0"/>
                <w:numId w:val="7"/>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恒温恒湿试验箱，</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59E51937">
            <w:pPr>
              <w:keepNext w:val="0"/>
              <w:keepLines w:val="0"/>
              <w:numPr>
                <w:ilvl w:val="0"/>
                <w:numId w:val="7"/>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通风柜</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366AC3B8">
            <w:pPr>
              <w:keepNext w:val="0"/>
              <w:keepLines w:val="0"/>
              <w:numPr>
                <w:ilvl w:val="0"/>
                <w:numId w:val="7"/>
              </w:numPr>
              <w:suppressLineNumbers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供气系统</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tc>
      </w:tr>
      <w:tr w14:paraId="5C9D6C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823" w:type="dxa"/>
            <w:vAlign w:val="center"/>
          </w:tcPr>
          <w:p w14:paraId="4E8FCC6A">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3"/>
            <w:vAlign w:val="center"/>
          </w:tcPr>
          <w:p w14:paraId="493722CA">
            <w:pPr>
              <w:pStyle w:val="28"/>
              <w:spacing w:line="360" w:lineRule="auto"/>
              <w:ind w:left="0" w:left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履约保证金：合同签订前，中标供应商应先缴纳合同总金额1%的履约保证金，项目最终验收通过后按双方规定退还。（但如中标供应商未能履行合同规定的任何义务，采购人有权从履约保证金中得到补偿）</w:t>
            </w:r>
          </w:p>
        </w:tc>
      </w:tr>
      <w:tr w14:paraId="0DB1EB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2414E176">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3"/>
            <w:vAlign w:val="center"/>
          </w:tcPr>
          <w:p w14:paraId="34DBD785">
            <w:pPr>
              <w:pStyle w:val="21"/>
              <w:spacing w:line="444" w:lineRule="exact"/>
              <w:ind w:firstLine="0"/>
              <w:jc w:val="left"/>
              <w:rPr>
                <w:rFonts w:hAnsi="宋体" w:eastAsia="宋体" w:cs="宋体"/>
                <w:color w:val="auto"/>
                <w:sz w:val="24"/>
                <w:szCs w:val="24"/>
                <w:highlight w:val="none"/>
              </w:rPr>
            </w:pPr>
            <w:r>
              <w:rPr>
                <w:rFonts w:hint="eastAsia" w:hAnsi="宋体" w:eastAsia="宋体" w:cs="宋体"/>
                <w:color w:val="auto"/>
                <w:sz w:val="24"/>
                <w:szCs w:val="24"/>
                <w:highlight w:val="none"/>
              </w:rPr>
              <w:t>代理服务费：</w:t>
            </w:r>
          </w:p>
          <w:p w14:paraId="13F2554B">
            <w:pPr>
              <w:spacing w:line="336" w:lineRule="auto"/>
              <w:ind w:right="420" w:rightChars="200"/>
              <w:rPr>
                <w:rFonts w:ascii="宋体" w:hAnsi="宋体" w:cs="宋体"/>
                <w:b/>
                <w:color w:val="auto"/>
                <w:sz w:val="24"/>
                <w:szCs w:val="24"/>
                <w:highlight w:val="none"/>
              </w:rPr>
            </w:pPr>
            <w:r>
              <w:rPr>
                <w:rFonts w:hint="eastAsia" w:ascii="宋体" w:hAnsi="宋体" w:cs="宋体"/>
                <w:color w:val="auto"/>
                <w:sz w:val="24"/>
                <w:szCs w:val="24"/>
                <w:highlight w:val="none"/>
              </w:rPr>
              <w:t>1、代理费金额：本项目招标代理费用参照下表中货物类计算标准乘以</w:t>
            </w:r>
            <w:r>
              <w:rPr>
                <w:rFonts w:hint="eastAsia" w:ascii="宋体" w:hAnsi="宋体" w:cs="宋体"/>
                <w:color w:val="auto"/>
                <w:sz w:val="24"/>
                <w:szCs w:val="24"/>
                <w:highlight w:val="none"/>
                <w:lang w:val="en-US" w:eastAsia="zh-CN"/>
              </w:rPr>
              <w:t>70</w:t>
            </w:r>
            <w:r>
              <w:rPr>
                <w:rFonts w:hint="eastAsia" w:ascii="宋体" w:hAnsi="宋体" w:cs="宋体"/>
                <w:color w:val="auto"/>
                <w:sz w:val="24"/>
                <w:szCs w:val="24"/>
                <w:highlight w:val="none"/>
              </w:rPr>
              <w:t>%计算（差额定率累进法），按照中标通知书确定的中标金额，向</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收取招标代理服务费</w:t>
            </w:r>
            <w:r>
              <w:rPr>
                <w:rFonts w:hint="eastAsia" w:ascii="宋体" w:hAnsi="宋体" w:cs="宋体"/>
                <w:color w:val="auto"/>
                <w:sz w:val="24"/>
                <w:szCs w:val="24"/>
                <w:highlight w:val="none"/>
                <w:lang w:eastAsia="zh-CN"/>
              </w:rPr>
              <w:t>，不足</w:t>
            </w:r>
            <w:r>
              <w:rPr>
                <w:rFonts w:hint="eastAsia" w:ascii="宋体" w:hAnsi="宋体" w:cs="宋体"/>
                <w:color w:val="auto"/>
                <w:sz w:val="24"/>
                <w:szCs w:val="24"/>
                <w:highlight w:val="none"/>
                <w:lang w:val="en-US" w:eastAsia="zh-CN"/>
              </w:rPr>
              <w:t>4000按4000计取</w:t>
            </w:r>
            <w:r>
              <w:rPr>
                <w:rFonts w:hint="eastAsia" w:ascii="宋体" w:hAnsi="宋体" w:cs="宋体"/>
                <w:bCs/>
                <w:color w:val="auto"/>
                <w:sz w:val="24"/>
                <w:szCs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6534E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47BD11A1">
                  <w:pPr>
                    <w:spacing w:line="440" w:lineRule="exact"/>
                    <w:ind w:firstLine="1320" w:firstLineChars="550"/>
                    <w:jc w:val="left"/>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9" name="直接连接符 9"/>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8.5pt;margin-top:0.1pt;height:65.9pt;width:108.95pt;z-index:251665408;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JDsijUJAgAACwQAAA4AAABkcnMvZTJvRG9jLnhtbK1Tu44TMRTt&#10;kfgHyz2ZPLTRZpTJFhsWCgSRePQ3fsxY8ku2k0l+gh9AooOKkp6/YfkMrj0hWpYmBS6sa9/r43uO&#10;j5c3B6PJXoSonG3oZDSmRFjmuLJtQ9+/u3t2TUlMYDloZ0VDjyLSm9XTJ8ve12LqOqe5CARBbKx7&#10;39AuJV9XVWSdMBBHzguLSemCgYTL0FY8QI/oRlfT8Xhe9S5wHxwTMeLuekjSE2K4BNBJqZhYO7Yz&#10;wqYBNQgNCSnFTvlIV6VbKQVLb6SMIhHdUGSayoyXYLzNc7VaQt0G8J1ipxbgkhYecTKgLF56hlpD&#10;ArIL6h8oo1hw0ck0Ys5UA5GiCLKYjB9p87YDLwoXlDr6s+jx/8Gy1/tNIIo3dEGJBYMPfv/p+8+P&#10;X379+Izz/bevZJFF6n2ssfbWbsJpFf0mZMYHGQyRWvmX6CZaog85yjnkRw5F7ONZbHFIhOHmZHY9&#10;m8+vKGGYw3AxK69RDYj5tA8xvRDOkBw0VCubxYAa9q9iwi6w9E9J3taW9EjjapoxAZ0p0REYGo/s&#10;om3L2ei04ndK63wihnZ7qwPZQ3ZHGZkr4v5Vli9ZQ+yGupIafNMJ4M8tJ+noUTeL34XmFozglGiB&#10;vytHCAh1AqUvqcSrtc0HRPHuiWcWf5A7R1vHj/hmOx9U26Euk9JzzqBHSvcnP2cTPlxj/PAP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yzmS9MAAAAHAQAADwAAAAAAAAABACAAAAAiAAAAZHJz&#10;L2Rvd25yZXYueG1sUEsBAhQAFAAAAAgAh07iQJDsijUJAgAACwQAAA4AAAAAAAAAAQAgAAAAIgEA&#10;AGRycy9lMm9Eb2MueG1sUEsFBgAAAAAGAAYAWQEAAJ0FA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服务类型</w:t>
                  </w:r>
                </w:p>
                <w:p w14:paraId="5DAE2DDF">
                  <w:pPr>
                    <w:spacing w:line="440" w:lineRule="exact"/>
                    <w:ind w:firstLine="1080" w:firstLineChars="450"/>
                    <w:jc w:val="left"/>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10" name="直接连接符 10"/>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2pt;margin-top:1.8pt;height:42.2pt;width:132.65pt;z-index:251666432;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MZ8ypAwCAAANBAAADgAAAGRycy9lMm9Eb2MueG1srVNLjhMx&#10;EN0jcQfLe9JJmEQzrXRmMWFggSASn73jT7cl/+Ry0skluAASO1ixnD23YTgGZXeIhmGTBb2wyq7y&#10;q3qvnxfXe2vITkbQ3jV0MhpTIh33Qru2oR/e3z67pAQSc4IZ72RDDxLo9fLpk0Ufajn1nTdCRoIg&#10;Duo+NLRLKdRVBbyTlsHIB+kwqXy0LOE2tpWIrEd0a6rpeDyveh9FiJ5LADxdDUl6RIznAHqlNJcr&#10;z7dWujSgRmlYQkrQ6QB0WaZVSvL0VimQiZiGItNUVmyC8Sav1XLB6jay0Gl+HIGdM8IjTpZph01P&#10;UCuWGNlG/Q+U1Tx68CqNuLfVQKQogiwm40favOtYkIULSg3hJDr8P1j+ZreORAt0AkrimMU/fv/5&#10;7uenr79+fMH1/vs3ghmUqQ9QY/WNW8fjDsI6Zs57FS1RRodXiEJL9DFHOYcMyb7IfTjJLfeJcDyc&#10;zC8v5rMZJRxzs+ezq4vSqBoQ8+0QIb2U3pIcNNRol+VgNdu9hoRTYOmfknxsHOkbejWbZkyG3lTo&#10;CQxtQH7g2nIXvNHiVhuTb0BsNzcmkh3L/ihf5oq4f5XlJisG3VBXUoNzOsnECydIOgQUzuGDoXkE&#10;KwUlRuL7yhECsjoxbc6pxNbG5QuyuPfIM4s/yJ2jjRcH/GvbEHXboS6TMnPOoEvK9EdHZxs+3GP8&#10;8BU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ftxa1QAAAAgBAAAPAAAAAAAAAAEAIAAAACIA&#10;AABkcnMvZG93bnJldi54bWxQSwECFAAUAAAACACHTuJAMZ8ypAwCAAANBAAADgAAAAAAAAABACAA&#10;AAAkAQAAZHJzL2Uyb0RvYy54bWxQSwUGAAAAAAYABgBZAQAAogU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费率</w:t>
                  </w:r>
                </w:p>
                <w:p w14:paraId="639871C0">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中标金额（万元）</w:t>
                  </w:r>
                </w:p>
              </w:tc>
              <w:tc>
                <w:tcPr>
                  <w:tcW w:w="1449" w:type="dxa"/>
                  <w:vAlign w:val="center"/>
                </w:tcPr>
                <w:p w14:paraId="73E5184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货物招标</w:t>
                  </w:r>
                </w:p>
              </w:tc>
              <w:tc>
                <w:tcPr>
                  <w:tcW w:w="2039" w:type="dxa"/>
                  <w:vAlign w:val="center"/>
                </w:tcPr>
                <w:p w14:paraId="3852DAA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服务招标</w:t>
                  </w:r>
                </w:p>
              </w:tc>
              <w:tc>
                <w:tcPr>
                  <w:tcW w:w="2040" w:type="dxa"/>
                  <w:vAlign w:val="center"/>
                </w:tcPr>
                <w:p w14:paraId="731A27A4">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工程招标</w:t>
                  </w:r>
                </w:p>
              </w:tc>
            </w:tr>
            <w:tr w14:paraId="6F0E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57E7A87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100以下</w:t>
                  </w:r>
                </w:p>
              </w:tc>
              <w:tc>
                <w:tcPr>
                  <w:tcW w:w="1449" w:type="dxa"/>
                </w:tcPr>
                <w:p w14:paraId="094F3D9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39" w:type="dxa"/>
                </w:tcPr>
                <w:p w14:paraId="1BFB5748">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40" w:type="dxa"/>
                </w:tcPr>
                <w:p w14:paraId="322945B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r>
            <w:tr w14:paraId="29F58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105EA1D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100-500</w:t>
                  </w:r>
                </w:p>
              </w:tc>
              <w:tc>
                <w:tcPr>
                  <w:tcW w:w="1449" w:type="dxa"/>
                </w:tcPr>
                <w:p w14:paraId="242A0B77">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2039" w:type="dxa"/>
                </w:tcPr>
                <w:p w14:paraId="401D07A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40" w:type="dxa"/>
                </w:tcPr>
                <w:p w14:paraId="140B5C60">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0.7%</w:t>
                  </w:r>
                </w:p>
              </w:tc>
            </w:tr>
          </w:tbl>
          <w:p w14:paraId="56DA5461">
            <w:pPr>
              <w:pStyle w:val="21"/>
              <w:spacing w:line="444" w:lineRule="exact"/>
              <w:ind w:firstLine="0"/>
              <w:jc w:val="left"/>
              <w:rPr>
                <w:rFonts w:hAnsi="宋体" w:eastAsia="宋体" w:cs="宋体"/>
                <w:color w:val="auto"/>
                <w:sz w:val="24"/>
                <w:szCs w:val="24"/>
                <w:highlight w:val="none"/>
              </w:rPr>
            </w:pPr>
            <w:r>
              <w:rPr>
                <w:rFonts w:hint="eastAsia" w:hAnsi="宋体" w:eastAsia="宋体" w:cs="宋体"/>
                <w:color w:val="auto"/>
                <w:sz w:val="24"/>
                <w:szCs w:val="24"/>
                <w:highlight w:val="none"/>
              </w:rPr>
              <w:t>2、中标人应在接到代理机构通知之日起5个工作日之内向采购代理机构支付代理服务费。</w:t>
            </w:r>
          </w:p>
          <w:p w14:paraId="0FCE1CA5">
            <w:pPr>
              <w:pStyle w:val="21"/>
              <w:spacing w:line="444" w:lineRule="exact"/>
              <w:ind w:firstLine="0"/>
              <w:jc w:val="left"/>
              <w:rPr>
                <w:rFonts w:hAnsi="宋体" w:eastAsia="宋体" w:cs="宋体"/>
                <w:color w:val="auto"/>
                <w:sz w:val="24"/>
                <w:szCs w:val="24"/>
                <w:highlight w:val="none"/>
              </w:rPr>
            </w:pPr>
            <w:r>
              <w:rPr>
                <w:rFonts w:hint="eastAsia" w:hAnsi="宋体" w:eastAsia="宋体" w:cs="宋体"/>
                <w:color w:val="auto"/>
                <w:sz w:val="24"/>
                <w:szCs w:val="24"/>
                <w:highlight w:val="none"/>
              </w:rPr>
              <w:t>3、收费账号：</w:t>
            </w:r>
          </w:p>
          <w:p w14:paraId="4B6BC0AC">
            <w:pPr>
              <w:pStyle w:val="21"/>
              <w:spacing w:line="444" w:lineRule="exact"/>
              <w:ind w:firstLine="0"/>
              <w:jc w:val="left"/>
              <w:rPr>
                <w:rFonts w:hAnsi="宋体" w:eastAsia="宋体" w:cs="宋体"/>
                <w:color w:val="auto"/>
                <w:sz w:val="24"/>
                <w:szCs w:val="24"/>
                <w:highlight w:val="none"/>
              </w:rPr>
            </w:pPr>
            <w:r>
              <w:rPr>
                <w:rFonts w:hint="eastAsia" w:hAnsi="宋体" w:eastAsia="宋体" w:cs="宋体"/>
                <w:color w:val="auto"/>
                <w:sz w:val="24"/>
                <w:szCs w:val="24"/>
                <w:highlight w:val="none"/>
              </w:rPr>
              <w:t>开户银行：中国农业银行股份有限公司台州经济开发区支行</w:t>
            </w:r>
          </w:p>
          <w:p w14:paraId="21869728">
            <w:pPr>
              <w:pStyle w:val="21"/>
              <w:spacing w:line="444" w:lineRule="exact"/>
              <w:ind w:firstLine="0"/>
              <w:jc w:val="left"/>
              <w:rPr>
                <w:rFonts w:hAnsi="宋体" w:eastAsia="宋体" w:cs="宋体"/>
                <w:color w:val="auto"/>
                <w:sz w:val="24"/>
                <w:szCs w:val="24"/>
                <w:highlight w:val="none"/>
              </w:rPr>
            </w:pPr>
            <w:r>
              <w:rPr>
                <w:rFonts w:hint="eastAsia" w:hAnsi="宋体" w:eastAsia="宋体" w:cs="宋体"/>
                <w:color w:val="auto"/>
                <w:sz w:val="24"/>
                <w:szCs w:val="24"/>
                <w:highlight w:val="none"/>
              </w:rPr>
              <w:t>户名：中冠工程管理咨询有限公司台州分公司</w:t>
            </w:r>
          </w:p>
          <w:p w14:paraId="278818EA">
            <w:pPr>
              <w:pStyle w:val="21"/>
              <w:spacing w:line="440" w:lineRule="exact"/>
              <w:ind w:firstLine="0"/>
              <w:jc w:val="left"/>
              <w:rPr>
                <w:color w:val="auto"/>
                <w:sz w:val="24"/>
                <w:szCs w:val="24"/>
                <w:highlight w:val="none"/>
              </w:rPr>
            </w:pPr>
            <w:r>
              <w:rPr>
                <w:rFonts w:hint="eastAsia" w:ascii="宋体" w:hAnsi="宋体" w:cs="宋体"/>
                <w:color w:val="auto"/>
                <w:sz w:val="24"/>
                <w:szCs w:val="24"/>
                <w:highlight w:val="none"/>
              </w:rPr>
              <w:t>账号：19900101040031566</w:t>
            </w:r>
          </w:p>
        </w:tc>
      </w:tr>
      <w:tr w14:paraId="31E52E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6300C3F0">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3"/>
            <w:vAlign w:val="center"/>
          </w:tcPr>
          <w:p w14:paraId="1C561751">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5900DC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5EA99851">
            <w:pPr>
              <w:autoSpaceDE w:val="0"/>
              <w:autoSpaceDN w:val="0"/>
              <w:snapToGrid w:val="0"/>
              <w:spacing w:line="360" w:lineRule="exact"/>
              <w:ind w:left="-95" w:right="-129"/>
              <w:contextualSpacing/>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3"/>
            <w:vAlign w:val="center"/>
          </w:tcPr>
          <w:p w14:paraId="292739E9">
            <w:pPr>
              <w:pStyle w:val="21"/>
              <w:spacing w:line="440" w:lineRule="exact"/>
              <w:ind w:firstLine="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704AECE7">
      <w:pPr>
        <w:shd w:val="clear" w:color="auto" w:fill="FFFFFF"/>
        <w:tabs>
          <w:tab w:val="left" w:pos="706"/>
        </w:tabs>
        <w:snapToGrid w:val="0"/>
        <w:spacing w:line="360" w:lineRule="auto"/>
        <w:ind w:left="561" w:firstLine="454"/>
        <w:jc w:val="center"/>
        <w:outlineLvl w:val="1"/>
        <w:rPr>
          <w:rFonts w:cs="宋体" w:asciiTheme="minorEastAsia" w:hAnsiTheme="minorEastAsia" w:eastAsiaTheme="minorEastAsia"/>
          <w:b/>
          <w:bCs/>
          <w:color w:val="auto"/>
          <w:sz w:val="24"/>
          <w:highlight w:val="none"/>
        </w:rPr>
      </w:pPr>
    </w:p>
    <w:bookmarkEnd w:id="21"/>
    <w:bookmarkEnd w:id="22"/>
    <w:bookmarkEnd w:id="23"/>
    <w:bookmarkEnd w:id="24"/>
    <w:bookmarkEnd w:id="25"/>
    <w:bookmarkEnd w:id="26"/>
    <w:p w14:paraId="0BE28841">
      <w:pPr>
        <w:pStyle w:val="26"/>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7" w:name="_Toc19894"/>
      <w:bookmarkStart w:id="28" w:name="_Toc28191"/>
      <w:bookmarkStart w:id="29" w:name="_Toc5157"/>
      <w:bookmarkStart w:id="30" w:name="_Toc1293"/>
      <w:bookmarkStart w:id="31" w:name="_Toc10621"/>
      <w:bookmarkStart w:id="32" w:name="_Toc6841"/>
      <w:r>
        <w:rPr>
          <w:rFonts w:hint="eastAsia" w:asciiTheme="minorEastAsia" w:hAnsiTheme="minorEastAsia" w:eastAsiaTheme="minorEastAsia"/>
          <w:b/>
          <w:bCs/>
          <w:color w:val="auto"/>
          <w:sz w:val="32"/>
          <w:szCs w:val="32"/>
          <w:highlight w:val="none"/>
        </w:rPr>
        <w:t xml:space="preserve">第三部分 </w:t>
      </w:r>
      <w:r>
        <w:rPr>
          <w:rFonts w:hint="eastAsia" w:asciiTheme="minorEastAsia" w:hAnsiTheme="minorEastAsia" w:eastAsiaTheme="minorEastAsia"/>
          <w:b/>
          <w:bCs/>
          <w:color w:val="auto"/>
          <w:sz w:val="32"/>
          <w:szCs w:val="32"/>
          <w:highlight w:val="none"/>
          <w:lang w:val="en-US" w:eastAsia="zh-CN"/>
        </w:rPr>
        <w:t xml:space="preserve">  </w:t>
      </w:r>
      <w:r>
        <w:rPr>
          <w:rFonts w:hint="eastAsia" w:asciiTheme="minorEastAsia" w:hAnsiTheme="minorEastAsia" w:eastAsiaTheme="minorEastAsia"/>
          <w:b/>
          <w:bCs/>
          <w:color w:val="auto"/>
          <w:sz w:val="32"/>
          <w:szCs w:val="32"/>
          <w:highlight w:val="none"/>
        </w:rPr>
        <w:t xml:space="preserve"> 投标</w:t>
      </w:r>
      <w:r>
        <w:rPr>
          <w:rFonts w:hint="eastAsia" w:asciiTheme="minorEastAsia" w:hAnsiTheme="minorEastAsia" w:eastAsiaTheme="minorEastAsia"/>
          <w:b/>
          <w:bCs/>
          <w:color w:val="auto"/>
          <w:sz w:val="32"/>
          <w:szCs w:val="32"/>
          <w:highlight w:val="none"/>
          <w:lang w:eastAsia="zh-CN"/>
        </w:rPr>
        <w:t>人</w:t>
      </w:r>
      <w:r>
        <w:rPr>
          <w:rFonts w:hint="eastAsia" w:asciiTheme="minorEastAsia" w:hAnsiTheme="minorEastAsia" w:eastAsiaTheme="minorEastAsia"/>
          <w:b/>
          <w:bCs/>
          <w:color w:val="auto"/>
          <w:sz w:val="32"/>
          <w:szCs w:val="32"/>
          <w:highlight w:val="none"/>
        </w:rPr>
        <w:t>须知</w:t>
      </w:r>
      <w:bookmarkEnd w:id="27"/>
      <w:bookmarkEnd w:id="28"/>
      <w:bookmarkEnd w:id="29"/>
      <w:bookmarkEnd w:id="30"/>
      <w:bookmarkEnd w:id="31"/>
      <w:bookmarkEnd w:id="32"/>
    </w:p>
    <w:p w14:paraId="6A4A70DE">
      <w:pPr>
        <w:pStyle w:val="95"/>
        <w:ind w:left="0" w:leftChars="0" w:firstLine="0" w:firstLineChars="0"/>
        <w:jc w:val="center"/>
        <w:rPr>
          <w:rFonts w:hint="eastAsia" w:eastAsia="宋体"/>
          <w:b/>
          <w:bCs/>
          <w:color w:val="auto"/>
          <w:sz w:val="32"/>
          <w:szCs w:val="32"/>
          <w:highlight w:val="none"/>
        </w:rPr>
      </w:pPr>
      <w:r>
        <w:rPr>
          <w:rFonts w:hint="eastAsia"/>
          <w:b/>
          <w:bCs/>
          <w:color w:val="auto"/>
          <w:sz w:val="32"/>
          <w:szCs w:val="32"/>
          <w:highlight w:val="none"/>
        </w:rPr>
        <w:t>一 、说 明</w:t>
      </w:r>
    </w:p>
    <w:p w14:paraId="6B8460D7">
      <w:pPr>
        <w:pStyle w:val="95"/>
        <w:ind w:left="0" w:leftChars="0" w:firstLine="0" w:firstLineChars="0"/>
        <w:rPr>
          <w:rFonts w:hint="eastAsia"/>
          <w:color w:val="auto"/>
          <w:sz w:val="24"/>
          <w:szCs w:val="24"/>
          <w:highlight w:val="none"/>
        </w:rPr>
      </w:pPr>
      <w:r>
        <w:rPr>
          <w:rFonts w:hint="eastAsia"/>
          <w:color w:val="auto"/>
          <w:sz w:val="24"/>
          <w:szCs w:val="24"/>
          <w:highlight w:val="none"/>
        </w:rPr>
        <w:t>1、项目概况</w:t>
      </w:r>
    </w:p>
    <w:p w14:paraId="09CC92C9">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rPr>
        <w:t>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14:paraId="26DAE6CB">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1.2</w:t>
      </w:r>
      <w:r>
        <w:rPr>
          <w:rFonts w:hint="eastAsia" w:ascii="Times New Roman" w:hAnsi="Times New Roman"/>
          <w:color w:val="auto"/>
          <w:sz w:val="24"/>
          <w:szCs w:val="24"/>
          <w:highlight w:val="none"/>
        </w:rPr>
        <w:t>经批准的本次采购方式载明在《投标资料表》中。</w:t>
      </w:r>
    </w:p>
    <w:p w14:paraId="02188F7D">
      <w:pPr>
        <w:pStyle w:val="95"/>
        <w:ind w:left="0" w:leftChars="0" w:firstLine="0" w:firstLineChars="0"/>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二、投标人</w:t>
      </w:r>
    </w:p>
    <w:p w14:paraId="0359A4E0">
      <w:pPr>
        <w:pStyle w:val="5"/>
        <w:tabs>
          <w:tab w:val="left" w:pos="350"/>
        </w:tabs>
        <w:spacing w:before="0" w:after="0"/>
        <w:contextualSpacing/>
        <w:jc w:val="left"/>
        <w:rPr>
          <w:rFonts w:hint="eastAsia" w:ascii="宋体" w:hAnsi="宋体" w:eastAsia="宋体"/>
          <w:color w:val="auto"/>
          <w:kern w:val="2"/>
          <w:sz w:val="24"/>
          <w:szCs w:val="24"/>
          <w:highlight w:val="none"/>
        </w:rPr>
      </w:pPr>
      <w:bookmarkStart w:id="33" w:name="_Toc12594"/>
      <w:r>
        <w:rPr>
          <w:rFonts w:hint="eastAsia" w:ascii="宋体" w:hAnsi="宋体" w:eastAsia="宋体"/>
          <w:color w:val="auto"/>
          <w:kern w:val="2"/>
          <w:sz w:val="24"/>
          <w:szCs w:val="24"/>
          <w:highlight w:val="none"/>
        </w:rPr>
        <w:t>2、合格的投标人</w:t>
      </w:r>
      <w:bookmarkEnd w:id="33"/>
    </w:p>
    <w:p w14:paraId="6D09592E">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2.1</w:t>
      </w:r>
      <w:r>
        <w:rPr>
          <w:rFonts w:hint="eastAsia" w:ascii="Times New Roman" w:hAnsi="Times New Roman"/>
          <w:color w:val="auto"/>
          <w:sz w:val="24"/>
          <w:szCs w:val="24"/>
          <w:highlight w:val="none"/>
        </w:rPr>
        <w:t>投标人应该是符合《投标资料表》的报名条件，符合、承认并承诺履行本采购文件各项要求的具有独立法人资格的中国境内企业或组织。</w:t>
      </w:r>
    </w:p>
    <w:p w14:paraId="115674B6">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参加本次投标活动的投标人应具备以下条件，并遵守国家有关的法律、法令和条例的规定：</w:t>
      </w:r>
    </w:p>
    <w:p w14:paraId="46B5BE3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）具有良好的商业信誉和健全的财务会计制度；</w:t>
      </w:r>
    </w:p>
    <w:p w14:paraId="3E2D9CD1">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）具有履行合同要求提供服务所必须的设备、人员和专业技术能力；</w:t>
      </w:r>
    </w:p>
    <w:p w14:paraId="5682ED57">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）有依法缴纳税收和社会保障资金的良好纪录；</w:t>
      </w:r>
    </w:p>
    <w:p w14:paraId="121158DA">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）参加本次投标活动之前三年内经营活动无重大违法纪录；</w:t>
      </w:r>
    </w:p>
    <w:p w14:paraId="643EE15A">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）满足采购人为获得满意服务供应而提出的其他要求。（见采购文件中资格要求）</w:t>
      </w:r>
    </w:p>
    <w:p w14:paraId="7B0C03F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w:t>
      </w:r>
      <w:r>
        <w:rPr>
          <w:rFonts w:hint="eastAsia" w:ascii="Times New Roman" w:hAnsi="Times New Roman"/>
          <w:color w:val="auto"/>
          <w:sz w:val="24"/>
          <w:szCs w:val="24"/>
          <w:highlight w:val="none"/>
        </w:rPr>
        <w:t>）单位负责人为同一人或者存在直接控股、管理关系的不同供应商，不得参加同一合同项下的政府采购活动；</w:t>
      </w:r>
    </w:p>
    <w:p w14:paraId="13A57B59">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）除单一来源采购项目外，为采购项目提供整体设计、规范编制或者项目管理、监理、检测等服务的供应商，不得再参加该采购项目的其他采购活动。</w:t>
      </w:r>
    </w:p>
    <w:p w14:paraId="1388069A">
      <w:pPr>
        <w:pStyle w:val="5"/>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、投标人代表</w:t>
      </w:r>
    </w:p>
    <w:p w14:paraId="6BF0382C">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若投标人为中国境内企业或组织必须为该企业或组织的人员，若投标人为自然人必须为中国合法公民。</w:t>
      </w:r>
    </w:p>
    <w:p w14:paraId="2D50FAAB">
      <w:pPr>
        <w:pStyle w:val="5"/>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、投标费用</w:t>
      </w:r>
    </w:p>
    <w:p w14:paraId="09A5E04E">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不论招标的结果如何，投标人自行承担其参加本次投标有关的全部费用。</w:t>
      </w:r>
    </w:p>
    <w:p w14:paraId="6FBDE3E9">
      <w:pPr>
        <w:pStyle w:val="5"/>
        <w:tabs>
          <w:tab w:val="left" w:pos="350"/>
          <w:tab w:val="clear" w:pos="720"/>
        </w:tabs>
        <w:spacing w:before="0" w:after="0" w:line="360" w:lineRule="auto"/>
        <w:contextualSpacing/>
        <w:jc w:val="left"/>
        <w:rPr>
          <w:rFonts w:hint="eastAsia"/>
          <w:b/>
          <w:bCs/>
          <w:color w:val="auto"/>
          <w:sz w:val="24"/>
          <w:szCs w:val="24"/>
          <w:highlight w:val="none"/>
        </w:rPr>
      </w:pPr>
      <w:bookmarkStart w:id="34" w:name="_Toc20238"/>
      <w:bookmarkStart w:id="35" w:name="_Toc9092"/>
      <w:r>
        <w:rPr>
          <w:rFonts w:hint="eastAsia"/>
          <w:b/>
          <w:bCs/>
          <w:color w:val="auto"/>
          <w:sz w:val="24"/>
          <w:szCs w:val="24"/>
          <w:highlight w:val="none"/>
        </w:rPr>
        <w:t>5、特别</w:t>
      </w:r>
      <w:r>
        <w:rPr>
          <w:b/>
          <w:bCs/>
          <w:color w:val="auto"/>
          <w:sz w:val="24"/>
          <w:szCs w:val="24"/>
          <w:highlight w:val="none"/>
        </w:rPr>
        <w:t>说明</w:t>
      </w:r>
      <w:r>
        <w:rPr>
          <w:rFonts w:hint="eastAsia"/>
          <w:b/>
          <w:bCs/>
          <w:color w:val="auto"/>
          <w:sz w:val="24"/>
          <w:szCs w:val="24"/>
          <w:highlight w:val="none"/>
        </w:rPr>
        <w:t>（针对</w:t>
      </w:r>
      <w:r>
        <w:rPr>
          <w:b/>
          <w:bCs/>
          <w:color w:val="auto"/>
          <w:sz w:val="24"/>
          <w:szCs w:val="24"/>
          <w:highlight w:val="none"/>
        </w:rPr>
        <w:t>货物采购</w:t>
      </w:r>
      <w:r>
        <w:rPr>
          <w:rFonts w:hint="eastAsia"/>
          <w:b/>
          <w:bCs/>
          <w:color w:val="auto"/>
          <w:sz w:val="24"/>
          <w:szCs w:val="24"/>
          <w:highlight w:val="none"/>
        </w:rPr>
        <w:t>）：</w:t>
      </w:r>
      <w:bookmarkEnd w:id="34"/>
      <w:bookmarkEnd w:id="35"/>
    </w:p>
    <w:p w14:paraId="0F1625DB">
      <w:pPr>
        <w:widowControl/>
        <w:spacing w:line="360" w:lineRule="auto"/>
        <w:ind w:firstLine="480" w:firstLineChars="200"/>
        <w:jc w:val="left"/>
        <w:rPr>
          <w:rFonts w:hint="eastAsia" w:cs="宋体"/>
          <w:b w:val="0"/>
          <w:bCs w:val="0"/>
          <w:color w:val="auto"/>
          <w:sz w:val="24"/>
          <w:szCs w:val="24"/>
          <w:highlight w:val="none"/>
        </w:rPr>
      </w:pPr>
      <w:r>
        <w:rPr>
          <w:rFonts w:hint="eastAsia" w:cs="宋体"/>
          <w:b w:val="0"/>
          <w:bCs w:val="0"/>
          <w:color w:val="auto"/>
          <w:sz w:val="24"/>
          <w:szCs w:val="24"/>
          <w:highlight w:val="none"/>
        </w:rPr>
        <w:t>使用综合评分法的采购项目，</w:t>
      </w:r>
      <w:r>
        <w:rPr>
          <w:rFonts w:hint="eastAsia" w:cs="宋体"/>
          <w:b w:val="0"/>
          <w:bCs w:val="0"/>
          <w:color w:val="auto"/>
          <w:sz w:val="24"/>
          <w:szCs w:val="24"/>
          <w:highlight w:val="none"/>
          <w:lang w:eastAsia="zh-CN"/>
        </w:rPr>
        <w:t>核心产品</w:t>
      </w:r>
      <w:r>
        <w:rPr>
          <w:rFonts w:hint="eastAsia" w:cs="宋体"/>
          <w:b w:val="0"/>
          <w:bCs w:val="0"/>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cs="宋体"/>
          <w:b w:val="0"/>
          <w:bCs w:val="0"/>
          <w:color w:val="auto"/>
          <w:sz w:val="24"/>
          <w:szCs w:val="24"/>
          <w:highlight w:val="none"/>
          <w:lang w:eastAsia="zh-CN"/>
        </w:rPr>
        <w:t>采购文件</w:t>
      </w:r>
      <w:r>
        <w:rPr>
          <w:rFonts w:hint="eastAsia" w:cs="宋体"/>
          <w:b w:val="0"/>
          <w:bCs w:val="0"/>
          <w:color w:val="auto"/>
          <w:sz w:val="24"/>
          <w:szCs w:val="24"/>
          <w:highlight w:val="none"/>
        </w:rPr>
        <w:t>规定的方式确定一个投标人获得中标人推荐资格，</w:t>
      </w:r>
      <w:r>
        <w:rPr>
          <w:rFonts w:hint="eastAsia" w:cs="宋体"/>
          <w:b w:val="0"/>
          <w:bCs w:val="0"/>
          <w:color w:val="auto"/>
          <w:sz w:val="24"/>
          <w:szCs w:val="24"/>
          <w:highlight w:val="none"/>
          <w:lang w:eastAsia="zh-CN"/>
        </w:rPr>
        <w:t>采购文件</w:t>
      </w:r>
      <w:r>
        <w:rPr>
          <w:rFonts w:hint="eastAsia" w:cs="宋体"/>
          <w:b w:val="0"/>
          <w:bCs w:val="0"/>
          <w:color w:val="auto"/>
          <w:sz w:val="24"/>
          <w:szCs w:val="24"/>
          <w:highlight w:val="none"/>
        </w:rPr>
        <w:t>未规定的采取随机抽取方式确定，其他同品牌投标人不作为中标候选人。</w:t>
      </w:r>
    </w:p>
    <w:p w14:paraId="5A7601F7">
      <w:pPr>
        <w:widowControl/>
        <w:spacing w:line="360" w:lineRule="auto"/>
        <w:ind w:firstLine="480" w:firstLineChars="200"/>
        <w:jc w:val="left"/>
        <w:rPr>
          <w:rFonts w:hint="eastAsia" w:cs="宋体"/>
          <w:b w:val="0"/>
          <w:bCs w:val="0"/>
          <w:color w:val="auto"/>
          <w:sz w:val="24"/>
          <w:szCs w:val="24"/>
          <w:highlight w:val="none"/>
        </w:rPr>
      </w:pPr>
      <w:r>
        <w:rPr>
          <w:rFonts w:hint="eastAsia"/>
          <w:b w:val="0"/>
          <w:bCs w:val="0"/>
          <w:color w:val="auto"/>
          <w:sz w:val="24"/>
          <w:szCs w:val="24"/>
          <w:highlight w:val="none"/>
        </w:rPr>
        <w:t>本项目</w:t>
      </w:r>
      <w:r>
        <w:rPr>
          <w:rFonts w:hint="eastAsia"/>
          <w:b w:val="0"/>
          <w:bCs w:val="0"/>
          <w:color w:val="auto"/>
          <w:sz w:val="24"/>
          <w:szCs w:val="24"/>
          <w:highlight w:val="none"/>
          <w:lang w:eastAsia="zh-CN"/>
        </w:rPr>
        <w:t>标项一</w:t>
      </w:r>
      <w:r>
        <w:rPr>
          <w:rFonts w:hint="eastAsia"/>
          <w:b w:val="0"/>
          <w:bCs w:val="0"/>
          <w:color w:val="auto"/>
          <w:sz w:val="24"/>
          <w:szCs w:val="24"/>
          <w:highlight w:val="none"/>
        </w:rPr>
        <w:t>核心产品为：</w:t>
      </w:r>
      <w:r>
        <w:rPr>
          <w:rFonts w:hint="eastAsia"/>
          <w:b w:val="0"/>
          <w:bCs w:val="0"/>
          <w:color w:val="auto"/>
          <w:sz w:val="24"/>
          <w:szCs w:val="24"/>
          <w:highlight w:val="none"/>
          <w:u w:val="single"/>
          <w:lang w:val="en-US" w:eastAsia="zh-CN"/>
        </w:rPr>
        <w:t xml:space="preserve"> 卫星导航信号模拟器  </w:t>
      </w:r>
      <w:r>
        <w:rPr>
          <w:rFonts w:hint="eastAsia"/>
          <w:b w:val="0"/>
          <w:bCs w:val="0"/>
          <w:color w:val="auto"/>
          <w:sz w:val="24"/>
          <w:szCs w:val="24"/>
          <w:highlight w:val="none"/>
        </w:rPr>
        <w:t>，</w:t>
      </w:r>
      <w:r>
        <w:rPr>
          <w:rFonts w:hint="eastAsia"/>
          <w:b w:val="0"/>
          <w:bCs w:val="0"/>
          <w:color w:val="auto"/>
          <w:sz w:val="24"/>
          <w:szCs w:val="24"/>
          <w:highlight w:val="none"/>
          <w:lang w:eastAsia="zh-CN"/>
        </w:rPr>
        <w:t>标项二</w:t>
      </w:r>
      <w:r>
        <w:rPr>
          <w:rFonts w:hint="eastAsia"/>
          <w:b w:val="0"/>
          <w:bCs w:val="0"/>
          <w:color w:val="auto"/>
          <w:sz w:val="24"/>
          <w:szCs w:val="24"/>
          <w:highlight w:val="none"/>
        </w:rPr>
        <w:t>核心产品为：</w:t>
      </w:r>
      <w:r>
        <w:rPr>
          <w:rFonts w:hint="eastAsia"/>
          <w:b w:val="0"/>
          <w:bCs w:val="0"/>
          <w:color w:val="auto"/>
          <w:sz w:val="24"/>
          <w:szCs w:val="24"/>
          <w:highlight w:val="none"/>
          <w:u w:val="single"/>
          <w:lang w:val="en-US" w:eastAsia="zh-CN"/>
        </w:rPr>
        <w:t xml:space="preserve"> 水平垂直燃烧试验机  </w:t>
      </w:r>
      <w:r>
        <w:rPr>
          <w:rFonts w:hint="eastAsia"/>
          <w:b w:val="0"/>
          <w:bCs w:val="0"/>
          <w:color w:val="auto"/>
          <w:sz w:val="24"/>
          <w:szCs w:val="24"/>
          <w:highlight w:val="none"/>
          <w:lang w:eastAsia="zh-CN"/>
        </w:rPr>
        <w:t>。</w:t>
      </w:r>
      <w:r>
        <w:rPr>
          <w:rFonts w:hint="eastAsia"/>
          <w:b w:val="0"/>
          <w:bCs w:val="0"/>
          <w:color w:val="auto"/>
          <w:sz w:val="24"/>
          <w:szCs w:val="24"/>
          <w:highlight w:val="none"/>
        </w:rPr>
        <w:t>多家投标人提供的核心产品品牌相同的，按前款规定处理。</w:t>
      </w:r>
    </w:p>
    <w:p w14:paraId="0E84CEA8">
      <w:pPr>
        <w:pStyle w:val="95"/>
        <w:ind w:left="0" w:leftChars="0" w:firstLine="0" w:firstLineChars="0"/>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三、采购文件</w:t>
      </w:r>
    </w:p>
    <w:p w14:paraId="3CE6BA19">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6、采购文件构成</w:t>
      </w:r>
    </w:p>
    <w:p w14:paraId="56D42834">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采购文件含有以下部分，文本条款胶装成册。内容如下：</w:t>
      </w:r>
    </w:p>
    <w:p w14:paraId="0D491B8C">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第一部分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采购公告</w:t>
      </w:r>
    </w:p>
    <w:p w14:paraId="46006FE9">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第二部分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投标资料表</w:t>
      </w:r>
    </w:p>
    <w:p w14:paraId="0930682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第三部分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投标人须知</w:t>
      </w:r>
    </w:p>
    <w:p w14:paraId="6BB3CFD3">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第四部分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评标办法及标准</w:t>
      </w:r>
    </w:p>
    <w:p w14:paraId="7F9DDDF7">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第五部分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采购内容及要求</w:t>
      </w:r>
    </w:p>
    <w:p w14:paraId="0C71FAAF">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第六部分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拟签订的合同文本</w:t>
      </w:r>
    </w:p>
    <w:p w14:paraId="45D770D1">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第七部分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格式与表格</w:t>
      </w:r>
    </w:p>
    <w:p w14:paraId="434CE7E9">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投标人应详细阅读采购文件的全部内容和要求，不按采购文件的要求递交投标文件和资料导致的风险由投标人承担。</w:t>
      </w:r>
    </w:p>
    <w:p w14:paraId="09994ECC">
      <w:pPr>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7</w:t>
      </w:r>
      <w:r>
        <w:rPr>
          <w:rFonts w:hint="eastAsia" w:ascii="Times New Roman" w:hAnsi="Times New Roman"/>
          <w:b/>
          <w:bCs/>
          <w:color w:val="auto"/>
          <w:sz w:val="24"/>
          <w:szCs w:val="24"/>
          <w:highlight w:val="none"/>
        </w:rPr>
        <w:t>、质疑与投诉</w:t>
      </w:r>
    </w:p>
    <w:p w14:paraId="4240E07C">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7.1</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 w:val="24"/>
          <w:szCs w:val="24"/>
          <w:highlight w:val="none"/>
        </w:rPr>
        <w:t>（注：投标人须在法定质疑期内一次性提出针对同一采购程序环节的质疑）</w:t>
      </w:r>
      <w:r>
        <w:rPr>
          <w:rFonts w:hint="eastAsia" w:ascii="Times New Roman" w:hAnsi="Times New Roman"/>
          <w:color w:val="auto"/>
          <w:sz w:val="24"/>
          <w:szCs w:val="24"/>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71CBD4FC">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75C63C96">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采购代理机构发送的答疑文件是采购文件的组成部分，对投标人具有约束力。</w:t>
      </w:r>
    </w:p>
    <w:p w14:paraId="228B74AD">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7.4</w:t>
      </w:r>
      <w:r>
        <w:rPr>
          <w:rFonts w:hint="eastAsia" w:ascii="Times New Roman" w:hAnsi="Times New Roman"/>
          <w:color w:val="auto"/>
          <w:sz w:val="24"/>
          <w:szCs w:val="24"/>
          <w:highlight w:val="none"/>
        </w:rPr>
        <w:t>未尽事宜，见《政府采购质疑和投诉办法》（中华人民共和国财政部令第</w:t>
      </w:r>
      <w:r>
        <w:rPr>
          <w:rFonts w:ascii="Times New Roman" w:hAnsi="Times New Roman"/>
          <w:color w:val="auto"/>
          <w:sz w:val="24"/>
          <w:szCs w:val="24"/>
          <w:highlight w:val="none"/>
        </w:rPr>
        <w:t>94</w:t>
      </w:r>
      <w:r>
        <w:rPr>
          <w:rFonts w:hint="eastAsia" w:ascii="Times New Roman" w:hAnsi="Times New Roman"/>
          <w:color w:val="auto"/>
          <w:sz w:val="24"/>
          <w:szCs w:val="24"/>
          <w:highlight w:val="none"/>
        </w:rPr>
        <w:t>号）。</w:t>
      </w:r>
    </w:p>
    <w:p w14:paraId="3B8894CE">
      <w:pPr>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8</w:t>
      </w:r>
      <w:r>
        <w:rPr>
          <w:rFonts w:hint="eastAsia" w:ascii="Times New Roman" w:hAnsi="Times New Roman"/>
          <w:b/>
          <w:bCs/>
          <w:color w:val="auto"/>
          <w:sz w:val="24"/>
          <w:szCs w:val="24"/>
          <w:highlight w:val="none"/>
        </w:rPr>
        <w:t>、采购文件的澄清与修改</w:t>
      </w:r>
    </w:p>
    <w:p w14:paraId="03494918">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8.1</w:t>
      </w:r>
      <w:r>
        <w:rPr>
          <w:rFonts w:hint="eastAsia" w:ascii="Times New Roman" w:hAnsi="Times New Roman"/>
          <w:color w:val="auto"/>
          <w:sz w:val="24"/>
          <w:szCs w:val="24"/>
          <w:highlight w:val="none"/>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2EB710B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澄清或者修改的内容可能影响投标文件编制的，采购人或者采购代理机构应当在投标截止时间至少</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日前，以书面形式通知所有获取采购文件的潜在投标人；不足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日的，采购人或者采购代理机构应当顺延提交投标文件的截止时间。</w:t>
      </w:r>
    </w:p>
    <w:p w14:paraId="2BE63EF8">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8.2</w:t>
      </w:r>
      <w:r>
        <w:rPr>
          <w:rFonts w:hint="eastAsia" w:ascii="Times New Roman" w:hAnsi="Times New Roman"/>
          <w:color w:val="auto"/>
          <w:sz w:val="24"/>
          <w:szCs w:val="24"/>
          <w:highlight w:val="none"/>
        </w:rPr>
        <w:t>采购代理机构必须以书面形式答复投标人要求澄清的问题，并将不包含问题来源的答复书面通知所有获取采购文件的投标人；除书面答复以外的其他澄清方式及澄清内容均无效。</w:t>
      </w:r>
    </w:p>
    <w:p w14:paraId="7CC79A87">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8.3</w:t>
      </w:r>
      <w:r>
        <w:rPr>
          <w:rFonts w:hint="eastAsia" w:ascii="Times New Roman" w:hAnsi="Times New Roman"/>
          <w:color w:val="auto"/>
          <w:sz w:val="24"/>
          <w:szCs w:val="24"/>
          <w:highlight w:val="none"/>
        </w:rPr>
        <w:t>采购文件澄清、答复、修改、补充的内容为采购文件的组成部分。当采购文件与采购文件的答复、澄清、修改、补充通知就同一内容的表述不一致时，以最后发出的书面文件为准。</w:t>
      </w:r>
    </w:p>
    <w:p w14:paraId="07DF5149">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8.4</w:t>
      </w:r>
      <w:r>
        <w:rPr>
          <w:rFonts w:hint="eastAsia" w:ascii="Times New Roman" w:hAnsi="Times New Roman"/>
          <w:color w:val="auto"/>
          <w:sz w:val="24"/>
          <w:szCs w:val="24"/>
          <w:highlight w:val="none"/>
        </w:rPr>
        <w:t>采购文件的澄清、答复、修改或补充都应该通过本代理机构以法定形式发布，采购人非通过本机构，不得擅自澄清、答复、修改或补充采购文件。</w:t>
      </w:r>
    </w:p>
    <w:p w14:paraId="412CE97E">
      <w:pPr>
        <w:tabs>
          <w:tab w:val="left" w:pos="709"/>
        </w:tabs>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9</w:t>
      </w:r>
      <w:r>
        <w:rPr>
          <w:rFonts w:hint="eastAsia" w:ascii="Times New Roman" w:hAnsi="Times New Roman"/>
          <w:b/>
          <w:bCs/>
          <w:color w:val="auto"/>
          <w:sz w:val="24"/>
          <w:szCs w:val="24"/>
          <w:highlight w:val="none"/>
        </w:rPr>
        <w:t>、关于分公司投标</w:t>
      </w:r>
    </w:p>
    <w:p w14:paraId="5756FEB2">
      <w:pPr>
        <w:tabs>
          <w:tab w:val="left" w:pos="709"/>
        </w:tabs>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除金融、保险、通讯等特定行业外，法人的分支机构由于不能独立承担民事责任，不能以分支机构的身份参加政府采购，只能法人身份参加。</w:t>
      </w:r>
    </w:p>
    <w:p w14:paraId="066CA86E">
      <w:pPr>
        <w:tabs>
          <w:tab w:val="left" w:pos="709"/>
        </w:tabs>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10</w:t>
      </w:r>
      <w:r>
        <w:rPr>
          <w:rFonts w:hint="eastAsia" w:ascii="Times New Roman" w:hAnsi="Times New Roman"/>
          <w:b/>
          <w:bCs/>
          <w:color w:val="auto"/>
          <w:sz w:val="24"/>
          <w:szCs w:val="24"/>
          <w:highlight w:val="none"/>
        </w:rPr>
        <w:t>、关于知识产权</w:t>
      </w:r>
    </w:p>
    <w:p w14:paraId="3B482D73">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10.1</w:t>
      </w:r>
      <w:r>
        <w:rPr>
          <w:rFonts w:hint="eastAsia" w:ascii="Times New Roman" w:hAnsi="Times New Roman"/>
          <w:color w:val="auto"/>
          <w:sz w:val="24"/>
          <w:szCs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3738CE26">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10.2</w:t>
      </w:r>
      <w:r>
        <w:rPr>
          <w:rFonts w:hint="eastAsia" w:ascii="Times New Roman" w:hAnsi="Times New Roman"/>
          <w:color w:val="auto"/>
          <w:sz w:val="24"/>
          <w:szCs w:val="24"/>
          <w:highlight w:val="none"/>
        </w:rPr>
        <w:t>投标报价应包含所有应向所有权人支付的专利权、商标权或其它知识产权的一切相关费用。</w:t>
      </w:r>
    </w:p>
    <w:p w14:paraId="47C3DC62">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10.3</w:t>
      </w:r>
      <w:r>
        <w:rPr>
          <w:rFonts w:hint="eastAsia" w:ascii="Times New Roman" w:hAnsi="Times New Roman"/>
          <w:color w:val="auto"/>
          <w:sz w:val="24"/>
          <w:szCs w:val="24"/>
          <w:highlight w:val="none"/>
        </w:rPr>
        <w:t>系统软件、通用软件必须是具有在中国境内的合法使用权或版权的正版软件，涉及到第三方提出侵权或知识产权的起诉及支付版税等费用由供应商承担所有责任及费用。</w:t>
      </w:r>
    </w:p>
    <w:p w14:paraId="7D025EA9">
      <w:pPr>
        <w:pStyle w:val="95"/>
        <w:ind w:left="0" w:leftChars="0" w:firstLine="0" w:firstLineChars="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四、投标文件</w:t>
      </w:r>
    </w:p>
    <w:p w14:paraId="2AF2F928">
      <w:pPr>
        <w:pStyle w:val="95"/>
        <w:ind w:firstLine="440"/>
        <w:rPr>
          <w:rFonts w:hint="eastAsia"/>
          <w:color w:val="auto"/>
          <w:sz w:val="24"/>
          <w:szCs w:val="24"/>
          <w:highlight w:val="none"/>
        </w:rPr>
      </w:pPr>
      <w:r>
        <w:rPr>
          <w:rFonts w:hint="eastAsia"/>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4A73C627">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11、投标文件的组成</w:t>
      </w:r>
    </w:p>
    <w:p w14:paraId="65F27E38">
      <w:pPr>
        <w:tabs>
          <w:tab w:val="left" w:pos="709"/>
        </w:tabs>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11.1</w:t>
      </w:r>
      <w:r>
        <w:rPr>
          <w:rFonts w:hint="eastAsia" w:ascii="Times New Roman" w:hAnsi="Times New Roman"/>
          <w:color w:val="auto"/>
          <w:sz w:val="24"/>
          <w:szCs w:val="24"/>
          <w:highlight w:val="none"/>
        </w:rPr>
        <w:t>投标文件分为资格证明文件、报价文件、技术商务文件三部分；</w:t>
      </w:r>
    </w:p>
    <w:p w14:paraId="586245A5">
      <w:pPr>
        <w:pStyle w:val="95"/>
        <w:ind w:firstLine="440"/>
        <w:rPr>
          <w:rFonts w:cs="仿宋_GB2312"/>
          <w:color w:val="auto"/>
          <w:sz w:val="24"/>
          <w:szCs w:val="24"/>
          <w:highlight w:val="none"/>
          <w:lang w:val="zh-CN"/>
        </w:rPr>
      </w:pPr>
      <w:r>
        <w:rPr>
          <w:rFonts w:hint="eastAsia"/>
          <w:color w:val="auto"/>
          <w:sz w:val="24"/>
          <w:szCs w:val="24"/>
          <w:highlight w:val="none"/>
          <w:lang w:val="zh-CN"/>
        </w:rPr>
        <w:t>【特别提示：如有要求提供各项证书、合同、报告等证明的，请将原件清晰扫描做入投标文件。】</w:t>
      </w:r>
    </w:p>
    <w:p w14:paraId="179F21D5">
      <w:pPr>
        <w:pStyle w:val="95"/>
        <w:ind w:left="0" w:leftChars="0" w:firstLine="0" w:firstLineChars="0"/>
        <w:rPr>
          <w:rFonts w:hint="eastAsia"/>
          <w:color w:val="auto"/>
          <w:sz w:val="24"/>
          <w:szCs w:val="24"/>
          <w:highlight w:val="none"/>
        </w:rPr>
      </w:pPr>
      <w:r>
        <w:rPr>
          <w:rFonts w:hint="eastAsia"/>
          <w:b/>
          <w:bCs/>
          <w:color w:val="auto"/>
          <w:sz w:val="24"/>
          <w:szCs w:val="24"/>
          <w:highlight w:val="none"/>
        </w:rPr>
        <w:t>资格证明文件包含但不限于以下文件</w:t>
      </w:r>
      <w:r>
        <w:rPr>
          <w:rFonts w:hint="eastAsia"/>
          <w:color w:val="auto"/>
          <w:sz w:val="24"/>
          <w:szCs w:val="24"/>
          <w:highlight w:val="none"/>
        </w:rPr>
        <w:t>：</w:t>
      </w:r>
    </w:p>
    <w:p w14:paraId="16FB8CAB">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）资格条件自查表（格式见附件）；</w:t>
      </w:r>
    </w:p>
    <w:p w14:paraId="54EFA2DC">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）有效的企业法人营业执照（或事业法人登记证）、其他组织（个体工商户）的营业执照或者民办非企业单位登记证书扫描件；</w:t>
      </w:r>
      <w:r>
        <w:rPr>
          <w:rFonts w:ascii="Times New Roman" w:hAnsi="Times New Roman"/>
          <w:color w:val="auto"/>
          <w:sz w:val="24"/>
          <w:szCs w:val="24"/>
          <w:highlight w:val="none"/>
        </w:rPr>
        <w:t xml:space="preserve"> </w:t>
      </w:r>
    </w:p>
    <w:p w14:paraId="3E1BBA8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）关于资格的承诺函（格式见附件）；</w:t>
      </w:r>
    </w:p>
    <w:p w14:paraId="24F10466">
      <w:pPr>
        <w:tabs>
          <w:tab w:val="left" w:pos="1418"/>
        </w:tabs>
        <w:spacing w:line="360" w:lineRule="auto"/>
        <w:ind w:left="420"/>
        <w:contextualSpacing/>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（4）中小企业声明函（如有，格式见附件）；</w:t>
      </w:r>
    </w:p>
    <w:p w14:paraId="0E171821">
      <w:pPr>
        <w:tabs>
          <w:tab w:val="left" w:pos="1418"/>
        </w:tabs>
        <w:spacing w:line="360" w:lineRule="auto"/>
        <w:ind w:left="420"/>
        <w:contextualSpacing/>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（5）残疾人福利单位声明函（非残疾人福利性单位，无需提供本函）；（如有，格式见附件）；</w:t>
      </w:r>
    </w:p>
    <w:p w14:paraId="09E4A6F9">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6</w:t>
      </w:r>
      <w:r>
        <w:rPr>
          <w:rFonts w:hint="eastAsia" w:ascii="Times New Roman" w:hAnsi="Times New Roman"/>
          <w:color w:val="auto"/>
          <w:sz w:val="24"/>
          <w:szCs w:val="24"/>
          <w:highlight w:val="none"/>
        </w:rPr>
        <w:t>）投标人认为需要提交的其他资格证明文件资料。</w:t>
      </w:r>
    </w:p>
    <w:p w14:paraId="3FAE3702">
      <w:pPr>
        <w:pStyle w:val="95"/>
        <w:ind w:firstLine="440"/>
        <w:rPr>
          <w:color w:val="auto"/>
          <w:sz w:val="24"/>
          <w:szCs w:val="24"/>
          <w:highlight w:val="none"/>
        </w:rPr>
      </w:pPr>
      <w:r>
        <w:rPr>
          <w:rFonts w:hint="eastAsia"/>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4A6B7A6D">
      <w:pPr>
        <w:pStyle w:val="95"/>
        <w:rPr>
          <w:rFonts w:hint="eastAsia" w:eastAsiaTheme="minorEastAsia"/>
          <w:b/>
          <w:bCs/>
          <w:color w:val="auto"/>
          <w:sz w:val="24"/>
          <w:szCs w:val="24"/>
          <w:highlight w:val="none"/>
          <w:lang w:eastAsia="zh-CN"/>
        </w:rPr>
      </w:pPr>
      <w:r>
        <w:rPr>
          <w:rFonts w:hint="eastAsia"/>
          <w:b/>
          <w:bCs/>
          <w:color w:val="auto"/>
          <w:sz w:val="24"/>
          <w:szCs w:val="24"/>
          <w:highlight w:val="none"/>
        </w:rPr>
        <w:t>报价文件包含但不限于以下文件</w:t>
      </w:r>
      <w:r>
        <w:rPr>
          <w:rFonts w:hint="eastAsia"/>
          <w:b/>
          <w:bCs/>
          <w:color w:val="auto"/>
          <w:sz w:val="24"/>
          <w:szCs w:val="24"/>
          <w:highlight w:val="none"/>
          <w:lang w:eastAsia="zh-CN"/>
        </w:rPr>
        <w:t>：</w:t>
      </w:r>
    </w:p>
    <w:p w14:paraId="47014D46">
      <w:pPr>
        <w:pStyle w:val="95"/>
        <w:ind w:firstLine="440"/>
        <w:rPr>
          <w:rFonts w:hint="eastAsia"/>
          <w:color w:val="auto"/>
          <w:sz w:val="24"/>
          <w:szCs w:val="24"/>
          <w:highlight w:val="none"/>
        </w:rPr>
      </w:pPr>
      <w:r>
        <w:rPr>
          <w:rFonts w:hint="eastAsia"/>
          <w:color w:val="auto"/>
          <w:sz w:val="24"/>
          <w:szCs w:val="24"/>
          <w:highlight w:val="none"/>
        </w:rPr>
        <w:t>（1）投标函（格式见附件）；</w:t>
      </w:r>
    </w:p>
    <w:p w14:paraId="27956C2A">
      <w:pPr>
        <w:pStyle w:val="95"/>
        <w:ind w:firstLine="440"/>
        <w:rPr>
          <w:rFonts w:hint="eastAsia"/>
          <w:color w:val="auto"/>
          <w:sz w:val="24"/>
          <w:szCs w:val="24"/>
          <w:highlight w:val="none"/>
        </w:rPr>
      </w:pPr>
      <w:r>
        <w:rPr>
          <w:rFonts w:hint="eastAsia"/>
          <w:color w:val="auto"/>
          <w:sz w:val="24"/>
          <w:szCs w:val="24"/>
          <w:highlight w:val="none"/>
        </w:rPr>
        <w:t>（2）开标一览表（格式见附件）；</w:t>
      </w:r>
    </w:p>
    <w:p w14:paraId="46D4AEE1">
      <w:pPr>
        <w:pStyle w:val="95"/>
        <w:ind w:firstLine="440"/>
        <w:rPr>
          <w:rFonts w:hint="eastAsia"/>
          <w:color w:val="auto"/>
          <w:sz w:val="24"/>
          <w:szCs w:val="24"/>
          <w:highlight w:val="none"/>
        </w:rPr>
      </w:pPr>
      <w:r>
        <w:rPr>
          <w:rFonts w:hint="eastAsia"/>
          <w:color w:val="auto"/>
          <w:sz w:val="24"/>
          <w:szCs w:val="24"/>
          <w:highlight w:val="none"/>
        </w:rPr>
        <w:t>（3）分项报价明细表（格式见附件）；</w:t>
      </w:r>
    </w:p>
    <w:p w14:paraId="48843FA7">
      <w:pPr>
        <w:pStyle w:val="95"/>
        <w:ind w:firstLine="440"/>
        <w:rPr>
          <w:rFonts w:hint="eastAsia" w:eastAsiaTheme="minorEastAsia"/>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）主要零配件、易损件、耗材的成本价供应价格表</w:t>
      </w:r>
      <w:r>
        <w:rPr>
          <w:rFonts w:hint="eastAsia"/>
          <w:color w:val="auto"/>
          <w:sz w:val="24"/>
          <w:szCs w:val="24"/>
          <w:highlight w:val="none"/>
          <w:lang w:eastAsia="zh-CN"/>
        </w:rPr>
        <w:t>（</w:t>
      </w:r>
      <w:r>
        <w:rPr>
          <w:rFonts w:hint="eastAsia"/>
          <w:color w:val="auto"/>
          <w:sz w:val="24"/>
          <w:szCs w:val="24"/>
          <w:highlight w:val="none"/>
          <w:lang w:val="en-US" w:eastAsia="zh-CN"/>
        </w:rPr>
        <w:t>格式见附件</w:t>
      </w:r>
      <w:r>
        <w:rPr>
          <w:rFonts w:hint="eastAsia"/>
          <w:color w:val="auto"/>
          <w:sz w:val="24"/>
          <w:szCs w:val="24"/>
          <w:highlight w:val="none"/>
          <w:lang w:eastAsia="zh-CN"/>
        </w:rPr>
        <w:t>）；</w:t>
      </w:r>
    </w:p>
    <w:p w14:paraId="2C58C49A">
      <w:pPr>
        <w:pStyle w:val="95"/>
        <w:ind w:firstLine="44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投标人认为需提交的其他报价文件资料。</w:t>
      </w:r>
    </w:p>
    <w:p w14:paraId="4439D083">
      <w:pPr>
        <w:pStyle w:val="95"/>
        <w:ind w:firstLine="440"/>
        <w:rPr>
          <w:rFonts w:hint="eastAsia"/>
          <w:b/>
          <w:bCs/>
          <w:color w:val="auto"/>
          <w:sz w:val="24"/>
          <w:szCs w:val="24"/>
          <w:highlight w:val="none"/>
        </w:rPr>
      </w:pPr>
      <w:r>
        <w:rPr>
          <w:rFonts w:hint="eastAsia"/>
          <w:b/>
          <w:bCs/>
          <w:color w:val="auto"/>
          <w:sz w:val="24"/>
          <w:szCs w:val="24"/>
          <w:highlight w:val="none"/>
        </w:rPr>
        <w:t>技术商务文件包含但不限于以下文件：</w:t>
      </w:r>
    </w:p>
    <w:p w14:paraId="54680D72">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（1）商务技术自评表(格式见附件)；</w:t>
      </w:r>
    </w:p>
    <w:p w14:paraId="25141497">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（2）供应商基本情况表（格式见附件）；</w:t>
      </w:r>
    </w:p>
    <w:p w14:paraId="0E6E6AEB">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（3）法定代表人/负责人授权书（格式见附件）；</w:t>
      </w:r>
    </w:p>
    <w:p w14:paraId="1086C940">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（4）证书一览表（格式见附件）；</w:t>
      </w:r>
    </w:p>
    <w:p w14:paraId="63F63398">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（5）供货方案；</w:t>
      </w:r>
    </w:p>
    <w:p w14:paraId="169A0AD4">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 xml:space="preserve">（6）技术规范偏离表（格式见附件）； </w:t>
      </w:r>
    </w:p>
    <w:p w14:paraId="23063389">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 xml:space="preserve">（7）商务偏离表（格式见附件）； </w:t>
      </w:r>
    </w:p>
    <w:p w14:paraId="080F5F8C">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 xml:space="preserve">（8）相关项目实施业绩一览表（格式见附件件）；  </w:t>
      </w:r>
    </w:p>
    <w:p w14:paraId="048718BE">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（9）售后服务方案；</w:t>
      </w:r>
    </w:p>
    <w:p w14:paraId="17985633">
      <w:pPr>
        <w:pStyle w:val="95"/>
        <w:ind w:firstLine="440"/>
        <w:rPr>
          <w:rFonts w:hint="eastAsia" w:ascii="宋体" w:hAnsi="宋体"/>
          <w:color w:val="auto"/>
          <w:sz w:val="24"/>
          <w:szCs w:val="24"/>
          <w:highlight w:val="none"/>
        </w:rPr>
      </w:pPr>
      <w:r>
        <w:rPr>
          <w:rFonts w:hint="eastAsia" w:asciiTheme="minorEastAsia" w:hAnsiTheme="minorEastAsia"/>
          <w:color w:val="auto"/>
          <w:sz w:val="24"/>
          <w:highlight w:val="none"/>
          <w:lang w:val="en-US" w:eastAsia="zh-CN"/>
        </w:rPr>
        <w:t>（10）</w:t>
      </w:r>
      <w:r>
        <w:rPr>
          <w:rFonts w:hint="eastAsia" w:asciiTheme="minorEastAsia" w:hAnsiTheme="minorEastAsia" w:eastAsiaTheme="minorEastAsia"/>
          <w:color w:val="auto"/>
          <w:sz w:val="24"/>
          <w:highlight w:val="none"/>
          <w:lang w:val="en-US" w:eastAsia="zh-CN"/>
        </w:rPr>
        <w:t>服务响应承诺函</w:t>
      </w:r>
      <w:r>
        <w:rPr>
          <w:rFonts w:hint="eastAsia" w:ascii="宋体" w:hAnsi="宋体"/>
          <w:color w:val="auto"/>
          <w:sz w:val="24"/>
          <w:szCs w:val="24"/>
          <w:highlight w:val="none"/>
        </w:rPr>
        <w:t xml:space="preserve">（格式见附件件）； </w:t>
      </w:r>
    </w:p>
    <w:p w14:paraId="056DEB8B">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color w:val="auto"/>
          <w:sz w:val="24"/>
          <w:szCs w:val="24"/>
          <w:highlight w:val="none"/>
          <w:lang w:val="en-US" w:eastAsia="zh-CN"/>
        </w:rPr>
        <w:t>1</w:t>
      </w:r>
      <w:r>
        <w:rPr>
          <w:rFonts w:hint="eastAsia" w:ascii="宋体" w:hAnsi="宋体"/>
          <w:color w:val="auto"/>
          <w:sz w:val="24"/>
          <w:szCs w:val="24"/>
          <w:highlight w:val="none"/>
        </w:rPr>
        <w:t xml:space="preserve">）评分标准或采购文件需要提供的其他技术商务材料； </w:t>
      </w:r>
    </w:p>
    <w:p w14:paraId="40982260">
      <w:pPr>
        <w:pStyle w:val="95"/>
        <w:ind w:firstLine="44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color w:val="auto"/>
          <w:sz w:val="24"/>
          <w:szCs w:val="24"/>
          <w:highlight w:val="none"/>
          <w:lang w:val="en-US" w:eastAsia="zh-CN"/>
        </w:rPr>
        <w:t>2</w:t>
      </w:r>
      <w:r>
        <w:rPr>
          <w:rFonts w:hint="eastAsia" w:ascii="宋体" w:hAnsi="宋体"/>
          <w:color w:val="auto"/>
          <w:sz w:val="24"/>
          <w:szCs w:val="24"/>
          <w:highlight w:val="none"/>
        </w:rPr>
        <w:t>）供应商认为有必要提供的其他技术商务文件资料。</w:t>
      </w:r>
    </w:p>
    <w:p w14:paraId="372C2DB7">
      <w:pPr>
        <w:pStyle w:val="95"/>
        <w:ind w:left="0" w:leftChars="0" w:firstLine="0" w:firstLineChars="0"/>
        <w:rPr>
          <w:rFonts w:hint="eastAsia" w:ascii="Times New Roman" w:hAnsi="Times New Roman"/>
          <w:b/>
          <w:bCs/>
          <w:color w:val="auto"/>
          <w:sz w:val="24"/>
          <w:szCs w:val="24"/>
          <w:highlight w:val="none"/>
        </w:rPr>
      </w:pPr>
      <w:r>
        <w:rPr>
          <w:rFonts w:ascii="Times New Roman" w:hAnsi="Times New Roman"/>
          <w:b/>
          <w:bCs/>
          <w:color w:val="auto"/>
          <w:sz w:val="24"/>
          <w:szCs w:val="24"/>
          <w:highlight w:val="none"/>
        </w:rPr>
        <w:t>12</w:t>
      </w:r>
      <w:r>
        <w:rPr>
          <w:rFonts w:hint="eastAsia" w:ascii="Times New Roman" w:hAnsi="Times New Roman"/>
          <w:b/>
          <w:bCs/>
          <w:color w:val="auto"/>
          <w:sz w:val="24"/>
          <w:szCs w:val="24"/>
          <w:highlight w:val="none"/>
        </w:rPr>
        <w:t>、投标报价</w:t>
      </w:r>
    </w:p>
    <w:p w14:paraId="5AF6E22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12.1</w:t>
      </w:r>
      <w:r>
        <w:rPr>
          <w:rFonts w:hint="eastAsia" w:ascii="Times New Roman" w:hAnsi="Times New Roman"/>
          <w:color w:val="auto"/>
          <w:sz w:val="24"/>
          <w:szCs w:val="24"/>
          <w:highlight w:val="none"/>
        </w:rPr>
        <w:t>投标人应全面充分了解本招标项目的全部内容及要求以及服务现场的基本条件，按照《投标资料表》规定与要求报价，并包含服务过程中可能涉及的所有费用。</w:t>
      </w:r>
    </w:p>
    <w:p w14:paraId="497657D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12.2</w:t>
      </w:r>
      <w:r>
        <w:rPr>
          <w:rFonts w:hint="eastAsia" w:ascii="Times New Roman" w:hAnsi="Times New Roman"/>
          <w:color w:val="auto"/>
          <w:sz w:val="24"/>
          <w:szCs w:val="24"/>
          <w:highlight w:val="none"/>
        </w:rPr>
        <w:t>所有投标报价必须以人民币报价，不接受外币报价。</w:t>
      </w:r>
    </w:p>
    <w:p w14:paraId="7B70F80A">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12.3</w:t>
      </w:r>
      <w:r>
        <w:rPr>
          <w:rFonts w:hint="eastAsia" w:ascii="Times New Roman" w:hAnsi="Times New Roman"/>
          <w:color w:val="auto"/>
          <w:sz w:val="24"/>
          <w:szCs w:val="24"/>
          <w:highlight w:val="none"/>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5FE216AE">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12.4</w:t>
      </w:r>
      <w:r>
        <w:rPr>
          <w:rFonts w:hint="eastAsia" w:ascii="Times New Roman" w:hAnsi="Times New Roman"/>
          <w:color w:val="auto"/>
          <w:sz w:val="24"/>
          <w:szCs w:val="24"/>
          <w:highlight w:val="none"/>
        </w:rPr>
        <w:t>投标报价中有关单价在中标后及合同执行过程中是固定不变的，投标人不得以任何理由予以变更。任何包含价格调整要求的投标，将被作无效投标处理。</w:t>
      </w:r>
    </w:p>
    <w:p w14:paraId="55005C14">
      <w:pPr>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13</w:t>
      </w:r>
      <w:r>
        <w:rPr>
          <w:rFonts w:hint="eastAsia" w:ascii="Times New Roman" w:hAnsi="Times New Roman"/>
          <w:b/>
          <w:bCs/>
          <w:color w:val="auto"/>
          <w:sz w:val="24"/>
          <w:szCs w:val="24"/>
          <w:highlight w:val="none"/>
        </w:rPr>
        <w:t>、投标文件编写</w:t>
      </w:r>
    </w:p>
    <w:p w14:paraId="4FB0A8AF">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w:t>
      </w:r>
      <w:r>
        <w:rPr>
          <w:rFonts w:hint="eastAsia" w:ascii="Times New Roman" w:hAnsi="Times New Roman"/>
          <w:color w:val="auto"/>
          <w:sz w:val="24"/>
          <w:szCs w:val="24"/>
          <w:highlight w:val="none"/>
        </w:rPr>
        <w:t>投标文件应表述准确、完整、详细，并按统一格式填写。开标一览表系开标仪式上唱标的内容，应按格式完整填写。投标文件因表达不清楚所引起的后果由投标人负责。</w:t>
      </w:r>
    </w:p>
    <w:p w14:paraId="47D5EA38">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13.2</w:t>
      </w:r>
      <w:r>
        <w:rPr>
          <w:rFonts w:hint="eastAsia" w:ascii="Times New Roman" w:hAnsi="Times New Roman"/>
          <w:color w:val="auto"/>
          <w:sz w:val="24"/>
          <w:szCs w:val="24"/>
          <w:highlight w:val="none"/>
        </w:rPr>
        <w:t>投标语言：中文。除签名、盖章、专用名称等特殊情形外，以中文汉语以外的文字表述的投标文件视同未提供。</w:t>
      </w:r>
    </w:p>
    <w:p w14:paraId="4ED7BE0E">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13.3</w:t>
      </w:r>
      <w:r>
        <w:rPr>
          <w:rFonts w:hint="eastAsia" w:ascii="Times New Roman" w:hAnsi="Times New Roman"/>
          <w:color w:val="auto"/>
          <w:sz w:val="24"/>
          <w:szCs w:val="24"/>
          <w:highlight w:val="none"/>
        </w:rPr>
        <w:t>投标文件中所使用的计量单位，除非本采购文件“招标内容及要求”有特殊要求，应采用国家法定计量单位。</w:t>
      </w:r>
    </w:p>
    <w:p w14:paraId="1E328E7B">
      <w:pPr>
        <w:pStyle w:val="95"/>
        <w:ind w:left="0" w:leftChars="0" w:firstLine="0" w:firstLineChars="0"/>
        <w:rPr>
          <w:rFonts w:cs="宋体"/>
          <w:b/>
          <w:bCs/>
          <w:color w:val="auto"/>
          <w:sz w:val="24"/>
          <w:szCs w:val="24"/>
          <w:highlight w:val="none"/>
        </w:rPr>
      </w:pPr>
      <w:r>
        <w:rPr>
          <w:rFonts w:hint="eastAsia"/>
          <w:b/>
          <w:bCs/>
          <w:color w:val="auto"/>
          <w:sz w:val="24"/>
          <w:szCs w:val="24"/>
          <w:highlight w:val="none"/>
        </w:rPr>
        <w:t>14、投标文件的制作、封装及递交要求</w:t>
      </w:r>
    </w:p>
    <w:p w14:paraId="4E94C556">
      <w:pPr>
        <w:pStyle w:val="95"/>
        <w:ind w:left="0" w:leftChars="0" w:firstLine="0" w:firstLineChars="0"/>
        <w:rPr>
          <w:rFonts w:hint="eastAsia" w:cs="Times New Roman"/>
          <w:color w:val="auto"/>
          <w:sz w:val="24"/>
          <w:szCs w:val="24"/>
          <w:highlight w:val="none"/>
        </w:rPr>
      </w:pPr>
      <w:r>
        <w:rPr>
          <w:rFonts w:hint="eastAsia"/>
          <w:color w:val="auto"/>
          <w:sz w:val="24"/>
          <w:szCs w:val="24"/>
          <w:highlight w:val="none"/>
        </w:rPr>
        <w:t>14.1、投标文件的制作要求</w:t>
      </w:r>
    </w:p>
    <w:p w14:paraId="523F157F">
      <w:pPr>
        <w:pStyle w:val="95"/>
        <w:ind w:firstLine="440"/>
        <w:rPr>
          <w:rFonts w:hint="eastAsia"/>
          <w:color w:val="auto"/>
          <w:sz w:val="24"/>
          <w:szCs w:val="24"/>
          <w:highlight w:val="none"/>
        </w:rPr>
      </w:pPr>
      <w:r>
        <w:rPr>
          <w:rFonts w:hint="eastAsia"/>
          <w:color w:val="auto"/>
          <w:sz w:val="24"/>
          <w:szCs w:val="24"/>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57ECD7D5">
      <w:pPr>
        <w:pStyle w:val="95"/>
        <w:ind w:firstLine="440"/>
        <w:rPr>
          <w:rFonts w:hint="eastAsia"/>
          <w:color w:val="auto"/>
          <w:sz w:val="24"/>
          <w:szCs w:val="24"/>
          <w:highlight w:val="none"/>
        </w:rPr>
      </w:pPr>
      <w:r>
        <w:rPr>
          <w:rFonts w:hint="eastAsia"/>
          <w:color w:val="auto"/>
          <w:sz w:val="24"/>
          <w:szCs w:val="24"/>
          <w:highlight w:val="none"/>
        </w:rPr>
        <w:t>电子投标文件部分：投标人应根据“政采云供应商项目采购-电子招投标操作指南”及本规定的格式和顺序编制电子投标文件并进行关联定位。</w:t>
      </w:r>
    </w:p>
    <w:p w14:paraId="2EB97637">
      <w:pPr>
        <w:pStyle w:val="95"/>
        <w:ind w:firstLine="440"/>
        <w:rPr>
          <w:rFonts w:hint="eastAsia" w:cs="Times New Roman"/>
          <w:color w:val="auto"/>
          <w:sz w:val="24"/>
          <w:szCs w:val="24"/>
          <w:highlight w:val="none"/>
        </w:rPr>
      </w:pPr>
      <w:r>
        <w:rPr>
          <w:rFonts w:hint="eastAsia"/>
          <w:color w:val="auto"/>
          <w:sz w:val="24"/>
          <w:szCs w:val="24"/>
          <w:highlight w:val="none"/>
        </w:rPr>
        <w:t>备份电子投标文件：通过“政采云”平台电子投标工具制作投标文件所产生的备份文件</w:t>
      </w:r>
    </w:p>
    <w:p w14:paraId="25E83A7F">
      <w:pPr>
        <w:pStyle w:val="95"/>
        <w:ind w:firstLine="440"/>
        <w:rPr>
          <w:rFonts w:hint="eastAsia"/>
          <w:color w:val="auto"/>
          <w:sz w:val="24"/>
          <w:szCs w:val="24"/>
          <w:highlight w:val="none"/>
        </w:rPr>
      </w:pPr>
      <w:r>
        <w:rPr>
          <w:rFonts w:hint="eastAsia"/>
          <w:color w:val="auto"/>
          <w:sz w:val="24"/>
          <w:szCs w:val="24"/>
          <w:highlight w:val="none"/>
        </w:rPr>
        <w:t>（2）投标人应对所提供的全部资料的真实性、有效性承担法律责任，电子投标文件中所须加盖公章部分均采用CA签章。</w:t>
      </w:r>
    </w:p>
    <w:p w14:paraId="2046D313">
      <w:pPr>
        <w:pStyle w:val="95"/>
        <w:ind w:firstLine="440"/>
        <w:rPr>
          <w:rFonts w:hint="eastAsia" w:cs="Lucida Sans"/>
          <w:color w:val="auto"/>
          <w:sz w:val="24"/>
          <w:szCs w:val="24"/>
          <w:highlight w:val="none"/>
        </w:rPr>
      </w:pPr>
      <w:r>
        <w:rPr>
          <w:rFonts w:hint="eastAsia"/>
          <w:color w:val="auto"/>
          <w:sz w:val="24"/>
          <w:szCs w:val="24"/>
          <w:highlight w:val="none"/>
        </w:rPr>
        <w:t>（3）投标文件以及投标人与采购代理机构就有关投标事宜的所有来往函电，均应以中文汉语书写。除签字、盖章、专用名称等特殊情形外，以中文汉语以外的文字表述的投标文件视同未提供。</w:t>
      </w:r>
    </w:p>
    <w:p w14:paraId="0F642933">
      <w:pPr>
        <w:pStyle w:val="95"/>
        <w:ind w:firstLine="440"/>
        <w:rPr>
          <w:rFonts w:hint="eastAsia" w:cs="Times New Roman"/>
          <w:color w:val="auto"/>
          <w:sz w:val="24"/>
          <w:szCs w:val="24"/>
          <w:highlight w:val="none"/>
        </w:rPr>
      </w:pPr>
      <w:r>
        <w:rPr>
          <w:rFonts w:hint="eastAsia"/>
          <w:color w:val="auto"/>
          <w:sz w:val="24"/>
          <w:szCs w:val="24"/>
          <w:highlight w:val="none"/>
        </w:rPr>
        <w:t>（4）投标计量单位，已有明确规定的，使用规定的计量单位；没有规定的，应采用中华人民共和国法定计量单位（货币单位：人民币元）。</w:t>
      </w:r>
    </w:p>
    <w:p w14:paraId="05955A50">
      <w:pPr>
        <w:pStyle w:val="95"/>
        <w:ind w:firstLine="440"/>
        <w:rPr>
          <w:rFonts w:hint="eastAsia"/>
          <w:color w:val="auto"/>
          <w:sz w:val="24"/>
          <w:szCs w:val="24"/>
          <w:highlight w:val="none"/>
        </w:rPr>
      </w:pPr>
      <w:r>
        <w:rPr>
          <w:rFonts w:hint="eastAsia"/>
          <w:color w:val="auto"/>
          <w:sz w:val="24"/>
          <w:szCs w:val="24"/>
          <w:highlight w:val="none"/>
        </w:rPr>
        <w:t>（5）若投标人不按的要求提供资格审查材料，其风险由投标人自行承担。</w:t>
      </w:r>
    </w:p>
    <w:p w14:paraId="798ABBF3">
      <w:pPr>
        <w:pStyle w:val="95"/>
        <w:ind w:firstLine="440"/>
        <w:rPr>
          <w:rFonts w:hint="eastAsia"/>
          <w:color w:val="auto"/>
          <w:sz w:val="24"/>
          <w:szCs w:val="24"/>
          <w:highlight w:val="none"/>
        </w:rPr>
      </w:pPr>
      <w:r>
        <w:rPr>
          <w:rFonts w:hint="eastAsia"/>
          <w:color w:val="auto"/>
          <w:sz w:val="24"/>
          <w:szCs w:val="24"/>
          <w:highlight w:val="none"/>
        </w:rPr>
        <w:t>（6）与本次投标无关的内容请不要制作在内，确保投标文件有针对性、简洁明了。</w:t>
      </w:r>
    </w:p>
    <w:p w14:paraId="0813ED07">
      <w:pPr>
        <w:pStyle w:val="95"/>
        <w:ind w:left="0" w:leftChars="0" w:firstLine="0" w:firstLineChars="0"/>
        <w:rPr>
          <w:rFonts w:hint="eastAsia"/>
          <w:color w:val="auto"/>
          <w:sz w:val="24"/>
          <w:szCs w:val="24"/>
          <w:highlight w:val="none"/>
        </w:rPr>
      </w:pPr>
      <w:r>
        <w:rPr>
          <w:rFonts w:hint="eastAsia"/>
          <w:color w:val="auto"/>
          <w:sz w:val="24"/>
          <w:szCs w:val="24"/>
          <w:highlight w:val="none"/>
        </w:rPr>
        <w:t>14.2、投标文件的编制、递交要求</w:t>
      </w:r>
    </w:p>
    <w:p w14:paraId="41F204B6">
      <w:pPr>
        <w:pStyle w:val="95"/>
        <w:ind w:firstLine="440"/>
        <w:rPr>
          <w:rFonts w:hint="eastAsia"/>
          <w:color w:val="auto"/>
          <w:sz w:val="24"/>
          <w:szCs w:val="24"/>
          <w:highlight w:val="none"/>
        </w:rPr>
      </w:pPr>
      <w:r>
        <w:rPr>
          <w:rFonts w:hint="eastAsia"/>
          <w:color w:val="auto"/>
          <w:sz w:val="24"/>
          <w:szCs w:val="24"/>
          <w:highlight w:val="none"/>
        </w:rPr>
        <w:t>投标文件的递交要求</w:t>
      </w:r>
    </w:p>
    <w:p w14:paraId="403491D0">
      <w:pPr>
        <w:pStyle w:val="95"/>
        <w:ind w:firstLine="440"/>
        <w:rPr>
          <w:rFonts w:hint="eastAsia"/>
          <w:color w:val="auto"/>
          <w:sz w:val="24"/>
          <w:szCs w:val="24"/>
          <w:highlight w:val="none"/>
        </w:rPr>
      </w:pPr>
      <w:r>
        <w:rPr>
          <w:rFonts w:hint="eastAsia"/>
          <w:color w:val="auto"/>
          <w:sz w:val="24"/>
          <w:szCs w:val="24"/>
          <w:highlight w:val="none"/>
        </w:rPr>
        <w:t>（1）投标人须按照采购文件和政采云平台的要求编制并加密投标文件。在投标文件递交截止时间以前完成投标文件的传输递交。</w:t>
      </w:r>
    </w:p>
    <w:p w14:paraId="021BAE6F">
      <w:pPr>
        <w:pStyle w:val="95"/>
        <w:ind w:firstLine="440"/>
        <w:rPr>
          <w:rFonts w:hint="eastAsia"/>
          <w:color w:val="auto"/>
          <w:sz w:val="24"/>
          <w:szCs w:val="24"/>
          <w:highlight w:val="none"/>
        </w:rPr>
      </w:pPr>
      <w:r>
        <w:rPr>
          <w:rFonts w:hint="eastAsia"/>
          <w:color w:val="auto"/>
          <w:sz w:val="24"/>
          <w:szCs w:val="24"/>
          <w:highlight w:val="none"/>
        </w:rPr>
        <w:t>（2）备份电子投标文件必须在规定时间前发送至指定邮箱</w:t>
      </w:r>
      <w:r>
        <w:rPr>
          <w:rFonts w:hint="eastAsia" w:cs="宋体"/>
          <w:color w:val="auto"/>
          <w:sz w:val="24"/>
          <w:szCs w:val="24"/>
          <w:highlight w:val="none"/>
        </w:rPr>
        <w:t>。</w:t>
      </w:r>
      <w:r>
        <w:rPr>
          <w:rFonts w:hint="eastAsia"/>
          <w:color w:val="auto"/>
          <w:sz w:val="24"/>
          <w:szCs w:val="24"/>
          <w:highlight w:val="none"/>
        </w:rPr>
        <w:t>备份电子投标文件在截止时间后提交，采购代理机构将拒绝接收。</w:t>
      </w:r>
    </w:p>
    <w:p w14:paraId="07767AD1">
      <w:pPr>
        <w:pStyle w:val="95"/>
        <w:ind w:firstLine="440"/>
        <w:rPr>
          <w:rFonts w:hint="eastAsia"/>
          <w:color w:val="auto"/>
          <w:sz w:val="24"/>
          <w:szCs w:val="24"/>
          <w:highlight w:val="none"/>
        </w:rPr>
      </w:pPr>
      <w:r>
        <w:rPr>
          <w:rFonts w:hint="eastAsia"/>
          <w:color w:val="auto"/>
          <w:sz w:val="24"/>
          <w:szCs w:val="24"/>
          <w:highlight w:val="none"/>
        </w:rPr>
        <w:t>（3）如有特殊情况，采购代理机构延长截止时间和开标时间，采购代理机构和投标人的权利和义务将受到新的截止时间和开标时间的约束。</w:t>
      </w:r>
    </w:p>
    <w:p w14:paraId="012BC195">
      <w:pPr>
        <w:pStyle w:val="95"/>
        <w:ind w:left="0" w:leftChars="0" w:firstLine="0" w:firstLineChars="0"/>
        <w:rPr>
          <w:rFonts w:hint="eastAsia"/>
          <w:color w:val="auto"/>
          <w:sz w:val="24"/>
          <w:szCs w:val="24"/>
          <w:highlight w:val="none"/>
        </w:rPr>
      </w:pPr>
      <w:r>
        <w:rPr>
          <w:rFonts w:hint="eastAsia"/>
          <w:color w:val="auto"/>
          <w:sz w:val="24"/>
          <w:szCs w:val="24"/>
          <w:highlight w:val="none"/>
        </w:rPr>
        <w:t>14.3、投标文件的补充、修改和撤回</w:t>
      </w:r>
    </w:p>
    <w:p w14:paraId="4FB1556E">
      <w:pPr>
        <w:pStyle w:val="95"/>
        <w:ind w:firstLine="440"/>
        <w:rPr>
          <w:rFonts w:hint="eastAsia"/>
          <w:color w:val="auto"/>
          <w:sz w:val="24"/>
          <w:szCs w:val="24"/>
          <w:highlight w:val="none"/>
        </w:rPr>
      </w:pPr>
      <w:r>
        <w:rPr>
          <w:rFonts w:hint="eastAsia" w:cs="宋体"/>
          <w:color w:val="auto"/>
          <w:sz w:val="24"/>
          <w:szCs w:val="24"/>
          <w:highlight w:val="none"/>
        </w:rPr>
        <w:t>（1）</w:t>
      </w:r>
      <w:r>
        <w:rPr>
          <w:rFonts w:hint="eastAsia"/>
          <w:color w:val="auto"/>
          <w:sz w:val="24"/>
          <w:szCs w:val="24"/>
          <w:highlight w:val="none"/>
        </w:rPr>
        <w:t>补充或者修改投标文件的，应当先行撤回原文件，补充、修改后重新传输递交。投标截止时间前未完成传输的，视为撤回投标文件。</w:t>
      </w:r>
    </w:p>
    <w:p w14:paraId="0E52731B">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15、投标文件的有效期</w:t>
      </w:r>
    </w:p>
    <w:p w14:paraId="48C62B92">
      <w:pPr>
        <w:pStyle w:val="95"/>
        <w:ind w:firstLine="440"/>
        <w:rPr>
          <w:rFonts w:hint="eastAsia"/>
          <w:color w:val="auto"/>
          <w:sz w:val="24"/>
          <w:szCs w:val="24"/>
          <w:highlight w:val="none"/>
        </w:rPr>
      </w:pPr>
      <w:r>
        <w:rPr>
          <w:rFonts w:hint="eastAsia"/>
          <w:color w:val="auto"/>
          <w:sz w:val="24"/>
          <w:szCs w:val="24"/>
          <w:highlight w:val="none"/>
        </w:rPr>
        <w:t>15.1投标文件应在《投标资料表》规定的投标有效期内保持有效。有效期短于规定期限的，将导致投标无效而被拒绝。</w:t>
      </w:r>
    </w:p>
    <w:p w14:paraId="4031857B">
      <w:pPr>
        <w:pStyle w:val="95"/>
        <w:ind w:firstLine="440"/>
        <w:rPr>
          <w:rFonts w:hint="eastAsia"/>
          <w:color w:val="auto"/>
          <w:sz w:val="24"/>
          <w:szCs w:val="24"/>
          <w:highlight w:val="none"/>
        </w:rPr>
      </w:pPr>
      <w:r>
        <w:rPr>
          <w:rFonts w:hint="eastAsia"/>
          <w:color w:val="auto"/>
          <w:sz w:val="24"/>
          <w:szCs w:val="24"/>
          <w:highlight w:val="none"/>
        </w:rPr>
        <w:t>15.2在特殊情况下，在原投标有效期截止之前，应采购人的要求，采购代理机构可要求投标人延长投标文件的有效期，这种要求的提出和投标人的答复都应以书面（含传真）的形式进行。</w:t>
      </w:r>
    </w:p>
    <w:p w14:paraId="6D396D82">
      <w:pPr>
        <w:pStyle w:val="95"/>
        <w:ind w:firstLine="440"/>
        <w:rPr>
          <w:rFonts w:hint="eastAsia"/>
          <w:color w:val="auto"/>
          <w:sz w:val="24"/>
          <w:szCs w:val="24"/>
          <w:highlight w:val="none"/>
        </w:rPr>
      </w:pPr>
      <w:r>
        <w:rPr>
          <w:rFonts w:hint="eastAsia"/>
          <w:color w:val="auto"/>
          <w:sz w:val="24"/>
          <w:szCs w:val="24"/>
          <w:highlight w:val="none"/>
        </w:rPr>
        <w:t>15.3中标人的投标文件自开标之日起至合同履行完毕止均应保持有效。</w:t>
      </w:r>
    </w:p>
    <w:p w14:paraId="6C851835">
      <w:pPr>
        <w:pStyle w:val="95"/>
        <w:ind w:left="0" w:leftChars="0" w:firstLine="0" w:firstLineChars="0"/>
        <w:jc w:val="center"/>
        <w:rPr>
          <w:rFonts w:hint="eastAsia" w:ascii="宋体" w:hAnsi="宋体"/>
          <w:b/>
          <w:bCs/>
          <w:color w:val="auto"/>
          <w:sz w:val="32"/>
          <w:szCs w:val="32"/>
          <w:highlight w:val="none"/>
        </w:rPr>
      </w:pPr>
      <w:r>
        <w:rPr>
          <w:rFonts w:hint="eastAsia" w:ascii="宋体" w:hAnsi="宋体"/>
          <w:b/>
          <w:bCs/>
          <w:color w:val="auto"/>
          <w:sz w:val="32"/>
          <w:szCs w:val="32"/>
          <w:highlight w:val="none"/>
          <w:lang w:eastAsia="zh-CN"/>
        </w:rPr>
        <w:t>五</w:t>
      </w:r>
      <w:r>
        <w:rPr>
          <w:rFonts w:hint="eastAsia" w:ascii="宋体" w:hAnsi="宋体"/>
          <w:b/>
          <w:bCs/>
          <w:color w:val="auto"/>
          <w:sz w:val="32"/>
          <w:szCs w:val="32"/>
          <w:highlight w:val="none"/>
        </w:rPr>
        <w:t>、开标</w:t>
      </w:r>
    </w:p>
    <w:p w14:paraId="624003DB">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16、开标准备</w:t>
      </w:r>
    </w:p>
    <w:p w14:paraId="11E4D5DB">
      <w:pPr>
        <w:pStyle w:val="95"/>
        <w:ind w:firstLine="440"/>
        <w:rPr>
          <w:rFonts w:hint="eastAsia"/>
          <w:color w:val="auto"/>
          <w:sz w:val="24"/>
          <w:szCs w:val="24"/>
          <w:highlight w:val="none"/>
        </w:rPr>
      </w:pPr>
      <w:r>
        <w:rPr>
          <w:rFonts w:hint="eastAsia"/>
          <w:color w:val="auto"/>
          <w:sz w:val="24"/>
          <w:szCs w:val="24"/>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3A5D86D5">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17、 开标程序：</w:t>
      </w:r>
    </w:p>
    <w:p w14:paraId="69E4F470">
      <w:pPr>
        <w:spacing w:line="360" w:lineRule="auto"/>
        <w:ind w:firstLine="480" w:firstLineChars="200"/>
        <w:rPr>
          <w:rFonts w:hint="eastAsia" w:ascii="Times New Roman" w:hAnsi="Times New Roman" w:cs="宋体"/>
          <w:color w:val="auto"/>
          <w:sz w:val="24"/>
          <w:szCs w:val="24"/>
          <w:highlight w:val="none"/>
        </w:rPr>
      </w:pPr>
      <w:r>
        <w:rPr>
          <w:rFonts w:ascii="Times New Roman" w:hAnsi="Times New Roman" w:cs="宋体"/>
          <w:color w:val="auto"/>
          <w:sz w:val="24"/>
          <w:szCs w:val="24"/>
          <w:highlight w:val="none"/>
        </w:rPr>
        <w:t>17.1</w:t>
      </w:r>
      <w:r>
        <w:rPr>
          <w:rFonts w:hint="eastAsia" w:ascii="Times New Roman" w:hAnsi="Times New Roman" w:cs="宋体"/>
          <w:color w:val="auto"/>
          <w:sz w:val="24"/>
          <w:szCs w:val="24"/>
          <w:highlight w:val="none"/>
        </w:rPr>
        <w:t>电子招投标开标程序：</w:t>
      </w:r>
    </w:p>
    <w:p w14:paraId="50ECA9D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第一阶段：</w:t>
      </w:r>
    </w:p>
    <w:p w14:paraId="6104CCA6">
      <w:pPr>
        <w:spacing w:line="360" w:lineRule="auto"/>
        <w:ind w:firstLine="480" w:firstLineChars="200"/>
        <w:rPr>
          <w:rFonts w:asciiTheme="minorEastAsia" w:hAnsiTheme="minorEastAsia"/>
          <w:b/>
          <w:color w:val="auto"/>
          <w:sz w:val="24"/>
          <w:szCs w:val="24"/>
          <w:highlight w:val="none"/>
        </w:rPr>
      </w:pPr>
      <w:r>
        <w:rPr>
          <w:rFonts w:hint="eastAsia" w:ascii="Times New Roman" w:hAnsi="Times New Roman" w:eastAsia="宋体" w:cs="宋体"/>
          <w:color w:val="auto"/>
          <w:sz w:val="24"/>
          <w:szCs w:val="24"/>
          <w:highlight w:val="none"/>
        </w:rPr>
        <w:t>投标截止时间后，供应商登录政府采购云平台，用“项目采购</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开标评标”功能对电子投标文件进行在线解密，在线解密电子投标文件时间为开标时间后</w:t>
      </w:r>
      <w:r>
        <w:rPr>
          <w:rFonts w:ascii="Times New Roman" w:hAnsi="Times New Roman" w:eastAsia="宋体" w:cs="宋体"/>
          <w:color w:val="auto"/>
          <w:sz w:val="24"/>
          <w:szCs w:val="24"/>
          <w:highlight w:val="none"/>
        </w:rPr>
        <w:t>30</w:t>
      </w:r>
      <w:r>
        <w:rPr>
          <w:rFonts w:hint="eastAsia" w:ascii="Times New Roman" w:hAnsi="Times New Roman" w:eastAsia="宋体" w:cs="宋体"/>
          <w:color w:val="auto"/>
          <w:sz w:val="24"/>
          <w:szCs w:val="24"/>
          <w:highlight w:val="none"/>
        </w:rPr>
        <w:t>分钟内。</w:t>
      </w:r>
      <w:r>
        <w:rPr>
          <w:rFonts w:hint="eastAsia" w:asciiTheme="minorEastAsia" w:hAnsiTheme="minorEastAsia"/>
          <w:b/>
          <w:color w:val="auto"/>
          <w:sz w:val="24"/>
          <w:szCs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5BF10EB1">
      <w:pPr>
        <w:spacing w:line="360" w:lineRule="auto"/>
        <w:ind w:firstLine="480" w:firstLineChars="2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在政府采购云平台开启已解密供应商的“资格文件、商务技术文件”，并做开标记录；</w:t>
      </w:r>
    </w:p>
    <w:p w14:paraId="26248EB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第二阶段：</w:t>
      </w:r>
    </w:p>
    <w:p w14:paraId="0E74D704">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）公布经第一阶段评审符合采购文件要求的供应商的商务技术得分情况；</w:t>
      </w:r>
    </w:p>
    <w:p w14:paraId="7899788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）在政府采购云平台开启除第一阶段无效标外的供应商的“报价文件”，并做开标记录；</w:t>
      </w:r>
    </w:p>
    <w:p w14:paraId="6CE9559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3</w:t>
      </w:r>
      <w:r>
        <w:rPr>
          <w:rFonts w:hint="eastAsia" w:ascii="Times New Roman" w:hAnsi="Times New Roman" w:cs="宋体"/>
          <w:color w:val="auto"/>
          <w:sz w:val="24"/>
          <w:szCs w:val="24"/>
          <w:highlight w:val="none"/>
        </w:rPr>
        <w:t>）在政府采购云平台公布评审结果。</w:t>
      </w:r>
    </w:p>
    <w:p w14:paraId="6B62FA29">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）开标会议结束。</w:t>
      </w:r>
    </w:p>
    <w:p w14:paraId="027540C1">
      <w:pPr>
        <w:spacing w:line="360" w:lineRule="auto"/>
        <w:ind w:firstLine="480" w:firstLineChars="200"/>
        <w:rPr>
          <w:rFonts w:ascii="Times New Roman" w:hAnsi="Times New Roman" w:cs="宋体"/>
          <w:color w:val="auto"/>
          <w:sz w:val="24"/>
          <w:szCs w:val="24"/>
          <w:highlight w:val="none"/>
        </w:rPr>
      </w:pPr>
      <w:r>
        <w:rPr>
          <w:rFonts w:ascii="Times New Roman" w:hAnsi="Times New Roman" w:cs="宋体"/>
          <w:color w:val="auto"/>
          <w:sz w:val="24"/>
          <w:szCs w:val="24"/>
          <w:highlight w:val="none"/>
        </w:rPr>
        <w:t>17.2</w:t>
      </w:r>
      <w:r>
        <w:rPr>
          <w:rFonts w:hint="eastAsia" w:ascii="Times New Roman" w:hAnsi="Times New Roman" w:cs="宋体"/>
          <w:color w:val="auto"/>
          <w:sz w:val="24"/>
          <w:szCs w:val="24"/>
          <w:highlight w:val="none"/>
        </w:rPr>
        <w:t>特别说明：政府采购云平台如对电子化开标及评审程序有调整的，按调整后的程序操作。</w:t>
      </w:r>
    </w:p>
    <w:p w14:paraId="3D31F56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本项目原则上采用政采云电子招投标开标程序，但有以下情形之一的，按以下处理：</w:t>
      </w:r>
    </w:p>
    <w:p w14:paraId="095AB636">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）若有供应商在规定时间内无法解密或解密失败，代理机构将开启该供应商递交的电子备份投标文件，上传至政采云平台项目采购模块，以完成开标，电子投标文件自动失效。</w:t>
      </w:r>
    </w:p>
    <w:p w14:paraId="6C5FD977">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）采购过程中出现以下情形，导致电子交易平台无法正常运行，或者无法保证电子交易的公平、公正和安全时，采购人（或代理机构）可中止电子交易活动：</w:t>
      </w:r>
    </w:p>
    <w:p w14:paraId="4FEB10B6">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①电子交易平台发生故障而无法登录访问的；</w:t>
      </w:r>
    </w:p>
    <w:p w14:paraId="16285AA7">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②电子交易平台应用或数据库出现错误，不能进行正常操作的；</w:t>
      </w:r>
    </w:p>
    <w:p w14:paraId="470CB90E">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③电子交易平台发现严重安全漏洞，有潜在泄密危险的；</w:t>
      </w:r>
    </w:p>
    <w:p w14:paraId="75541EB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④病毒发作导致不能进行正常操作的；</w:t>
      </w:r>
    </w:p>
    <w:p w14:paraId="20AF02CF">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⑤其他无法保证电子交易的公平、公正和安全的情况。</w:t>
      </w:r>
    </w:p>
    <w:p w14:paraId="30E2AA43">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出现前款规定情形，不影响采购公平、公正性的，采购人（或代理机构）可以待上述情形消除后继续组织电子交易活动。</w:t>
      </w:r>
    </w:p>
    <w:p w14:paraId="758C046D">
      <w:pPr>
        <w:pStyle w:val="95"/>
        <w:ind w:left="0" w:leftChars="0" w:firstLine="0" w:firstLineChars="0"/>
        <w:jc w:val="cente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t>六、评标和定标</w:t>
      </w:r>
    </w:p>
    <w:p w14:paraId="7ECF2A55">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18、评标委员会</w:t>
      </w:r>
    </w:p>
    <w:p w14:paraId="220C9C7F">
      <w:pPr>
        <w:pStyle w:val="95"/>
        <w:ind w:firstLine="440"/>
        <w:rPr>
          <w:rFonts w:hint="eastAsia"/>
          <w:color w:val="auto"/>
          <w:sz w:val="24"/>
          <w:szCs w:val="24"/>
          <w:highlight w:val="none"/>
        </w:rPr>
      </w:pPr>
      <w:r>
        <w:rPr>
          <w:rFonts w:hint="eastAsia" w:asciiTheme="minorEastAsia" w:hAnsiTheme="minorEastAsia"/>
          <w:color w:val="auto"/>
          <w:sz w:val="24"/>
          <w:szCs w:val="24"/>
          <w:highlight w:val="none"/>
        </w:rPr>
        <w:t>18.1</w:t>
      </w:r>
      <w:r>
        <w:rPr>
          <w:rFonts w:hint="eastAsia"/>
          <w:color w:val="auto"/>
          <w:sz w:val="24"/>
          <w:szCs w:val="24"/>
          <w:highlight w:val="none"/>
        </w:rPr>
        <w:t>受采购人的委托，采购代理机构根据《中华人民共和国政府采购法》、财政部第</w:t>
      </w:r>
      <w:r>
        <w:rPr>
          <w:color w:val="auto"/>
          <w:sz w:val="24"/>
          <w:szCs w:val="24"/>
          <w:highlight w:val="none"/>
        </w:rPr>
        <w:t>87</w:t>
      </w:r>
      <w:r>
        <w:rPr>
          <w:rFonts w:hint="eastAsia"/>
          <w:color w:val="auto"/>
          <w:sz w:val="24"/>
          <w:szCs w:val="24"/>
          <w:highlight w:val="none"/>
        </w:rPr>
        <w:t>号令的规定和有关的法律法规组建评标委员会，评标委员会负责评标工作。评标委员会由采购人代表（≤</w:t>
      </w:r>
      <w:r>
        <w:rPr>
          <w:color w:val="auto"/>
          <w:sz w:val="24"/>
          <w:szCs w:val="24"/>
          <w:highlight w:val="none"/>
        </w:rPr>
        <w:t>1</w:t>
      </w:r>
      <w:r>
        <w:rPr>
          <w:rFonts w:hint="eastAsia"/>
          <w:color w:val="auto"/>
          <w:sz w:val="24"/>
          <w:szCs w:val="24"/>
          <w:highlight w:val="none"/>
        </w:rPr>
        <w:t>人）和评审专家（≥</w:t>
      </w:r>
      <w:r>
        <w:rPr>
          <w:color w:val="auto"/>
          <w:sz w:val="24"/>
          <w:szCs w:val="24"/>
          <w:highlight w:val="none"/>
        </w:rPr>
        <w:t>4</w:t>
      </w:r>
      <w:r>
        <w:rPr>
          <w:rFonts w:hint="eastAsia"/>
          <w:color w:val="auto"/>
          <w:sz w:val="24"/>
          <w:szCs w:val="24"/>
          <w:highlight w:val="none"/>
        </w:rPr>
        <w:t>人）组成。评标委员会成员名单在评标结果公告前应当保密。</w:t>
      </w:r>
    </w:p>
    <w:p w14:paraId="1E150A98">
      <w:pPr>
        <w:pStyle w:val="95"/>
        <w:ind w:firstLine="440"/>
        <w:rPr>
          <w:color w:val="auto"/>
          <w:sz w:val="24"/>
          <w:szCs w:val="24"/>
          <w:highlight w:val="none"/>
        </w:rPr>
      </w:pPr>
      <w:r>
        <w:rPr>
          <w:rFonts w:hint="eastAsia"/>
          <w:color w:val="auto"/>
          <w:sz w:val="24"/>
          <w:szCs w:val="24"/>
          <w:highlight w:val="none"/>
        </w:rPr>
        <w:t>18.2评标委员会将遵循公平、公正、科学、廉洁的原则和规定的程序进行评标，并且只依据投标文件本身对采购文件的响应情况进行评审，不考虑投标人在开标后提交的任何的补充声明、修正方案。</w:t>
      </w:r>
    </w:p>
    <w:p w14:paraId="6A6DD9EC">
      <w:pPr>
        <w:pStyle w:val="95"/>
        <w:ind w:firstLine="440"/>
        <w:rPr>
          <w:rFonts w:hint="eastAsia"/>
          <w:color w:val="auto"/>
          <w:sz w:val="24"/>
          <w:szCs w:val="24"/>
          <w:highlight w:val="none"/>
        </w:rPr>
      </w:pPr>
      <w:r>
        <w:rPr>
          <w:rFonts w:hint="eastAsia"/>
          <w:color w:val="auto"/>
          <w:sz w:val="24"/>
          <w:szCs w:val="24"/>
          <w:highlight w:val="none"/>
        </w:rPr>
        <w:t>18.3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655A8492">
      <w:pPr>
        <w:pStyle w:val="95"/>
        <w:ind w:firstLine="440"/>
        <w:rPr>
          <w:rFonts w:hint="eastAsia"/>
          <w:color w:val="auto"/>
          <w:sz w:val="24"/>
          <w:szCs w:val="24"/>
          <w:highlight w:val="none"/>
        </w:rPr>
      </w:pPr>
      <w:r>
        <w:rPr>
          <w:rFonts w:hint="eastAsia"/>
          <w:color w:val="auto"/>
          <w:sz w:val="24"/>
          <w:szCs w:val="24"/>
          <w:highlight w:val="none"/>
        </w:rPr>
        <w:t>18.4评标委员会将核对投标价格和服务内容，对发现的价格计算错误按下述原则处理：</w:t>
      </w:r>
    </w:p>
    <w:p w14:paraId="66BBC30D">
      <w:pPr>
        <w:pStyle w:val="95"/>
        <w:ind w:firstLine="440"/>
        <w:rPr>
          <w:rFonts w:hint="eastAsia"/>
          <w:color w:val="auto"/>
          <w:sz w:val="24"/>
          <w:szCs w:val="24"/>
          <w:highlight w:val="none"/>
        </w:rPr>
      </w:pPr>
      <w:r>
        <w:rPr>
          <w:rFonts w:hint="eastAsia"/>
          <w:color w:val="auto"/>
          <w:sz w:val="24"/>
          <w:szCs w:val="24"/>
          <w:highlight w:val="none"/>
        </w:rPr>
        <w:t>（1）投标文件中开标一览表内容与投标文件中相应内容不一致的，以开标一览表为准。</w:t>
      </w:r>
    </w:p>
    <w:p w14:paraId="2E6E0A2D">
      <w:pPr>
        <w:pStyle w:val="95"/>
        <w:ind w:firstLine="440"/>
        <w:rPr>
          <w:rFonts w:hint="eastAsia"/>
          <w:color w:val="auto"/>
          <w:sz w:val="24"/>
          <w:szCs w:val="24"/>
          <w:highlight w:val="none"/>
        </w:rPr>
      </w:pPr>
      <w:r>
        <w:rPr>
          <w:rFonts w:hint="eastAsia"/>
          <w:color w:val="auto"/>
          <w:sz w:val="24"/>
          <w:szCs w:val="24"/>
          <w:highlight w:val="none"/>
        </w:rPr>
        <w:t>（2）投标文件的大写金额和小写金额不一致的，以大写金额为准。</w:t>
      </w:r>
    </w:p>
    <w:p w14:paraId="43D89D9D">
      <w:pPr>
        <w:pStyle w:val="95"/>
        <w:ind w:firstLine="440"/>
        <w:rPr>
          <w:rFonts w:hint="eastAsia"/>
          <w:color w:val="auto"/>
          <w:sz w:val="24"/>
          <w:szCs w:val="24"/>
          <w:highlight w:val="none"/>
        </w:rPr>
      </w:pPr>
      <w:r>
        <w:rPr>
          <w:rFonts w:hint="eastAsia"/>
          <w:color w:val="auto"/>
          <w:sz w:val="24"/>
          <w:szCs w:val="24"/>
          <w:highlight w:val="none"/>
        </w:rPr>
        <w:t>（3）单价金额小数点或者百分比有明显错位的，以开标一览表的总价为准，并修改单价；</w:t>
      </w:r>
    </w:p>
    <w:p w14:paraId="0A8AFE51">
      <w:pPr>
        <w:pStyle w:val="95"/>
        <w:ind w:firstLine="440"/>
        <w:rPr>
          <w:rFonts w:hint="eastAsia"/>
          <w:color w:val="auto"/>
          <w:sz w:val="24"/>
          <w:szCs w:val="24"/>
          <w:highlight w:val="none"/>
        </w:rPr>
      </w:pPr>
      <w:r>
        <w:rPr>
          <w:rFonts w:hint="eastAsia"/>
          <w:color w:val="auto"/>
          <w:sz w:val="24"/>
          <w:szCs w:val="24"/>
          <w:highlight w:val="none"/>
        </w:rPr>
        <w:t>（4）总价金额与按单价汇总金额不一致，以单价金额计算结果为准。</w:t>
      </w:r>
    </w:p>
    <w:p w14:paraId="1D4E81E6">
      <w:pPr>
        <w:pStyle w:val="95"/>
        <w:ind w:firstLine="440"/>
        <w:rPr>
          <w:rFonts w:hint="eastAsia"/>
          <w:b/>
          <w:bCs/>
          <w:color w:val="auto"/>
          <w:sz w:val="24"/>
          <w:szCs w:val="24"/>
          <w:highlight w:val="none"/>
        </w:rPr>
      </w:pPr>
      <w:r>
        <w:rPr>
          <w:rFonts w:hint="eastAsia"/>
          <w:b/>
          <w:bCs/>
          <w:color w:val="auto"/>
          <w:sz w:val="24"/>
          <w:szCs w:val="24"/>
          <w:highlight w:val="none"/>
        </w:rPr>
        <w:t>（5）客户端填写的报价与以pdf格式上传文件中的报价不一致的，应以pdf格式上传文件中的报价为准。</w:t>
      </w:r>
    </w:p>
    <w:p w14:paraId="418BD1EB">
      <w:pPr>
        <w:spacing w:line="360" w:lineRule="auto"/>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同时出现两种以上不一致的，按照前款规定的顺序修正。修正后的报价经投标人确认后产生约束力，投标人不确认的，其投标无效。</w:t>
      </w:r>
    </w:p>
    <w:p w14:paraId="6340D4DC">
      <w:pPr>
        <w:pStyle w:val="95"/>
        <w:ind w:firstLine="440"/>
        <w:rPr>
          <w:rFonts w:hint="eastAsia"/>
          <w:color w:val="auto"/>
          <w:sz w:val="24"/>
          <w:szCs w:val="24"/>
          <w:highlight w:val="none"/>
        </w:rPr>
      </w:pPr>
      <w:r>
        <w:rPr>
          <w:rFonts w:hint="eastAsia"/>
          <w:color w:val="auto"/>
          <w:sz w:val="24"/>
          <w:szCs w:val="24"/>
          <w:highlight w:val="none"/>
        </w:rPr>
        <w:t>18.5评标委员会根据采购文件的《评标办法》及在《投标资料表》和《采购内容及要求》中所列的具体标准，对投标文件进行评审和比较。</w:t>
      </w:r>
    </w:p>
    <w:p w14:paraId="371310AC">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19、澄清问题的形式</w:t>
      </w:r>
    </w:p>
    <w:p w14:paraId="4ACF3197">
      <w:pPr>
        <w:pStyle w:val="95"/>
        <w:ind w:firstLine="440"/>
        <w:rPr>
          <w:rFonts w:hint="eastAsia"/>
          <w:color w:val="auto"/>
          <w:sz w:val="24"/>
          <w:szCs w:val="24"/>
          <w:highlight w:val="none"/>
        </w:rPr>
      </w:pPr>
      <w:r>
        <w:rPr>
          <w:rFonts w:hint="eastAsia"/>
          <w:color w:val="auto"/>
          <w:sz w:val="24"/>
          <w:szCs w:val="24"/>
          <w:highlight w:val="none"/>
        </w:rPr>
        <w:t>19.1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59A4872E">
      <w:pPr>
        <w:pStyle w:val="95"/>
        <w:ind w:firstLine="440"/>
        <w:rPr>
          <w:rFonts w:hint="eastAsia"/>
          <w:color w:val="auto"/>
          <w:sz w:val="24"/>
          <w:szCs w:val="24"/>
          <w:highlight w:val="none"/>
        </w:rPr>
      </w:pPr>
      <w:r>
        <w:rPr>
          <w:rFonts w:hint="eastAsia"/>
          <w:color w:val="auto"/>
          <w:sz w:val="24"/>
          <w:szCs w:val="24"/>
          <w:highlight w:val="none"/>
        </w:rPr>
        <w:t>19.2政采云具体操作如下：</w:t>
      </w:r>
    </w:p>
    <w:p w14:paraId="4CB89150">
      <w:pPr>
        <w:pStyle w:val="95"/>
        <w:ind w:firstLine="440"/>
        <w:rPr>
          <w:rFonts w:hint="eastAsia"/>
          <w:color w:val="auto"/>
          <w:sz w:val="24"/>
          <w:szCs w:val="24"/>
          <w:highlight w:val="none"/>
        </w:rPr>
      </w:pPr>
      <w:r>
        <w:rPr>
          <w:rFonts w:hint="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017F5BE5">
      <w:pPr>
        <w:pStyle w:val="95"/>
        <w:ind w:firstLine="440"/>
        <w:rPr>
          <w:rFonts w:hint="eastAsia"/>
          <w:color w:val="auto"/>
          <w:sz w:val="24"/>
          <w:szCs w:val="24"/>
          <w:highlight w:val="none"/>
        </w:rPr>
      </w:pPr>
      <w:r>
        <w:rPr>
          <w:rFonts w:hint="eastAsia"/>
          <w:color w:val="auto"/>
          <w:sz w:val="24"/>
          <w:szCs w:val="24"/>
          <w:highlight w:val="none"/>
        </w:rPr>
        <w:t>路径：用户中心—项目采购—询标澄清</w:t>
      </w:r>
    </w:p>
    <w:p w14:paraId="2D7CED72">
      <w:pPr>
        <w:pStyle w:val="95"/>
        <w:ind w:firstLine="440"/>
        <w:rPr>
          <w:rFonts w:hint="eastAsia"/>
          <w:color w:val="auto"/>
          <w:sz w:val="24"/>
          <w:szCs w:val="24"/>
          <w:highlight w:val="none"/>
        </w:rPr>
      </w:pPr>
      <w:r>
        <w:rPr>
          <w:rFonts w:hint="eastAsia"/>
          <w:color w:val="auto"/>
          <w:sz w:val="24"/>
          <w:szCs w:val="24"/>
          <w:highlight w:val="none"/>
        </w:rPr>
        <w:t>（1）政采云平台通过待办事项和短信提醒供应商在截止时间前完成澄清。</w:t>
      </w:r>
    </w:p>
    <w:p w14:paraId="75BDC585">
      <w:pPr>
        <w:pStyle w:val="95"/>
        <w:ind w:firstLine="440"/>
        <w:rPr>
          <w:rFonts w:hint="eastAsia"/>
          <w:color w:val="auto"/>
          <w:sz w:val="24"/>
          <w:szCs w:val="24"/>
          <w:highlight w:val="none"/>
        </w:rPr>
      </w:pPr>
      <w:r>
        <w:rPr>
          <w:rFonts w:hint="eastAsia"/>
          <w:color w:val="auto"/>
          <w:sz w:val="24"/>
          <w:szCs w:val="24"/>
          <w:highlight w:val="none"/>
        </w:rPr>
        <w:t>（2）投标供应商在“询标澄清-待办理”标签页下选择状态为“待澄清”的项目，点击操作栏【澄清】。</w:t>
      </w:r>
    </w:p>
    <w:p w14:paraId="0CE25239">
      <w:pPr>
        <w:pStyle w:val="95"/>
        <w:ind w:firstLine="440"/>
        <w:rPr>
          <w:rFonts w:hint="eastAsia"/>
          <w:color w:val="auto"/>
          <w:sz w:val="24"/>
          <w:szCs w:val="24"/>
          <w:highlight w:val="none"/>
        </w:rPr>
      </w:pPr>
      <w:r>
        <w:rPr>
          <w:rFonts w:hint="eastAsia"/>
          <w:color w:val="auto"/>
          <w:sz w:val="24"/>
          <w:szCs w:val="24"/>
          <w:highlight w:val="none"/>
        </w:rPr>
        <w:t>（3）查看函内容，在澄清截止时间前上传澄清文件并对澄清文件进行签章。（注：澄清文件必须以PDF格式上传，文件大小：50M）</w:t>
      </w:r>
    </w:p>
    <w:p w14:paraId="439BD7E6">
      <w:pPr>
        <w:pStyle w:val="95"/>
        <w:ind w:firstLine="440"/>
        <w:rPr>
          <w:rFonts w:hint="eastAsia"/>
          <w:color w:val="auto"/>
          <w:sz w:val="24"/>
          <w:szCs w:val="24"/>
          <w:highlight w:val="none"/>
        </w:rPr>
      </w:pPr>
      <w:r>
        <w:rPr>
          <w:rFonts w:hint="eastAsia"/>
          <w:color w:val="auto"/>
          <w:sz w:val="24"/>
          <w:szCs w:val="24"/>
          <w:highlight w:val="none"/>
        </w:rPr>
        <w:t>（4）签章完成，文件名称处显示“已签章”，供应商可“撤回签章”修改澄清函和“查看文件”。</w:t>
      </w:r>
    </w:p>
    <w:p w14:paraId="5F442D90">
      <w:pPr>
        <w:pStyle w:val="95"/>
        <w:ind w:firstLine="440"/>
        <w:rPr>
          <w:rFonts w:hint="eastAsia"/>
          <w:color w:val="auto"/>
          <w:sz w:val="24"/>
          <w:szCs w:val="24"/>
          <w:highlight w:val="none"/>
        </w:rPr>
      </w:pPr>
      <w:r>
        <w:rPr>
          <w:rFonts w:hint="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3366FFD9">
      <w:pPr>
        <w:pStyle w:val="95"/>
        <w:ind w:firstLine="440"/>
        <w:rPr>
          <w:rFonts w:hint="eastAsia"/>
          <w:color w:val="auto"/>
          <w:sz w:val="24"/>
          <w:szCs w:val="24"/>
          <w:highlight w:val="none"/>
        </w:rPr>
      </w:pPr>
      <w:r>
        <w:rPr>
          <w:rFonts w:hint="eastAsia"/>
          <w:color w:val="auto"/>
          <w:sz w:val="24"/>
          <w:szCs w:val="24"/>
          <w:highlight w:val="none"/>
        </w:rPr>
        <w:t>（6）完成状态：供应商澄清文件提交成功后，在“询标澄清-全部”标签页下显示状态为“已澄清”。</w:t>
      </w:r>
    </w:p>
    <w:p w14:paraId="15FFBDCD">
      <w:pPr>
        <w:pStyle w:val="95"/>
        <w:ind w:firstLine="440"/>
        <w:rPr>
          <w:rFonts w:hint="eastAsia"/>
          <w:color w:val="auto"/>
          <w:sz w:val="24"/>
          <w:szCs w:val="24"/>
          <w:highlight w:val="none"/>
        </w:rPr>
      </w:pPr>
      <w:r>
        <w:rPr>
          <w:rFonts w:hint="eastAsia"/>
          <w:color w:val="auto"/>
          <w:sz w:val="24"/>
          <w:szCs w:val="24"/>
          <w:highlight w:val="none"/>
        </w:rPr>
        <w:t>19.3投标供应商未在截止时间前完成澄清，将被视作自动放弃。</w:t>
      </w:r>
    </w:p>
    <w:p w14:paraId="199D7B7B">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20、评标办法</w:t>
      </w:r>
    </w:p>
    <w:p w14:paraId="40CA5763">
      <w:pPr>
        <w:pStyle w:val="95"/>
        <w:ind w:firstLine="440"/>
        <w:rPr>
          <w:rFonts w:hint="eastAsia"/>
          <w:color w:val="auto"/>
          <w:sz w:val="24"/>
          <w:szCs w:val="24"/>
          <w:highlight w:val="none"/>
        </w:rPr>
      </w:pPr>
      <w:r>
        <w:rPr>
          <w:rFonts w:hint="eastAsia"/>
          <w:color w:val="auto"/>
          <w:sz w:val="24"/>
          <w:szCs w:val="24"/>
          <w:highlight w:val="none"/>
        </w:rPr>
        <w:t>20.1本项目采用综合评分法。本次招标采购采用的评标方法具体说明载明在采购文件“评标办法”部分中。</w:t>
      </w:r>
    </w:p>
    <w:p w14:paraId="457F0D70">
      <w:pPr>
        <w:pStyle w:val="95"/>
        <w:ind w:firstLine="440"/>
        <w:rPr>
          <w:rFonts w:hint="eastAsia"/>
          <w:color w:val="auto"/>
          <w:sz w:val="24"/>
          <w:szCs w:val="24"/>
          <w:highlight w:val="none"/>
        </w:rPr>
      </w:pPr>
      <w:r>
        <w:rPr>
          <w:rFonts w:hint="eastAsia"/>
          <w:color w:val="auto"/>
          <w:sz w:val="24"/>
          <w:szCs w:val="24"/>
          <w:highlight w:val="none"/>
        </w:rPr>
        <w:t>20.2综合评分法：</w:t>
      </w:r>
    </w:p>
    <w:p w14:paraId="2B7E33CA">
      <w:pPr>
        <w:pStyle w:val="95"/>
        <w:ind w:firstLine="440"/>
        <w:rPr>
          <w:rFonts w:hint="eastAsia"/>
          <w:color w:val="auto"/>
          <w:sz w:val="24"/>
          <w:szCs w:val="24"/>
          <w:highlight w:val="none"/>
        </w:rPr>
      </w:pPr>
      <w:r>
        <w:rPr>
          <w:rFonts w:hint="eastAsia"/>
          <w:color w:val="auto"/>
          <w:sz w:val="24"/>
          <w:szCs w:val="24"/>
          <w:highlight w:val="none"/>
        </w:rPr>
        <w:t>投标文件满足采购文件全部实质性要求，且按照评审因素的量化指标评审得分最高的投标人为中标候选人的评标方法。</w:t>
      </w:r>
    </w:p>
    <w:p w14:paraId="2B98FF3C">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21、评标程序和原则</w:t>
      </w:r>
    </w:p>
    <w:p w14:paraId="1129C144">
      <w:pPr>
        <w:pStyle w:val="95"/>
        <w:ind w:firstLine="440"/>
        <w:rPr>
          <w:rFonts w:hint="eastAsia"/>
          <w:b/>
          <w:color w:val="auto"/>
          <w:sz w:val="24"/>
          <w:szCs w:val="24"/>
          <w:highlight w:val="none"/>
        </w:rPr>
      </w:pPr>
      <w:r>
        <w:rPr>
          <w:rFonts w:hint="eastAsia"/>
          <w:color w:val="auto"/>
          <w:sz w:val="24"/>
          <w:szCs w:val="24"/>
          <w:highlight w:val="none"/>
        </w:rPr>
        <w:t>21.1评标程序：遵循初步审查、澄清有关问题、比较与评价、推荐中标候选人的程序依次进行。</w:t>
      </w:r>
    </w:p>
    <w:p w14:paraId="7E13CDDF">
      <w:pPr>
        <w:pStyle w:val="95"/>
        <w:ind w:firstLine="440"/>
        <w:rPr>
          <w:rFonts w:hint="eastAsia"/>
          <w:color w:val="auto"/>
          <w:sz w:val="24"/>
          <w:szCs w:val="24"/>
          <w:highlight w:val="none"/>
        </w:rPr>
      </w:pPr>
      <w:r>
        <w:rPr>
          <w:rFonts w:hint="eastAsia"/>
          <w:color w:val="auto"/>
          <w:sz w:val="24"/>
          <w:szCs w:val="24"/>
          <w:highlight w:val="none"/>
        </w:rPr>
        <w:t>21.2初步审查：包含资格性审查和符合性审查。初步审查不合格者不进入澄清有关问题及后续的评标程序。</w:t>
      </w:r>
    </w:p>
    <w:p w14:paraId="32BB545A">
      <w:pPr>
        <w:pStyle w:val="95"/>
        <w:ind w:firstLine="440"/>
        <w:rPr>
          <w:rFonts w:hint="eastAsia"/>
          <w:color w:val="auto"/>
          <w:sz w:val="24"/>
          <w:szCs w:val="24"/>
          <w:highlight w:val="none"/>
        </w:rPr>
      </w:pPr>
      <w:r>
        <w:rPr>
          <w:rFonts w:hint="eastAsia"/>
          <w:color w:val="auto"/>
          <w:sz w:val="24"/>
          <w:szCs w:val="24"/>
          <w:highlight w:val="none"/>
        </w:rPr>
        <w:t>（1）资格性审查：</w:t>
      </w:r>
    </w:p>
    <w:p w14:paraId="212E5ABD">
      <w:pPr>
        <w:pStyle w:val="95"/>
        <w:ind w:firstLine="440"/>
        <w:rPr>
          <w:rFonts w:hint="eastAsia"/>
          <w:color w:val="auto"/>
          <w:sz w:val="24"/>
          <w:szCs w:val="24"/>
          <w:highlight w:val="none"/>
        </w:rPr>
      </w:pPr>
      <w:r>
        <w:rPr>
          <w:rFonts w:hint="eastAsia"/>
          <w:color w:val="auto"/>
          <w:sz w:val="24"/>
          <w:szCs w:val="24"/>
          <w:highlight w:val="none"/>
        </w:rPr>
        <w:t>依据法律法规和采购文件的规定，采购人或采购代理机构对其资格证明文件齐全性和有效性等方面进行审查，以确定投标人是否具备投标资格。</w:t>
      </w:r>
    </w:p>
    <w:p w14:paraId="6E5E9E62">
      <w:pPr>
        <w:pStyle w:val="95"/>
        <w:ind w:firstLine="440"/>
        <w:rPr>
          <w:rFonts w:hint="eastAsia"/>
          <w:color w:val="auto"/>
          <w:sz w:val="24"/>
          <w:szCs w:val="24"/>
          <w:highlight w:val="none"/>
        </w:rPr>
      </w:pPr>
      <w:r>
        <w:rPr>
          <w:rFonts w:hint="eastAsia"/>
          <w:color w:val="auto"/>
          <w:sz w:val="24"/>
          <w:szCs w:val="24"/>
          <w:highlight w:val="none"/>
        </w:rPr>
        <w:t>（2）符合性检查：</w:t>
      </w:r>
    </w:p>
    <w:p w14:paraId="47E61E2F">
      <w:pPr>
        <w:pStyle w:val="95"/>
        <w:ind w:firstLine="440"/>
        <w:rPr>
          <w:rFonts w:hint="eastAsia"/>
          <w:color w:val="auto"/>
          <w:sz w:val="24"/>
          <w:szCs w:val="24"/>
          <w:highlight w:val="none"/>
        </w:rPr>
      </w:pPr>
      <w:r>
        <w:rPr>
          <w:rFonts w:hint="eastAsia"/>
          <w:color w:val="auto"/>
          <w:sz w:val="24"/>
          <w:szCs w:val="24"/>
          <w:highlight w:val="none"/>
        </w:rPr>
        <w:t>依据采购文件的规定，评标委员会从投标文件的有效性、完整性和对采购文件的响应程度进行审查，以确定是否对采购文件的要求作出实质性响应。</w:t>
      </w:r>
    </w:p>
    <w:p w14:paraId="6F7309C8">
      <w:pPr>
        <w:pStyle w:val="95"/>
        <w:ind w:firstLine="440"/>
        <w:rPr>
          <w:rFonts w:hint="eastAsia"/>
          <w:color w:val="auto"/>
          <w:sz w:val="24"/>
          <w:szCs w:val="24"/>
          <w:highlight w:val="none"/>
        </w:rPr>
      </w:pPr>
      <w:r>
        <w:rPr>
          <w:rFonts w:hint="eastAsia"/>
          <w:color w:val="auto"/>
          <w:sz w:val="24"/>
          <w:szCs w:val="24"/>
          <w:highlight w:val="none"/>
        </w:rPr>
        <w:t>21.3澄清有关问题：按第16条规定进行。</w:t>
      </w:r>
    </w:p>
    <w:p w14:paraId="3054860B">
      <w:pPr>
        <w:pStyle w:val="95"/>
        <w:ind w:firstLine="440"/>
        <w:rPr>
          <w:rFonts w:hint="eastAsia"/>
          <w:color w:val="auto"/>
          <w:sz w:val="24"/>
          <w:szCs w:val="24"/>
          <w:highlight w:val="none"/>
        </w:rPr>
      </w:pPr>
      <w:r>
        <w:rPr>
          <w:rFonts w:hint="eastAsia"/>
          <w:color w:val="auto"/>
          <w:sz w:val="24"/>
          <w:szCs w:val="24"/>
          <w:highlight w:val="none"/>
        </w:rPr>
        <w:t>21.4比较与评价：</w:t>
      </w:r>
    </w:p>
    <w:p w14:paraId="6A2669A8">
      <w:pPr>
        <w:pStyle w:val="95"/>
        <w:ind w:firstLine="440"/>
        <w:rPr>
          <w:rFonts w:hint="eastAsia"/>
          <w:color w:val="auto"/>
          <w:sz w:val="24"/>
          <w:szCs w:val="24"/>
          <w:highlight w:val="none"/>
        </w:rPr>
      </w:pPr>
      <w:r>
        <w:rPr>
          <w:rFonts w:hint="eastAsia"/>
          <w:color w:val="auto"/>
          <w:sz w:val="24"/>
          <w:szCs w:val="24"/>
          <w:highlight w:val="none"/>
        </w:rPr>
        <w:t>（1）技术商务评价：按照采购文件的要求和《评标标准》对照投标文件的响应进行技术商务评价，评定其偏差程度，并计算其相应的技术商务评分分值。</w:t>
      </w:r>
    </w:p>
    <w:p w14:paraId="68315E3D">
      <w:pPr>
        <w:pStyle w:val="95"/>
        <w:ind w:firstLine="440"/>
        <w:rPr>
          <w:rFonts w:hint="eastAsia"/>
          <w:color w:val="auto"/>
          <w:sz w:val="24"/>
          <w:szCs w:val="24"/>
          <w:highlight w:val="none"/>
        </w:rPr>
      </w:pPr>
      <w:r>
        <w:rPr>
          <w:rFonts w:hint="eastAsia"/>
          <w:color w:val="auto"/>
          <w:sz w:val="24"/>
          <w:szCs w:val="24"/>
          <w:highlight w:val="none"/>
        </w:rPr>
        <w:t>（2）综合评价：对经过技术商务评价的投标，按《评标标准》规定的评价办法进行综合评价，并按以下原则进行评审计算：</w:t>
      </w:r>
    </w:p>
    <w:p w14:paraId="09A12F99">
      <w:pPr>
        <w:pStyle w:val="95"/>
        <w:ind w:firstLine="440"/>
        <w:rPr>
          <w:rFonts w:hint="eastAsia"/>
          <w:color w:val="auto"/>
          <w:sz w:val="24"/>
          <w:szCs w:val="24"/>
          <w:highlight w:val="none"/>
        </w:rPr>
      </w:pPr>
      <w:r>
        <w:rPr>
          <w:rFonts w:hint="eastAsia"/>
          <w:color w:val="auto"/>
          <w:sz w:val="24"/>
          <w:szCs w:val="24"/>
          <w:highlight w:val="none"/>
        </w:rPr>
        <w:t>综合评分法的最终得分计算：综合得分=报价得分+技术商务评审得分</w:t>
      </w:r>
    </w:p>
    <w:p w14:paraId="171C6BF3">
      <w:pPr>
        <w:pStyle w:val="95"/>
        <w:ind w:firstLine="440"/>
        <w:rPr>
          <w:rFonts w:hint="eastAsia"/>
          <w:color w:val="auto"/>
          <w:sz w:val="24"/>
          <w:szCs w:val="24"/>
          <w:highlight w:val="none"/>
        </w:rPr>
      </w:pPr>
      <w:r>
        <w:rPr>
          <w:rFonts w:hint="eastAsia"/>
          <w:color w:val="auto"/>
          <w:sz w:val="24"/>
          <w:szCs w:val="24"/>
          <w:highlight w:val="none"/>
        </w:rPr>
        <w:t>综合评价结束，按照上述第17条规定，列出进入最终评审各投标人排序次序。</w:t>
      </w:r>
    </w:p>
    <w:p w14:paraId="7AC47CF7">
      <w:pPr>
        <w:pStyle w:val="95"/>
        <w:ind w:firstLine="440"/>
        <w:rPr>
          <w:rFonts w:hint="eastAsia"/>
          <w:color w:val="auto"/>
          <w:sz w:val="24"/>
          <w:szCs w:val="24"/>
          <w:highlight w:val="none"/>
        </w:rPr>
      </w:pPr>
      <w:r>
        <w:rPr>
          <w:rFonts w:hint="eastAsia"/>
          <w:color w:val="auto"/>
          <w:sz w:val="24"/>
          <w:szCs w:val="24"/>
          <w:highlight w:val="none"/>
        </w:rPr>
        <w:t>21.5推荐中标候选人：按22条规定推荐中标候选人。</w:t>
      </w:r>
    </w:p>
    <w:p w14:paraId="3CA0AFF2">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22、推荐中标候选人</w:t>
      </w:r>
    </w:p>
    <w:p w14:paraId="26B5D157">
      <w:pPr>
        <w:pStyle w:val="95"/>
        <w:ind w:firstLine="440"/>
        <w:rPr>
          <w:rFonts w:hint="eastAsia"/>
          <w:color w:val="auto"/>
          <w:sz w:val="24"/>
          <w:szCs w:val="24"/>
          <w:highlight w:val="none"/>
        </w:rPr>
      </w:pPr>
      <w:r>
        <w:rPr>
          <w:rFonts w:hint="eastAsia"/>
          <w:color w:val="auto"/>
          <w:sz w:val="24"/>
          <w:szCs w:val="24"/>
          <w:highlight w:val="none"/>
        </w:rPr>
        <w:t>评标委员会根据各投标人的综合得分由高到低排定顺序，推荐本项目的中标候选人，</w:t>
      </w:r>
      <w:r>
        <w:rPr>
          <w:rFonts w:hint="eastAsia"/>
          <w:color w:val="auto"/>
          <w:sz w:val="24"/>
          <w:szCs w:val="24"/>
          <w:highlight w:val="none"/>
          <w:lang w:eastAsia="zh-CN"/>
        </w:rPr>
        <w:t>每个标项</w:t>
      </w:r>
      <w:r>
        <w:rPr>
          <w:rFonts w:hint="eastAsia"/>
          <w:color w:val="auto"/>
          <w:sz w:val="24"/>
          <w:szCs w:val="24"/>
          <w:highlight w:val="none"/>
        </w:rPr>
        <w:t>推荐两名中标候选人。</w:t>
      </w:r>
    </w:p>
    <w:p w14:paraId="43DF3F46">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23、采购方式转换</w:t>
      </w:r>
    </w:p>
    <w:p w14:paraId="2DEDE3B0">
      <w:pPr>
        <w:pStyle w:val="95"/>
        <w:ind w:firstLine="440"/>
        <w:rPr>
          <w:rFonts w:hint="eastAsia"/>
          <w:color w:val="auto"/>
          <w:sz w:val="24"/>
          <w:szCs w:val="24"/>
          <w:highlight w:val="none"/>
        </w:rPr>
      </w:pPr>
      <w:r>
        <w:rPr>
          <w:rFonts w:hint="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7A783075">
      <w:pPr>
        <w:pStyle w:val="95"/>
        <w:ind w:firstLine="440"/>
        <w:rPr>
          <w:rFonts w:hint="eastAsia"/>
          <w:color w:val="auto"/>
          <w:sz w:val="24"/>
          <w:szCs w:val="24"/>
          <w:highlight w:val="none"/>
        </w:rPr>
      </w:pPr>
      <w:r>
        <w:rPr>
          <w:rFonts w:hint="eastAsia"/>
          <w:color w:val="auto"/>
          <w:sz w:val="24"/>
          <w:szCs w:val="24"/>
          <w:highlight w:val="none"/>
        </w:rPr>
        <w:t>23.1采购文件存在不合理条款或者招标程序不符合规定的，采购人、采购代理机构改正后依法重新招标； </w:t>
      </w:r>
    </w:p>
    <w:p w14:paraId="6C9C4410">
      <w:pPr>
        <w:pStyle w:val="95"/>
        <w:ind w:firstLine="440"/>
        <w:rPr>
          <w:rFonts w:hint="eastAsia"/>
          <w:color w:val="auto"/>
          <w:sz w:val="24"/>
          <w:szCs w:val="24"/>
          <w:highlight w:val="none"/>
        </w:rPr>
      </w:pPr>
      <w:r>
        <w:rPr>
          <w:rFonts w:hint="eastAsia"/>
          <w:color w:val="auto"/>
          <w:sz w:val="24"/>
          <w:szCs w:val="24"/>
          <w:highlight w:val="none"/>
        </w:rPr>
        <w:t>23.2采购文件没有不合理条款、招标程序符合规定，需要采用其他采购方式采购的，采购人依法报财政部门批准。 </w:t>
      </w:r>
    </w:p>
    <w:p w14:paraId="62A3E9DB">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24、评标过程的监控与保密</w:t>
      </w:r>
    </w:p>
    <w:p w14:paraId="61BE79D8">
      <w:pPr>
        <w:pStyle w:val="95"/>
        <w:ind w:firstLine="440"/>
        <w:rPr>
          <w:rFonts w:hint="eastAsia"/>
          <w:color w:val="auto"/>
          <w:sz w:val="24"/>
          <w:szCs w:val="24"/>
          <w:highlight w:val="none"/>
        </w:rPr>
      </w:pPr>
      <w:r>
        <w:rPr>
          <w:rFonts w:hint="eastAsia"/>
          <w:color w:val="auto"/>
          <w:sz w:val="24"/>
          <w:szCs w:val="24"/>
          <w:highlight w:val="none"/>
        </w:rPr>
        <w:t>24.1本项目评标过程实行全程录音、录像监控，投标人在评标过程中所进行的试图影响评标结果的不公正活动，可能导致其投标被拒绝。</w:t>
      </w:r>
    </w:p>
    <w:p w14:paraId="6FED60CF">
      <w:pPr>
        <w:pStyle w:val="95"/>
        <w:ind w:firstLine="440"/>
        <w:rPr>
          <w:rFonts w:hint="eastAsia"/>
          <w:color w:val="auto"/>
          <w:sz w:val="24"/>
          <w:szCs w:val="24"/>
          <w:highlight w:val="none"/>
        </w:rPr>
      </w:pPr>
      <w:r>
        <w:rPr>
          <w:rFonts w:hint="eastAsia"/>
          <w:color w:val="auto"/>
          <w:sz w:val="24"/>
          <w:szCs w:val="24"/>
          <w:highlight w:val="none"/>
        </w:rPr>
        <w:t>24.2开标后到中标通知书发出之前，所有涉及评标委员会名单以及对投标文件的澄清、评价、比较等情况，评标委员会成员、采购人和采购代理机构的有关人员均不得向投标人或其他无关人员透露。</w:t>
      </w:r>
    </w:p>
    <w:p w14:paraId="236007A3">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25、确定中标人、评标结果公示与质疑</w:t>
      </w:r>
    </w:p>
    <w:p w14:paraId="6F7B8D3A">
      <w:pPr>
        <w:pStyle w:val="95"/>
        <w:ind w:firstLine="440"/>
        <w:rPr>
          <w:rFonts w:hint="eastAsia"/>
          <w:color w:val="auto"/>
          <w:sz w:val="24"/>
          <w:szCs w:val="24"/>
          <w:highlight w:val="none"/>
        </w:rPr>
      </w:pPr>
      <w:r>
        <w:rPr>
          <w:rFonts w:hint="eastAsia"/>
          <w:color w:val="auto"/>
          <w:sz w:val="24"/>
          <w:szCs w:val="24"/>
          <w:highlight w:val="none"/>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76E4F471">
      <w:pPr>
        <w:pStyle w:val="95"/>
        <w:ind w:firstLine="440"/>
        <w:rPr>
          <w:rFonts w:hint="eastAsia"/>
          <w:color w:val="auto"/>
          <w:sz w:val="24"/>
          <w:szCs w:val="24"/>
          <w:highlight w:val="none"/>
        </w:rPr>
      </w:pPr>
      <w:r>
        <w:rPr>
          <w:rFonts w:hint="eastAsia"/>
          <w:color w:val="auto"/>
          <w:sz w:val="24"/>
          <w:szCs w:val="24"/>
          <w:highlight w:val="none"/>
        </w:rPr>
        <w:t>25.2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40FD1CEE">
      <w:pPr>
        <w:pStyle w:val="95"/>
        <w:ind w:firstLine="440"/>
        <w:rPr>
          <w:rFonts w:hint="eastAsia"/>
          <w:color w:val="auto"/>
          <w:sz w:val="24"/>
          <w:szCs w:val="24"/>
          <w:highlight w:val="none"/>
        </w:rPr>
      </w:pPr>
      <w:r>
        <w:rPr>
          <w:rFonts w:hint="eastAsia"/>
          <w:color w:val="auto"/>
          <w:sz w:val="24"/>
          <w:szCs w:val="24"/>
          <w:highlight w:val="none"/>
        </w:rPr>
        <w:t>25.3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289EFC1E">
      <w:pPr>
        <w:pStyle w:val="95"/>
        <w:ind w:firstLine="440"/>
        <w:jc w:val="center"/>
        <w:rPr>
          <w:rFonts w:hint="eastAsia"/>
          <w:color w:val="auto"/>
          <w:sz w:val="24"/>
          <w:szCs w:val="24"/>
          <w:highlight w:val="none"/>
        </w:rPr>
      </w:pPr>
      <w:r>
        <w:rPr>
          <w:rFonts w:hint="eastAsia"/>
          <w:b/>
          <w:bCs/>
          <w:color w:val="auto"/>
          <w:sz w:val="32"/>
          <w:szCs w:val="32"/>
          <w:highlight w:val="none"/>
        </w:rPr>
        <w:t>七、无效投标认定</w:t>
      </w:r>
    </w:p>
    <w:p w14:paraId="3D18B82E">
      <w:pPr>
        <w:pStyle w:val="95"/>
        <w:ind w:left="0" w:leftChars="0" w:firstLine="0" w:firstLineChars="0"/>
        <w:rPr>
          <w:rFonts w:hint="eastAsia"/>
          <w:b/>
          <w:bCs/>
          <w:color w:val="auto"/>
          <w:sz w:val="24"/>
          <w:szCs w:val="24"/>
          <w:highlight w:val="none"/>
        </w:rPr>
      </w:pPr>
      <w:r>
        <w:rPr>
          <w:rFonts w:hint="eastAsia"/>
          <w:color w:val="auto"/>
          <w:sz w:val="24"/>
          <w:szCs w:val="24"/>
          <w:highlight w:val="none"/>
        </w:rPr>
        <w:t>2</w:t>
      </w:r>
      <w:r>
        <w:rPr>
          <w:rFonts w:hint="eastAsia"/>
          <w:b/>
          <w:bCs/>
          <w:color w:val="auto"/>
          <w:sz w:val="24"/>
          <w:szCs w:val="24"/>
          <w:highlight w:val="none"/>
        </w:rPr>
        <w:t>6、实质上没有响应采购文件要求的投标将被视为无效投标。</w:t>
      </w:r>
    </w:p>
    <w:p w14:paraId="2EF05ADB">
      <w:pPr>
        <w:pStyle w:val="95"/>
        <w:ind w:firstLine="440"/>
        <w:rPr>
          <w:rFonts w:hint="eastAsia"/>
          <w:color w:val="auto"/>
          <w:sz w:val="24"/>
          <w:szCs w:val="24"/>
          <w:highlight w:val="none"/>
        </w:rPr>
      </w:pPr>
      <w:r>
        <w:rPr>
          <w:rFonts w:hint="eastAsia"/>
          <w:color w:val="auto"/>
          <w:sz w:val="24"/>
          <w:szCs w:val="24"/>
          <w:highlight w:val="none"/>
        </w:rPr>
        <w:t>26.1在资格审查时，不具备采购文件中规定的资格要求的，或者资格证明文件不全的，投标文件将被视为无效。</w:t>
      </w:r>
    </w:p>
    <w:p w14:paraId="38BA03D4">
      <w:pPr>
        <w:pStyle w:val="95"/>
        <w:ind w:firstLine="440"/>
        <w:rPr>
          <w:rFonts w:hint="eastAsia"/>
          <w:color w:val="auto"/>
          <w:sz w:val="24"/>
          <w:szCs w:val="24"/>
          <w:highlight w:val="none"/>
        </w:rPr>
      </w:pPr>
      <w:r>
        <w:rPr>
          <w:rFonts w:hint="eastAsia"/>
          <w:color w:val="auto"/>
          <w:sz w:val="24"/>
          <w:szCs w:val="24"/>
          <w:highlight w:val="none"/>
        </w:rPr>
        <w:t>26.2在符合性审查（技术商务文件）时，如发现下列情形之一的，投标文件将被视为无效：</w:t>
      </w:r>
    </w:p>
    <w:p w14:paraId="3569F6F3">
      <w:pPr>
        <w:pStyle w:val="95"/>
        <w:ind w:firstLine="440"/>
        <w:rPr>
          <w:rFonts w:hint="eastAsia"/>
          <w:color w:val="auto"/>
          <w:sz w:val="24"/>
          <w:szCs w:val="24"/>
          <w:highlight w:val="none"/>
        </w:rPr>
      </w:pPr>
      <w:r>
        <w:rPr>
          <w:rFonts w:hint="eastAsia"/>
          <w:color w:val="auto"/>
          <w:sz w:val="24"/>
          <w:szCs w:val="24"/>
          <w:highlight w:val="none"/>
        </w:rPr>
        <w:t>（1）投标文件未按采购文件要求签署、签章的（不影响投标文件法律效力的除外）；</w:t>
      </w:r>
    </w:p>
    <w:p w14:paraId="2AA8B971">
      <w:pPr>
        <w:pStyle w:val="95"/>
        <w:ind w:firstLine="440"/>
        <w:rPr>
          <w:rFonts w:hint="eastAsia"/>
          <w:color w:val="auto"/>
          <w:sz w:val="24"/>
          <w:szCs w:val="24"/>
          <w:highlight w:val="none"/>
        </w:rPr>
      </w:pPr>
      <w:r>
        <w:rPr>
          <w:rFonts w:hint="eastAsia"/>
          <w:color w:val="auto"/>
          <w:sz w:val="24"/>
          <w:szCs w:val="24"/>
          <w:highlight w:val="none"/>
        </w:rPr>
        <w:t>（2）投标有效期不满足采购文件要求的；</w:t>
      </w:r>
    </w:p>
    <w:p w14:paraId="45EC0227">
      <w:pPr>
        <w:pStyle w:val="95"/>
        <w:ind w:firstLine="440"/>
        <w:rPr>
          <w:rFonts w:hint="eastAsia"/>
          <w:color w:val="auto"/>
          <w:sz w:val="24"/>
          <w:szCs w:val="24"/>
          <w:highlight w:val="none"/>
        </w:rPr>
      </w:pPr>
      <w:r>
        <w:rPr>
          <w:rFonts w:hint="eastAsia"/>
          <w:color w:val="auto"/>
          <w:sz w:val="24"/>
          <w:szCs w:val="24"/>
          <w:highlight w:val="none"/>
        </w:rPr>
        <w:t>（3）明显不符合采购文件要求的，或者与采购文件中标注“▲”的条款发生实质性偏离的；</w:t>
      </w:r>
    </w:p>
    <w:p w14:paraId="02ED6328">
      <w:pPr>
        <w:pStyle w:val="95"/>
        <w:ind w:firstLine="440"/>
        <w:rPr>
          <w:rFonts w:hint="eastAsia"/>
          <w:color w:val="auto"/>
          <w:sz w:val="24"/>
          <w:szCs w:val="24"/>
          <w:highlight w:val="none"/>
        </w:rPr>
      </w:pPr>
      <w:r>
        <w:rPr>
          <w:rFonts w:hint="eastAsia"/>
          <w:color w:val="auto"/>
          <w:sz w:val="24"/>
          <w:szCs w:val="24"/>
          <w:highlight w:val="none"/>
        </w:rPr>
        <w:t>（4）投标文件中含有采购人不能接受的附加条件的；</w:t>
      </w:r>
    </w:p>
    <w:p w14:paraId="7B4F3C17">
      <w:pPr>
        <w:pStyle w:val="95"/>
        <w:ind w:firstLine="440"/>
        <w:rPr>
          <w:rFonts w:hint="eastAsia"/>
          <w:color w:val="auto"/>
          <w:sz w:val="24"/>
          <w:szCs w:val="24"/>
          <w:highlight w:val="none"/>
        </w:rPr>
      </w:pPr>
      <w:r>
        <w:rPr>
          <w:rFonts w:hint="eastAsia"/>
          <w:color w:val="auto"/>
          <w:sz w:val="24"/>
          <w:szCs w:val="24"/>
          <w:highlight w:val="none"/>
        </w:rPr>
        <w:t>（5）投标声明书无法定代表人签名，或委托人未提供法定代表人授权委托书、填写项目不齐全的；</w:t>
      </w:r>
    </w:p>
    <w:p w14:paraId="784BB8F9">
      <w:pPr>
        <w:pStyle w:val="95"/>
        <w:ind w:firstLine="440"/>
        <w:rPr>
          <w:rFonts w:hint="eastAsia"/>
          <w:color w:val="auto"/>
          <w:sz w:val="24"/>
          <w:szCs w:val="24"/>
          <w:highlight w:val="none"/>
        </w:rPr>
      </w:pPr>
      <w:r>
        <w:rPr>
          <w:rFonts w:hint="eastAsia"/>
          <w:color w:val="auto"/>
          <w:sz w:val="24"/>
          <w:szCs w:val="24"/>
          <w:highlight w:val="none"/>
        </w:rPr>
        <w:t>（6）投标文件格式不规范、提供资料不齐全或者内容虚假的；</w:t>
      </w:r>
    </w:p>
    <w:p w14:paraId="6AB5431F">
      <w:pPr>
        <w:pStyle w:val="95"/>
        <w:ind w:firstLine="440"/>
        <w:rPr>
          <w:rFonts w:hint="eastAsia" w:cs="Times New Roman"/>
          <w:color w:val="auto"/>
          <w:sz w:val="24"/>
          <w:szCs w:val="24"/>
          <w:highlight w:val="none"/>
        </w:rPr>
      </w:pPr>
      <w:r>
        <w:rPr>
          <w:rFonts w:hint="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599F3FB6">
      <w:pPr>
        <w:pStyle w:val="95"/>
        <w:ind w:firstLine="440"/>
        <w:rPr>
          <w:rFonts w:hint="eastAsia"/>
          <w:color w:val="auto"/>
          <w:sz w:val="24"/>
          <w:szCs w:val="24"/>
          <w:highlight w:val="none"/>
        </w:rPr>
      </w:pPr>
      <w:r>
        <w:rPr>
          <w:rFonts w:hint="eastAsia"/>
          <w:color w:val="auto"/>
          <w:sz w:val="24"/>
          <w:szCs w:val="24"/>
          <w:highlight w:val="none"/>
        </w:rPr>
        <w:t xml:space="preserve">（8）投标文件的关键内容字迹模糊、无法辨认的，或者投标文件中经修正的内容字迹模糊难以辨认或者修改处未按规定签署、盖章的； </w:t>
      </w:r>
    </w:p>
    <w:p w14:paraId="77DC63AF">
      <w:pPr>
        <w:pStyle w:val="95"/>
        <w:ind w:firstLine="440"/>
        <w:rPr>
          <w:rFonts w:hint="eastAsia"/>
          <w:b/>
          <w:bCs/>
          <w:color w:val="auto"/>
          <w:sz w:val="24"/>
          <w:szCs w:val="24"/>
          <w:highlight w:val="none"/>
        </w:rPr>
      </w:pPr>
      <w:r>
        <w:rPr>
          <w:rFonts w:hint="eastAsia"/>
          <w:b/>
          <w:bCs/>
          <w:color w:val="auto"/>
          <w:sz w:val="24"/>
          <w:szCs w:val="24"/>
          <w:highlight w:val="none"/>
        </w:rPr>
        <w:t>（9）政采云平台项目采购系统显示投标供应商的 IP、MAC、设备硬件等信息重复的；</w:t>
      </w:r>
    </w:p>
    <w:p w14:paraId="57D56EE4">
      <w:pPr>
        <w:pStyle w:val="95"/>
        <w:ind w:firstLine="440"/>
        <w:rPr>
          <w:rFonts w:hint="eastAsia"/>
          <w:color w:val="auto"/>
          <w:sz w:val="24"/>
          <w:szCs w:val="24"/>
          <w:highlight w:val="none"/>
        </w:rPr>
      </w:pPr>
      <w:r>
        <w:rPr>
          <w:rFonts w:hint="eastAsia"/>
          <w:color w:val="auto"/>
          <w:sz w:val="24"/>
          <w:szCs w:val="24"/>
          <w:highlight w:val="none"/>
        </w:rPr>
        <w:t>（10）法律、法规和采购文件规定的其他无效情形。</w:t>
      </w:r>
    </w:p>
    <w:p w14:paraId="40D0E8F1">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26.3</w:t>
      </w:r>
      <w:r>
        <w:rPr>
          <w:rFonts w:hint="eastAsia" w:ascii="Times New Roman" w:hAnsi="Times New Roman"/>
          <w:color w:val="auto"/>
          <w:sz w:val="24"/>
          <w:szCs w:val="24"/>
          <w:highlight w:val="none"/>
        </w:rPr>
        <w:t>在符合性审查（报价文件）时，如发现下列情形之一的，投标文件将被视为无效：</w:t>
      </w:r>
    </w:p>
    <w:p w14:paraId="4FB8C40B">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）未提交投标函或投标函内容不符合采购文件要求的；</w:t>
      </w:r>
    </w:p>
    <w:p w14:paraId="40EA01E1">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rPr>
        <w:t>）投标文件未按采购文件要求签署、签章的（不影响投标文件法律效力的除外）；</w:t>
      </w:r>
    </w:p>
    <w:p w14:paraId="525492C6">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报价超过采购文件中规定的预算金额或者最高限价的</w:t>
      </w:r>
      <w:r>
        <w:rPr>
          <w:rFonts w:hint="eastAsia" w:ascii="Times New Roman" w:hAnsi="Times New Roman" w:eastAsia="宋体"/>
          <w:color w:val="auto"/>
          <w:sz w:val="24"/>
          <w:szCs w:val="24"/>
          <w:highlight w:val="none"/>
        </w:rPr>
        <w:t>；</w:t>
      </w:r>
    </w:p>
    <w:p w14:paraId="37D2DC79">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未采用采购文件要求的报价形式报价的</w:t>
      </w:r>
      <w:r>
        <w:rPr>
          <w:rFonts w:hint="eastAsia" w:ascii="Times New Roman" w:hAnsi="Times New Roman" w:eastAsia="宋体"/>
          <w:color w:val="auto"/>
          <w:sz w:val="24"/>
          <w:szCs w:val="24"/>
          <w:highlight w:val="none"/>
        </w:rPr>
        <w:t>；</w:t>
      </w:r>
    </w:p>
    <w:p w14:paraId="3A411EFC">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5</w:t>
      </w:r>
      <w:r>
        <w:rPr>
          <w:rFonts w:hint="eastAsia" w:ascii="Times New Roman" w:hAnsi="Times New Roman" w:eastAsia="宋体"/>
          <w:color w:val="auto"/>
          <w:sz w:val="24"/>
          <w:szCs w:val="24"/>
          <w:highlight w:val="none"/>
        </w:rPr>
        <w:t>）投标报价具有选择性的；</w:t>
      </w:r>
    </w:p>
    <w:p w14:paraId="1529A15C">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0AA737FF">
      <w:pPr>
        <w:pStyle w:val="21"/>
        <w:spacing w:line="360" w:lineRule="auto"/>
        <w:ind w:firstLine="650" w:firstLineChars="271"/>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采购文件规定的其他无效情形。</w:t>
      </w:r>
    </w:p>
    <w:p w14:paraId="4F3FB701">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26.4</w:t>
      </w:r>
      <w:r>
        <w:rPr>
          <w:rFonts w:hint="eastAsia" w:ascii="Times New Roman" w:hAnsi="Times New Roman"/>
          <w:color w:val="auto"/>
          <w:sz w:val="24"/>
          <w:szCs w:val="24"/>
          <w:highlight w:val="none"/>
        </w:rPr>
        <w:t>被拒绝的投标文件为无效。</w:t>
      </w:r>
    </w:p>
    <w:p w14:paraId="48BA456F">
      <w:pPr>
        <w:pStyle w:val="95"/>
        <w:ind w:firstLine="440"/>
        <w:jc w:val="center"/>
        <w:rPr>
          <w:b/>
          <w:bCs/>
          <w:color w:val="auto"/>
          <w:sz w:val="32"/>
          <w:szCs w:val="32"/>
          <w:highlight w:val="none"/>
        </w:rPr>
      </w:pPr>
      <w:r>
        <w:rPr>
          <w:rFonts w:hint="eastAsia"/>
          <w:b/>
          <w:bCs/>
          <w:color w:val="auto"/>
          <w:sz w:val="32"/>
          <w:szCs w:val="32"/>
          <w:highlight w:val="none"/>
        </w:rPr>
        <w:t>八、授予合同</w:t>
      </w:r>
    </w:p>
    <w:p w14:paraId="6876997F">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7</w:t>
      </w:r>
      <w:r>
        <w:rPr>
          <w:rFonts w:hint="eastAsia" w:ascii="宋体" w:hAnsi="宋体"/>
          <w:b/>
          <w:color w:val="auto"/>
          <w:sz w:val="24"/>
          <w:szCs w:val="24"/>
          <w:highlight w:val="none"/>
        </w:rPr>
        <w:t>、授予合同</w:t>
      </w:r>
    </w:p>
    <w:p w14:paraId="2A6DFA2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采购人在授予合同时不能对中标单价或其他实质性条款和条件作任何改变。</w:t>
      </w:r>
    </w:p>
    <w:p w14:paraId="35CF7B70">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8</w:t>
      </w:r>
      <w:r>
        <w:rPr>
          <w:rFonts w:hint="eastAsia" w:ascii="宋体" w:hAnsi="宋体"/>
          <w:b/>
          <w:color w:val="auto"/>
          <w:sz w:val="24"/>
          <w:szCs w:val="24"/>
          <w:highlight w:val="none"/>
        </w:rPr>
        <w:t>、中标通知</w:t>
      </w:r>
    </w:p>
    <w:p w14:paraId="40BD71C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.1采购代理机构自中标人确定之日起2个工作日内，在指定的媒体上公告中标结果，采购文件随中标结果同时公告。中标公告期限为1个工作日。</w:t>
      </w:r>
    </w:p>
    <w:p w14:paraId="754E3D6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.2在发布中标公告的同时本采购代理机构向中标人发出中标通知书，向其他投标人发出招标结果通知书，中标通知书对采购人和中标人具有同等法律效力。</w:t>
      </w:r>
    </w:p>
    <w:p w14:paraId="7C7B6E5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.3中标人按下述第30条规定与采购人签订合同，中标通知书是合同的组成部分。</w:t>
      </w:r>
    </w:p>
    <w:p w14:paraId="04A2664E">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29</w:t>
      </w:r>
      <w:r>
        <w:rPr>
          <w:rFonts w:hint="eastAsia" w:ascii="宋体" w:hAnsi="宋体"/>
          <w:b/>
          <w:color w:val="auto"/>
          <w:sz w:val="24"/>
          <w:szCs w:val="24"/>
          <w:highlight w:val="none"/>
        </w:rPr>
        <w:t>、签订合同</w:t>
      </w:r>
    </w:p>
    <w:p w14:paraId="299015C8">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.1中标人在本采购代理机构发出中标通知书的30日内，应与采购人按照采购文件和中标人的投标文件的约定内容签订书面合同。否则，采购人可撤销其中标资格并按本须知规定另选中标人或重新招标。</w:t>
      </w:r>
    </w:p>
    <w:p w14:paraId="5CA19740">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.2采购文件、中标人的投标文件及在评标过程中提交的澄清文件均应作为合同附件。</w:t>
      </w:r>
    </w:p>
    <w:p w14:paraId="2AB6226E">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30</w:t>
      </w:r>
      <w:r>
        <w:rPr>
          <w:rFonts w:hint="eastAsia" w:ascii="宋体" w:hAnsi="宋体"/>
          <w:b/>
          <w:color w:val="auto"/>
          <w:sz w:val="24"/>
          <w:szCs w:val="24"/>
          <w:highlight w:val="none"/>
        </w:rPr>
        <w:t>、履约保证金（如有）</w:t>
      </w:r>
    </w:p>
    <w:p w14:paraId="02D7A7C8">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.1签订合同后，中标人应根据采购文件确定的履约保证金的金额交纳履约保证金。</w:t>
      </w:r>
    </w:p>
    <w:p w14:paraId="29B3FE93">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.2签订合同后，如中标人不按双方合同约定履约，则没收其全部履约保证金，履约保证金不足以赔偿损失的，按实际损失赔偿。</w:t>
      </w:r>
    </w:p>
    <w:p w14:paraId="13C23B8B">
      <w:pPr>
        <w:pStyle w:val="95"/>
        <w:ind w:firstLine="440"/>
        <w:jc w:val="center"/>
        <w:rPr>
          <w:rFonts w:hint="eastAsia"/>
          <w:b/>
          <w:bCs/>
          <w:color w:val="auto"/>
          <w:sz w:val="32"/>
          <w:szCs w:val="32"/>
          <w:highlight w:val="none"/>
        </w:rPr>
      </w:pPr>
      <w:r>
        <w:rPr>
          <w:rFonts w:hint="eastAsia"/>
          <w:b/>
          <w:bCs/>
          <w:color w:val="auto"/>
          <w:sz w:val="32"/>
          <w:szCs w:val="32"/>
          <w:highlight w:val="none"/>
        </w:rPr>
        <w:t>九、履约验收</w:t>
      </w:r>
    </w:p>
    <w:p w14:paraId="71BE6DB8">
      <w:pPr>
        <w:pStyle w:val="95"/>
        <w:ind w:left="0" w:leftChars="0" w:firstLine="480" w:firstLineChars="200"/>
        <w:rPr>
          <w:rFonts w:hint="eastAsia"/>
          <w:color w:val="auto"/>
          <w:sz w:val="24"/>
          <w:szCs w:val="24"/>
          <w:highlight w:val="none"/>
        </w:rPr>
      </w:pPr>
      <w:r>
        <w:rPr>
          <w:rFonts w:hint="eastAsia"/>
          <w:color w:val="auto"/>
          <w:sz w:val="24"/>
          <w:szCs w:val="24"/>
          <w:highlight w:val="none"/>
        </w:rPr>
        <w:t>31、采购人负责对中标人的履约行为进行验收。验收标准为本项目的采购文件以及中标人的投标文件，要求验收必须符合相关政策法规和地方标准。政府向社会公众提供的公共服务项目，验收时应当邀请服务对象参与并出具意见，验收结果应当向社会公告。</w:t>
      </w:r>
    </w:p>
    <w:p w14:paraId="4C4DE716">
      <w:pPr>
        <w:pStyle w:val="95"/>
        <w:ind w:firstLine="440"/>
        <w:jc w:val="center"/>
        <w:rPr>
          <w:rFonts w:hint="eastAsia"/>
          <w:b/>
          <w:bCs/>
          <w:color w:val="auto"/>
          <w:sz w:val="32"/>
          <w:szCs w:val="32"/>
          <w:highlight w:val="none"/>
        </w:rPr>
      </w:pPr>
      <w:r>
        <w:rPr>
          <w:rFonts w:hint="eastAsia"/>
          <w:b/>
          <w:bCs/>
          <w:color w:val="auto"/>
          <w:sz w:val="32"/>
          <w:szCs w:val="32"/>
          <w:highlight w:val="none"/>
        </w:rPr>
        <w:t>十、代理服务费</w:t>
      </w:r>
    </w:p>
    <w:p w14:paraId="534DAF1D">
      <w:pPr>
        <w:spacing w:line="360" w:lineRule="auto"/>
        <w:rPr>
          <w:rFonts w:hint="eastAsia"/>
          <w:b/>
          <w:color w:val="auto"/>
          <w:sz w:val="24"/>
          <w:szCs w:val="24"/>
          <w:highlight w:val="none"/>
        </w:rPr>
      </w:pPr>
      <w:r>
        <w:rPr>
          <w:rFonts w:hint="eastAsia" w:asciiTheme="minorEastAsia" w:hAnsiTheme="minorEastAsia"/>
          <w:b/>
          <w:color w:val="auto"/>
          <w:sz w:val="24"/>
          <w:szCs w:val="24"/>
          <w:highlight w:val="none"/>
        </w:rPr>
        <w:t>32、</w:t>
      </w:r>
      <w:r>
        <w:rPr>
          <w:rFonts w:hint="eastAsia"/>
          <w:b/>
          <w:color w:val="auto"/>
          <w:sz w:val="24"/>
          <w:szCs w:val="24"/>
          <w:highlight w:val="none"/>
        </w:rPr>
        <w:t>代理服务费</w:t>
      </w:r>
    </w:p>
    <w:p w14:paraId="01583104">
      <w:pPr>
        <w:spacing w:line="360" w:lineRule="auto"/>
        <w:ind w:firstLine="480" w:firstLineChars="200"/>
        <w:jc w:val="left"/>
        <w:rPr>
          <w:color w:val="auto"/>
          <w:sz w:val="24"/>
          <w:szCs w:val="24"/>
          <w:highlight w:val="none"/>
        </w:rPr>
      </w:pPr>
      <w:r>
        <w:rPr>
          <w:rFonts w:hint="eastAsia"/>
          <w:color w:val="auto"/>
          <w:sz w:val="24"/>
          <w:szCs w:val="24"/>
          <w:highlight w:val="none"/>
        </w:rPr>
        <w:t>中标人应向本采购代理机构支付代理服务费。代理服务费的收费依据及相关规定载明在采购文件《投标资料表》中。</w:t>
      </w:r>
    </w:p>
    <w:p w14:paraId="12E9C81D">
      <w:pPr>
        <w:spacing w:line="360" w:lineRule="auto"/>
        <w:ind w:firstLine="643" w:firstLineChars="200"/>
        <w:jc w:val="center"/>
        <w:rPr>
          <w:rFonts w:hint="eastAsia" w:eastAsia="宋体" w:cs="Times New Roman"/>
          <w:b/>
          <w:bCs/>
          <w:color w:val="auto"/>
          <w:sz w:val="32"/>
          <w:szCs w:val="32"/>
          <w:highlight w:val="none"/>
        </w:rPr>
      </w:pPr>
      <w:r>
        <w:rPr>
          <w:rFonts w:hint="eastAsia" w:eastAsia="宋体" w:cs="Times New Roman"/>
          <w:b/>
          <w:bCs/>
          <w:color w:val="auto"/>
          <w:sz w:val="32"/>
          <w:szCs w:val="32"/>
          <w:highlight w:val="none"/>
        </w:rPr>
        <w:t>十一、政府采购活动中有关中小企业的相关规定（采购进口产品的项目不适用）</w:t>
      </w:r>
    </w:p>
    <w:p w14:paraId="3D99CAAF">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lang w:val="en-US" w:eastAsia="zh-CN"/>
        </w:rPr>
        <w:t>33</w:t>
      </w:r>
      <w:r>
        <w:rPr>
          <w:rFonts w:hint="eastAsia" w:asciiTheme="minorEastAsia" w:hAnsiTheme="minorEastAsia"/>
          <w:b/>
          <w:color w:val="auto"/>
          <w:sz w:val="24"/>
          <w:szCs w:val="24"/>
          <w:highlight w:val="none"/>
        </w:rPr>
        <w:t>、</w:t>
      </w:r>
      <w:r>
        <w:rPr>
          <w:rFonts w:hint="eastAsia" w:asciiTheme="minorEastAsia" w:hAnsiTheme="minorEastAsia"/>
          <w:b/>
          <w:bCs/>
          <w:color w:val="auto"/>
          <w:sz w:val="24"/>
          <w:szCs w:val="24"/>
          <w:highlight w:val="none"/>
        </w:rPr>
        <w:t>本项目专门面向中小企业采购</w:t>
      </w:r>
      <w:r>
        <w:rPr>
          <w:rFonts w:hint="eastAsia" w:asciiTheme="minorEastAsia" w:hAnsiTheme="minorEastAsia"/>
          <w:color w:val="auto"/>
          <w:sz w:val="24"/>
          <w:szCs w:val="24"/>
          <w:highlight w:val="none"/>
        </w:rPr>
        <w:t>。</w:t>
      </w:r>
    </w:p>
    <w:p w14:paraId="59B5321B">
      <w:pPr>
        <w:pStyle w:val="95"/>
        <w:spacing w:line="460" w:lineRule="exact"/>
        <w:ind w:left="0" w:leftChars="0" w:firstLine="0" w:firstLineChars="0"/>
        <w:rPr>
          <w:rFonts w:asciiTheme="minorEastAsia" w:hAnsiTheme="minorEastAsia"/>
          <w:b/>
          <w:color w:val="auto"/>
          <w:sz w:val="24"/>
          <w:szCs w:val="24"/>
          <w:highlight w:val="none"/>
          <w:u w:val="single"/>
        </w:rPr>
      </w:pPr>
      <w:r>
        <w:rPr>
          <w:rFonts w:hint="eastAsia" w:asciiTheme="minorEastAsia" w:hAnsiTheme="minorEastAsia"/>
          <w:b/>
          <w:color w:val="auto"/>
          <w:sz w:val="24"/>
          <w:szCs w:val="24"/>
          <w:highlight w:val="none"/>
          <w:lang w:val="en-US" w:eastAsia="zh-CN"/>
        </w:rPr>
        <w:t>34</w:t>
      </w:r>
      <w:r>
        <w:rPr>
          <w:rFonts w:hint="eastAsia" w:asciiTheme="minorEastAsia" w:hAnsiTheme="minorEastAsia"/>
          <w:b/>
          <w:color w:val="auto"/>
          <w:sz w:val="24"/>
          <w:szCs w:val="24"/>
          <w:highlight w:val="none"/>
        </w:rPr>
        <w:t>、本项目对应的中小企业划型标准所属行业：</w:t>
      </w:r>
      <w:r>
        <w:rPr>
          <w:rFonts w:hint="eastAsia" w:asciiTheme="minorEastAsia" w:hAnsiTheme="minorEastAsia"/>
          <w:b/>
          <w:color w:val="auto"/>
          <w:sz w:val="24"/>
          <w:szCs w:val="24"/>
          <w:highlight w:val="none"/>
          <w:u w:val="single"/>
        </w:rPr>
        <w:t>详见第二部分  投标资料表。</w:t>
      </w:r>
    </w:p>
    <w:p w14:paraId="5A73DBDF">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35</w:t>
      </w:r>
      <w:r>
        <w:rPr>
          <w:rFonts w:hint="eastAsia" w:asciiTheme="minorEastAsia" w:hAnsiTheme="minorEastAsia"/>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CFC5B">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符合中小企业划分标准的个体工商户，在政府采购活动中视同中小企业。</w:t>
      </w:r>
    </w:p>
    <w:p w14:paraId="3BC986AF">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国务院批准的中小企业划分标准：具体见工信部联企业[2011]300号。</w:t>
      </w:r>
    </w:p>
    <w:p w14:paraId="10854F7D">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36</w:t>
      </w:r>
      <w:r>
        <w:rPr>
          <w:rFonts w:hint="eastAsia" w:asciiTheme="minorEastAsia" w:hAnsiTheme="minorEastAsia"/>
          <w:color w:val="auto"/>
          <w:sz w:val="24"/>
          <w:szCs w:val="24"/>
          <w:highlight w:val="none"/>
        </w:rPr>
        <w:t>、在政府采购活动中，供应商提供的货物、工程或者服务符合下列情形的，可享受小型、微型企业（以下简称小微企业）的价格扣除：</w:t>
      </w:r>
    </w:p>
    <w:p w14:paraId="43B2F6AC">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（1）在货物采购项目中，货物由小微企业制造，即货物由小微企业生产且使用该小微企业商号或者注册商标；</w:t>
      </w:r>
    </w:p>
    <w:p w14:paraId="615EBB6F">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（2）在工程采购项目中，工程由小微企业承建，即工程施工单位为小微企业；</w:t>
      </w:r>
    </w:p>
    <w:p w14:paraId="051E64A6">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（3）在服务采购项目中，服务由小微企业承接，即提供服务的人员为小微企业依照《中华人民共和国劳动合同法》订立劳动合同的从业人员。</w:t>
      </w:r>
    </w:p>
    <w:p w14:paraId="128FF752">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w:t>
      </w:r>
      <w:r>
        <w:rPr>
          <w:rFonts w:hint="eastAsia" w:asciiTheme="minorEastAsia" w:hAnsiTheme="minorEastAsia"/>
          <w:color w:val="auto"/>
          <w:sz w:val="24"/>
          <w:szCs w:val="24"/>
          <w:highlight w:val="none"/>
          <w:lang w:val="en-US" w:eastAsia="zh-CN"/>
        </w:rPr>
        <w:t>7</w:t>
      </w:r>
      <w:r>
        <w:rPr>
          <w:rFonts w:hint="eastAsia" w:asciiTheme="minorEastAsia" w:hAnsiTheme="minorEastAsia"/>
          <w:color w:val="auto"/>
          <w:sz w:val="24"/>
          <w:szCs w:val="24"/>
          <w:highlight w:val="none"/>
        </w:rPr>
        <w:t>、在货物采购项目中，供应商提供的货物既有中小企业制造货物，也有大型企业制造货物的，不享受的小微企业价格扣除。</w:t>
      </w:r>
    </w:p>
    <w:p w14:paraId="11D905AF">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w:t>
      </w:r>
      <w:r>
        <w:rPr>
          <w:rFonts w:hint="eastAsia" w:asciiTheme="minorEastAsia" w:hAnsiTheme="minorEastAsia"/>
          <w:color w:val="auto"/>
          <w:sz w:val="24"/>
          <w:szCs w:val="24"/>
          <w:highlight w:val="none"/>
          <w:lang w:val="en-US" w:eastAsia="zh-CN"/>
        </w:rPr>
        <w:t>8</w:t>
      </w:r>
      <w:r>
        <w:rPr>
          <w:rFonts w:hint="eastAsia" w:asciiTheme="minorEastAsia" w:hAnsiTheme="minorEastAsia"/>
          <w:color w:val="auto"/>
          <w:sz w:val="24"/>
          <w:szCs w:val="24"/>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8A08C2F">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w:t>
      </w:r>
      <w:r>
        <w:rPr>
          <w:rFonts w:hint="eastAsia" w:asciiTheme="minorEastAsia" w:hAnsiTheme="minorEastAsia"/>
          <w:color w:val="auto"/>
          <w:sz w:val="24"/>
          <w:szCs w:val="24"/>
          <w:highlight w:val="none"/>
          <w:lang w:val="en-US" w:eastAsia="zh-CN"/>
        </w:rPr>
        <w:t>9</w:t>
      </w:r>
      <w:r>
        <w:rPr>
          <w:rFonts w:hint="eastAsia" w:asciiTheme="minorEastAsia" w:hAnsiTheme="minorEastAsia"/>
          <w:color w:val="auto"/>
          <w:sz w:val="24"/>
          <w:szCs w:val="24"/>
          <w:highlight w:val="none"/>
        </w:rPr>
        <w:t>、根据《关于促进残疾人就业政府采购政策的通知》（财库[2017]141号）规定，在政府采购活动中，残疾人福利性单位视同小型、微型企业。残疾人福利性单位参加政府采购活动时，提供《残疾人福利性单位声明函》。</w:t>
      </w:r>
    </w:p>
    <w:p w14:paraId="08CC8451">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40</w:t>
      </w:r>
      <w:r>
        <w:rPr>
          <w:rFonts w:hint="eastAsia" w:asciiTheme="minorEastAsia" w:hAnsiTheme="minorEastAsia"/>
          <w:color w:val="auto"/>
          <w:sz w:val="24"/>
          <w:szCs w:val="24"/>
          <w:highlight w:val="none"/>
        </w:rPr>
        <w:t>、按规定享受扶持政策获得政府采购合同的，小微企业不得将合同分包给大中型企业，中型企业不得将合同分包给大型企业。</w:t>
      </w:r>
    </w:p>
    <w:p w14:paraId="78B05E69">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41</w:t>
      </w:r>
      <w:r>
        <w:rPr>
          <w:rFonts w:hint="eastAsia" w:asciiTheme="minorEastAsia" w:hAnsiTheme="minorEastAsia"/>
          <w:color w:val="auto"/>
          <w:sz w:val="24"/>
          <w:szCs w:val="24"/>
          <w:highlight w:val="none"/>
        </w:rPr>
        <w:t xml:space="preserve">、供应商按照《政府采购促进中小企业发展管理办法》（财库﹝2020﹞46号）规定提供声明函内容不实的，属于提供虚假材料谋取中标、成交，依照《中华人民共和国政府采购法》等国家有关规定追究相应责任。 </w:t>
      </w:r>
    </w:p>
    <w:p w14:paraId="323D8D5F">
      <w:pPr>
        <w:pageBreakBefore/>
        <w:spacing w:line="360" w:lineRule="auto"/>
        <w:jc w:val="center"/>
        <w:outlineLvl w:val="0"/>
        <w:rPr>
          <w:rFonts w:asciiTheme="minorEastAsia" w:hAnsiTheme="minorEastAsia" w:eastAsiaTheme="minorEastAsia"/>
          <w:b/>
          <w:color w:val="auto"/>
          <w:sz w:val="36"/>
          <w:szCs w:val="36"/>
          <w:highlight w:val="none"/>
        </w:rPr>
      </w:pPr>
      <w:bookmarkStart w:id="36" w:name="_Toc19405"/>
      <w:bookmarkStart w:id="37" w:name="_Toc4644"/>
      <w:bookmarkStart w:id="38" w:name="_Toc15940"/>
      <w:bookmarkStart w:id="39" w:name="_Toc29648"/>
      <w:bookmarkStart w:id="40" w:name="_Toc4213"/>
      <w:bookmarkStart w:id="41" w:name="_Toc9564"/>
      <w:bookmarkStart w:id="42" w:name="_Toc19853"/>
      <w:bookmarkStart w:id="43" w:name="_Toc10854"/>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36"/>
      <w:r>
        <w:rPr>
          <w:rFonts w:asciiTheme="minorEastAsia" w:hAnsiTheme="minorEastAsia" w:eastAsiaTheme="minorEastAsia"/>
          <w:color w:val="auto"/>
          <w:highlight w:val="none"/>
        </w:rPr>
        <w:fldChar w:fldCharType="end"/>
      </w:r>
      <w:bookmarkEnd w:id="37"/>
      <w:bookmarkEnd w:id="38"/>
      <w:bookmarkEnd w:id="39"/>
      <w:bookmarkEnd w:id="40"/>
      <w:bookmarkEnd w:id="41"/>
      <w:bookmarkEnd w:id="42"/>
      <w:bookmarkEnd w:id="43"/>
    </w:p>
    <w:p w14:paraId="0FE62481">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一、</w:t>
      </w:r>
      <w:r>
        <w:rPr>
          <w:rFonts w:eastAsia="宋体" w:cs="Times New Roman" w:asciiTheme="minorEastAsia" w:hAnsiTheme="minorEastAsia"/>
          <w:color w:val="auto"/>
          <w:kern w:val="0"/>
          <w:sz w:val="24"/>
          <w:szCs w:val="24"/>
          <w:highlight w:val="none"/>
        </w:rPr>
        <w:t>本评标标准是对</w:t>
      </w:r>
      <w:r>
        <w:rPr>
          <w:rFonts w:hint="eastAsia" w:eastAsia="宋体" w:cs="Times New Roman" w:asciiTheme="minorEastAsia" w:hAnsiTheme="minorEastAsia"/>
          <w:color w:val="auto"/>
          <w:kern w:val="0"/>
          <w:sz w:val="24"/>
          <w:szCs w:val="24"/>
          <w:highlight w:val="none"/>
        </w:rPr>
        <w:t>《投标人须知》中</w:t>
      </w:r>
      <w:r>
        <w:rPr>
          <w:rFonts w:eastAsia="宋体" w:cs="Times New Roman" w:asciiTheme="minorEastAsia" w:hAnsiTheme="minorEastAsia"/>
          <w:color w:val="auto"/>
          <w:kern w:val="0"/>
          <w:sz w:val="24"/>
          <w:szCs w:val="24"/>
          <w:highlight w:val="none"/>
        </w:rPr>
        <w:t>的</w:t>
      </w:r>
      <w:r>
        <w:rPr>
          <w:rFonts w:hint="eastAsia" w:eastAsia="宋体" w:cs="Times New Roman" w:asciiTheme="minorEastAsia" w:hAnsiTheme="minorEastAsia"/>
          <w:color w:val="auto"/>
          <w:kern w:val="0"/>
          <w:sz w:val="24"/>
          <w:szCs w:val="24"/>
          <w:highlight w:val="none"/>
        </w:rPr>
        <w:t>“六、</w:t>
      </w:r>
      <w:r>
        <w:rPr>
          <w:rFonts w:eastAsia="宋体" w:cs="Times New Roman" w:asciiTheme="minorEastAsia" w:hAnsiTheme="minorEastAsia"/>
          <w:color w:val="auto"/>
          <w:kern w:val="0"/>
          <w:sz w:val="24"/>
          <w:szCs w:val="24"/>
          <w:highlight w:val="none"/>
        </w:rPr>
        <w:t>评标和定标</w:t>
      </w:r>
      <w:r>
        <w:rPr>
          <w:rFonts w:hint="eastAsia" w:eastAsia="宋体" w:cs="Times New Roman" w:asciiTheme="minorEastAsia" w:hAnsiTheme="minorEastAsia"/>
          <w:color w:val="auto"/>
          <w:kern w:val="0"/>
          <w:sz w:val="24"/>
          <w:szCs w:val="24"/>
          <w:highlight w:val="none"/>
        </w:rPr>
        <w:t>”</w:t>
      </w:r>
      <w:r>
        <w:rPr>
          <w:rFonts w:eastAsia="宋体" w:cs="Times New Roman" w:asciiTheme="minorEastAsia" w:hAnsiTheme="minorEastAsia"/>
          <w:color w:val="auto"/>
          <w:kern w:val="0"/>
          <w:sz w:val="24"/>
          <w:szCs w:val="24"/>
          <w:highlight w:val="none"/>
        </w:rPr>
        <w:t>的具体补充，如有不一致，以本办法为准。</w:t>
      </w:r>
    </w:p>
    <w:p w14:paraId="5CCE0D2F">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二、</w:t>
      </w:r>
      <w:r>
        <w:rPr>
          <w:rFonts w:eastAsia="宋体" w:cs="Times New Roman" w:asciiTheme="minorEastAsia" w:hAnsiTheme="minorEastAsia"/>
          <w:color w:val="auto"/>
          <w:kern w:val="0"/>
          <w:sz w:val="24"/>
          <w:szCs w:val="24"/>
          <w:highlight w:val="none"/>
        </w:rPr>
        <w:t>评标委员会按照</w:t>
      </w:r>
      <w:r>
        <w:rPr>
          <w:rFonts w:hint="eastAsia" w:eastAsia="宋体" w:cs="Times New Roman" w:asciiTheme="minorEastAsia" w:hAnsiTheme="minorEastAsia"/>
          <w:color w:val="auto"/>
          <w:kern w:val="0"/>
          <w:sz w:val="24"/>
          <w:szCs w:val="24"/>
          <w:highlight w:val="none"/>
        </w:rPr>
        <w:t>“投标人须知</w:t>
      </w:r>
      <w:r>
        <w:rPr>
          <w:rFonts w:eastAsia="宋体" w:cs="Times New Roman" w:asciiTheme="minorEastAsia" w:hAnsiTheme="minorEastAsia"/>
          <w:color w:val="auto"/>
          <w:kern w:val="0"/>
          <w:sz w:val="24"/>
          <w:szCs w:val="24"/>
          <w:highlight w:val="none"/>
        </w:rPr>
        <w:t>”中关于评标委员会、评标办法、评标程序和原则、推荐中标人、定标等规定和本标准开展评标工作。</w:t>
      </w:r>
    </w:p>
    <w:p w14:paraId="2E4C690B">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A312E4E">
      <w:pPr>
        <w:spacing w:line="360" w:lineRule="auto"/>
        <w:rPr>
          <w:rFonts w:hint="eastAsia" w:eastAsia="宋体" w:cs="Times New Roman" w:asciiTheme="minorEastAsia" w:hAnsiTheme="minorEastAsia"/>
          <w:color w:val="auto"/>
          <w:kern w:val="0"/>
          <w:sz w:val="24"/>
          <w:szCs w:val="24"/>
          <w:highlight w:val="none"/>
        </w:rPr>
      </w:pPr>
      <w:bookmarkStart w:id="44" w:name="_Toc263083252"/>
      <w:bookmarkStart w:id="45" w:name="_Toc30471"/>
      <w:bookmarkStart w:id="46" w:name="_Toc250837975"/>
      <w:r>
        <w:rPr>
          <w:rFonts w:hint="eastAsia" w:eastAsia="宋体" w:cs="Times New Roman" w:asciiTheme="minorEastAsia" w:hAnsiTheme="minorEastAsia"/>
          <w:color w:val="auto"/>
          <w:kern w:val="0"/>
          <w:sz w:val="24"/>
          <w:szCs w:val="24"/>
          <w:highlight w:val="none"/>
        </w:rPr>
        <w:t>三、</w:t>
      </w:r>
      <w:r>
        <w:rPr>
          <w:rFonts w:eastAsia="宋体" w:cs="Times New Roman" w:asciiTheme="minorEastAsia" w:hAnsiTheme="minorEastAsia"/>
          <w:color w:val="auto"/>
          <w:kern w:val="0"/>
          <w:sz w:val="24"/>
          <w:szCs w:val="24"/>
          <w:highlight w:val="none"/>
        </w:rPr>
        <w:t>评标办法</w:t>
      </w:r>
      <w:bookmarkEnd w:id="44"/>
      <w:bookmarkEnd w:id="45"/>
    </w:p>
    <w:p w14:paraId="62331202">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本次采购招标项目选用：综合评分法</w:t>
      </w:r>
      <w:bookmarkEnd w:id="46"/>
      <w:bookmarkStart w:id="47" w:name="_Toc5897"/>
      <w:bookmarkStart w:id="48" w:name="_Toc250837976"/>
      <w:bookmarkStart w:id="49" w:name="_Toc263083253"/>
      <w:r>
        <w:rPr>
          <w:rFonts w:hint="eastAsia" w:eastAsia="宋体" w:cs="Times New Roman" w:asciiTheme="minorEastAsia" w:hAnsiTheme="minorEastAsia"/>
          <w:color w:val="auto"/>
          <w:kern w:val="0"/>
          <w:sz w:val="24"/>
          <w:szCs w:val="24"/>
          <w:highlight w:val="none"/>
        </w:rPr>
        <w:t>。</w:t>
      </w:r>
    </w:p>
    <w:p w14:paraId="6BDB61D3">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四、</w:t>
      </w:r>
      <w:r>
        <w:rPr>
          <w:rFonts w:eastAsia="宋体" w:cs="Times New Roman" w:asciiTheme="minorEastAsia" w:hAnsiTheme="minorEastAsia"/>
          <w:color w:val="auto"/>
          <w:kern w:val="0"/>
          <w:sz w:val="24"/>
          <w:szCs w:val="24"/>
          <w:highlight w:val="none"/>
        </w:rPr>
        <w:t>评标细则</w:t>
      </w:r>
      <w:bookmarkEnd w:id="47"/>
      <w:bookmarkEnd w:id="48"/>
      <w:bookmarkEnd w:id="49"/>
    </w:p>
    <w:p w14:paraId="0D91A115">
      <w:pPr>
        <w:spacing w:line="360" w:lineRule="auto"/>
        <w:ind w:firstLine="480" w:firstLineChars="200"/>
        <w:rPr>
          <w:rFonts w:hint="eastAsia" w:eastAsia="宋体" w:cs="Times New Roman" w:asciiTheme="minorEastAsia" w:hAnsiTheme="minorEastAsia"/>
          <w:color w:val="auto"/>
          <w:kern w:val="0"/>
          <w:sz w:val="24"/>
          <w:szCs w:val="24"/>
          <w:highlight w:val="none"/>
        </w:rPr>
      </w:pPr>
      <w:bookmarkStart w:id="50" w:name="_Toc15854"/>
      <w:bookmarkStart w:id="51" w:name="_Toc263083254"/>
      <w:bookmarkStart w:id="52" w:name="_Toc202897570"/>
      <w:bookmarkStart w:id="53" w:name="_Toc243312838"/>
      <w:bookmarkStart w:id="54" w:name="_Toc250837977"/>
      <w:bookmarkStart w:id="55" w:name="_Toc208222299"/>
      <w:bookmarkStart w:id="56" w:name="_Toc246663002"/>
      <w:bookmarkStart w:id="57" w:name="_Toc203406683"/>
      <w:bookmarkStart w:id="58" w:name="_Toc471938831"/>
      <w:r>
        <w:rPr>
          <w:rFonts w:eastAsia="宋体" w:cs="Times New Roman" w:asciiTheme="minorEastAsia" w:hAnsiTheme="minorEastAsia"/>
          <w:color w:val="auto"/>
          <w:kern w:val="0"/>
          <w:sz w:val="24"/>
          <w:szCs w:val="24"/>
          <w:highlight w:val="none"/>
        </w:rPr>
        <w:t>1、对初步审查（含资格审查、符合性审查）合格者进行评分。</w:t>
      </w:r>
    </w:p>
    <w:p w14:paraId="334C0F6C">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2、每位评委根据《评分标准》独立逐栏打分，每栏分值不得超出规定的分值范围；</w:t>
      </w:r>
      <w:r>
        <w:rPr>
          <w:rFonts w:hint="eastAsia" w:eastAsia="宋体" w:cs="Times New Roman" w:asciiTheme="minorEastAsia" w:hAnsiTheme="minorEastAsia"/>
          <w:color w:val="auto"/>
          <w:kern w:val="0"/>
          <w:sz w:val="24"/>
          <w:szCs w:val="24"/>
          <w:highlight w:val="none"/>
        </w:rPr>
        <w:t>评委打分保留1位小数</w:t>
      </w:r>
      <w:r>
        <w:rPr>
          <w:rFonts w:eastAsia="宋体" w:cs="Times New Roman" w:asciiTheme="minorEastAsia" w:hAnsiTheme="minorEastAsia"/>
          <w:color w:val="auto"/>
          <w:kern w:val="0"/>
          <w:sz w:val="24"/>
          <w:szCs w:val="24"/>
          <w:highlight w:val="none"/>
        </w:rPr>
        <w:t>。</w:t>
      </w:r>
    </w:p>
    <w:p w14:paraId="146326DA">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3、价格评审基准价格与价格评审：按照“评分标准”中评审得分公式计算，以四舍五入方法整合到小数点后二位。</w:t>
      </w:r>
    </w:p>
    <w:p w14:paraId="074A3596">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4、最终得分：各评委技术商务分的算术平均值+投标价格分=最终得分，以四舍五入法整合到小数点后二位。</w:t>
      </w:r>
    </w:p>
    <w:p w14:paraId="29341524">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5、评价排序：按评审后得分由高到低顺序排列。得分相同的，按投标报价由低到高顺序排列。得分且投标报价相同的并列，投标文件满足全部实质性要求，且按照评审因素的量化指标评审得分最高的供应商为排名第一的中标候选人</w:t>
      </w:r>
      <w:r>
        <w:rPr>
          <w:rFonts w:hint="eastAsia" w:eastAsia="宋体" w:cs="Times New Roman" w:asciiTheme="minorEastAsia" w:hAnsiTheme="minorEastAsia"/>
          <w:color w:val="auto"/>
          <w:kern w:val="0"/>
          <w:sz w:val="24"/>
          <w:szCs w:val="24"/>
          <w:highlight w:val="none"/>
        </w:rPr>
        <w:t>、得分第二的</w:t>
      </w:r>
      <w:r>
        <w:rPr>
          <w:rFonts w:eastAsia="宋体" w:cs="Times New Roman" w:asciiTheme="minorEastAsia" w:hAnsiTheme="minorEastAsia"/>
          <w:color w:val="auto"/>
          <w:kern w:val="0"/>
          <w:sz w:val="24"/>
          <w:szCs w:val="24"/>
          <w:highlight w:val="none"/>
        </w:rPr>
        <w:t>供应商为排名第</w:t>
      </w:r>
      <w:r>
        <w:rPr>
          <w:rFonts w:hint="eastAsia" w:eastAsia="宋体" w:cs="Times New Roman" w:asciiTheme="minorEastAsia" w:hAnsiTheme="minorEastAsia"/>
          <w:color w:val="auto"/>
          <w:kern w:val="0"/>
          <w:sz w:val="24"/>
          <w:szCs w:val="24"/>
          <w:highlight w:val="none"/>
        </w:rPr>
        <w:t>二</w:t>
      </w:r>
      <w:r>
        <w:rPr>
          <w:rFonts w:eastAsia="宋体" w:cs="Times New Roman" w:asciiTheme="minorEastAsia" w:hAnsiTheme="minorEastAsia"/>
          <w:color w:val="auto"/>
          <w:kern w:val="0"/>
          <w:sz w:val="24"/>
          <w:szCs w:val="24"/>
          <w:highlight w:val="none"/>
        </w:rPr>
        <w:t>的中标候选人。</w:t>
      </w:r>
    </w:p>
    <w:bookmarkEnd w:id="50"/>
    <w:bookmarkEnd w:id="51"/>
    <w:bookmarkEnd w:id="52"/>
    <w:bookmarkEnd w:id="53"/>
    <w:bookmarkEnd w:id="54"/>
    <w:bookmarkEnd w:id="55"/>
    <w:bookmarkEnd w:id="56"/>
    <w:bookmarkEnd w:id="57"/>
    <w:bookmarkEnd w:id="58"/>
    <w:p w14:paraId="66375334">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6、其他说明</w:t>
      </w:r>
    </w:p>
    <w:p w14:paraId="5F2B4879">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（1）</w:t>
      </w:r>
      <w:r>
        <w:rPr>
          <w:rFonts w:eastAsia="宋体" w:cs="Times New Roman" w:asciiTheme="minorEastAsia" w:hAnsiTheme="minorEastAsia"/>
          <w:color w:val="auto"/>
          <w:kern w:val="0"/>
          <w:sz w:val="24"/>
          <w:szCs w:val="24"/>
          <w:highlight w:val="none"/>
        </w:rPr>
        <w:t>、有效投标：通过初步审查且投标报价符合评审范围。</w:t>
      </w:r>
    </w:p>
    <w:p w14:paraId="7619E857">
      <w:pPr>
        <w:spacing w:line="360" w:lineRule="auto"/>
        <w:ind w:firstLine="482" w:firstLineChars="200"/>
        <w:rPr>
          <w:rFonts w:hint="eastAsia" w:eastAsia="宋体" w:cs="Times New Roman" w:asciiTheme="minorEastAsia" w:hAnsiTheme="minorEastAsia"/>
          <w:b/>
          <w:color w:val="auto"/>
          <w:kern w:val="0"/>
          <w:sz w:val="24"/>
          <w:szCs w:val="24"/>
          <w:highlight w:val="none"/>
        </w:rPr>
      </w:pPr>
      <w:r>
        <w:rPr>
          <w:rFonts w:hint="eastAsia" w:eastAsia="宋体" w:cs="Times New Roman" w:asciiTheme="minorEastAsia" w:hAnsiTheme="minorEastAsia"/>
          <w:b/>
          <w:color w:val="auto"/>
          <w:kern w:val="0"/>
          <w:sz w:val="24"/>
          <w:szCs w:val="24"/>
          <w:highlight w:val="none"/>
        </w:rPr>
        <w:t>（2）</w:t>
      </w:r>
      <w:r>
        <w:rPr>
          <w:rFonts w:eastAsia="宋体" w:cs="Times New Roman" w:asciiTheme="minorEastAsia" w:hAnsiTheme="minorEastAsia"/>
          <w:b/>
          <w:color w:val="auto"/>
          <w:kern w:val="0"/>
          <w:sz w:val="24"/>
          <w:szCs w:val="24"/>
          <w:highlight w:val="none"/>
        </w:rPr>
        <w:t>、</w:t>
      </w:r>
      <w:r>
        <w:rPr>
          <w:rFonts w:hint="eastAsia" w:eastAsia="宋体" w:cs="Times New Roman" w:asciiTheme="minorEastAsia" w:hAnsiTheme="minorEastAsia"/>
          <w:b/>
          <w:color w:val="auto"/>
          <w:kern w:val="0"/>
          <w:sz w:val="24"/>
          <w:szCs w:val="24"/>
          <w:highlight w:val="none"/>
        </w:rPr>
        <w:t>本次采购专门面向中小企业，专门面向中小企业/小微企业采购的项目不再执行价格优惠措施。</w:t>
      </w:r>
    </w:p>
    <w:p w14:paraId="50188A77">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（3）</w:t>
      </w:r>
      <w:r>
        <w:rPr>
          <w:rFonts w:eastAsia="宋体" w:cs="Times New Roman" w:asciiTheme="minorEastAsia" w:hAnsiTheme="minorEastAsia"/>
          <w:color w:val="auto"/>
          <w:kern w:val="0"/>
          <w:sz w:val="24"/>
          <w:szCs w:val="24"/>
          <w:highlight w:val="none"/>
        </w:rPr>
        <w:t>如果中标人自动放弃中标资格或因质疑或是投诉被取消中标资格的，可视情况报经财政部门同意后根据评审结果按顺序由排在后面的候选供应商递补，以此类推。</w:t>
      </w:r>
    </w:p>
    <w:p w14:paraId="0A5F2959">
      <w:pPr>
        <w:snapToGrid w:val="0"/>
        <w:spacing w:afterLines="50"/>
        <w:ind w:firstLine="562"/>
        <w:jc w:val="center"/>
        <w:rPr>
          <w:rFonts w:asciiTheme="minorEastAsia" w:hAnsiTheme="minorEastAsia" w:eastAsiaTheme="minorEastAsia"/>
          <w:color w:val="auto"/>
          <w:kern w:val="0"/>
          <w:sz w:val="24"/>
          <w:highlight w:val="none"/>
        </w:rPr>
      </w:pPr>
      <w:r>
        <w:rPr>
          <w:rFonts w:hint="eastAsia"/>
          <w:b/>
          <w:color w:val="auto"/>
          <w:sz w:val="24"/>
          <w:highlight w:val="none"/>
          <w:lang w:eastAsia="zh-CN"/>
        </w:rPr>
        <w:t>标项一</w:t>
      </w:r>
      <w:r>
        <w:rPr>
          <w:b/>
          <w:color w:val="auto"/>
          <w:sz w:val="24"/>
          <w:highlight w:val="none"/>
        </w:rPr>
        <w:t>评分标准</w:t>
      </w:r>
    </w:p>
    <w:tbl>
      <w:tblPr>
        <w:tblStyle w:val="47"/>
        <w:tblW w:w="55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317"/>
        <w:gridCol w:w="7145"/>
        <w:gridCol w:w="816"/>
        <w:gridCol w:w="805"/>
      </w:tblGrid>
      <w:tr w14:paraId="4A71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8" w:type="dxa"/>
            <w:shd w:val="clear" w:color="auto" w:fill="DCD8C2" w:themeFill="background2" w:themeFillShade="E5"/>
            <w:vAlign w:val="center"/>
          </w:tcPr>
          <w:p w14:paraId="3D4B38F0">
            <w:pPr>
              <w:adjustRightInd w:val="0"/>
              <w:spacing w:after="100" w:afterAutospacing="1" w:line="440" w:lineRule="exact"/>
              <w:jc w:val="center"/>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color w:val="auto"/>
                <w:sz w:val="24"/>
                <w:szCs w:val="24"/>
                <w:highlight w:val="none"/>
              </w:rPr>
              <w:t>序号</w:t>
            </w:r>
          </w:p>
        </w:tc>
        <w:tc>
          <w:tcPr>
            <w:tcW w:w="1317" w:type="dxa"/>
            <w:shd w:val="clear" w:color="auto" w:fill="DCD8C2" w:themeFill="background2" w:themeFillShade="E5"/>
            <w:vAlign w:val="center"/>
          </w:tcPr>
          <w:p w14:paraId="558615FD">
            <w:pPr>
              <w:adjustRightInd w:val="0"/>
              <w:spacing w:after="100" w:afterAutospacing="1" w:line="440" w:lineRule="exact"/>
              <w:jc w:val="center"/>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color w:val="auto"/>
                <w:sz w:val="24"/>
                <w:szCs w:val="24"/>
                <w:highlight w:val="none"/>
              </w:rPr>
              <w:t>评分项目</w:t>
            </w:r>
          </w:p>
        </w:tc>
        <w:tc>
          <w:tcPr>
            <w:tcW w:w="7145" w:type="dxa"/>
            <w:shd w:val="clear" w:color="auto" w:fill="DCD8C2" w:themeFill="background2" w:themeFillShade="E5"/>
            <w:vAlign w:val="center"/>
          </w:tcPr>
          <w:p w14:paraId="1C8552B8">
            <w:pPr>
              <w:adjustRightInd w:val="0"/>
              <w:spacing w:after="100" w:afterAutospacing="1" w:line="440" w:lineRule="exact"/>
              <w:jc w:val="center"/>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color w:val="auto"/>
                <w:sz w:val="24"/>
                <w:szCs w:val="24"/>
                <w:highlight w:val="none"/>
              </w:rPr>
              <w:t>评分细则</w:t>
            </w:r>
          </w:p>
        </w:tc>
        <w:tc>
          <w:tcPr>
            <w:tcW w:w="816" w:type="dxa"/>
            <w:shd w:val="clear" w:color="auto" w:fill="DCD8C2" w:themeFill="background2" w:themeFillShade="E5"/>
            <w:vAlign w:val="center"/>
          </w:tcPr>
          <w:p w14:paraId="07C04284">
            <w:pPr>
              <w:adjustRightInd w:val="0"/>
              <w:spacing w:after="100" w:afterAutospacing="1" w:line="440" w:lineRule="exact"/>
              <w:jc w:val="center"/>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color w:val="auto"/>
                <w:sz w:val="24"/>
                <w:szCs w:val="24"/>
                <w:highlight w:val="none"/>
              </w:rPr>
              <w:t>分值</w:t>
            </w:r>
          </w:p>
        </w:tc>
        <w:tc>
          <w:tcPr>
            <w:tcW w:w="805" w:type="dxa"/>
            <w:shd w:val="clear" w:color="auto" w:fill="DCD8C2" w:themeFill="background2" w:themeFillShade="E5"/>
            <w:vAlign w:val="center"/>
          </w:tcPr>
          <w:p w14:paraId="00032B39">
            <w:pPr>
              <w:keepNext w:val="0"/>
              <w:keepLines w:val="0"/>
              <w:pageBreakBefore w:val="0"/>
              <w:kinsoku/>
              <w:wordWrap/>
              <w:overflowPunct/>
              <w:topLinePunct w:val="0"/>
              <w:autoSpaceDE/>
              <w:autoSpaceDN/>
              <w:bidi w:val="0"/>
              <w:snapToGrid/>
              <w:spacing w:line="340" w:lineRule="exact"/>
              <w:jc w:val="center"/>
              <w:textAlignment w:val="auto"/>
              <w:rPr>
                <w:rFonts w:hint="eastAsia" w:ascii="Times New Roman" w:hAnsi="Times New Roman" w:eastAsia="宋体" w:cs="宋体"/>
                <w:b/>
                <w:bCs w:val="0"/>
                <w:color w:val="auto"/>
                <w:szCs w:val="21"/>
                <w:highlight w:val="none"/>
                <w:lang w:eastAsia="zh-CN"/>
              </w:rPr>
            </w:pPr>
            <w:r>
              <w:rPr>
                <w:rFonts w:hint="eastAsia" w:ascii="Times New Roman" w:hAnsi="Times New Roman" w:eastAsia="宋体" w:cs="宋体"/>
                <w:b/>
                <w:bCs w:val="0"/>
                <w:color w:val="auto"/>
                <w:szCs w:val="21"/>
                <w:highlight w:val="none"/>
                <w:lang w:eastAsia="zh-CN"/>
              </w:rPr>
              <w:t>分值</w:t>
            </w:r>
          </w:p>
          <w:p w14:paraId="71923764">
            <w:pPr>
              <w:keepNext w:val="0"/>
              <w:keepLines w:val="0"/>
              <w:pageBreakBefore w:val="0"/>
              <w:kinsoku/>
              <w:wordWrap/>
              <w:overflowPunct/>
              <w:topLinePunct w:val="0"/>
              <w:autoSpaceDE/>
              <w:autoSpaceDN/>
              <w:bidi w:val="0"/>
              <w:snapToGrid/>
              <w:spacing w:line="340" w:lineRule="exact"/>
              <w:jc w:val="center"/>
              <w:textAlignment w:val="auto"/>
              <w:rPr>
                <w:rFonts w:hint="eastAsia" w:ascii="宋体" w:hAnsi="宋体" w:eastAsia="宋体" w:cs="宋体"/>
                <w:b/>
                <w:color w:val="auto"/>
                <w:sz w:val="24"/>
                <w:szCs w:val="24"/>
                <w:highlight w:val="none"/>
              </w:rPr>
            </w:pPr>
            <w:r>
              <w:rPr>
                <w:rFonts w:hint="eastAsia" w:ascii="Times New Roman" w:hAnsi="Times New Roman" w:eastAsia="宋体" w:cs="宋体"/>
                <w:b/>
                <w:bCs w:val="0"/>
                <w:color w:val="auto"/>
                <w:szCs w:val="21"/>
                <w:highlight w:val="none"/>
              </w:rPr>
              <w:t>属性</w:t>
            </w:r>
          </w:p>
        </w:tc>
      </w:tr>
      <w:tr w14:paraId="1526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jc w:val="center"/>
        </w:trPr>
        <w:tc>
          <w:tcPr>
            <w:tcW w:w="798" w:type="dxa"/>
            <w:vAlign w:val="center"/>
          </w:tcPr>
          <w:p w14:paraId="1A2F0819">
            <w:pPr>
              <w:spacing w:line="440" w:lineRule="exact"/>
              <w:jc w:val="center"/>
              <w:rPr>
                <w:rFonts w:hint="eastAsia"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lang w:val="en-US" w:eastAsia="zh-CN"/>
              </w:rPr>
              <w:t>1</w:t>
            </w:r>
          </w:p>
        </w:tc>
        <w:tc>
          <w:tcPr>
            <w:tcW w:w="1317" w:type="dxa"/>
            <w:vAlign w:val="center"/>
          </w:tcPr>
          <w:p w14:paraId="50D41463">
            <w:pPr>
              <w:spacing w:line="36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技术性能</w:t>
            </w:r>
          </w:p>
        </w:tc>
        <w:tc>
          <w:tcPr>
            <w:tcW w:w="7145" w:type="dxa"/>
            <w:vAlign w:val="center"/>
          </w:tcPr>
          <w:p w14:paraId="2D5A27FF">
            <w:pPr>
              <w:keepNext w:val="0"/>
              <w:keepLines w:val="0"/>
              <w:pageBreakBefore w:val="0"/>
              <w:kinsoku/>
              <w:wordWrap/>
              <w:overflowPunct/>
              <w:topLinePunct w:val="0"/>
              <w:autoSpaceDE/>
              <w:autoSpaceDN/>
              <w:bidi w:val="0"/>
              <w:adjustRightInd w:val="0"/>
              <w:snapToGrid/>
              <w:spacing w:line="340" w:lineRule="exact"/>
              <w:contextualSpacing/>
              <w:textAlignment w:val="auto"/>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根据投标人对</w:t>
            </w:r>
            <w:r>
              <w:rPr>
                <w:rFonts w:hint="eastAsia" w:ascii="Times New Roman" w:hAnsi="Times New Roman" w:eastAsia="宋体" w:cs="宋体"/>
                <w:bCs/>
                <w:color w:val="auto"/>
                <w:sz w:val="24"/>
                <w:szCs w:val="24"/>
                <w:highlight w:val="none"/>
                <w:lang w:eastAsia="zh-CN"/>
              </w:rPr>
              <w:t>采购文件</w:t>
            </w:r>
            <w:r>
              <w:rPr>
                <w:rFonts w:hint="eastAsia" w:ascii="Times New Roman" w:hAnsi="Times New Roman" w:eastAsia="宋体" w:cs="宋体"/>
                <w:bCs/>
                <w:color w:val="auto"/>
                <w:sz w:val="24"/>
                <w:szCs w:val="24"/>
                <w:highlight w:val="none"/>
              </w:rPr>
              <w:t>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rPr>
              <w:t>部分“</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”中技术参数及性能（配置）响应情况进行评审：</w:t>
            </w:r>
          </w:p>
          <w:p w14:paraId="73CE0ACD">
            <w:pPr>
              <w:keepNext w:val="0"/>
              <w:keepLines w:val="0"/>
              <w:pageBreakBefore w:val="0"/>
              <w:kinsoku/>
              <w:wordWrap/>
              <w:overflowPunct/>
              <w:topLinePunct w:val="0"/>
              <w:autoSpaceDE/>
              <w:autoSpaceDN/>
              <w:bidi w:val="0"/>
              <w:adjustRightInd w:val="0"/>
              <w:snapToGrid/>
              <w:spacing w:line="340" w:lineRule="exact"/>
              <w:contextualSpacing/>
              <w:textAlignment w:val="auto"/>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kern w:val="0"/>
                <w:sz w:val="24"/>
                <w:szCs w:val="24"/>
                <w:highlight w:val="none"/>
              </w:rPr>
              <w:t>①</w:t>
            </w:r>
            <w:r>
              <w:rPr>
                <w:rFonts w:hint="eastAsia" w:ascii="Times New Roman" w:hAnsi="Times New Roman" w:eastAsia="宋体" w:cs="宋体"/>
                <w:bCs/>
                <w:color w:val="auto"/>
                <w:sz w:val="24"/>
                <w:szCs w:val="24"/>
                <w:highlight w:val="none"/>
              </w:rPr>
              <w:t>完全响应</w:t>
            </w:r>
            <w:r>
              <w:rPr>
                <w:rFonts w:hint="eastAsia" w:ascii="Times New Roman" w:hAnsi="Times New Roman" w:eastAsia="宋体" w:cs="宋体"/>
                <w:bCs/>
                <w:color w:val="auto"/>
                <w:sz w:val="24"/>
                <w:szCs w:val="24"/>
                <w:highlight w:val="none"/>
                <w:lang w:eastAsia="zh-CN"/>
              </w:rPr>
              <w:t>采购文件</w:t>
            </w:r>
            <w:r>
              <w:rPr>
                <w:rFonts w:hint="eastAsia" w:ascii="Times New Roman" w:hAnsi="Times New Roman" w:eastAsia="宋体" w:cs="宋体"/>
                <w:bCs/>
                <w:color w:val="auto"/>
                <w:sz w:val="24"/>
                <w:szCs w:val="24"/>
                <w:highlight w:val="none"/>
              </w:rPr>
              <w:t xml:space="preserve"> 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rPr>
              <w:t>部分“</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”中所有指标的得3</w:t>
            </w:r>
            <w:r>
              <w:rPr>
                <w:rFonts w:hint="eastAsia" w:ascii="Times New Roman" w:hAnsi="Times New Roman" w:eastAsia="宋体" w:cs="宋体"/>
                <w:bCs/>
                <w:color w:val="auto"/>
                <w:sz w:val="24"/>
                <w:szCs w:val="24"/>
                <w:highlight w:val="none"/>
                <w:lang w:val="en-US" w:eastAsia="zh-CN"/>
              </w:rPr>
              <w:t>8.5</w:t>
            </w:r>
            <w:r>
              <w:rPr>
                <w:rFonts w:hint="eastAsia" w:ascii="Times New Roman" w:hAnsi="Times New Roman" w:eastAsia="宋体" w:cs="宋体"/>
                <w:bCs/>
                <w:color w:val="auto"/>
                <w:sz w:val="24"/>
                <w:szCs w:val="24"/>
                <w:highlight w:val="none"/>
              </w:rPr>
              <w:t>分；</w:t>
            </w:r>
          </w:p>
          <w:p w14:paraId="5F19FE6D">
            <w:pPr>
              <w:keepNext w:val="0"/>
              <w:keepLines w:val="0"/>
              <w:pageBreakBefore w:val="0"/>
              <w:kinsoku/>
              <w:wordWrap/>
              <w:overflowPunct/>
              <w:topLinePunct w:val="0"/>
              <w:autoSpaceDE/>
              <w:autoSpaceDN/>
              <w:bidi w:val="0"/>
              <w:adjustRightInd w:val="0"/>
              <w:snapToGrid/>
              <w:spacing w:line="340" w:lineRule="exact"/>
              <w:contextualSpacing/>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kern w:val="0"/>
                <w:sz w:val="24"/>
                <w:szCs w:val="24"/>
                <w:highlight w:val="none"/>
              </w:rPr>
              <w:t>②</w:t>
            </w:r>
            <w:r>
              <w:rPr>
                <w:rFonts w:hint="eastAsia" w:ascii="Times New Roman" w:hAnsi="Times New Roman" w:eastAsia="宋体" w:cs="宋体"/>
                <w:bCs/>
                <w:color w:val="auto"/>
                <w:sz w:val="24"/>
                <w:szCs w:val="24"/>
                <w:highlight w:val="none"/>
              </w:rPr>
              <w:t>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rPr>
              <w:t>部分“</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”中标</w:t>
            </w:r>
            <w:r>
              <w:rPr>
                <w:rFonts w:hint="eastAsia" w:ascii="Times New Roman" w:hAnsi="Times New Roman" w:eastAsia="宋体" w:cs="宋体"/>
                <w:bCs/>
                <w:color w:val="auto"/>
                <w:sz w:val="24"/>
                <w:szCs w:val="24"/>
                <w:highlight w:val="none"/>
                <w:lang w:eastAsia="zh-CN"/>
              </w:rPr>
              <w:t>“★”的指标，每负偏离一条扣1分；</w:t>
            </w:r>
          </w:p>
          <w:p w14:paraId="677F44F5">
            <w:pPr>
              <w:keepNext w:val="0"/>
              <w:keepLines w:val="0"/>
              <w:pageBreakBefore w:val="0"/>
              <w:kinsoku/>
              <w:wordWrap/>
              <w:overflowPunct/>
              <w:topLinePunct w:val="0"/>
              <w:autoSpaceDE/>
              <w:autoSpaceDN/>
              <w:bidi w:val="0"/>
              <w:adjustRightInd w:val="0"/>
              <w:snapToGrid/>
              <w:spacing w:line="340" w:lineRule="exact"/>
              <w:contextualSpacing/>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eastAsia="zh-CN"/>
              </w:rPr>
              <w:t>③第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lang w:eastAsia="zh-CN"/>
              </w:rPr>
              <w:t>部分</w:t>
            </w:r>
            <w:r>
              <w:rPr>
                <w:rFonts w:hint="eastAsia" w:ascii="Times New Roman" w:hAnsi="Times New Roman" w:eastAsia="宋体" w:cs="宋体"/>
                <w:bCs/>
                <w:color w:val="auto"/>
                <w:sz w:val="24"/>
                <w:szCs w:val="24"/>
                <w:highlight w:val="none"/>
              </w:rPr>
              <w:t>“</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eastAsia="zh-CN"/>
              </w:rPr>
              <w:t>中</w:t>
            </w:r>
            <w:r>
              <w:rPr>
                <w:rFonts w:hint="eastAsia" w:ascii="Times New Roman" w:hAnsi="Times New Roman" w:eastAsia="宋体" w:cs="宋体"/>
                <w:bCs/>
                <w:color w:val="auto"/>
                <w:sz w:val="24"/>
                <w:szCs w:val="24"/>
                <w:highlight w:val="none"/>
              </w:rPr>
              <w:t>未标“</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”的指标，每负偏离一条扣0.5分。</w:t>
            </w:r>
          </w:p>
          <w:p w14:paraId="06BD2860">
            <w:pPr>
              <w:keepNext w:val="0"/>
              <w:keepLines w:val="0"/>
              <w:pageBreakBefore w:val="0"/>
              <w:kinsoku/>
              <w:wordWrap/>
              <w:overflowPunct/>
              <w:topLinePunct w:val="0"/>
              <w:autoSpaceDE/>
              <w:autoSpaceDN/>
              <w:bidi w:val="0"/>
              <w:adjustRightInd w:val="0"/>
              <w:snapToGrid/>
              <w:spacing w:line="340" w:lineRule="exact"/>
              <w:contextualSpacing/>
              <w:textAlignment w:val="auto"/>
              <w:rPr>
                <w:rFonts w:hint="default"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kern w:val="0"/>
                <w:sz w:val="24"/>
                <w:szCs w:val="24"/>
                <w:highlight w:val="none"/>
                <w:lang w:val="en-US" w:eastAsia="zh-CN"/>
              </w:rPr>
              <w:t>④</w:t>
            </w:r>
            <w:r>
              <w:rPr>
                <w:rFonts w:hint="eastAsia" w:ascii="Times New Roman" w:hAnsi="Times New Roman" w:eastAsia="宋体" w:cs="宋体"/>
                <w:bCs/>
                <w:color w:val="auto"/>
                <w:sz w:val="24"/>
                <w:szCs w:val="24"/>
                <w:highlight w:val="none"/>
              </w:rPr>
              <w:t>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rPr>
              <w:t>部分“</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”中标</w:t>
            </w:r>
            <w:r>
              <w:rPr>
                <w:rFonts w:hint="eastAsia" w:ascii="Times New Roman" w:hAnsi="Times New Roman" w:eastAsia="宋体" w:cs="宋体"/>
                <w:bCs/>
                <w:color w:val="auto"/>
                <w:sz w:val="24"/>
                <w:szCs w:val="24"/>
                <w:highlight w:val="none"/>
                <w:lang w:eastAsia="zh-CN"/>
              </w:rPr>
              <w:t>“★”的指标，每</w:t>
            </w:r>
            <w:r>
              <w:rPr>
                <w:rFonts w:hint="eastAsia" w:ascii="Times New Roman" w:hAnsi="Times New Roman" w:eastAsia="宋体" w:cs="宋体"/>
                <w:bCs/>
                <w:color w:val="auto"/>
                <w:sz w:val="24"/>
                <w:szCs w:val="24"/>
                <w:highlight w:val="none"/>
                <w:lang w:val="en-US" w:eastAsia="zh-CN"/>
              </w:rPr>
              <w:t>正</w:t>
            </w:r>
            <w:r>
              <w:rPr>
                <w:rFonts w:hint="eastAsia" w:ascii="Times New Roman" w:hAnsi="Times New Roman" w:eastAsia="宋体" w:cs="宋体"/>
                <w:bCs/>
                <w:color w:val="auto"/>
                <w:sz w:val="24"/>
                <w:szCs w:val="24"/>
                <w:highlight w:val="none"/>
                <w:lang w:eastAsia="zh-CN"/>
              </w:rPr>
              <w:t>偏离一条</w:t>
            </w:r>
            <w:r>
              <w:rPr>
                <w:rFonts w:hint="eastAsia" w:ascii="Times New Roman" w:hAnsi="Times New Roman" w:eastAsia="宋体" w:cs="宋体"/>
                <w:bCs/>
                <w:color w:val="auto"/>
                <w:sz w:val="24"/>
                <w:szCs w:val="24"/>
                <w:highlight w:val="none"/>
                <w:lang w:val="en-US" w:eastAsia="zh-CN"/>
              </w:rPr>
              <w:t>加</w:t>
            </w:r>
            <w:r>
              <w:rPr>
                <w:rFonts w:hint="eastAsia" w:ascii="Times New Roman" w:hAnsi="Times New Roman" w:eastAsia="宋体" w:cs="宋体"/>
                <w:bCs/>
                <w:color w:val="auto"/>
                <w:sz w:val="24"/>
                <w:szCs w:val="24"/>
                <w:highlight w:val="none"/>
                <w:lang w:eastAsia="zh-CN"/>
              </w:rPr>
              <w:t>1分，</w:t>
            </w:r>
            <w:r>
              <w:rPr>
                <w:rFonts w:hint="eastAsia" w:ascii="Times New Roman" w:hAnsi="Times New Roman" w:eastAsia="宋体" w:cs="宋体"/>
                <w:bCs/>
                <w:color w:val="auto"/>
                <w:sz w:val="24"/>
                <w:szCs w:val="24"/>
                <w:highlight w:val="none"/>
                <w:lang w:val="en-US" w:eastAsia="zh-CN"/>
              </w:rPr>
              <w:t>最多加2分。</w:t>
            </w:r>
          </w:p>
          <w:p w14:paraId="3B3423CA">
            <w:pPr>
              <w:keepNext w:val="0"/>
              <w:keepLines w:val="0"/>
              <w:pageBreakBefore w:val="0"/>
              <w:kinsoku/>
              <w:wordWrap/>
              <w:overflowPunct/>
              <w:topLinePunct w:val="0"/>
              <w:autoSpaceDE/>
              <w:autoSpaceDN/>
              <w:bidi w:val="0"/>
              <w:adjustRightInd w:val="0"/>
              <w:snapToGrid/>
              <w:spacing w:line="340" w:lineRule="exact"/>
              <w:contextualSpacing/>
              <w:textAlignment w:val="auto"/>
              <w:rPr>
                <w:rFonts w:hint="default"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⑤</w:t>
            </w:r>
            <w:r>
              <w:rPr>
                <w:rFonts w:hint="eastAsia" w:ascii="Times New Roman" w:hAnsi="Times New Roman" w:eastAsia="宋体" w:cs="宋体"/>
                <w:bCs/>
                <w:color w:val="auto"/>
                <w:sz w:val="24"/>
                <w:szCs w:val="24"/>
                <w:highlight w:val="none"/>
                <w:lang w:eastAsia="zh-CN"/>
              </w:rPr>
              <w:t>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lang w:eastAsia="zh-CN"/>
              </w:rPr>
              <w:t>部分</w:t>
            </w:r>
            <w:r>
              <w:rPr>
                <w:rFonts w:hint="eastAsia" w:ascii="Times New Roman" w:hAnsi="Times New Roman" w:eastAsia="宋体" w:cs="宋体"/>
                <w:bCs/>
                <w:color w:val="auto"/>
                <w:sz w:val="24"/>
                <w:szCs w:val="24"/>
                <w:highlight w:val="none"/>
              </w:rPr>
              <w:t>“</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eastAsia="zh-CN"/>
              </w:rPr>
              <w:t>中</w:t>
            </w:r>
            <w:r>
              <w:rPr>
                <w:rFonts w:hint="eastAsia" w:ascii="Times New Roman" w:hAnsi="Times New Roman" w:eastAsia="宋体" w:cs="宋体"/>
                <w:bCs/>
                <w:color w:val="auto"/>
                <w:sz w:val="24"/>
                <w:szCs w:val="24"/>
                <w:highlight w:val="none"/>
              </w:rPr>
              <w:t>未标“</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”的指标，每</w:t>
            </w:r>
            <w:r>
              <w:rPr>
                <w:rFonts w:hint="eastAsia" w:ascii="Times New Roman" w:hAnsi="Times New Roman" w:eastAsia="宋体" w:cs="宋体"/>
                <w:bCs/>
                <w:color w:val="auto"/>
                <w:sz w:val="24"/>
                <w:szCs w:val="24"/>
                <w:highlight w:val="none"/>
                <w:lang w:val="en-US" w:eastAsia="zh-CN"/>
              </w:rPr>
              <w:t>正</w:t>
            </w:r>
            <w:r>
              <w:rPr>
                <w:rFonts w:hint="eastAsia" w:ascii="Times New Roman" w:hAnsi="Times New Roman" w:eastAsia="宋体" w:cs="宋体"/>
                <w:bCs/>
                <w:color w:val="auto"/>
                <w:sz w:val="24"/>
                <w:szCs w:val="24"/>
                <w:highlight w:val="none"/>
              </w:rPr>
              <w:t>偏离一条</w:t>
            </w:r>
            <w:r>
              <w:rPr>
                <w:rFonts w:hint="eastAsia" w:ascii="Times New Roman" w:hAnsi="Times New Roman" w:eastAsia="宋体" w:cs="宋体"/>
                <w:bCs/>
                <w:color w:val="auto"/>
                <w:sz w:val="24"/>
                <w:szCs w:val="24"/>
                <w:highlight w:val="none"/>
                <w:lang w:val="en-US" w:eastAsia="zh-CN"/>
              </w:rPr>
              <w:t>加</w:t>
            </w:r>
            <w:r>
              <w:rPr>
                <w:rFonts w:hint="eastAsia" w:ascii="Times New Roman" w:hAnsi="Times New Roman" w:eastAsia="宋体" w:cs="宋体"/>
                <w:bCs/>
                <w:color w:val="auto"/>
                <w:sz w:val="24"/>
                <w:szCs w:val="24"/>
                <w:highlight w:val="none"/>
              </w:rPr>
              <w:t>0.5分</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lang w:val="en-US" w:eastAsia="zh-CN"/>
              </w:rPr>
              <w:t>最多加1.5分。</w:t>
            </w:r>
          </w:p>
          <w:p w14:paraId="666FD044">
            <w:pPr>
              <w:widowControl/>
              <w:spacing w:line="360" w:lineRule="exact"/>
              <w:rPr>
                <w:rFonts w:hint="eastAsia" w:asciiTheme="minorEastAsia" w:hAnsiTheme="minorEastAsia" w:eastAsiaTheme="minorEastAsia" w:cstheme="minorEastAsia"/>
                <w:color w:val="auto"/>
                <w:kern w:val="0"/>
                <w:sz w:val="24"/>
                <w:szCs w:val="24"/>
                <w:highlight w:val="none"/>
              </w:rPr>
            </w:pPr>
            <w:r>
              <w:rPr>
                <w:rFonts w:hint="eastAsia" w:ascii="Times New Roman" w:hAnsi="Times New Roman" w:eastAsia="宋体" w:cs="宋体"/>
                <w:b/>
                <w:bCs w:val="0"/>
                <w:color w:val="auto"/>
                <w:sz w:val="24"/>
                <w:szCs w:val="24"/>
                <w:highlight w:val="none"/>
              </w:rPr>
              <w:t>注：</w:t>
            </w:r>
            <w:r>
              <w:rPr>
                <w:rFonts w:hint="eastAsia" w:ascii="Times New Roman" w:hAnsi="Times New Roman" w:cs="宋体"/>
                <w:b/>
                <w:bCs w:val="0"/>
                <w:color w:val="auto"/>
                <w:sz w:val="24"/>
                <w:szCs w:val="24"/>
                <w:highlight w:val="none"/>
                <w:lang w:eastAsia="zh-CN"/>
              </w:rPr>
              <w:t>以符号“</w:t>
            </w: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imes New Roman" w:hAnsi="Times New Roman" w:cs="宋体"/>
                <w:b/>
                <w:bCs w:val="0"/>
                <w:color w:val="auto"/>
                <w:sz w:val="24"/>
                <w:szCs w:val="24"/>
                <w:highlight w:val="none"/>
                <w:lang w:eastAsia="zh-CN"/>
              </w:rPr>
              <w:t>”为例作为一条参数</w:t>
            </w:r>
            <w:r>
              <w:rPr>
                <w:rFonts w:hint="eastAsia" w:ascii="Times New Roman" w:hAnsi="Times New Roman" w:cs="宋体"/>
                <w:bCs/>
                <w:color w:val="auto"/>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加“★”的核心参数需要在投标文件中提供本次投标产品同型号或同系列设备的使用说明、校准/检定证书、检测报告（可以三选一）等证明材料，未提供将视为负偏离。</w:t>
            </w:r>
          </w:p>
          <w:p w14:paraId="23277800">
            <w:pPr>
              <w:widowControl/>
              <w:spacing w:line="36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技术需求参数中明确需提供检测报告或产品彩页或官网截图或软件截图作为证明材料的，未提供将视为负偏离。</w:t>
            </w:r>
          </w:p>
        </w:tc>
        <w:tc>
          <w:tcPr>
            <w:tcW w:w="816" w:type="dxa"/>
            <w:vAlign w:val="center"/>
          </w:tcPr>
          <w:p w14:paraId="402CE22A">
            <w:pPr>
              <w:widowControl/>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0-42</w:t>
            </w:r>
          </w:p>
        </w:tc>
        <w:tc>
          <w:tcPr>
            <w:tcW w:w="805" w:type="dxa"/>
            <w:vAlign w:val="center"/>
          </w:tcPr>
          <w:p w14:paraId="4653194F">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imes New Roman" w:hAnsi="Times New Roman" w:eastAsia="宋体" w:cs="宋体"/>
                <w:b/>
                <w:bCs/>
                <w:color w:val="auto"/>
                <w:szCs w:val="21"/>
                <w:highlight w:val="none"/>
              </w:rPr>
              <w:t>客观分</w:t>
            </w:r>
          </w:p>
        </w:tc>
      </w:tr>
      <w:tr w14:paraId="60EC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8" w:type="dxa"/>
            <w:vAlign w:val="center"/>
          </w:tcPr>
          <w:p w14:paraId="0FE3772A">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w:t>
            </w:r>
          </w:p>
        </w:tc>
        <w:tc>
          <w:tcPr>
            <w:tcW w:w="1317" w:type="dxa"/>
            <w:vAlign w:val="center"/>
          </w:tcPr>
          <w:p w14:paraId="5051C219">
            <w:pPr>
              <w:spacing w:line="36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类似</w:t>
            </w:r>
            <w:r>
              <w:rPr>
                <w:rFonts w:hint="eastAsia" w:asciiTheme="minorEastAsia" w:hAnsiTheme="minorEastAsia" w:eastAsiaTheme="minorEastAsia" w:cstheme="minorEastAsia"/>
                <w:b/>
                <w:bCs/>
                <w:color w:val="auto"/>
                <w:sz w:val="24"/>
                <w:szCs w:val="24"/>
                <w:highlight w:val="none"/>
              </w:rPr>
              <w:t>设备销售业绩</w:t>
            </w:r>
          </w:p>
        </w:tc>
        <w:tc>
          <w:tcPr>
            <w:tcW w:w="7145" w:type="dxa"/>
            <w:vAlign w:val="center"/>
          </w:tcPr>
          <w:p w14:paraId="3B12DCD9">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投标人202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年1月1日（以合同签订时间为准）至今，每提供一</w:t>
            </w:r>
            <w:r>
              <w:rPr>
                <w:rFonts w:hint="eastAsia" w:asciiTheme="minorEastAsia" w:hAnsiTheme="minorEastAsia" w:eastAsiaTheme="minorEastAsia" w:cstheme="minorEastAsia"/>
                <w:bCs/>
                <w:color w:val="auto"/>
                <w:sz w:val="24"/>
                <w:szCs w:val="24"/>
                <w:highlight w:val="none"/>
                <w:lang w:val="en-US" w:eastAsia="zh-CN"/>
              </w:rPr>
              <w:t>份</w:t>
            </w:r>
            <w:r>
              <w:rPr>
                <w:rFonts w:hint="eastAsia" w:asciiTheme="minorEastAsia" w:hAnsiTheme="minorEastAsia" w:eastAsiaTheme="minorEastAsia" w:cstheme="minorEastAsia"/>
                <w:bCs/>
                <w:color w:val="auto"/>
                <w:sz w:val="24"/>
                <w:szCs w:val="24"/>
                <w:highlight w:val="none"/>
              </w:rPr>
              <w:t>与本次投标产品</w:t>
            </w:r>
            <w:r>
              <w:rPr>
                <w:rFonts w:hint="eastAsia" w:asciiTheme="minorEastAsia" w:hAnsiTheme="minorEastAsia" w:eastAsiaTheme="minorEastAsia" w:cstheme="minorEastAsia"/>
                <w:bCs/>
                <w:color w:val="auto"/>
                <w:sz w:val="24"/>
                <w:szCs w:val="24"/>
                <w:highlight w:val="none"/>
                <w:lang w:val="en-US" w:eastAsia="zh-CN"/>
              </w:rPr>
              <w:t>类似设备</w:t>
            </w:r>
            <w:r>
              <w:rPr>
                <w:rFonts w:hint="eastAsia" w:asciiTheme="minorEastAsia" w:hAnsiTheme="minorEastAsia" w:eastAsiaTheme="minorEastAsia" w:cstheme="minorEastAsia"/>
                <w:bCs/>
                <w:color w:val="auto"/>
                <w:sz w:val="24"/>
                <w:szCs w:val="24"/>
                <w:highlight w:val="none"/>
              </w:rPr>
              <w:t>销售业绩合同得1分，满分</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w:t>
            </w:r>
          </w:p>
          <w:p w14:paraId="42611D65">
            <w:pPr>
              <w:keepNext w:val="0"/>
              <w:keepLines w:val="0"/>
              <w:pageBreakBefore w:val="0"/>
              <w:kinsoku/>
              <w:wordWrap/>
              <w:overflowPunct/>
              <w:topLinePunct w:val="0"/>
              <w:autoSpaceDE/>
              <w:autoSpaceDN/>
              <w:bidi w:val="0"/>
              <w:snapToGrid/>
              <w:spacing w:line="34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注：须同时</w:t>
            </w:r>
            <w:r>
              <w:rPr>
                <w:rFonts w:hint="eastAsia" w:asciiTheme="minorEastAsia" w:hAnsiTheme="minorEastAsia" w:eastAsiaTheme="minorEastAsia" w:cstheme="minorEastAsia"/>
                <w:b/>
                <w:bCs w:val="0"/>
                <w:color w:val="auto"/>
                <w:sz w:val="24"/>
                <w:szCs w:val="24"/>
                <w:highlight w:val="none"/>
              </w:rPr>
              <w:t>提供合同扫描件</w:t>
            </w:r>
            <w:r>
              <w:rPr>
                <w:rFonts w:hint="eastAsia" w:asciiTheme="minorEastAsia" w:hAnsiTheme="minorEastAsia" w:eastAsiaTheme="minorEastAsia" w:cstheme="minorEastAsia"/>
                <w:b/>
                <w:bCs w:val="0"/>
                <w:color w:val="auto"/>
                <w:sz w:val="24"/>
                <w:szCs w:val="24"/>
                <w:highlight w:val="none"/>
                <w:lang w:val="en-US" w:eastAsia="zh-CN"/>
              </w:rPr>
              <w:t>及与该合同业主方之间往来合同款项的发票扫描件，以上资料</w:t>
            </w:r>
            <w:r>
              <w:rPr>
                <w:rFonts w:hint="eastAsia" w:asciiTheme="minorEastAsia" w:hAnsiTheme="minorEastAsia" w:eastAsiaTheme="minorEastAsia" w:cstheme="minorEastAsia"/>
                <w:b/>
                <w:bCs w:val="0"/>
                <w:color w:val="auto"/>
                <w:sz w:val="24"/>
                <w:szCs w:val="24"/>
                <w:highlight w:val="none"/>
              </w:rPr>
              <w:t>加盖供应商公章，</w:t>
            </w:r>
            <w:r>
              <w:rPr>
                <w:rFonts w:hint="eastAsia" w:asciiTheme="minorEastAsia" w:hAnsiTheme="minorEastAsia" w:eastAsiaTheme="minorEastAsia" w:cstheme="minorEastAsia"/>
                <w:b/>
                <w:bCs w:val="0"/>
                <w:color w:val="auto"/>
                <w:sz w:val="24"/>
                <w:szCs w:val="24"/>
                <w:highlight w:val="none"/>
                <w:lang w:val="en-US" w:eastAsia="zh-CN"/>
              </w:rPr>
              <w:t>未提供或缺项不得分。</w:t>
            </w:r>
          </w:p>
        </w:tc>
        <w:tc>
          <w:tcPr>
            <w:tcW w:w="816" w:type="dxa"/>
            <w:vAlign w:val="center"/>
          </w:tcPr>
          <w:p w14:paraId="668D1CB3">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0-3</w:t>
            </w:r>
          </w:p>
        </w:tc>
        <w:tc>
          <w:tcPr>
            <w:tcW w:w="805" w:type="dxa"/>
            <w:vAlign w:val="center"/>
          </w:tcPr>
          <w:p w14:paraId="43651FAD">
            <w:pPr>
              <w:adjustRightInd w:val="0"/>
              <w:spacing w:after="100" w:afterAutospacing="1" w:line="360" w:lineRule="exact"/>
              <w:jc w:val="center"/>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客观分</w:t>
            </w:r>
          </w:p>
        </w:tc>
      </w:tr>
      <w:tr w14:paraId="303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98" w:type="dxa"/>
            <w:vMerge w:val="restart"/>
            <w:vAlign w:val="center"/>
          </w:tcPr>
          <w:p w14:paraId="15DD8D22">
            <w:pPr>
              <w:spacing w:line="360" w:lineRule="exact"/>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w:t>
            </w:r>
          </w:p>
        </w:tc>
        <w:tc>
          <w:tcPr>
            <w:tcW w:w="1317" w:type="dxa"/>
            <w:vMerge w:val="restart"/>
            <w:vAlign w:val="center"/>
          </w:tcPr>
          <w:p w14:paraId="192586BD">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供货方案</w:t>
            </w:r>
          </w:p>
        </w:tc>
        <w:tc>
          <w:tcPr>
            <w:tcW w:w="7145" w:type="dxa"/>
            <w:vAlign w:val="center"/>
          </w:tcPr>
          <w:p w14:paraId="455A47DE">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交货时间：</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文件规定的</w:t>
            </w:r>
            <w:r>
              <w:rPr>
                <w:rFonts w:hint="eastAsia" w:asciiTheme="minorEastAsia" w:hAnsiTheme="minorEastAsia" w:eastAsiaTheme="minorEastAsia" w:cstheme="minorEastAsia"/>
                <w:color w:val="auto"/>
                <w:sz w:val="24"/>
                <w:szCs w:val="24"/>
                <w:highlight w:val="none"/>
                <w:lang w:val="en-US" w:eastAsia="zh-CN"/>
              </w:rPr>
              <w:t>交货期</w:t>
            </w:r>
            <w:r>
              <w:rPr>
                <w:rFonts w:hint="eastAsia" w:asciiTheme="minorEastAsia" w:hAnsiTheme="minorEastAsia" w:eastAsiaTheme="minorEastAsia" w:cstheme="minorEastAsia"/>
                <w:color w:val="auto"/>
                <w:sz w:val="24"/>
                <w:szCs w:val="24"/>
                <w:highlight w:val="none"/>
              </w:rPr>
              <w:t>每</w:t>
            </w:r>
            <w:r>
              <w:rPr>
                <w:rFonts w:hint="eastAsia" w:asciiTheme="minorEastAsia" w:hAnsiTheme="minorEastAsia" w:eastAsiaTheme="minorEastAsia" w:cstheme="minorEastAsia"/>
                <w:color w:val="auto"/>
                <w:sz w:val="24"/>
                <w:szCs w:val="24"/>
                <w:highlight w:val="none"/>
                <w:lang w:val="en-US" w:eastAsia="zh-CN"/>
              </w:rPr>
              <w:t>提前4天（不足四天不计分）</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c>
          <w:tcPr>
            <w:tcW w:w="816" w:type="dxa"/>
            <w:vAlign w:val="center"/>
          </w:tcPr>
          <w:p w14:paraId="024E00D8">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0-3</w:t>
            </w:r>
          </w:p>
        </w:tc>
        <w:tc>
          <w:tcPr>
            <w:tcW w:w="805" w:type="dxa"/>
            <w:vAlign w:val="center"/>
          </w:tcPr>
          <w:p w14:paraId="5B68CF30">
            <w:pPr>
              <w:adjustRightInd w:val="0"/>
              <w:spacing w:after="100" w:afterAutospacing="1" w:line="360" w:lineRule="exact"/>
              <w:jc w:val="center"/>
              <w:rPr>
                <w:rFonts w:hint="eastAsia" w:ascii="Times New Roman" w:hAnsi="Times New Roman" w:eastAsia="宋体" w:cs="宋体"/>
                <w:b/>
                <w:bCs/>
                <w:color w:val="auto"/>
                <w:kern w:val="2"/>
                <w:sz w:val="21"/>
                <w:szCs w:val="21"/>
                <w:highlight w:val="none"/>
                <w:lang w:val="en-US" w:eastAsia="zh-CN" w:bidi="ar-SA"/>
              </w:rPr>
            </w:pPr>
            <w:r>
              <w:rPr>
                <w:rFonts w:hint="eastAsia" w:ascii="Times New Roman" w:hAnsi="Times New Roman" w:eastAsia="宋体" w:cs="宋体"/>
                <w:b/>
                <w:bCs/>
                <w:color w:val="auto"/>
                <w:szCs w:val="21"/>
                <w:highlight w:val="none"/>
              </w:rPr>
              <w:t>客观分</w:t>
            </w:r>
          </w:p>
        </w:tc>
      </w:tr>
      <w:tr w14:paraId="19DC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8" w:type="dxa"/>
            <w:vMerge w:val="continue"/>
            <w:vAlign w:val="center"/>
          </w:tcPr>
          <w:p w14:paraId="3F514E99">
            <w:pPr>
              <w:spacing w:line="360" w:lineRule="exact"/>
              <w:jc w:val="center"/>
              <w:rPr>
                <w:rFonts w:hint="default" w:asciiTheme="minorEastAsia" w:hAnsiTheme="minorEastAsia" w:eastAsiaTheme="minorEastAsia" w:cstheme="minorEastAsia"/>
                <w:b/>
                <w:bCs/>
                <w:color w:val="auto"/>
                <w:sz w:val="24"/>
                <w:szCs w:val="24"/>
                <w:highlight w:val="none"/>
                <w:lang w:val="en-US" w:eastAsia="zh-CN"/>
              </w:rPr>
            </w:pPr>
          </w:p>
        </w:tc>
        <w:tc>
          <w:tcPr>
            <w:tcW w:w="1317" w:type="dxa"/>
            <w:vMerge w:val="continue"/>
            <w:vAlign w:val="center"/>
          </w:tcPr>
          <w:p w14:paraId="363033E0">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45" w:type="dxa"/>
            <w:vAlign w:val="center"/>
          </w:tcPr>
          <w:p w14:paraId="54D2A0B7">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根据投标人提供的</w:t>
            </w:r>
            <w:r>
              <w:rPr>
                <w:rFonts w:hint="eastAsia" w:asciiTheme="minorEastAsia" w:hAnsiTheme="minorEastAsia" w:eastAsiaTheme="minorEastAsia" w:cstheme="minorEastAsia"/>
                <w:bCs/>
                <w:color w:val="auto"/>
                <w:kern w:val="0"/>
                <w:sz w:val="24"/>
                <w:szCs w:val="24"/>
                <w:highlight w:val="none"/>
              </w:rPr>
              <w:t>供货方案，内容包含但不限于以下要点：交货方式是否切合实际、供货保障流程是否合理、供货实施步骤是否清晰。评委根据内容进行评议：</w:t>
            </w:r>
          </w:p>
          <w:p w14:paraId="665A5C8D">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①交货期</w:t>
            </w:r>
            <w:r>
              <w:rPr>
                <w:rFonts w:hint="eastAsia" w:asciiTheme="minorEastAsia" w:hAnsiTheme="minorEastAsia" w:eastAsiaTheme="minorEastAsia" w:cstheme="minorEastAsia"/>
                <w:bCs/>
                <w:color w:val="auto"/>
                <w:kern w:val="0"/>
                <w:sz w:val="24"/>
                <w:szCs w:val="24"/>
                <w:highlight w:val="none"/>
                <w:lang w:val="en-US" w:eastAsia="zh-CN"/>
              </w:rPr>
              <w:t>限</w:t>
            </w:r>
            <w:r>
              <w:rPr>
                <w:rFonts w:hint="eastAsia" w:asciiTheme="minorEastAsia" w:hAnsiTheme="minorEastAsia" w:eastAsiaTheme="minorEastAsia" w:cstheme="minorEastAsia"/>
                <w:bCs/>
                <w:color w:val="auto"/>
                <w:kern w:val="0"/>
                <w:sz w:val="24"/>
                <w:szCs w:val="24"/>
                <w:highlight w:val="none"/>
              </w:rPr>
              <w:t>满足</w:t>
            </w:r>
            <w:r>
              <w:rPr>
                <w:rFonts w:hint="eastAsia" w:asciiTheme="minorEastAsia" w:hAnsiTheme="minorEastAsia" w:eastAsiaTheme="minorEastAsia" w:cstheme="minorEastAsia"/>
                <w:bCs/>
                <w:color w:val="auto"/>
                <w:kern w:val="0"/>
                <w:sz w:val="24"/>
                <w:szCs w:val="24"/>
                <w:highlight w:val="none"/>
                <w:lang w:eastAsia="zh-CN"/>
              </w:rPr>
              <w:t>采购文件</w:t>
            </w:r>
            <w:r>
              <w:rPr>
                <w:rFonts w:hint="eastAsia" w:asciiTheme="minorEastAsia" w:hAnsiTheme="minorEastAsia" w:eastAsiaTheme="minorEastAsia" w:cstheme="minorEastAsia"/>
                <w:bCs/>
                <w:color w:val="auto"/>
                <w:kern w:val="0"/>
                <w:sz w:val="24"/>
                <w:szCs w:val="24"/>
                <w:highlight w:val="none"/>
              </w:rPr>
              <w:t>要求、交货方式切合实际需求、供货保障流程设计合理、供货实施步骤清晰，能确保供货的得</w:t>
            </w:r>
            <w:r>
              <w:rPr>
                <w:rFonts w:hint="eastAsia" w:asciiTheme="minorEastAsia" w:hAnsiTheme="minorEastAsia" w:eastAsiaTheme="minorEastAsia" w:cstheme="minorEastAsia"/>
                <w:bCs/>
                <w:color w:val="auto"/>
                <w:kern w:val="0"/>
                <w:sz w:val="24"/>
                <w:szCs w:val="24"/>
                <w:highlight w:val="none"/>
                <w:lang w:val="en-US" w:eastAsia="zh-CN"/>
              </w:rPr>
              <w:t>3</w:t>
            </w:r>
            <w:r>
              <w:rPr>
                <w:rFonts w:hint="eastAsia" w:asciiTheme="minorEastAsia" w:hAnsiTheme="minorEastAsia" w:eastAsiaTheme="minorEastAsia" w:cstheme="minorEastAsia"/>
                <w:bCs/>
                <w:color w:val="auto"/>
                <w:kern w:val="0"/>
                <w:sz w:val="24"/>
                <w:szCs w:val="24"/>
                <w:highlight w:val="none"/>
              </w:rPr>
              <w:t>分；</w:t>
            </w:r>
          </w:p>
          <w:p w14:paraId="14A1431A">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②交货期限满足</w:t>
            </w:r>
            <w:r>
              <w:rPr>
                <w:rFonts w:hint="eastAsia" w:asciiTheme="minorEastAsia" w:hAnsiTheme="minorEastAsia" w:eastAsiaTheme="minorEastAsia" w:cstheme="minorEastAsia"/>
                <w:bCs/>
                <w:color w:val="auto"/>
                <w:kern w:val="0"/>
                <w:sz w:val="24"/>
                <w:szCs w:val="24"/>
                <w:highlight w:val="none"/>
                <w:lang w:eastAsia="zh-CN"/>
              </w:rPr>
              <w:t>采购文件</w:t>
            </w:r>
            <w:r>
              <w:rPr>
                <w:rFonts w:hint="eastAsia" w:asciiTheme="minorEastAsia" w:hAnsiTheme="minorEastAsia" w:eastAsiaTheme="minorEastAsia" w:cstheme="minorEastAsia"/>
                <w:bCs/>
                <w:color w:val="auto"/>
                <w:kern w:val="0"/>
                <w:sz w:val="24"/>
                <w:szCs w:val="24"/>
                <w:highlight w:val="none"/>
              </w:rPr>
              <w:t>要求、但交货方式有缺漏、部分细节有待补充，基本能确保供货的得</w:t>
            </w:r>
            <w:r>
              <w:rPr>
                <w:rFonts w:hint="eastAsia" w:asciiTheme="minorEastAsia" w:hAnsiTheme="minorEastAsia" w:eastAsiaTheme="minorEastAsia" w:cstheme="minorEastAsia"/>
                <w:bCs/>
                <w:color w:val="auto"/>
                <w:kern w:val="0"/>
                <w:sz w:val="24"/>
                <w:szCs w:val="24"/>
                <w:highlight w:val="none"/>
                <w:lang w:val="en-US" w:eastAsia="zh-CN"/>
              </w:rPr>
              <w:t>2</w:t>
            </w:r>
            <w:r>
              <w:rPr>
                <w:rFonts w:hint="eastAsia" w:asciiTheme="minorEastAsia" w:hAnsiTheme="minorEastAsia" w:eastAsiaTheme="minorEastAsia" w:cstheme="minorEastAsia"/>
                <w:bCs/>
                <w:color w:val="auto"/>
                <w:kern w:val="0"/>
                <w:sz w:val="24"/>
                <w:szCs w:val="24"/>
                <w:highlight w:val="none"/>
              </w:rPr>
              <w:t>分；</w:t>
            </w:r>
          </w:p>
          <w:p w14:paraId="5D52528A">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③交货期限满足</w:t>
            </w:r>
            <w:r>
              <w:rPr>
                <w:rFonts w:hint="eastAsia" w:asciiTheme="minorEastAsia" w:hAnsiTheme="minorEastAsia" w:eastAsiaTheme="minorEastAsia" w:cstheme="minorEastAsia"/>
                <w:bCs/>
                <w:color w:val="auto"/>
                <w:kern w:val="0"/>
                <w:sz w:val="24"/>
                <w:szCs w:val="24"/>
                <w:highlight w:val="none"/>
                <w:lang w:eastAsia="zh-CN"/>
              </w:rPr>
              <w:t>采购文件</w:t>
            </w:r>
            <w:r>
              <w:rPr>
                <w:rFonts w:hint="eastAsia" w:asciiTheme="minorEastAsia" w:hAnsiTheme="minorEastAsia" w:eastAsiaTheme="minorEastAsia" w:cstheme="minorEastAsia"/>
                <w:bCs/>
                <w:color w:val="auto"/>
                <w:kern w:val="0"/>
                <w:sz w:val="24"/>
                <w:szCs w:val="24"/>
                <w:highlight w:val="none"/>
              </w:rPr>
              <w:t>要求，供货方案不完整，实际操作存在延迟交货风险的得</w:t>
            </w:r>
            <w:r>
              <w:rPr>
                <w:rFonts w:hint="eastAsia" w:asciiTheme="minorEastAsia" w:hAnsiTheme="minorEastAsia" w:eastAsiaTheme="minorEastAsia" w:cstheme="minorEastAsia"/>
                <w:bCs/>
                <w:color w:val="auto"/>
                <w:kern w:val="0"/>
                <w:sz w:val="24"/>
                <w:szCs w:val="24"/>
                <w:highlight w:val="none"/>
                <w:lang w:val="en-US" w:eastAsia="zh-CN"/>
              </w:rPr>
              <w:t>1</w:t>
            </w:r>
            <w:r>
              <w:rPr>
                <w:rFonts w:hint="eastAsia" w:asciiTheme="minorEastAsia" w:hAnsiTheme="minorEastAsia" w:eastAsiaTheme="minorEastAsia" w:cstheme="minorEastAsia"/>
                <w:bCs/>
                <w:color w:val="auto"/>
                <w:kern w:val="0"/>
                <w:sz w:val="24"/>
                <w:szCs w:val="24"/>
                <w:highlight w:val="none"/>
              </w:rPr>
              <w:t>分；</w:t>
            </w:r>
          </w:p>
          <w:p w14:paraId="2241F4C1">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④</w:t>
            </w:r>
            <w:r>
              <w:rPr>
                <w:rFonts w:hint="eastAsia" w:asciiTheme="minorEastAsia" w:hAnsiTheme="minorEastAsia" w:eastAsiaTheme="minorEastAsia" w:cstheme="minorEastAsia"/>
                <w:bCs/>
                <w:color w:val="auto"/>
                <w:sz w:val="24"/>
                <w:szCs w:val="24"/>
                <w:highlight w:val="none"/>
              </w:rPr>
              <w:t>未提供相应内容的不得分。</w:t>
            </w:r>
          </w:p>
        </w:tc>
        <w:tc>
          <w:tcPr>
            <w:tcW w:w="816" w:type="dxa"/>
            <w:vAlign w:val="center"/>
          </w:tcPr>
          <w:p w14:paraId="24A9D7DF">
            <w:pPr>
              <w:keepNext w:val="0"/>
              <w:keepLines w:val="0"/>
              <w:pageBreakBefore w:val="0"/>
              <w:kinsoku/>
              <w:wordWrap/>
              <w:overflowPunct/>
              <w:topLinePunct w:val="0"/>
              <w:autoSpaceDE/>
              <w:autoSpaceDN/>
              <w:bidi w:val="0"/>
              <w:snapToGrid/>
              <w:spacing w:line="34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0-3</w:t>
            </w:r>
          </w:p>
        </w:tc>
        <w:tc>
          <w:tcPr>
            <w:tcW w:w="805" w:type="dxa"/>
            <w:vAlign w:val="center"/>
          </w:tcPr>
          <w:p w14:paraId="1C01D121">
            <w:pPr>
              <w:adjustRightInd w:val="0"/>
              <w:spacing w:after="100" w:afterAutospacing="1" w:line="360" w:lineRule="exact"/>
              <w:jc w:val="center"/>
              <w:rPr>
                <w:rFonts w:hint="default" w:ascii="宋体" w:hAnsi="宋体" w:cs="宋体"/>
                <w:color w:val="auto"/>
                <w:sz w:val="24"/>
                <w:szCs w:val="24"/>
                <w:highlight w:val="none"/>
                <w:lang w:val="en-US" w:eastAsia="zh-CN"/>
              </w:rPr>
            </w:pPr>
            <w:r>
              <w:rPr>
                <w:rFonts w:hint="eastAsia" w:ascii="Times New Roman" w:hAnsi="Times New Roman" w:eastAsia="宋体" w:cs="宋体"/>
                <w:b/>
                <w:bCs/>
                <w:color w:val="auto"/>
                <w:szCs w:val="21"/>
                <w:highlight w:val="none"/>
                <w:lang w:val="en-US" w:eastAsia="zh-CN"/>
              </w:rPr>
              <w:t>主观分</w:t>
            </w:r>
          </w:p>
        </w:tc>
      </w:tr>
      <w:tr w14:paraId="280F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8" w:type="dxa"/>
            <w:vAlign w:val="center"/>
          </w:tcPr>
          <w:p w14:paraId="076D8FCE">
            <w:pPr>
              <w:spacing w:line="360" w:lineRule="exact"/>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w:t>
            </w:r>
          </w:p>
        </w:tc>
        <w:tc>
          <w:tcPr>
            <w:tcW w:w="1317" w:type="dxa"/>
            <w:vAlign w:val="center"/>
          </w:tcPr>
          <w:p w14:paraId="2C0578EA">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安装调试方案</w:t>
            </w:r>
          </w:p>
        </w:tc>
        <w:tc>
          <w:tcPr>
            <w:tcW w:w="7145" w:type="dxa"/>
            <w:vAlign w:val="center"/>
          </w:tcPr>
          <w:p w14:paraId="0451E4F2">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根据投标人提供的</w:t>
            </w:r>
            <w:r>
              <w:rPr>
                <w:rFonts w:hint="eastAsia" w:asciiTheme="minorEastAsia" w:hAnsiTheme="minorEastAsia" w:eastAsiaTheme="minorEastAsia" w:cstheme="minorEastAsia"/>
                <w:bCs/>
                <w:color w:val="auto"/>
                <w:kern w:val="0"/>
                <w:sz w:val="24"/>
                <w:szCs w:val="24"/>
                <w:highlight w:val="none"/>
              </w:rPr>
              <w:t>安装调试方案，内容包含但不限于以下要点：安装方法、安装人员配置、调试方法、开箱调试方式。评委根据内容进行评议：</w:t>
            </w:r>
          </w:p>
          <w:p w14:paraId="08448AAA">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①安装调试方案</w:t>
            </w:r>
            <w:r>
              <w:rPr>
                <w:rFonts w:hint="eastAsia" w:asciiTheme="minorEastAsia" w:hAnsiTheme="minorEastAsia" w:eastAsiaTheme="minorEastAsia" w:cstheme="minorEastAsia"/>
                <w:bCs/>
                <w:color w:val="auto"/>
                <w:sz w:val="24"/>
                <w:szCs w:val="24"/>
                <w:highlight w:val="none"/>
                <w:lang w:val="en-US" w:eastAsia="zh-CN"/>
              </w:rPr>
              <w:t>完整，</w:t>
            </w:r>
            <w:r>
              <w:rPr>
                <w:rFonts w:hint="eastAsia" w:asciiTheme="minorEastAsia" w:hAnsiTheme="minorEastAsia" w:eastAsiaTheme="minorEastAsia" w:cstheme="minorEastAsia"/>
                <w:bCs/>
                <w:color w:val="auto"/>
                <w:sz w:val="24"/>
                <w:szCs w:val="24"/>
                <w:highlight w:val="none"/>
              </w:rPr>
              <w:t>安装方法得当、安装人员配置贴合实际需求、调试方法科学明确、开箱调试方式科学，能确保产品正常安装并通过验收的得</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w:t>
            </w:r>
          </w:p>
          <w:p w14:paraId="162AA139">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②安装调试方案中涉及安装方法、安装人员配置、调试方法、开箱调试方式，但内容笼统细节不完善的得</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分；</w:t>
            </w:r>
          </w:p>
          <w:p w14:paraId="7E636F1E">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③安装调试方案不完整，实际操作有无法保证产品正常安装风险的得</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分；</w:t>
            </w:r>
          </w:p>
          <w:p w14:paraId="09D42132">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④</w:t>
            </w:r>
            <w:r>
              <w:rPr>
                <w:rFonts w:hint="eastAsia" w:asciiTheme="minorEastAsia" w:hAnsiTheme="minorEastAsia" w:eastAsiaTheme="minorEastAsia" w:cstheme="minorEastAsia"/>
                <w:bCs/>
                <w:color w:val="auto"/>
                <w:sz w:val="24"/>
                <w:szCs w:val="24"/>
                <w:highlight w:val="none"/>
              </w:rPr>
              <w:t>未提供相应内容的不得分。</w:t>
            </w:r>
          </w:p>
        </w:tc>
        <w:tc>
          <w:tcPr>
            <w:tcW w:w="816" w:type="dxa"/>
            <w:vAlign w:val="center"/>
          </w:tcPr>
          <w:p w14:paraId="0915D978">
            <w:pPr>
              <w:keepNext w:val="0"/>
              <w:keepLines w:val="0"/>
              <w:pageBreakBefore w:val="0"/>
              <w:kinsoku/>
              <w:wordWrap/>
              <w:overflowPunct/>
              <w:topLinePunct w:val="0"/>
              <w:autoSpaceDE/>
              <w:autoSpaceDN/>
              <w:bidi w:val="0"/>
              <w:snapToGrid/>
              <w:spacing w:line="34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0-3</w:t>
            </w:r>
          </w:p>
        </w:tc>
        <w:tc>
          <w:tcPr>
            <w:tcW w:w="805" w:type="dxa"/>
            <w:vAlign w:val="center"/>
          </w:tcPr>
          <w:p w14:paraId="70A9A2E0">
            <w:pPr>
              <w:keepNext w:val="0"/>
              <w:keepLines w:val="0"/>
              <w:pageBreakBefore w:val="0"/>
              <w:kinsoku/>
              <w:wordWrap/>
              <w:overflowPunct/>
              <w:topLinePunct w:val="0"/>
              <w:autoSpaceDE/>
              <w:autoSpaceDN/>
              <w:bidi w:val="0"/>
              <w:snapToGrid/>
              <w:spacing w:line="340" w:lineRule="exact"/>
              <w:jc w:val="center"/>
              <w:textAlignment w:val="auto"/>
              <w:rPr>
                <w:rFonts w:hint="eastAsia" w:ascii="宋体" w:hAnsi="宋体" w:cs="宋体"/>
                <w:color w:val="auto"/>
                <w:sz w:val="24"/>
                <w:szCs w:val="24"/>
                <w:highlight w:val="none"/>
                <w:lang w:val="en-US" w:eastAsia="zh-CN"/>
              </w:rPr>
            </w:pPr>
            <w:r>
              <w:rPr>
                <w:rFonts w:hint="eastAsia" w:ascii="Times New Roman" w:hAnsi="Times New Roman" w:eastAsia="宋体" w:cs="宋体"/>
                <w:b/>
                <w:bCs/>
                <w:color w:val="auto"/>
                <w:szCs w:val="21"/>
                <w:highlight w:val="none"/>
              </w:rPr>
              <w:t>主观分</w:t>
            </w:r>
          </w:p>
        </w:tc>
      </w:tr>
      <w:tr w14:paraId="4A7B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8" w:type="dxa"/>
            <w:vMerge w:val="restart"/>
            <w:vAlign w:val="center"/>
          </w:tcPr>
          <w:p w14:paraId="422D85F7">
            <w:pPr>
              <w:widowControl/>
              <w:spacing w:line="360" w:lineRule="auto"/>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5</w:t>
            </w:r>
          </w:p>
        </w:tc>
        <w:tc>
          <w:tcPr>
            <w:tcW w:w="1317" w:type="dxa"/>
            <w:vMerge w:val="restart"/>
            <w:vAlign w:val="center"/>
          </w:tcPr>
          <w:p w14:paraId="18DE18A7">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售后服务方案</w:t>
            </w:r>
          </w:p>
        </w:tc>
        <w:tc>
          <w:tcPr>
            <w:tcW w:w="7145" w:type="dxa"/>
            <w:vAlign w:val="center"/>
          </w:tcPr>
          <w:p w14:paraId="7FFBABAF">
            <w:pPr>
              <w:spacing w:line="360" w:lineRule="exact"/>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质保期：</w:t>
            </w:r>
            <w:r>
              <w:rPr>
                <w:rFonts w:hint="eastAsia" w:asciiTheme="minorEastAsia" w:hAnsiTheme="minorEastAsia" w:eastAsiaTheme="minorEastAsia" w:cstheme="minorEastAsia"/>
                <w:color w:val="auto"/>
                <w:sz w:val="24"/>
                <w:szCs w:val="24"/>
                <w:highlight w:val="none"/>
              </w:rPr>
              <w:t>超过</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文件规定的质保期每增加</w:t>
            </w:r>
            <w:r>
              <w:rPr>
                <w:rFonts w:hint="eastAsia" w:asciiTheme="minorEastAsia" w:hAnsiTheme="minorEastAsia" w:eastAsiaTheme="minorEastAsia" w:cstheme="minorEastAsia"/>
                <w:color w:val="auto"/>
                <w:sz w:val="24"/>
                <w:szCs w:val="24"/>
                <w:highlight w:val="none"/>
                <w:lang w:val="en-US" w:eastAsia="zh-CN"/>
              </w:rPr>
              <w:t>6个月</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c>
          <w:tcPr>
            <w:tcW w:w="816" w:type="dxa"/>
            <w:vAlign w:val="center"/>
          </w:tcPr>
          <w:p w14:paraId="0ABCB485">
            <w:pPr>
              <w:adjustRightInd w:val="0"/>
              <w:spacing w:after="100" w:afterAutospacing="1"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0-3</w:t>
            </w:r>
          </w:p>
        </w:tc>
        <w:tc>
          <w:tcPr>
            <w:tcW w:w="805" w:type="dxa"/>
            <w:vAlign w:val="center"/>
          </w:tcPr>
          <w:p w14:paraId="6BAF5249">
            <w:pPr>
              <w:adjustRightInd w:val="0"/>
              <w:spacing w:after="100" w:afterAutospacing="1" w:line="360" w:lineRule="exact"/>
              <w:jc w:val="center"/>
              <w:rPr>
                <w:rFonts w:hint="eastAsia" w:ascii="宋体" w:hAnsi="宋体" w:cs="宋体"/>
                <w:color w:val="auto"/>
                <w:sz w:val="24"/>
                <w:szCs w:val="24"/>
                <w:highlight w:val="none"/>
                <w:lang w:val="en-US" w:eastAsia="zh-CN"/>
              </w:rPr>
            </w:pPr>
            <w:r>
              <w:rPr>
                <w:rFonts w:hint="eastAsia" w:ascii="Times New Roman" w:hAnsi="Times New Roman" w:eastAsia="宋体" w:cs="宋体"/>
                <w:b/>
                <w:bCs/>
                <w:color w:val="auto"/>
                <w:szCs w:val="21"/>
                <w:highlight w:val="none"/>
              </w:rPr>
              <w:t>客观分</w:t>
            </w:r>
          </w:p>
        </w:tc>
      </w:tr>
      <w:tr w14:paraId="66DA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8" w:type="dxa"/>
            <w:vMerge w:val="continue"/>
            <w:vAlign w:val="center"/>
          </w:tcPr>
          <w:p w14:paraId="60D83571">
            <w:pPr>
              <w:widowControl/>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rPr>
            </w:pPr>
          </w:p>
        </w:tc>
        <w:tc>
          <w:tcPr>
            <w:tcW w:w="1317" w:type="dxa"/>
            <w:vMerge w:val="continue"/>
            <w:vAlign w:val="center"/>
          </w:tcPr>
          <w:p w14:paraId="5C49947A">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45" w:type="dxa"/>
            <w:vAlign w:val="center"/>
          </w:tcPr>
          <w:p w14:paraId="3BB770CB">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根据投标人提供的售后服务方案、应急方案进行评分：</w:t>
            </w:r>
          </w:p>
          <w:p w14:paraId="155A67D3">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 承诺提供7×24 小时售后服务，包括邮件、电话、远程维护等方式；</w:t>
            </w:r>
          </w:p>
          <w:p w14:paraId="12EC6F8C">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 承诺软硬件在使用过程中遇到的问题/故障、固件/系统升级等问题，软硬件供应商在解决问题过程中双方无条件配合支持，直到问题解决；</w:t>
            </w:r>
          </w:p>
          <w:p w14:paraId="28E5C9EB">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③包含针对本项目提供的应急方案；</w:t>
            </w:r>
          </w:p>
          <w:p w14:paraId="004CE47C">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④包含在服务期间内故障处理的组织和联系机制；</w:t>
            </w:r>
          </w:p>
          <w:p w14:paraId="41CA49B3">
            <w:p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每项满足基本要求的得0.5分，结合项目实际能够提出更合理科学方案的得1分，未提供或不满足不得分，最高得4分。</w:t>
            </w:r>
          </w:p>
        </w:tc>
        <w:tc>
          <w:tcPr>
            <w:tcW w:w="816" w:type="dxa"/>
            <w:vAlign w:val="center"/>
          </w:tcPr>
          <w:p w14:paraId="4D6AD7F3">
            <w:pPr>
              <w:widowControl/>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0-4</w:t>
            </w:r>
          </w:p>
        </w:tc>
        <w:tc>
          <w:tcPr>
            <w:tcW w:w="805" w:type="dxa"/>
            <w:vAlign w:val="center"/>
          </w:tcPr>
          <w:p w14:paraId="3BD10416">
            <w:pPr>
              <w:widowControl/>
              <w:spacing w:line="300" w:lineRule="exact"/>
              <w:jc w:val="center"/>
              <w:rPr>
                <w:rFonts w:hint="eastAsia" w:ascii="微软雅黑" w:hAnsi="微软雅黑" w:eastAsia="微软雅黑" w:cs="微软雅黑"/>
                <w:color w:val="auto"/>
                <w:sz w:val="21"/>
                <w:szCs w:val="21"/>
                <w:highlight w:val="none"/>
                <w:lang w:val="en-US" w:eastAsia="zh-CN"/>
              </w:rPr>
            </w:pPr>
            <w:r>
              <w:rPr>
                <w:rFonts w:hint="eastAsia" w:ascii="Times New Roman" w:hAnsi="Times New Roman" w:eastAsia="宋体" w:cs="宋体"/>
                <w:b/>
                <w:bCs/>
                <w:color w:val="auto"/>
                <w:szCs w:val="21"/>
                <w:highlight w:val="none"/>
              </w:rPr>
              <w:t>客观分</w:t>
            </w:r>
          </w:p>
        </w:tc>
      </w:tr>
      <w:tr w14:paraId="7C4E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8" w:type="dxa"/>
            <w:vMerge w:val="continue"/>
            <w:vAlign w:val="center"/>
          </w:tcPr>
          <w:p w14:paraId="04C323AE">
            <w:pPr>
              <w:widowControl/>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rPr>
            </w:pPr>
          </w:p>
        </w:tc>
        <w:tc>
          <w:tcPr>
            <w:tcW w:w="1317" w:type="dxa"/>
            <w:vMerge w:val="continue"/>
            <w:vAlign w:val="center"/>
          </w:tcPr>
          <w:p w14:paraId="6DFDC1C9">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45" w:type="dxa"/>
            <w:vAlign w:val="center"/>
          </w:tcPr>
          <w:p w14:paraId="7C09A6ED">
            <w:pPr>
              <w:keepNext w:val="0"/>
              <w:keepLines w:val="0"/>
              <w:pageBreakBefore w:val="0"/>
              <w:tabs>
                <w:tab w:val="left" w:pos="4469"/>
              </w:tabs>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bidi="ar"/>
              </w:rPr>
              <w:t>服务响应时间</w:t>
            </w:r>
            <w:r>
              <w:rPr>
                <w:rFonts w:hint="eastAsia" w:asciiTheme="minorEastAsia" w:hAnsiTheme="minorEastAsia" w:eastAsiaTheme="minorEastAsia" w:cstheme="minorEastAsia"/>
                <w:bCs/>
                <w:color w:val="auto"/>
                <w:sz w:val="24"/>
                <w:szCs w:val="24"/>
                <w:highlight w:val="none"/>
                <w:lang w:val="en-US" w:eastAsia="zh-CN" w:bidi="ar"/>
              </w:rPr>
              <w:t>承诺</w:t>
            </w:r>
            <w:r>
              <w:rPr>
                <w:rFonts w:hint="eastAsia" w:asciiTheme="minorEastAsia" w:hAnsiTheme="minorEastAsia" w:eastAsiaTheme="minorEastAsia" w:cstheme="minorEastAsia"/>
                <w:bCs/>
                <w:color w:val="auto"/>
                <w:sz w:val="24"/>
                <w:szCs w:val="24"/>
                <w:highlight w:val="none"/>
                <w:lang w:val="en-US" w:eastAsia="zh-CN"/>
              </w:rPr>
              <w:t>：</w:t>
            </w:r>
          </w:p>
          <w:p w14:paraId="6257039A">
            <w:pPr>
              <w:keepNext w:val="0"/>
              <w:keepLines w:val="0"/>
              <w:pageBreakBefore w:val="0"/>
              <w:tabs>
                <w:tab w:val="left" w:pos="4469"/>
              </w:tabs>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rPr>
              <w:t>投标人承诺</w:t>
            </w:r>
            <w:r>
              <w:rPr>
                <w:rFonts w:hint="eastAsia" w:asciiTheme="minorEastAsia" w:hAnsiTheme="minorEastAsia" w:eastAsiaTheme="minorEastAsia" w:cstheme="minorEastAsia"/>
                <w:bCs/>
                <w:color w:val="auto"/>
                <w:sz w:val="24"/>
                <w:szCs w:val="24"/>
                <w:highlight w:val="none"/>
                <w:lang w:bidi="ar"/>
              </w:rPr>
              <w:t>接到采购人通知后能够</w:t>
            </w:r>
            <w:r>
              <w:rPr>
                <w:rFonts w:hint="eastAsia" w:asciiTheme="minorEastAsia" w:hAnsiTheme="minorEastAsia" w:eastAsiaTheme="minorEastAsia" w:cstheme="minorEastAsia"/>
                <w:bCs/>
                <w:color w:val="auto"/>
                <w:sz w:val="24"/>
                <w:szCs w:val="24"/>
                <w:highlight w:val="none"/>
                <w:lang w:val="en-US" w:eastAsia="zh-CN" w:bidi="ar"/>
              </w:rPr>
              <w:t>3小时以</w:t>
            </w:r>
            <w:r>
              <w:rPr>
                <w:rFonts w:hint="eastAsia" w:asciiTheme="minorEastAsia" w:hAnsiTheme="minorEastAsia" w:eastAsiaTheme="minorEastAsia" w:cstheme="minorEastAsia"/>
                <w:bCs/>
                <w:color w:val="auto"/>
                <w:sz w:val="24"/>
                <w:szCs w:val="24"/>
                <w:highlight w:val="none"/>
                <w:lang w:bidi="ar"/>
              </w:rPr>
              <w:t>内响应并到达项目现场</w:t>
            </w:r>
            <w:r>
              <w:rPr>
                <w:rFonts w:hint="eastAsia" w:asciiTheme="minorEastAsia" w:hAnsiTheme="minorEastAsia" w:eastAsiaTheme="minorEastAsia" w:cstheme="minorEastAsia"/>
                <w:bCs/>
                <w:color w:val="auto"/>
                <w:sz w:val="24"/>
                <w:szCs w:val="24"/>
                <w:highlight w:val="none"/>
                <w:lang w:val="en-US" w:eastAsia="zh-CN" w:bidi="ar"/>
              </w:rPr>
              <w:t>的得2分</w:t>
            </w:r>
            <w:r>
              <w:rPr>
                <w:rFonts w:hint="eastAsia" w:asciiTheme="minorEastAsia" w:hAnsiTheme="minorEastAsia" w:eastAsiaTheme="minorEastAsia" w:cstheme="minorEastAsia"/>
                <w:bCs/>
                <w:color w:val="auto"/>
                <w:sz w:val="24"/>
                <w:szCs w:val="24"/>
                <w:highlight w:val="none"/>
                <w:lang w:eastAsia="zh-CN" w:bidi="ar"/>
              </w:rPr>
              <w:t>；</w:t>
            </w:r>
          </w:p>
          <w:p w14:paraId="298E67AD">
            <w:pPr>
              <w:keepNext w:val="0"/>
              <w:keepLines w:val="0"/>
              <w:pageBreakBefore w:val="0"/>
              <w:tabs>
                <w:tab w:val="left" w:pos="4469"/>
              </w:tabs>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rPr>
              <w:t>投标人承诺</w:t>
            </w:r>
            <w:r>
              <w:rPr>
                <w:rFonts w:hint="eastAsia" w:asciiTheme="minorEastAsia" w:hAnsiTheme="minorEastAsia" w:eastAsiaTheme="minorEastAsia" w:cstheme="minorEastAsia"/>
                <w:bCs/>
                <w:color w:val="auto"/>
                <w:sz w:val="24"/>
                <w:szCs w:val="24"/>
                <w:highlight w:val="none"/>
                <w:lang w:bidi="ar"/>
              </w:rPr>
              <w:t>接到采购人通知后能够</w:t>
            </w:r>
            <w:r>
              <w:rPr>
                <w:rFonts w:hint="eastAsia" w:asciiTheme="minorEastAsia" w:hAnsiTheme="minorEastAsia" w:eastAsiaTheme="minorEastAsia" w:cstheme="minorEastAsia"/>
                <w:bCs/>
                <w:color w:val="auto"/>
                <w:sz w:val="24"/>
                <w:szCs w:val="24"/>
                <w:highlight w:val="none"/>
                <w:lang w:val="en-US" w:eastAsia="zh-CN" w:bidi="ar"/>
              </w:rPr>
              <w:t>6个小时</w:t>
            </w:r>
            <w:r>
              <w:rPr>
                <w:rFonts w:hint="eastAsia" w:asciiTheme="minorEastAsia" w:hAnsiTheme="minorEastAsia" w:eastAsiaTheme="minorEastAsia" w:cstheme="minorEastAsia"/>
                <w:bCs/>
                <w:color w:val="auto"/>
                <w:sz w:val="24"/>
                <w:szCs w:val="24"/>
                <w:highlight w:val="none"/>
                <w:lang w:bidi="ar"/>
              </w:rPr>
              <w:t>内响应并到达项目现场</w:t>
            </w:r>
            <w:r>
              <w:rPr>
                <w:rFonts w:hint="eastAsia" w:asciiTheme="minorEastAsia" w:hAnsiTheme="minorEastAsia" w:eastAsiaTheme="minorEastAsia" w:cstheme="minorEastAsia"/>
                <w:bCs/>
                <w:color w:val="auto"/>
                <w:sz w:val="24"/>
                <w:szCs w:val="24"/>
                <w:highlight w:val="none"/>
                <w:lang w:val="en-US" w:eastAsia="zh-CN" w:bidi="ar"/>
              </w:rPr>
              <w:t>的得1分</w:t>
            </w:r>
            <w:r>
              <w:rPr>
                <w:rFonts w:hint="eastAsia" w:asciiTheme="minorEastAsia" w:hAnsiTheme="minorEastAsia" w:eastAsiaTheme="minorEastAsia" w:cstheme="minorEastAsia"/>
                <w:bCs/>
                <w:color w:val="auto"/>
                <w:sz w:val="24"/>
                <w:szCs w:val="24"/>
                <w:highlight w:val="none"/>
                <w:lang w:bidi="ar"/>
              </w:rPr>
              <w:t>；</w:t>
            </w:r>
          </w:p>
          <w:p w14:paraId="22004AE5">
            <w:pPr>
              <w:keepNext w:val="0"/>
              <w:keepLines w:val="0"/>
              <w:pageBreakBefore w:val="0"/>
              <w:tabs>
                <w:tab w:val="left" w:pos="4469"/>
              </w:tabs>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rPr>
              <w:t>投标人承诺</w:t>
            </w:r>
            <w:r>
              <w:rPr>
                <w:rFonts w:hint="eastAsia" w:asciiTheme="minorEastAsia" w:hAnsiTheme="minorEastAsia" w:eastAsiaTheme="minorEastAsia" w:cstheme="minorEastAsia"/>
                <w:bCs/>
                <w:color w:val="auto"/>
                <w:sz w:val="24"/>
                <w:szCs w:val="24"/>
                <w:highlight w:val="none"/>
                <w:lang w:bidi="ar"/>
              </w:rPr>
              <w:t>接到采购人通知后能够</w:t>
            </w:r>
            <w:r>
              <w:rPr>
                <w:rFonts w:hint="eastAsia" w:asciiTheme="minorEastAsia" w:hAnsiTheme="minorEastAsia" w:eastAsiaTheme="minorEastAsia" w:cstheme="minorEastAsia"/>
                <w:bCs/>
                <w:color w:val="auto"/>
                <w:sz w:val="24"/>
                <w:szCs w:val="24"/>
                <w:highlight w:val="none"/>
                <w:lang w:val="en-US" w:eastAsia="zh-CN" w:bidi="ar"/>
              </w:rPr>
              <w:t>12个小时</w:t>
            </w:r>
            <w:r>
              <w:rPr>
                <w:rFonts w:hint="eastAsia" w:asciiTheme="minorEastAsia" w:hAnsiTheme="minorEastAsia" w:eastAsiaTheme="minorEastAsia" w:cstheme="minorEastAsia"/>
                <w:bCs/>
                <w:color w:val="auto"/>
                <w:sz w:val="24"/>
                <w:szCs w:val="24"/>
                <w:highlight w:val="none"/>
                <w:lang w:bidi="ar"/>
              </w:rPr>
              <w:t>内响应并到达项目现场</w:t>
            </w:r>
            <w:r>
              <w:rPr>
                <w:rFonts w:hint="eastAsia" w:asciiTheme="minorEastAsia" w:hAnsiTheme="minorEastAsia" w:eastAsiaTheme="minorEastAsia" w:cstheme="minorEastAsia"/>
                <w:bCs/>
                <w:color w:val="auto"/>
                <w:sz w:val="24"/>
                <w:szCs w:val="24"/>
                <w:highlight w:val="none"/>
                <w:lang w:val="en-US" w:eastAsia="zh-CN" w:bidi="ar"/>
              </w:rPr>
              <w:t>的得0.5分</w:t>
            </w:r>
            <w:r>
              <w:rPr>
                <w:rFonts w:hint="eastAsia" w:asciiTheme="minorEastAsia" w:hAnsiTheme="minorEastAsia" w:eastAsiaTheme="minorEastAsia" w:cstheme="minorEastAsia"/>
                <w:bCs/>
                <w:color w:val="auto"/>
                <w:sz w:val="24"/>
                <w:szCs w:val="24"/>
                <w:highlight w:val="none"/>
                <w:lang w:bidi="ar"/>
              </w:rPr>
              <w:t>。</w:t>
            </w:r>
          </w:p>
          <w:p w14:paraId="0A2F3EAF">
            <w:pP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注：需提供承诺函（格式见附件），否则不得分。</w:t>
            </w:r>
          </w:p>
        </w:tc>
        <w:tc>
          <w:tcPr>
            <w:tcW w:w="816" w:type="dxa"/>
            <w:vAlign w:val="center"/>
          </w:tcPr>
          <w:p w14:paraId="76E7511D">
            <w:pPr>
              <w:adjustRightInd w:val="0"/>
              <w:spacing w:after="100" w:afterAutospacing="1"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0-2</w:t>
            </w:r>
          </w:p>
        </w:tc>
        <w:tc>
          <w:tcPr>
            <w:tcW w:w="805" w:type="dxa"/>
            <w:vAlign w:val="center"/>
          </w:tcPr>
          <w:p w14:paraId="273C1A54">
            <w:pPr>
              <w:adjustRightInd w:val="0"/>
              <w:spacing w:after="100" w:afterAutospacing="1" w:line="36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客观分</w:t>
            </w:r>
          </w:p>
        </w:tc>
      </w:tr>
      <w:tr w14:paraId="71B6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8" w:type="dxa"/>
            <w:vMerge w:val="continue"/>
            <w:vAlign w:val="center"/>
          </w:tcPr>
          <w:p w14:paraId="67E7FDAA">
            <w:pPr>
              <w:widowControl/>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rPr>
            </w:pPr>
          </w:p>
        </w:tc>
        <w:tc>
          <w:tcPr>
            <w:tcW w:w="1317" w:type="dxa"/>
            <w:vMerge w:val="continue"/>
            <w:vAlign w:val="center"/>
          </w:tcPr>
          <w:p w14:paraId="5464F590">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45" w:type="dxa"/>
            <w:vAlign w:val="center"/>
          </w:tcPr>
          <w:p w14:paraId="11FE5B5E">
            <w:pPr>
              <w:keepNext w:val="0"/>
              <w:keepLines w:val="0"/>
              <w:pageBreakBefore w:val="0"/>
              <w:numPr>
                <w:ilvl w:val="0"/>
                <w:numId w:val="0"/>
              </w:numPr>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p>
          <w:p w14:paraId="1DBD4210">
            <w:pPr>
              <w:keepNext w:val="0"/>
              <w:keepLines w:val="0"/>
              <w:pageBreakBefore w:val="0"/>
              <w:numPr>
                <w:ilvl w:val="0"/>
                <w:numId w:val="0"/>
              </w:numPr>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提供合理明确的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7C43FCFB">
            <w:pPr>
              <w:keepNext w:val="0"/>
              <w:keepLines w:val="0"/>
              <w:pageBreakBefore w:val="0"/>
              <w:numPr>
                <w:ilvl w:val="0"/>
                <w:numId w:val="0"/>
              </w:numPr>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r>
              <w:rPr>
                <w:rFonts w:hint="eastAsia" w:asciiTheme="minorEastAsia" w:hAnsiTheme="minorEastAsia" w:eastAsiaTheme="minorEastAsia" w:cstheme="minorEastAsia"/>
                <w:bCs/>
                <w:color w:val="auto"/>
                <w:sz w:val="24"/>
                <w:szCs w:val="24"/>
                <w:highlight w:val="none"/>
                <w:lang w:val="en-US" w:eastAsia="zh-CN" w:bidi="ar"/>
              </w:rPr>
              <w:t>基本</w:t>
            </w:r>
            <w:r>
              <w:rPr>
                <w:rFonts w:hint="eastAsia" w:asciiTheme="minorEastAsia" w:hAnsiTheme="minorEastAsia" w:eastAsiaTheme="minorEastAsia" w:cstheme="minorEastAsia"/>
                <w:bCs/>
                <w:color w:val="auto"/>
                <w:sz w:val="24"/>
                <w:szCs w:val="24"/>
                <w:highlight w:val="none"/>
                <w:lang w:bidi="ar"/>
              </w:rPr>
              <w:t>合理明确的得</w:t>
            </w:r>
            <w:r>
              <w:rPr>
                <w:rFonts w:hint="eastAsia" w:asciiTheme="minorEastAsia" w:hAnsiTheme="minorEastAsia" w:eastAsiaTheme="minorEastAsia" w:cstheme="minorEastAsia"/>
                <w:bCs/>
                <w:color w:val="auto"/>
                <w:sz w:val="24"/>
                <w:szCs w:val="24"/>
                <w:highlight w:val="none"/>
                <w:lang w:val="en-US" w:eastAsia="zh-CN" w:bidi="ar"/>
              </w:rPr>
              <w:t>2</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7D0AF34A">
            <w:pPr>
              <w:keepNext w:val="0"/>
              <w:keepLines w:val="0"/>
              <w:pageBreakBefore w:val="0"/>
              <w:numPr>
                <w:ilvl w:val="0"/>
                <w:numId w:val="0"/>
              </w:numPr>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处理方案不够合理明确的得</w:t>
            </w:r>
            <w:r>
              <w:rPr>
                <w:rFonts w:hint="eastAsia" w:asciiTheme="minorEastAsia" w:hAnsiTheme="minorEastAsia" w:eastAsiaTheme="minorEastAsia" w:cstheme="minorEastAsia"/>
                <w:bCs/>
                <w:color w:val="auto"/>
                <w:sz w:val="24"/>
                <w:szCs w:val="24"/>
                <w:highlight w:val="none"/>
                <w:lang w:val="en-US" w:eastAsia="zh-CN" w:bidi="ar"/>
              </w:rPr>
              <w:t>1</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11D99D00">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bidi="ar"/>
              </w:rPr>
              <w:t>④</w:t>
            </w:r>
            <w:r>
              <w:rPr>
                <w:rFonts w:hint="eastAsia" w:asciiTheme="minorEastAsia" w:hAnsiTheme="minorEastAsia" w:eastAsiaTheme="minorEastAsia" w:cstheme="minorEastAsia"/>
                <w:bCs/>
                <w:color w:val="auto"/>
                <w:sz w:val="24"/>
                <w:szCs w:val="24"/>
                <w:highlight w:val="none"/>
              </w:rPr>
              <w:t>未提供相应内容的不得分</w:t>
            </w:r>
            <w:r>
              <w:rPr>
                <w:rFonts w:hint="eastAsia" w:asciiTheme="minorEastAsia" w:hAnsiTheme="minorEastAsia" w:eastAsiaTheme="minorEastAsia" w:cstheme="minorEastAsia"/>
                <w:bCs/>
                <w:color w:val="auto"/>
                <w:sz w:val="24"/>
                <w:szCs w:val="24"/>
                <w:highlight w:val="none"/>
                <w:lang w:bidi="ar"/>
              </w:rPr>
              <w:t>。</w:t>
            </w:r>
          </w:p>
        </w:tc>
        <w:tc>
          <w:tcPr>
            <w:tcW w:w="816" w:type="dxa"/>
            <w:vAlign w:val="center"/>
          </w:tcPr>
          <w:p w14:paraId="61BBF827">
            <w:pPr>
              <w:adjustRightInd w:val="0"/>
              <w:spacing w:after="100" w:afterAutospacing="1"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0-3</w:t>
            </w:r>
          </w:p>
        </w:tc>
        <w:tc>
          <w:tcPr>
            <w:tcW w:w="805" w:type="dxa"/>
            <w:vAlign w:val="center"/>
          </w:tcPr>
          <w:p w14:paraId="3B2205C0">
            <w:pPr>
              <w:adjustRightInd w:val="0"/>
              <w:spacing w:after="100" w:afterAutospacing="1" w:line="36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主观分</w:t>
            </w:r>
          </w:p>
        </w:tc>
      </w:tr>
      <w:tr w14:paraId="6518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98" w:type="dxa"/>
            <w:vAlign w:val="center"/>
          </w:tcPr>
          <w:p w14:paraId="32FE19E9">
            <w:pPr>
              <w:widowControl/>
              <w:spacing w:line="360" w:lineRule="auto"/>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6</w:t>
            </w:r>
          </w:p>
        </w:tc>
        <w:tc>
          <w:tcPr>
            <w:tcW w:w="1317" w:type="dxa"/>
            <w:vAlign w:val="center"/>
          </w:tcPr>
          <w:p w14:paraId="737608A2">
            <w:pPr>
              <w:spacing w:line="360" w:lineRule="exact"/>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培训方案</w:t>
            </w:r>
          </w:p>
        </w:tc>
        <w:tc>
          <w:tcPr>
            <w:tcW w:w="7145" w:type="dxa"/>
            <w:vAlign w:val="center"/>
          </w:tcPr>
          <w:p w14:paraId="2B32BE55">
            <w:pPr>
              <w:widowControl/>
              <w:spacing w:line="360" w:lineRule="exac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投标人提供的可行合理的培训方案及培训计划：含培训方式、培训参加人员、培训内容、日程、课程安排等：</w:t>
            </w:r>
          </w:p>
          <w:p w14:paraId="3D586434">
            <w:pPr>
              <w:adjustRightInd w:val="0"/>
              <w:spacing w:after="100" w:afterAutospacing="1" w:line="360" w:lineRule="exact"/>
              <w:contextualSpacing/>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①</w:t>
            </w:r>
            <w:r>
              <w:rPr>
                <w:rFonts w:hint="eastAsia" w:asciiTheme="minorEastAsia" w:hAnsiTheme="minorEastAsia" w:eastAsiaTheme="minorEastAsia" w:cstheme="minorEastAsia"/>
                <w:b w:val="0"/>
                <w:bCs w:val="0"/>
                <w:color w:val="auto"/>
                <w:sz w:val="24"/>
                <w:szCs w:val="24"/>
                <w:highlight w:val="none"/>
              </w:rPr>
              <w:t>培训方案措施明确、培训人员安排非常周到、培训内容非常丰富、课程安排非常合理的得</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分；</w:t>
            </w:r>
          </w:p>
          <w:p w14:paraId="3B2DDCB1">
            <w:pPr>
              <w:adjustRightInd w:val="0"/>
              <w:spacing w:after="100" w:afterAutospacing="1" w:line="360" w:lineRule="exact"/>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②</w:t>
            </w:r>
            <w:r>
              <w:rPr>
                <w:rFonts w:hint="eastAsia" w:asciiTheme="minorEastAsia" w:hAnsiTheme="minorEastAsia" w:eastAsiaTheme="minorEastAsia" w:cstheme="minorEastAsia"/>
                <w:color w:val="auto"/>
                <w:sz w:val="24"/>
                <w:szCs w:val="24"/>
                <w:highlight w:val="none"/>
              </w:rPr>
              <w:t>培训方案措施比较明确、培训人员安排比较周到、培训内容比较丰富、课程安排比较合理的得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133483BD">
            <w:pPr>
              <w:adjustRightInd w:val="0"/>
              <w:spacing w:after="100" w:afterAutospacing="1" w:line="360" w:lineRule="exact"/>
              <w:contextualSpacing/>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③</w:t>
            </w:r>
            <w:r>
              <w:rPr>
                <w:rFonts w:hint="eastAsia" w:asciiTheme="minorEastAsia" w:hAnsiTheme="minorEastAsia" w:eastAsiaTheme="minorEastAsia" w:cstheme="minorEastAsia"/>
                <w:color w:val="auto"/>
                <w:sz w:val="24"/>
                <w:szCs w:val="24"/>
                <w:highlight w:val="none"/>
              </w:rPr>
              <w:t>培训方案措施不够明确、培训人员安排不够周到、培训内容不够丰富、课程安排不够合理的得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分。                             </w:t>
            </w:r>
            <w:r>
              <w:rPr>
                <w:rFonts w:hint="eastAsia" w:asciiTheme="minorEastAsia" w:hAnsiTheme="minorEastAsia" w:eastAsiaTheme="minorEastAsia" w:cstheme="minorEastAsia"/>
                <w:color w:val="auto"/>
                <w:sz w:val="24"/>
                <w:szCs w:val="24"/>
                <w:highlight w:val="none"/>
                <w:lang w:val="en-US" w:eastAsia="zh-CN"/>
              </w:rPr>
              <w:t>④</w:t>
            </w:r>
            <w:r>
              <w:rPr>
                <w:rFonts w:hint="eastAsia" w:asciiTheme="minorEastAsia" w:hAnsiTheme="minorEastAsia" w:eastAsiaTheme="minorEastAsia" w:cstheme="minorEastAsia"/>
                <w:color w:val="auto"/>
                <w:sz w:val="24"/>
                <w:szCs w:val="24"/>
                <w:highlight w:val="none"/>
              </w:rPr>
              <w:t>未提及此项的不得分。</w:t>
            </w:r>
          </w:p>
        </w:tc>
        <w:tc>
          <w:tcPr>
            <w:tcW w:w="816" w:type="dxa"/>
            <w:vAlign w:val="center"/>
          </w:tcPr>
          <w:p w14:paraId="46FE35F6">
            <w:pPr>
              <w:adjustRightInd w:val="0"/>
              <w:spacing w:after="100" w:afterAutospacing="1"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w:t>
            </w:r>
          </w:p>
        </w:tc>
        <w:tc>
          <w:tcPr>
            <w:tcW w:w="805" w:type="dxa"/>
            <w:vAlign w:val="center"/>
          </w:tcPr>
          <w:p w14:paraId="7ACE41CF">
            <w:pPr>
              <w:adjustRightInd w:val="0"/>
              <w:spacing w:after="100" w:afterAutospacing="1"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主观分</w:t>
            </w:r>
          </w:p>
        </w:tc>
      </w:tr>
      <w:tr w14:paraId="5241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8" w:type="dxa"/>
            <w:vAlign w:val="center"/>
          </w:tcPr>
          <w:p w14:paraId="445A035B">
            <w:pPr>
              <w:widowControl/>
              <w:spacing w:line="360" w:lineRule="auto"/>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7</w:t>
            </w:r>
          </w:p>
        </w:tc>
        <w:tc>
          <w:tcPr>
            <w:tcW w:w="1317" w:type="dxa"/>
            <w:vAlign w:val="center"/>
          </w:tcPr>
          <w:p w14:paraId="4DB4A874">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政策性因素加分</w:t>
            </w:r>
          </w:p>
        </w:tc>
        <w:tc>
          <w:tcPr>
            <w:tcW w:w="7145" w:type="dxa"/>
            <w:vAlign w:val="center"/>
          </w:tcPr>
          <w:p w14:paraId="15304932">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投标产品属于《节能产品政府采购品目清单》范围的且具有国家确定的认证机构出具的、处于有效期之内的节能产品认证证书的得0.5分；</w:t>
            </w:r>
          </w:p>
          <w:p w14:paraId="56C139C5">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投标产品属于《环境标志产品政府采购品目清单》范围的且具有国家确定的认证机构出具的、处于有效期之内的环境标志产品认证证书的得0.5分。</w:t>
            </w:r>
          </w:p>
          <w:p w14:paraId="0C51B526">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注：投标文件中必须同时提供以下资料：</w:t>
            </w:r>
          </w:p>
          <w:p w14:paraId="4055E2EF">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242D8060">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816" w:type="dxa"/>
            <w:vAlign w:val="center"/>
          </w:tcPr>
          <w:p w14:paraId="4A221718">
            <w:pPr>
              <w:adjustRightInd w:val="0"/>
              <w:spacing w:after="100" w:afterAutospacing="1"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0-1</w:t>
            </w:r>
          </w:p>
        </w:tc>
        <w:tc>
          <w:tcPr>
            <w:tcW w:w="805" w:type="dxa"/>
            <w:vAlign w:val="center"/>
          </w:tcPr>
          <w:p w14:paraId="7A2F0F3B">
            <w:pPr>
              <w:adjustRightInd w:val="0"/>
              <w:spacing w:after="100" w:afterAutospacing="1"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客观分</w:t>
            </w:r>
          </w:p>
        </w:tc>
      </w:tr>
      <w:tr w14:paraId="1C04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8" w:type="dxa"/>
            <w:vAlign w:val="center"/>
          </w:tcPr>
          <w:p w14:paraId="23F558B0">
            <w:pPr>
              <w:widowControl/>
              <w:spacing w:line="360" w:lineRule="auto"/>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8</w:t>
            </w:r>
          </w:p>
        </w:tc>
        <w:tc>
          <w:tcPr>
            <w:tcW w:w="1317" w:type="dxa"/>
            <w:vAlign w:val="center"/>
          </w:tcPr>
          <w:p w14:paraId="1F1A1465">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价格分</w:t>
            </w:r>
          </w:p>
        </w:tc>
        <w:tc>
          <w:tcPr>
            <w:tcW w:w="7145" w:type="dxa"/>
            <w:vAlign w:val="center"/>
          </w:tcPr>
          <w:p w14:paraId="0FDA4207">
            <w:pPr>
              <w:keepNext w:val="0"/>
              <w:keepLines w:val="0"/>
              <w:pageBreakBefore w:val="0"/>
              <w:widowControl/>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评标基准价=满足</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要求的参与评审价格最低价。</w:t>
            </w:r>
          </w:p>
          <w:p w14:paraId="7978D7E1">
            <w:pPr>
              <w:keepNext w:val="0"/>
              <w:keepLines w:val="0"/>
              <w:pageBreakBefore w:val="0"/>
              <w:widowControl/>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基准价得分30分。</w:t>
            </w:r>
          </w:p>
          <w:p w14:paraId="4E588A65">
            <w:pPr>
              <w:keepNext w:val="0"/>
              <w:keepLines w:val="0"/>
              <w:pageBreakBefore w:val="0"/>
              <w:widowControl/>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参与评审价格=投标报价</w:t>
            </w:r>
          </w:p>
          <w:p w14:paraId="6F1BDDD6">
            <w:pPr>
              <w:keepNext w:val="0"/>
              <w:keepLines w:val="0"/>
              <w:pageBreakBefore w:val="0"/>
              <w:widowControl/>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投标报价得分=（评标基准价/参与评审价格）×30%×100</w:t>
            </w:r>
          </w:p>
          <w:p w14:paraId="02ECBCA2">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投标报价得分以四舍五入保留小数点后两位。</w:t>
            </w:r>
          </w:p>
        </w:tc>
        <w:tc>
          <w:tcPr>
            <w:tcW w:w="816" w:type="dxa"/>
            <w:vAlign w:val="center"/>
          </w:tcPr>
          <w:p w14:paraId="3BA03DC5">
            <w:pPr>
              <w:adjustRightInd w:val="0"/>
              <w:spacing w:after="100" w:afterAutospacing="1"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0-30</w:t>
            </w:r>
          </w:p>
        </w:tc>
        <w:tc>
          <w:tcPr>
            <w:tcW w:w="805" w:type="dxa"/>
            <w:vAlign w:val="center"/>
          </w:tcPr>
          <w:p w14:paraId="157E5E04">
            <w:pPr>
              <w:adjustRightInd w:val="0"/>
              <w:spacing w:after="100" w:afterAutospacing="1"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bl>
    <w:p w14:paraId="1C633D46">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(注：以上需提供的合同、证书、报告等各项证明需将原件扫描上传至投标文件，并加盖电子印章。评委打分保留1位小数</w:t>
      </w:r>
      <w:r>
        <w:rPr>
          <w:rFonts w:hint="eastAsia" w:asciiTheme="minorEastAsia" w:hAnsiTheme="minorEastAsia" w:eastAsiaTheme="minorEastAsia" w:cstheme="minorEastAsia"/>
          <w:b/>
          <w:color w:val="auto"/>
          <w:sz w:val="24"/>
          <w:szCs w:val="24"/>
          <w:highlight w:val="none"/>
          <w:lang w:eastAsia="zh-CN"/>
        </w:rPr>
        <w:t>）</w:t>
      </w:r>
    </w:p>
    <w:p w14:paraId="70E79EA2">
      <w:pPr>
        <w:keepNext w:val="0"/>
        <w:keepLines w:val="0"/>
        <w:pageBreakBefore/>
        <w:widowControl w:val="0"/>
        <w:kinsoku/>
        <w:wordWrap/>
        <w:overflowPunct/>
        <w:topLinePunct w:val="0"/>
        <w:autoSpaceDE/>
        <w:autoSpaceDN/>
        <w:bidi w:val="0"/>
        <w:adjustRightInd/>
        <w:snapToGrid w:val="0"/>
        <w:spacing w:afterLines="50"/>
        <w:ind w:firstLine="561"/>
        <w:jc w:val="center"/>
        <w:textAlignment w:val="auto"/>
        <w:rPr>
          <w:rFonts w:asciiTheme="minorEastAsia" w:hAnsiTheme="minorEastAsia" w:eastAsiaTheme="minorEastAsia"/>
          <w:color w:val="auto"/>
          <w:kern w:val="0"/>
          <w:sz w:val="24"/>
          <w:highlight w:val="none"/>
        </w:rPr>
      </w:pPr>
      <w:bookmarkStart w:id="59" w:name="_Toc16946"/>
      <w:bookmarkStart w:id="60" w:name="_Toc10462"/>
      <w:bookmarkStart w:id="61" w:name="_Toc15735"/>
      <w:bookmarkStart w:id="62" w:name="_Toc19606"/>
      <w:bookmarkStart w:id="63" w:name="_Toc6241"/>
      <w:bookmarkStart w:id="64" w:name="_Toc15145"/>
      <w:r>
        <w:rPr>
          <w:rFonts w:hint="eastAsia"/>
          <w:b/>
          <w:color w:val="auto"/>
          <w:sz w:val="24"/>
          <w:highlight w:val="none"/>
          <w:lang w:eastAsia="zh-CN"/>
        </w:rPr>
        <w:t>标项</w:t>
      </w:r>
      <w:r>
        <w:rPr>
          <w:rFonts w:hint="eastAsia"/>
          <w:b/>
          <w:color w:val="auto"/>
          <w:sz w:val="24"/>
          <w:highlight w:val="none"/>
          <w:lang w:val="en-US" w:eastAsia="zh-CN"/>
        </w:rPr>
        <w:t xml:space="preserve">二  </w:t>
      </w:r>
      <w:r>
        <w:rPr>
          <w:b/>
          <w:color w:val="auto"/>
          <w:sz w:val="24"/>
          <w:highlight w:val="none"/>
        </w:rPr>
        <w:t>评分标准</w:t>
      </w:r>
    </w:p>
    <w:tbl>
      <w:tblPr>
        <w:tblStyle w:val="47"/>
        <w:tblW w:w="55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18"/>
        <w:gridCol w:w="7154"/>
        <w:gridCol w:w="805"/>
        <w:gridCol w:w="805"/>
      </w:tblGrid>
      <w:tr w14:paraId="7E6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9" w:type="dxa"/>
            <w:shd w:val="clear" w:color="auto" w:fill="DCD8C2" w:themeFill="background2" w:themeFillShade="E5"/>
            <w:vAlign w:val="center"/>
          </w:tcPr>
          <w:p w14:paraId="643E3CA5">
            <w:pPr>
              <w:adjustRightInd w:val="0"/>
              <w:spacing w:after="100" w:afterAutospacing="1" w:line="440" w:lineRule="exact"/>
              <w:jc w:val="center"/>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color w:val="auto"/>
                <w:sz w:val="24"/>
                <w:szCs w:val="24"/>
                <w:highlight w:val="none"/>
              </w:rPr>
              <w:t>序号</w:t>
            </w:r>
          </w:p>
        </w:tc>
        <w:tc>
          <w:tcPr>
            <w:tcW w:w="1318" w:type="dxa"/>
            <w:shd w:val="clear" w:color="auto" w:fill="DCD8C2" w:themeFill="background2" w:themeFillShade="E5"/>
            <w:vAlign w:val="center"/>
          </w:tcPr>
          <w:p w14:paraId="5304DB71">
            <w:pPr>
              <w:adjustRightInd w:val="0"/>
              <w:spacing w:after="100" w:afterAutospacing="1" w:line="440" w:lineRule="exact"/>
              <w:jc w:val="center"/>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color w:val="auto"/>
                <w:sz w:val="24"/>
                <w:szCs w:val="24"/>
                <w:highlight w:val="none"/>
              </w:rPr>
              <w:t>评分项目</w:t>
            </w:r>
          </w:p>
        </w:tc>
        <w:tc>
          <w:tcPr>
            <w:tcW w:w="7154" w:type="dxa"/>
            <w:shd w:val="clear" w:color="auto" w:fill="DCD8C2" w:themeFill="background2" w:themeFillShade="E5"/>
            <w:vAlign w:val="center"/>
          </w:tcPr>
          <w:p w14:paraId="7B0CC3FD">
            <w:pPr>
              <w:adjustRightInd w:val="0"/>
              <w:spacing w:after="100" w:afterAutospacing="1" w:line="440" w:lineRule="exact"/>
              <w:jc w:val="center"/>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color w:val="auto"/>
                <w:sz w:val="24"/>
                <w:szCs w:val="24"/>
                <w:highlight w:val="none"/>
              </w:rPr>
              <w:t>评分细则</w:t>
            </w:r>
          </w:p>
        </w:tc>
        <w:tc>
          <w:tcPr>
            <w:tcW w:w="805" w:type="dxa"/>
            <w:shd w:val="clear" w:color="auto" w:fill="DCD8C2" w:themeFill="background2" w:themeFillShade="E5"/>
            <w:vAlign w:val="center"/>
          </w:tcPr>
          <w:p w14:paraId="6D43F36B">
            <w:pPr>
              <w:adjustRightInd w:val="0"/>
              <w:spacing w:after="100" w:afterAutospacing="1" w:line="440" w:lineRule="exact"/>
              <w:jc w:val="center"/>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color w:val="auto"/>
                <w:sz w:val="24"/>
                <w:szCs w:val="24"/>
                <w:highlight w:val="none"/>
              </w:rPr>
              <w:t>分值</w:t>
            </w:r>
          </w:p>
        </w:tc>
        <w:tc>
          <w:tcPr>
            <w:tcW w:w="805" w:type="dxa"/>
            <w:shd w:val="clear" w:color="auto" w:fill="DCD8C2" w:themeFill="background2" w:themeFillShade="E5"/>
            <w:vAlign w:val="center"/>
          </w:tcPr>
          <w:p w14:paraId="5BFD04EF">
            <w:pPr>
              <w:keepNext w:val="0"/>
              <w:keepLines w:val="0"/>
              <w:pageBreakBefore w:val="0"/>
              <w:kinsoku/>
              <w:wordWrap/>
              <w:overflowPunct/>
              <w:topLinePunct w:val="0"/>
              <w:autoSpaceDE/>
              <w:autoSpaceDN/>
              <w:bidi w:val="0"/>
              <w:snapToGrid/>
              <w:spacing w:line="340" w:lineRule="exact"/>
              <w:jc w:val="center"/>
              <w:textAlignment w:val="auto"/>
              <w:rPr>
                <w:rFonts w:hint="eastAsia" w:ascii="Times New Roman" w:hAnsi="Times New Roman" w:eastAsia="宋体" w:cs="宋体"/>
                <w:b/>
                <w:bCs w:val="0"/>
                <w:color w:val="auto"/>
                <w:szCs w:val="21"/>
                <w:highlight w:val="none"/>
                <w:lang w:eastAsia="zh-CN"/>
              </w:rPr>
            </w:pPr>
            <w:r>
              <w:rPr>
                <w:rFonts w:hint="eastAsia" w:ascii="Times New Roman" w:hAnsi="Times New Roman" w:eastAsia="宋体" w:cs="宋体"/>
                <w:b/>
                <w:bCs w:val="0"/>
                <w:color w:val="auto"/>
                <w:szCs w:val="21"/>
                <w:highlight w:val="none"/>
                <w:lang w:eastAsia="zh-CN"/>
              </w:rPr>
              <w:t>分值</w:t>
            </w:r>
          </w:p>
          <w:p w14:paraId="5C8A1A6C">
            <w:pPr>
              <w:keepNext w:val="0"/>
              <w:keepLines w:val="0"/>
              <w:pageBreakBefore w:val="0"/>
              <w:kinsoku/>
              <w:wordWrap/>
              <w:overflowPunct/>
              <w:topLinePunct w:val="0"/>
              <w:autoSpaceDE/>
              <w:autoSpaceDN/>
              <w:bidi w:val="0"/>
              <w:snapToGrid/>
              <w:spacing w:line="340" w:lineRule="exact"/>
              <w:jc w:val="center"/>
              <w:textAlignment w:val="auto"/>
              <w:rPr>
                <w:rFonts w:hint="eastAsia" w:ascii="宋体" w:hAnsi="宋体" w:eastAsia="宋体" w:cs="宋体"/>
                <w:b/>
                <w:color w:val="auto"/>
                <w:sz w:val="24"/>
                <w:szCs w:val="24"/>
                <w:highlight w:val="none"/>
              </w:rPr>
            </w:pPr>
            <w:r>
              <w:rPr>
                <w:rFonts w:hint="eastAsia" w:ascii="Times New Roman" w:hAnsi="Times New Roman" w:eastAsia="宋体" w:cs="宋体"/>
                <w:b/>
                <w:bCs w:val="0"/>
                <w:color w:val="auto"/>
                <w:szCs w:val="21"/>
                <w:highlight w:val="none"/>
              </w:rPr>
              <w:t>属性</w:t>
            </w:r>
          </w:p>
        </w:tc>
      </w:tr>
      <w:tr w14:paraId="3369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jc w:val="center"/>
        </w:trPr>
        <w:tc>
          <w:tcPr>
            <w:tcW w:w="799" w:type="dxa"/>
            <w:vAlign w:val="center"/>
          </w:tcPr>
          <w:p w14:paraId="0351C43A">
            <w:pPr>
              <w:spacing w:line="440" w:lineRule="exact"/>
              <w:jc w:val="center"/>
              <w:rPr>
                <w:rFonts w:hint="eastAsia"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lang w:val="en-US" w:eastAsia="zh-CN"/>
              </w:rPr>
              <w:t>1</w:t>
            </w:r>
          </w:p>
        </w:tc>
        <w:tc>
          <w:tcPr>
            <w:tcW w:w="1318" w:type="dxa"/>
            <w:vAlign w:val="center"/>
          </w:tcPr>
          <w:p w14:paraId="0D51E681">
            <w:pPr>
              <w:spacing w:line="36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技术性能</w:t>
            </w:r>
          </w:p>
        </w:tc>
        <w:tc>
          <w:tcPr>
            <w:tcW w:w="7154" w:type="dxa"/>
            <w:vAlign w:val="center"/>
          </w:tcPr>
          <w:p w14:paraId="2862BBC6">
            <w:pPr>
              <w:keepNext w:val="0"/>
              <w:keepLines w:val="0"/>
              <w:pageBreakBefore w:val="0"/>
              <w:kinsoku/>
              <w:wordWrap/>
              <w:overflowPunct/>
              <w:topLinePunct w:val="0"/>
              <w:autoSpaceDE/>
              <w:autoSpaceDN/>
              <w:bidi w:val="0"/>
              <w:adjustRightInd w:val="0"/>
              <w:snapToGrid/>
              <w:spacing w:line="340" w:lineRule="exact"/>
              <w:contextualSpacing/>
              <w:textAlignment w:val="auto"/>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根据投标人对</w:t>
            </w:r>
            <w:r>
              <w:rPr>
                <w:rFonts w:hint="eastAsia" w:ascii="Times New Roman" w:hAnsi="Times New Roman" w:eastAsia="宋体" w:cs="宋体"/>
                <w:bCs/>
                <w:color w:val="auto"/>
                <w:sz w:val="24"/>
                <w:szCs w:val="24"/>
                <w:highlight w:val="none"/>
                <w:lang w:eastAsia="zh-CN"/>
              </w:rPr>
              <w:t>采购文件</w:t>
            </w:r>
            <w:r>
              <w:rPr>
                <w:rFonts w:hint="eastAsia" w:ascii="Times New Roman" w:hAnsi="Times New Roman" w:eastAsia="宋体" w:cs="宋体"/>
                <w:bCs/>
                <w:color w:val="auto"/>
                <w:sz w:val="24"/>
                <w:szCs w:val="24"/>
                <w:highlight w:val="none"/>
              </w:rPr>
              <w:t>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rPr>
              <w:t>部分“</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”中技术参数及性能（配置）响应情况进行评审：</w:t>
            </w:r>
          </w:p>
          <w:p w14:paraId="5D58F180">
            <w:pPr>
              <w:keepNext w:val="0"/>
              <w:keepLines w:val="0"/>
              <w:pageBreakBefore w:val="0"/>
              <w:kinsoku/>
              <w:wordWrap/>
              <w:overflowPunct/>
              <w:topLinePunct w:val="0"/>
              <w:autoSpaceDE/>
              <w:autoSpaceDN/>
              <w:bidi w:val="0"/>
              <w:adjustRightInd w:val="0"/>
              <w:snapToGrid/>
              <w:spacing w:line="340" w:lineRule="exact"/>
              <w:contextualSpacing/>
              <w:textAlignment w:val="auto"/>
              <w:rPr>
                <w:rFonts w:hint="eastAsia" w:ascii="Times New Roman" w:hAnsi="Times New Roman" w:cs="宋体"/>
                <w:bCs/>
                <w:color w:val="auto"/>
                <w:sz w:val="24"/>
                <w:szCs w:val="24"/>
                <w:highlight w:val="none"/>
                <w:lang w:val="en-US" w:eastAsia="zh-CN"/>
              </w:rPr>
            </w:pPr>
            <w:r>
              <w:rPr>
                <w:rFonts w:hint="eastAsia" w:ascii="Times New Roman" w:hAnsi="Times New Roman" w:eastAsia="宋体" w:cs="宋体"/>
                <w:bCs/>
                <w:color w:val="auto"/>
                <w:kern w:val="0"/>
                <w:sz w:val="24"/>
                <w:szCs w:val="24"/>
                <w:highlight w:val="none"/>
              </w:rPr>
              <w:t>①</w:t>
            </w:r>
            <w:r>
              <w:rPr>
                <w:rFonts w:hint="eastAsia" w:ascii="Times New Roman" w:hAnsi="Times New Roman" w:eastAsia="宋体" w:cs="宋体"/>
                <w:bCs/>
                <w:color w:val="auto"/>
                <w:sz w:val="24"/>
                <w:szCs w:val="24"/>
                <w:highlight w:val="none"/>
              </w:rPr>
              <w:t>完全响应</w:t>
            </w:r>
            <w:r>
              <w:rPr>
                <w:rFonts w:hint="eastAsia" w:ascii="Times New Roman" w:hAnsi="Times New Roman" w:eastAsia="宋体" w:cs="宋体"/>
                <w:bCs/>
                <w:color w:val="auto"/>
                <w:sz w:val="24"/>
                <w:szCs w:val="24"/>
                <w:highlight w:val="none"/>
                <w:lang w:eastAsia="zh-CN"/>
              </w:rPr>
              <w:t>采购文件</w:t>
            </w:r>
            <w:r>
              <w:rPr>
                <w:rFonts w:hint="eastAsia" w:ascii="Times New Roman" w:hAnsi="Times New Roman" w:eastAsia="宋体" w:cs="宋体"/>
                <w:bCs/>
                <w:color w:val="auto"/>
                <w:sz w:val="24"/>
                <w:szCs w:val="24"/>
                <w:highlight w:val="none"/>
              </w:rPr>
              <w:t xml:space="preserve"> 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rPr>
              <w:t>部分“</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”中所有指标的得</w:t>
            </w:r>
            <w:r>
              <w:rPr>
                <w:rFonts w:hint="eastAsia" w:ascii="Times New Roman" w:hAnsi="Times New Roman" w:cs="宋体"/>
                <w:bCs/>
                <w:color w:val="auto"/>
                <w:sz w:val="24"/>
                <w:szCs w:val="24"/>
                <w:highlight w:val="none"/>
                <w:lang w:val="en-US" w:eastAsia="zh-CN"/>
              </w:rPr>
              <w:t>37.2</w:t>
            </w:r>
          </w:p>
          <w:p w14:paraId="3E61774F">
            <w:pPr>
              <w:keepNext w:val="0"/>
              <w:keepLines w:val="0"/>
              <w:pageBreakBefore w:val="0"/>
              <w:kinsoku/>
              <w:wordWrap/>
              <w:overflowPunct/>
              <w:topLinePunct w:val="0"/>
              <w:autoSpaceDE/>
              <w:autoSpaceDN/>
              <w:bidi w:val="0"/>
              <w:adjustRightInd w:val="0"/>
              <w:snapToGrid/>
              <w:spacing w:line="340" w:lineRule="exact"/>
              <w:contextualSpacing/>
              <w:textAlignment w:val="auto"/>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分；</w:t>
            </w:r>
          </w:p>
          <w:p w14:paraId="506295B7">
            <w:pPr>
              <w:keepNext w:val="0"/>
              <w:keepLines w:val="0"/>
              <w:pageBreakBefore w:val="0"/>
              <w:kinsoku/>
              <w:wordWrap/>
              <w:overflowPunct/>
              <w:topLinePunct w:val="0"/>
              <w:autoSpaceDE/>
              <w:autoSpaceDN/>
              <w:bidi w:val="0"/>
              <w:adjustRightInd w:val="0"/>
              <w:snapToGrid/>
              <w:spacing w:line="340" w:lineRule="exact"/>
              <w:contextualSpacing/>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kern w:val="0"/>
                <w:sz w:val="24"/>
                <w:szCs w:val="24"/>
                <w:highlight w:val="none"/>
              </w:rPr>
              <w:t>②</w:t>
            </w:r>
            <w:r>
              <w:rPr>
                <w:rFonts w:hint="eastAsia" w:ascii="Times New Roman" w:hAnsi="Times New Roman" w:eastAsia="宋体" w:cs="宋体"/>
                <w:bCs/>
                <w:color w:val="auto"/>
                <w:sz w:val="24"/>
                <w:szCs w:val="24"/>
                <w:highlight w:val="none"/>
              </w:rPr>
              <w:t>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rPr>
              <w:t>部分“</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”中标</w:t>
            </w:r>
            <w:r>
              <w:rPr>
                <w:rFonts w:hint="eastAsia" w:ascii="Times New Roman" w:hAnsi="Times New Roman" w:eastAsia="宋体" w:cs="宋体"/>
                <w:bCs/>
                <w:color w:val="auto"/>
                <w:sz w:val="24"/>
                <w:szCs w:val="24"/>
                <w:highlight w:val="none"/>
                <w:lang w:eastAsia="zh-CN"/>
              </w:rPr>
              <w:t>“★”的指标，每负偏离一条扣</w:t>
            </w:r>
            <w:r>
              <w:rPr>
                <w:rFonts w:hint="eastAsia" w:ascii="Times New Roman" w:hAnsi="Times New Roman" w:cs="宋体"/>
                <w:bCs/>
                <w:color w:val="auto"/>
                <w:sz w:val="24"/>
                <w:szCs w:val="24"/>
                <w:highlight w:val="none"/>
                <w:lang w:val="en-US" w:eastAsia="zh-CN"/>
              </w:rPr>
              <w:t>0.8</w:t>
            </w:r>
            <w:r>
              <w:rPr>
                <w:rFonts w:hint="eastAsia" w:ascii="Times New Roman" w:hAnsi="Times New Roman" w:eastAsia="宋体" w:cs="宋体"/>
                <w:bCs/>
                <w:color w:val="auto"/>
                <w:sz w:val="24"/>
                <w:szCs w:val="24"/>
                <w:highlight w:val="none"/>
                <w:lang w:eastAsia="zh-CN"/>
              </w:rPr>
              <w:t>分；</w:t>
            </w:r>
          </w:p>
          <w:p w14:paraId="4DD1C5A8">
            <w:pPr>
              <w:keepNext w:val="0"/>
              <w:keepLines w:val="0"/>
              <w:pageBreakBefore w:val="0"/>
              <w:kinsoku/>
              <w:wordWrap/>
              <w:overflowPunct/>
              <w:topLinePunct w:val="0"/>
              <w:autoSpaceDE/>
              <w:autoSpaceDN/>
              <w:bidi w:val="0"/>
              <w:adjustRightInd w:val="0"/>
              <w:snapToGrid/>
              <w:spacing w:line="340" w:lineRule="exact"/>
              <w:contextualSpacing/>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eastAsia="zh-CN"/>
              </w:rPr>
              <w:t>③第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lang w:eastAsia="zh-CN"/>
              </w:rPr>
              <w:t>部分</w:t>
            </w:r>
            <w:r>
              <w:rPr>
                <w:rFonts w:hint="eastAsia" w:ascii="Times New Roman" w:hAnsi="Times New Roman" w:eastAsia="宋体" w:cs="宋体"/>
                <w:bCs/>
                <w:color w:val="auto"/>
                <w:sz w:val="24"/>
                <w:szCs w:val="24"/>
                <w:highlight w:val="none"/>
              </w:rPr>
              <w:t>“</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eastAsia="zh-CN"/>
              </w:rPr>
              <w:t>中</w:t>
            </w:r>
            <w:r>
              <w:rPr>
                <w:rFonts w:hint="eastAsia" w:ascii="Times New Roman" w:hAnsi="Times New Roman" w:eastAsia="宋体" w:cs="宋体"/>
                <w:bCs/>
                <w:color w:val="auto"/>
                <w:sz w:val="24"/>
                <w:szCs w:val="24"/>
                <w:highlight w:val="none"/>
              </w:rPr>
              <w:t>未标“</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”的指标，每负偏离一条扣0.</w:t>
            </w:r>
            <w:r>
              <w:rPr>
                <w:rFonts w:hint="eastAsia" w:ascii="Times New Roman" w:hAnsi="Times New Roman"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rPr>
              <w:t>分。</w:t>
            </w:r>
          </w:p>
          <w:p w14:paraId="05A1011A">
            <w:pPr>
              <w:keepNext w:val="0"/>
              <w:keepLines w:val="0"/>
              <w:pageBreakBefore w:val="0"/>
              <w:kinsoku/>
              <w:wordWrap/>
              <w:overflowPunct/>
              <w:topLinePunct w:val="0"/>
              <w:autoSpaceDE/>
              <w:autoSpaceDN/>
              <w:bidi w:val="0"/>
              <w:adjustRightInd w:val="0"/>
              <w:snapToGrid/>
              <w:spacing w:line="340" w:lineRule="exact"/>
              <w:contextualSpacing/>
              <w:textAlignment w:val="auto"/>
              <w:rPr>
                <w:rFonts w:hint="default"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kern w:val="0"/>
                <w:sz w:val="24"/>
                <w:szCs w:val="24"/>
                <w:highlight w:val="none"/>
                <w:lang w:val="en-US" w:eastAsia="zh-CN"/>
              </w:rPr>
              <w:t>④</w:t>
            </w:r>
            <w:r>
              <w:rPr>
                <w:rFonts w:hint="eastAsia" w:ascii="Times New Roman" w:hAnsi="Times New Roman" w:eastAsia="宋体" w:cs="宋体"/>
                <w:bCs/>
                <w:color w:val="auto"/>
                <w:sz w:val="24"/>
                <w:szCs w:val="24"/>
                <w:highlight w:val="none"/>
              </w:rPr>
              <w:t>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rPr>
              <w:t>部分“</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”中标</w:t>
            </w:r>
            <w:r>
              <w:rPr>
                <w:rFonts w:hint="eastAsia" w:ascii="Times New Roman" w:hAnsi="Times New Roman" w:eastAsia="宋体" w:cs="宋体"/>
                <w:bCs/>
                <w:color w:val="auto"/>
                <w:sz w:val="24"/>
                <w:szCs w:val="24"/>
                <w:highlight w:val="none"/>
                <w:lang w:eastAsia="zh-CN"/>
              </w:rPr>
              <w:t>“★”的指标，每</w:t>
            </w:r>
            <w:r>
              <w:rPr>
                <w:rFonts w:hint="eastAsia" w:ascii="Times New Roman" w:hAnsi="Times New Roman" w:eastAsia="宋体" w:cs="宋体"/>
                <w:bCs/>
                <w:color w:val="auto"/>
                <w:sz w:val="24"/>
                <w:szCs w:val="24"/>
                <w:highlight w:val="none"/>
                <w:lang w:val="en-US" w:eastAsia="zh-CN"/>
              </w:rPr>
              <w:t>正</w:t>
            </w:r>
            <w:r>
              <w:rPr>
                <w:rFonts w:hint="eastAsia" w:ascii="Times New Roman" w:hAnsi="Times New Roman" w:eastAsia="宋体" w:cs="宋体"/>
                <w:bCs/>
                <w:color w:val="auto"/>
                <w:sz w:val="24"/>
                <w:szCs w:val="24"/>
                <w:highlight w:val="none"/>
                <w:lang w:eastAsia="zh-CN"/>
              </w:rPr>
              <w:t>偏离一条</w:t>
            </w:r>
            <w:r>
              <w:rPr>
                <w:rFonts w:hint="eastAsia" w:ascii="Times New Roman" w:hAnsi="Times New Roman" w:eastAsia="宋体" w:cs="宋体"/>
                <w:bCs/>
                <w:color w:val="auto"/>
                <w:sz w:val="24"/>
                <w:szCs w:val="24"/>
                <w:highlight w:val="none"/>
                <w:lang w:val="en-US" w:eastAsia="zh-CN"/>
              </w:rPr>
              <w:t>加</w:t>
            </w:r>
            <w:r>
              <w:rPr>
                <w:rFonts w:hint="eastAsia" w:ascii="Times New Roman" w:hAnsi="Times New Roman" w:cs="宋体"/>
                <w:bCs/>
                <w:color w:val="auto"/>
                <w:sz w:val="24"/>
                <w:szCs w:val="24"/>
                <w:highlight w:val="none"/>
                <w:lang w:val="en-US" w:eastAsia="zh-CN"/>
              </w:rPr>
              <w:t>0.8</w:t>
            </w:r>
            <w:r>
              <w:rPr>
                <w:rFonts w:hint="eastAsia" w:ascii="Times New Roman" w:hAnsi="Times New Roman" w:eastAsia="宋体" w:cs="宋体"/>
                <w:bCs/>
                <w:color w:val="auto"/>
                <w:sz w:val="24"/>
                <w:szCs w:val="24"/>
                <w:highlight w:val="none"/>
                <w:lang w:eastAsia="zh-CN"/>
              </w:rPr>
              <w:t>分，</w:t>
            </w:r>
            <w:r>
              <w:rPr>
                <w:rFonts w:hint="eastAsia" w:ascii="Times New Roman" w:hAnsi="Times New Roman" w:eastAsia="宋体" w:cs="宋体"/>
                <w:bCs/>
                <w:color w:val="auto"/>
                <w:sz w:val="24"/>
                <w:szCs w:val="24"/>
                <w:highlight w:val="none"/>
                <w:lang w:val="en-US" w:eastAsia="zh-CN"/>
              </w:rPr>
              <w:t>最多加</w:t>
            </w:r>
            <w:r>
              <w:rPr>
                <w:rFonts w:hint="eastAsia" w:ascii="Times New Roman" w:hAnsi="Times New Roman" w:cs="宋体"/>
                <w:bCs/>
                <w:color w:val="auto"/>
                <w:sz w:val="24"/>
                <w:szCs w:val="24"/>
                <w:highlight w:val="none"/>
                <w:lang w:val="en-US" w:eastAsia="zh-CN"/>
              </w:rPr>
              <w:t>2.4</w:t>
            </w:r>
            <w:r>
              <w:rPr>
                <w:rFonts w:hint="eastAsia" w:ascii="Times New Roman" w:hAnsi="Times New Roman" w:eastAsia="宋体" w:cs="宋体"/>
                <w:bCs/>
                <w:color w:val="auto"/>
                <w:sz w:val="24"/>
                <w:szCs w:val="24"/>
                <w:highlight w:val="none"/>
                <w:lang w:val="en-US" w:eastAsia="zh-CN"/>
              </w:rPr>
              <w:t>分。</w:t>
            </w:r>
          </w:p>
          <w:p w14:paraId="468B1C95">
            <w:pPr>
              <w:keepNext w:val="0"/>
              <w:keepLines w:val="0"/>
              <w:pageBreakBefore w:val="0"/>
              <w:kinsoku/>
              <w:wordWrap/>
              <w:overflowPunct/>
              <w:topLinePunct w:val="0"/>
              <w:autoSpaceDE/>
              <w:autoSpaceDN/>
              <w:bidi w:val="0"/>
              <w:adjustRightInd w:val="0"/>
              <w:snapToGrid/>
              <w:spacing w:line="340" w:lineRule="exact"/>
              <w:contextualSpacing/>
              <w:textAlignment w:val="auto"/>
              <w:rPr>
                <w:rFonts w:hint="default"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⑤</w:t>
            </w:r>
            <w:r>
              <w:rPr>
                <w:rFonts w:hint="eastAsia" w:ascii="Times New Roman" w:hAnsi="Times New Roman" w:eastAsia="宋体" w:cs="宋体"/>
                <w:bCs/>
                <w:color w:val="auto"/>
                <w:sz w:val="24"/>
                <w:szCs w:val="24"/>
                <w:highlight w:val="none"/>
                <w:lang w:eastAsia="zh-CN"/>
              </w:rPr>
              <w:t>第</w:t>
            </w:r>
            <w:r>
              <w:rPr>
                <w:rFonts w:hint="eastAsia" w:ascii="Times New Roman" w:hAnsi="Times New Roman" w:eastAsia="宋体" w:cs="宋体"/>
                <w:bCs/>
                <w:color w:val="auto"/>
                <w:sz w:val="24"/>
                <w:szCs w:val="24"/>
                <w:highlight w:val="none"/>
                <w:lang w:val="en-US" w:eastAsia="zh-CN"/>
              </w:rPr>
              <w:t>五</w:t>
            </w:r>
            <w:r>
              <w:rPr>
                <w:rFonts w:hint="eastAsia" w:ascii="Times New Roman" w:hAnsi="Times New Roman" w:eastAsia="宋体" w:cs="宋体"/>
                <w:bCs/>
                <w:color w:val="auto"/>
                <w:sz w:val="24"/>
                <w:szCs w:val="24"/>
                <w:highlight w:val="none"/>
                <w:lang w:eastAsia="zh-CN"/>
              </w:rPr>
              <w:t>部分</w:t>
            </w:r>
            <w:r>
              <w:rPr>
                <w:rFonts w:hint="eastAsia" w:ascii="Times New Roman" w:hAnsi="Times New Roman" w:eastAsia="宋体" w:cs="宋体"/>
                <w:bCs/>
                <w:color w:val="auto"/>
                <w:sz w:val="24"/>
                <w:szCs w:val="24"/>
                <w:highlight w:val="none"/>
              </w:rPr>
              <w:t>“</w:t>
            </w:r>
            <w:r>
              <w:rPr>
                <w:rFonts w:ascii="Times New Roman" w:hAnsi="Times New Roman"/>
                <w:b/>
                <w:color w:val="auto"/>
                <w:sz w:val="24"/>
                <w:szCs w:val="24"/>
                <w:highlight w:val="none"/>
              </w:rPr>
              <w:t>技术要求</w:t>
            </w:r>
            <w:r>
              <w:rPr>
                <w:rFonts w:hint="eastAsia" w:ascii="Times New Roman" w:hAnsi="Times New Roman" w:eastAsia="宋体" w:cs="宋体"/>
                <w:bCs/>
                <w:color w:val="auto"/>
                <w:sz w:val="24"/>
                <w:szCs w:val="24"/>
                <w:highlight w:val="none"/>
              </w:rPr>
              <w:t>”</w:t>
            </w:r>
            <w:r>
              <w:rPr>
                <w:rFonts w:hint="eastAsia" w:ascii="Times New Roman" w:hAnsi="Times New Roman" w:eastAsia="宋体" w:cs="宋体"/>
                <w:bCs/>
                <w:color w:val="auto"/>
                <w:sz w:val="24"/>
                <w:szCs w:val="24"/>
                <w:highlight w:val="none"/>
                <w:lang w:eastAsia="zh-CN"/>
              </w:rPr>
              <w:t>中</w:t>
            </w:r>
            <w:r>
              <w:rPr>
                <w:rFonts w:hint="eastAsia" w:ascii="Times New Roman" w:hAnsi="Times New Roman" w:eastAsia="宋体" w:cs="宋体"/>
                <w:bCs/>
                <w:color w:val="auto"/>
                <w:sz w:val="24"/>
                <w:szCs w:val="24"/>
                <w:highlight w:val="none"/>
              </w:rPr>
              <w:t>未标“</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”的指标，每</w:t>
            </w:r>
            <w:r>
              <w:rPr>
                <w:rFonts w:hint="eastAsia" w:ascii="Times New Roman" w:hAnsi="Times New Roman" w:eastAsia="宋体" w:cs="宋体"/>
                <w:bCs/>
                <w:color w:val="auto"/>
                <w:sz w:val="24"/>
                <w:szCs w:val="24"/>
                <w:highlight w:val="none"/>
                <w:lang w:val="en-US" w:eastAsia="zh-CN"/>
              </w:rPr>
              <w:t>正</w:t>
            </w:r>
            <w:r>
              <w:rPr>
                <w:rFonts w:hint="eastAsia" w:ascii="Times New Roman" w:hAnsi="Times New Roman" w:eastAsia="宋体" w:cs="宋体"/>
                <w:bCs/>
                <w:color w:val="auto"/>
                <w:sz w:val="24"/>
                <w:szCs w:val="24"/>
                <w:highlight w:val="none"/>
              </w:rPr>
              <w:t>偏离一条</w:t>
            </w:r>
            <w:r>
              <w:rPr>
                <w:rFonts w:hint="eastAsia" w:ascii="Times New Roman" w:hAnsi="Times New Roman" w:eastAsia="宋体" w:cs="宋体"/>
                <w:bCs/>
                <w:color w:val="auto"/>
                <w:sz w:val="24"/>
                <w:szCs w:val="24"/>
                <w:highlight w:val="none"/>
                <w:lang w:val="en-US" w:eastAsia="zh-CN"/>
              </w:rPr>
              <w:t>加</w:t>
            </w:r>
            <w:r>
              <w:rPr>
                <w:rFonts w:hint="eastAsia" w:ascii="Times New Roman" w:hAnsi="Times New Roman" w:eastAsia="宋体" w:cs="宋体"/>
                <w:bCs/>
                <w:color w:val="auto"/>
                <w:sz w:val="24"/>
                <w:szCs w:val="24"/>
                <w:highlight w:val="none"/>
              </w:rPr>
              <w:t>0.</w:t>
            </w:r>
            <w:r>
              <w:rPr>
                <w:rFonts w:hint="eastAsia" w:ascii="Times New Roman" w:hAnsi="Times New Roman"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rPr>
              <w:t>分</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lang w:val="en-US" w:eastAsia="zh-CN"/>
              </w:rPr>
              <w:t>最多加</w:t>
            </w:r>
            <w:r>
              <w:rPr>
                <w:rFonts w:hint="eastAsia" w:ascii="Times New Roman" w:hAnsi="Times New Roman" w:cs="宋体"/>
                <w:bCs/>
                <w:color w:val="auto"/>
                <w:sz w:val="24"/>
                <w:szCs w:val="24"/>
                <w:highlight w:val="none"/>
                <w:lang w:val="en-US" w:eastAsia="zh-CN"/>
              </w:rPr>
              <w:t>2.4</w:t>
            </w:r>
            <w:r>
              <w:rPr>
                <w:rFonts w:hint="eastAsia" w:ascii="Times New Roman" w:hAnsi="Times New Roman" w:eastAsia="宋体" w:cs="宋体"/>
                <w:bCs/>
                <w:color w:val="auto"/>
                <w:sz w:val="24"/>
                <w:szCs w:val="24"/>
                <w:highlight w:val="none"/>
                <w:lang w:val="en-US" w:eastAsia="zh-CN"/>
              </w:rPr>
              <w:t>分。</w:t>
            </w:r>
          </w:p>
          <w:p w14:paraId="1B44AF58">
            <w:pPr>
              <w:widowControl/>
              <w:spacing w:line="360" w:lineRule="exact"/>
              <w:rPr>
                <w:rFonts w:hint="eastAsia" w:asciiTheme="minorEastAsia" w:hAnsiTheme="minorEastAsia" w:eastAsiaTheme="minorEastAsia" w:cstheme="minorEastAsia"/>
                <w:color w:val="auto"/>
                <w:kern w:val="0"/>
                <w:sz w:val="24"/>
                <w:szCs w:val="24"/>
                <w:highlight w:val="none"/>
              </w:rPr>
            </w:pPr>
            <w:r>
              <w:rPr>
                <w:rFonts w:hint="eastAsia" w:ascii="Times New Roman" w:hAnsi="Times New Roman" w:eastAsia="宋体" w:cs="宋体"/>
                <w:b/>
                <w:bCs w:val="0"/>
                <w:color w:val="auto"/>
                <w:sz w:val="24"/>
                <w:szCs w:val="24"/>
                <w:highlight w:val="none"/>
              </w:rPr>
              <w:t>注：</w:t>
            </w:r>
            <w:r>
              <w:rPr>
                <w:rFonts w:hint="eastAsia" w:ascii="Times New Roman" w:hAnsi="Times New Roman" w:cs="宋体"/>
                <w:b/>
                <w:bCs w:val="0"/>
                <w:color w:val="auto"/>
                <w:sz w:val="24"/>
                <w:szCs w:val="24"/>
                <w:highlight w:val="none"/>
                <w:lang w:eastAsia="zh-CN"/>
              </w:rPr>
              <w:t>以符号“</w:t>
            </w: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imes New Roman" w:hAnsi="Times New Roman" w:cs="宋体"/>
                <w:b/>
                <w:bCs w:val="0"/>
                <w:color w:val="auto"/>
                <w:sz w:val="24"/>
                <w:szCs w:val="24"/>
                <w:highlight w:val="none"/>
                <w:lang w:eastAsia="zh-CN"/>
              </w:rPr>
              <w:t>”为例作为一条参数</w:t>
            </w:r>
            <w:r>
              <w:rPr>
                <w:rFonts w:hint="eastAsia" w:ascii="Times New Roman" w:hAnsi="Times New Roman" w:cs="宋体"/>
                <w:bCs/>
                <w:color w:val="auto"/>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加“★”的核心参数需要在投标文件中提供本次投标产品同型号或同系列设备的使用说明、校准/检定证书、检测报告（可以三选一）等证明材料，未提供将视为负偏离。</w:t>
            </w:r>
          </w:p>
          <w:p w14:paraId="6F5C30ED">
            <w:pPr>
              <w:widowControl/>
              <w:spacing w:line="36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技术需求参数中明确需提供检测报告或产品彩页或官网截图或软件截图作为证明材料的，未提供将视为负偏离。</w:t>
            </w:r>
          </w:p>
        </w:tc>
        <w:tc>
          <w:tcPr>
            <w:tcW w:w="805" w:type="dxa"/>
            <w:vAlign w:val="center"/>
          </w:tcPr>
          <w:p w14:paraId="69EF2913">
            <w:pPr>
              <w:widowControl/>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0-42</w:t>
            </w:r>
          </w:p>
        </w:tc>
        <w:tc>
          <w:tcPr>
            <w:tcW w:w="805" w:type="dxa"/>
            <w:vAlign w:val="center"/>
          </w:tcPr>
          <w:p w14:paraId="7A8F6BCF">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imes New Roman" w:hAnsi="Times New Roman" w:eastAsia="宋体" w:cs="宋体"/>
                <w:b/>
                <w:bCs/>
                <w:color w:val="auto"/>
                <w:szCs w:val="21"/>
                <w:highlight w:val="none"/>
              </w:rPr>
              <w:t>客观分</w:t>
            </w:r>
          </w:p>
        </w:tc>
      </w:tr>
      <w:tr w14:paraId="4216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9" w:type="dxa"/>
            <w:vAlign w:val="center"/>
          </w:tcPr>
          <w:p w14:paraId="68EE161C">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w:t>
            </w:r>
          </w:p>
        </w:tc>
        <w:tc>
          <w:tcPr>
            <w:tcW w:w="1318" w:type="dxa"/>
            <w:vAlign w:val="center"/>
          </w:tcPr>
          <w:p w14:paraId="10384329">
            <w:pPr>
              <w:spacing w:line="36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类似</w:t>
            </w:r>
            <w:r>
              <w:rPr>
                <w:rFonts w:hint="eastAsia" w:asciiTheme="minorEastAsia" w:hAnsiTheme="minorEastAsia" w:eastAsiaTheme="minorEastAsia" w:cstheme="minorEastAsia"/>
                <w:b/>
                <w:bCs/>
                <w:color w:val="auto"/>
                <w:sz w:val="24"/>
                <w:szCs w:val="24"/>
                <w:highlight w:val="none"/>
              </w:rPr>
              <w:t>设备销售业绩</w:t>
            </w:r>
          </w:p>
        </w:tc>
        <w:tc>
          <w:tcPr>
            <w:tcW w:w="7154" w:type="dxa"/>
            <w:vAlign w:val="center"/>
          </w:tcPr>
          <w:p w14:paraId="7191F802">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投标人202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年1月1日（以合同签订时间为准）至今，每提供一</w:t>
            </w:r>
            <w:r>
              <w:rPr>
                <w:rFonts w:hint="eastAsia" w:asciiTheme="minorEastAsia" w:hAnsiTheme="minorEastAsia" w:eastAsiaTheme="minorEastAsia" w:cstheme="minorEastAsia"/>
                <w:bCs/>
                <w:color w:val="auto"/>
                <w:sz w:val="24"/>
                <w:szCs w:val="24"/>
                <w:highlight w:val="none"/>
                <w:lang w:val="en-US" w:eastAsia="zh-CN"/>
              </w:rPr>
              <w:t>份</w:t>
            </w:r>
            <w:r>
              <w:rPr>
                <w:rFonts w:hint="eastAsia" w:asciiTheme="minorEastAsia" w:hAnsiTheme="minorEastAsia" w:eastAsiaTheme="minorEastAsia" w:cstheme="minorEastAsia"/>
                <w:bCs/>
                <w:color w:val="auto"/>
                <w:sz w:val="24"/>
                <w:szCs w:val="24"/>
                <w:highlight w:val="none"/>
              </w:rPr>
              <w:t>与本次投标产品</w:t>
            </w:r>
            <w:r>
              <w:rPr>
                <w:rFonts w:hint="eastAsia" w:asciiTheme="minorEastAsia" w:hAnsiTheme="minorEastAsia" w:eastAsiaTheme="minorEastAsia" w:cstheme="minorEastAsia"/>
                <w:bCs/>
                <w:color w:val="auto"/>
                <w:sz w:val="24"/>
                <w:szCs w:val="24"/>
                <w:highlight w:val="none"/>
                <w:lang w:val="en-US" w:eastAsia="zh-CN"/>
              </w:rPr>
              <w:t>类似设备</w:t>
            </w:r>
            <w:r>
              <w:rPr>
                <w:rFonts w:hint="eastAsia" w:asciiTheme="minorEastAsia" w:hAnsiTheme="minorEastAsia" w:eastAsiaTheme="minorEastAsia" w:cstheme="minorEastAsia"/>
                <w:bCs/>
                <w:color w:val="auto"/>
                <w:sz w:val="24"/>
                <w:szCs w:val="24"/>
                <w:highlight w:val="none"/>
              </w:rPr>
              <w:t>销售业绩合同得1分，满分</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w:t>
            </w:r>
          </w:p>
          <w:p w14:paraId="499F1625">
            <w:pPr>
              <w:keepNext w:val="0"/>
              <w:keepLines w:val="0"/>
              <w:pageBreakBefore w:val="0"/>
              <w:kinsoku/>
              <w:wordWrap/>
              <w:overflowPunct/>
              <w:topLinePunct w:val="0"/>
              <w:autoSpaceDE/>
              <w:autoSpaceDN/>
              <w:bidi w:val="0"/>
              <w:snapToGrid/>
              <w:spacing w:line="34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注：须同时</w:t>
            </w:r>
            <w:r>
              <w:rPr>
                <w:rFonts w:hint="eastAsia" w:asciiTheme="minorEastAsia" w:hAnsiTheme="minorEastAsia" w:eastAsiaTheme="minorEastAsia" w:cstheme="minorEastAsia"/>
                <w:b/>
                <w:bCs w:val="0"/>
                <w:color w:val="auto"/>
                <w:sz w:val="24"/>
                <w:szCs w:val="24"/>
                <w:highlight w:val="none"/>
              </w:rPr>
              <w:t>提供合同扫描件</w:t>
            </w:r>
            <w:r>
              <w:rPr>
                <w:rFonts w:hint="eastAsia" w:asciiTheme="minorEastAsia" w:hAnsiTheme="minorEastAsia" w:eastAsiaTheme="minorEastAsia" w:cstheme="minorEastAsia"/>
                <w:b/>
                <w:bCs w:val="0"/>
                <w:color w:val="auto"/>
                <w:sz w:val="24"/>
                <w:szCs w:val="24"/>
                <w:highlight w:val="none"/>
                <w:lang w:val="en-US" w:eastAsia="zh-CN"/>
              </w:rPr>
              <w:t>及与该合同业主方之间往来合同款项的发票扫描件，以上资料</w:t>
            </w:r>
            <w:r>
              <w:rPr>
                <w:rFonts w:hint="eastAsia" w:asciiTheme="minorEastAsia" w:hAnsiTheme="minorEastAsia" w:eastAsiaTheme="minorEastAsia" w:cstheme="minorEastAsia"/>
                <w:b/>
                <w:bCs w:val="0"/>
                <w:color w:val="auto"/>
                <w:sz w:val="24"/>
                <w:szCs w:val="24"/>
                <w:highlight w:val="none"/>
              </w:rPr>
              <w:t>加盖供应商公章，</w:t>
            </w:r>
            <w:r>
              <w:rPr>
                <w:rFonts w:hint="eastAsia" w:asciiTheme="minorEastAsia" w:hAnsiTheme="minorEastAsia" w:eastAsiaTheme="minorEastAsia" w:cstheme="minorEastAsia"/>
                <w:b/>
                <w:bCs w:val="0"/>
                <w:color w:val="auto"/>
                <w:sz w:val="24"/>
                <w:szCs w:val="24"/>
                <w:highlight w:val="none"/>
                <w:lang w:val="en-US" w:eastAsia="zh-CN"/>
              </w:rPr>
              <w:t>未提供或缺项不得分。</w:t>
            </w:r>
          </w:p>
        </w:tc>
        <w:tc>
          <w:tcPr>
            <w:tcW w:w="805" w:type="dxa"/>
            <w:vAlign w:val="center"/>
          </w:tcPr>
          <w:p w14:paraId="63C4F5B5">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0-3</w:t>
            </w:r>
          </w:p>
        </w:tc>
        <w:tc>
          <w:tcPr>
            <w:tcW w:w="805" w:type="dxa"/>
            <w:vAlign w:val="center"/>
          </w:tcPr>
          <w:p w14:paraId="2200B7DB">
            <w:pPr>
              <w:adjustRightInd w:val="0"/>
              <w:spacing w:after="100" w:afterAutospacing="1" w:line="360" w:lineRule="exact"/>
              <w:jc w:val="center"/>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客观分</w:t>
            </w:r>
          </w:p>
        </w:tc>
      </w:tr>
      <w:tr w14:paraId="53DC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99" w:type="dxa"/>
            <w:vMerge w:val="restart"/>
            <w:vAlign w:val="center"/>
          </w:tcPr>
          <w:p w14:paraId="4B618A22">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w:t>
            </w:r>
          </w:p>
        </w:tc>
        <w:tc>
          <w:tcPr>
            <w:tcW w:w="1318" w:type="dxa"/>
            <w:vMerge w:val="restart"/>
            <w:vAlign w:val="center"/>
          </w:tcPr>
          <w:p w14:paraId="478504B5">
            <w:pPr>
              <w:spacing w:line="36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供货方案</w:t>
            </w:r>
          </w:p>
        </w:tc>
        <w:tc>
          <w:tcPr>
            <w:tcW w:w="7154" w:type="dxa"/>
            <w:vAlign w:val="center"/>
          </w:tcPr>
          <w:p w14:paraId="29132294">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交货时间：</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文件规定的</w:t>
            </w:r>
            <w:r>
              <w:rPr>
                <w:rFonts w:hint="eastAsia" w:asciiTheme="minorEastAsia" w:hAnsiTheme="minorEastAsia" w:eastAsiaTheme="minorEastAsia" w:cstheme="minorEastAsia"/>
                <w:color w:val="auto"/>
                <w:sz w:val="24"/>
                <w:szCs w:val="24"/>
                <w:highlight w:val="none"/>
                <w:lang w:val="en-US" w:eastAsia="zh-CN"/>
              </w:rPr>
              <w:t>交货期</w:t>
            </w:r>
            <w:r>
              <w:rPr>
                <w:rFonts w:hint="eastAsia" w:asciiTheme="minorEastAsia" w:hAnsiTheme="minorEastAsia" w:eastAsiaTheme="minorEastAsia" w:cstheme="minorEastAsia"/>
                <w:color w:val="auto"/>
                <w:sz w:val="24"/>
                <w:szCs w:val="24"/>
                <w:highlight w:val="none"/>
              </w:rPr>
              <w:t>每</w:t>
            </w:r>
            <w:r>
              <w:rPr>
                <w:rFonts w:hint="eastAsia" w:asciiTheme="minorEastAsia" w:hAnsiTheme="minorEastAsia" w:eastAsiaTheme="minorEastAsia" w:cstheme="minorEastAsia"/>
                <w:color w:val="auto"/>
                <w:sz w:val="24"/>
                <w:szCs w:val="24"/>
                <w:highlight w:val="none"/>
                <w:lang w:val="en-US" w:eastAsia="zh-CN"/>
              </w:rPr>
              <w:t>提前4天（不足四天不计分）</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c>
          <w:tcPr>
            <w:tcW w:w="805" w:type="dxa"/>
            <w:vAlign w:val="center"/>
          </w:tcPr>
          <w:p w14:paraId="4A070C66">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0-3</w:t>
            </w:r>
          </w:p>
        </w:tc>
        <w:tc>
          <w:tcPr>
            <w:tcW w:w="805" w:type="dxa"/>
            <w:vAlign w:val="center"/>
          </w:tcPr>
          <w:p w14:paraId="5938C82D">
            <w:pPr>
              <w:adjustRightInd w:val="0"/>
              <w:spacing w:after="100" w:afterAutospacing="1" w:line="360" w:lineRule="exact"/>
              <w:jc w:val="center"/>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客观分</w:t>
            </w:r>
          </w:p>
        </w:tc>
      </w:tr>
      <w:tr w14:paraId="260C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9" w:type="dxa"/>
            <w:vMerge w:val="continue"/>
            <w:vAlign w:val="center"/>
          </w:tcPr>
          <w:p w14:paraId="34F6BFDD">
            <w:pPr>
              <w:spacing w:line="360" w:lineRule="exact"/>
              <w:jc w:val="center"/>
              <w:rPr>
                <w:rFonts w:hint="default" w:asciiTheme="minorEastAsia" w:hAnsiTheme="minorEastAsia" w:eastAsiaTheme="minorEastAsia" w:cstheme="minorEastAsia"/>
                <w:b/>
                <w:bCs/>
                <w:color w:val="auto"/>
                <w:sz w:val="24"/>
                <w:szCs w:val="24"/>
                <w:highlight w:val="none"/>
                <w:lang w:val="en-US" w:eastAsia="zh-CN"/>
              </w:rPr>
            </w:pPr>
          </w:p>
        </w:tc>
        <w:tc>
          <w:tcPr>
            <w:tcW w:w="1318" w:type="dxa"/>
            <w:vMerge w:val="continue"/>
            <w:vAlign w:val="center"/>
          </w:tcPr>
          <w:p w14:paraId="54A4942B">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54" w:type="dxa"/>
            <w:vAlign w:val="center"/>
          </w:tcPr>
          <w:p w14:paraId="0A0C1B1A">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根据投标人提供的</w:t>
            </w:r>
            <w:r>
              <w:rPr>
                <w:rFonts w:hint="eastAsia" w:asciiTheme="minorEastAsia" w:hAnsiTheme="minorEastAsia" w:eastAsiaTheme="minorEastAsia" w:cstheme="minorEastAsia"/>
                <w:bCs/>
                <w:color w:val="auto"/>
                <w:kern w:val="0"/>
                <w:sz w:val="24"/>
                <w:szCs w:val="24"/>
                <w:highlight w:val="none"/>
              </w:rPr>
              <w:t>供货方案，内容包含但不限于以下要点：交货方式是否切合实际、供货保障流程是否合理、供货实施步骤是否清晰。评委根据内容进行评议：</w:t>
            </w:r>
          </w:p>
          <w:p w14:paraId="153A8CF6">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①交货期</w:t>
            </w:r>
            <w:r>
              <w:rPr>
                <w:rFonts w:hint="eastAsia" w:asciiTheme="minorEastAsia" w:hAnsiTheme="minorEastAsia" w:eastAsiaTheme="minorEastAsia" w:cstheme="minorEastAsia"/>
                <w:bCs/>
                <w:color w:val="auto"/>
                <w:kern w:val="0"/>
                <w:sz w:val="24"/>
                <w:szCs w:val="24"/>
                <w:highlight w:val="none"/>
                <w:lang w:val="en-US" w:eastAsia="zh-CN"/>
              </w:rPr>
              <w:t>限</w:t>
            </w:r>
            <w:r>
              <w:rPr>
                <w:rFonts w:hint="eastAsia" w:asciiTheme="minorEastAsia" w:hAnsiTheme="minorEastAsia" w:eastAsiaTheme="minorEastAsia" w:cstheme="minorEastAsia"/>
                <w:bCs/>
                <w:color w:val="auto"/>
                <w:kern w:val="0"/>
                <w:sz w:val="24"/>
                <w:szCs w:val="24"/>
                <w:highlight w:val="none"/>
              </w:rPr>
              <w:t>满足</w:t>
            </w:r>
            <w:r>
              <w:rPr>
                <w:rFonts w:hint="eastAsia" w:asciiTheme="minorEastAsia" w:hAnsiTheme="minorEastAsia" w:eastAsiaTheme="minorEastAsia" w:cstheme="minorEastAsia"/>
                <w:bCs/>
                <w:color w:val="auto"/>
                <w:kern w:val="0"/>
                <w:sz w:val="24"/>
                <w:szCs w:val="24"/>
                <w:highlight w:val="none"/>
                <w:lang w:eastAsia="zh-CN"/>
              </w:rPr>
              <w:t>采购文件</w:t>
            </w:r>
            <w:r>
              <w:rPr>
                <w:rFonts w:hint="eastAsia" w:asciiTheme="minorEastAsia" w:hAnsiTheme="minorEastAsia" w:eastAsiaTheme="minorEastAsia" w:cstheme="minorEastAsia"/>
                <w:bCs/>
                <w:color w:val="auto"/>
                <w:kern w:val="0"/>
                <w:sz w:val="24"/>
                <w:szCs w:val="24"/>
                <w:highlight w:val="none"/>
              </w:rPr>
              <w:t>要求、交货方式切合实际需求、供货保障流程设计合理、供货实施步骤清晰，能确保供货的得</w:t>
            </w:r>
            <w:r>
              <w:rPr>
                <w:rFonts w:hint="eastAsia" w:asciiTheme="minorEastAsia" w:hAnsiTheme="minorEastAsia" w:eastAsiaTheme="minorEastAsia" w:cstheme="minorEastAsia"/>
                <w:bCs/>
                <w:color w:val="auto"/>
                <w:kern w:val="0"/>
                <w:sz w:val="24"/>
                <w:szCs w:val="24"/>
                <w:highlight w:val="none"/>
                <w:lang w:val="en-US" w:eastAsia="zh-CN"/>
              </w:rPr>
              <w:t>3</w:t>
            </w:r>
            <w:r>
              <w:rPr>
                <w:rFonts w:hint="eastAsia" w:asciiTheme="minorEastAsia" w:hAnsiTheme="minorEastAsia" w:eastAsiaTheme="minorEastAsia" w:cstheme="minorEastAsia"/>
                <w:bCs/>
                <w:color w:val="auto"/>
                <w:kern w:val="0"/>
                <w:sz w:val="24"/>
                <w:szCs w:val="24"/>
                <w:highlight w:val="none"/>
              </w:rPr>
              <w:t>分；</w:t>
            </w:r>
          </w:p>
          <w:p w14:paraId="53476B15">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②交货期限满足</w:t>
            </w:r>
            <w:r>
              <w:rPr>
                <w:rFonts w:hint="eastAsia" w:asciiTheme="minorEastAsia" w:hAnsiTheme="minorEastAsia" w:eastAsiaTheme="minorEastAsia" w:cstheme="minorEastAsia"/>
                <w:bCs/>
                <w:color w:val="auto"/>
                <w:kern w:val="0"/>
                <w:sz w:val="24"/>
                <w:szCs w:val="24"/>
                <w:highlight w:val="none"/>
                <w:lang w:eastAsia="zh-CN"/>
              </w:rPr>
              <w:t>采购文件</w:t>
            </w:r>
            <w:r>
              <w:rPr>
                <w:rFonts w:hint="eastAsia" w:asciiTheme="minorEastAsia" w:hAnsiTheme="minorEastAsia" w:eastAsiaTheme="minorEastAsia" w:cstheme="minorEastAsia"/>
                <w:bCs/>
                <w:color w:val="auto"/>
                <w:kern w:val="0"/>
                <w:sz w:val="24"/>
                <w:szCs w:val="24"/>
                <w:highlight w:val="none"/>
              </w:rPr>
              <w:t>要求、但交货方式有缺漏、部分细节有待补充，基本能确保供货的得</w:t>
            </w:r>
            <w:r>
              <w:rPr>
                <w:rFonts w:hint="eastAsia" w:asciiTheme="minorEastAsia" w:hAnsiTheme="minorEastAsia" w:eastAsiaTheme="minorEastAsia" w:cstheme="minorEastAsia"/>
                <w:bCs/>
                <w:color w:val="auto"/>
                <w:kern w:val="0"/>
                <w:sz w:val="24"/>
                <w:szCs w:val="24"/>
                <w:highlight w:val="none"/>
                <w:lang w:val="en-US" w:eastAsia="zh-CN"/>
              </w:rPr>
              <w:t>2</w:t>
            </w:r>
            <w:r>
              <w:rPr>
                <w:rFonts w:hint="eastAsia" w:asciiTheme="minorEastAsia" w:hAnsiTheme="minorEastAsia" w:eastAsiaTheme="minorEastAsia" w:cstheme="minorEastAsia"/>
                <w:bCs/>
                <w:color w:val="auto"/>
                <w:kern w:val="0"/>
                <w:sz w:val="24"/>
                <w:szCs w:val="24"/>
                <w:highlight w:val="none"/>
              </w:rPr>
              <w:t>分；</w:t>
            </w:r>
          </w:p>
          <w:p w14:paraId="50B1EA85">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③交货期限满足</w:t>
            </w:r>
            <w:r>
              <w:rPr>
                <w:rFonts w:hint="eastAsia" w:asciiTheme="minorEastAsia" w:hAnsiTheme="minorEastAsia" w:eastAsiaTheme="minorEastAsia" w:cstheme="minorEastAsia"/>
                <w:bCs/>
                <w:color w:val="auto"/>
                <w:kern w:val="0"/>
                <w:sz w:val="24"/>
                <w:szCs w:val="24"/>
                <w:highlight w:val="none"/>
                <w:lang w:eastAsia="zh-CN"/>
              </w:rPr>
              <w:t>采购文件</w:t>
            </w:r>
            <w:r>
              <w:rPr>
                <w:rFonts w:hint="eastAsia" w:asciiTheme="minorEastAsia" w:hAnsiTheme="minorEastAsia" w:eastAsiaTheme="minorEastAsia" w:cstheme="minorEastAsia"/>
                <w:bCs/>
                <w:color w:val="auto"/>
                <w:kern w:val="0"/>
                <w:sz w:val="24"/>
                <w:szCs w:val="24"/>
                <w:highlight w:val="none"/>
              </w:rPr>
              <w:t>要求，供货方案不完整，实际操作存在延迟交货风险的得</w:t>
            </w:r>
            <w:r>
              <w:rPr>
                <w:rFonts w:hint="eastAsia" w:asciiTheme="minorEastAsia" w:hAnsiTheme="minorEastAsia" w:eastAsiaTheme="minorEastAsia" w:cstheme="minorEastAsia"/>
                <w:bCs/>
                <w:color w:val="auto"/>
                <w:kern w:val="0"/>
                <w:sz w:val="24"/>
                <w:szCs w:val="24"/>
                <w:highlight w:val="none"/>
                <w:lang w:val="en-US" w:eastAsia="zh-CN"/>
              </w:rPr>
              <w:t>1</w:t>
            </w:r>
            <w:r>
              <w:rPr>
                <w:rFonts w:hint="eastAsia" w:asciiTheme="minorEastAsia" w:hAnsiTheme="minorEastAsia" w:eastAsiaTheme="minorEastAsia" w:cstheme="minorEastAsia"/>
                <w:bCs/>
                <w:color w:val="auto"/>
                <w:kern w:val="0"/>
                <w:sz w:val="24"/>
                <w:szCs w:val="24"/>
                <w:highlight w:val="none"/>
              </w:rPr>
              <w:t>分；</w:t>
            </w:r>
          </w:p>
          <w:p w14:paraId="52337C47">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④</w:t>
            </w:r>
            <w:r>
              <w:rPr>
                <w:rFonts w:hint="eastAsia" w:asciiTheme="minorEastAsia" w:hAnsiTheme="minorEastAsia" w:eastAsiaTheme="minorEastAsia" w:cstheme="minorEastAsia"/>
                <w:bCs/>
                <w:color w:val="auto"/>
                <w:sz w:val="24"/>
                <w:szCs w:val="24"/>
                <w:highlight w:val="none"/>
              </w:rPr>
              <w:t>未提供相应内容的不得分。</w:t>
            </w:r>
          </w:p>
        </w:tc>
        <w:tc>
          <w:tcPr>
            <w:tcW w:w="805" w:type="dxa"/>
            <w:vAlign w:val="center"/>
          </w:tcPr>
          <w:p w14:paraId="444A6778">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0-3</w:t>
            </w:r>
          </w:p>
        </w:tc>
        <w:tc>
          <w:tcPr>
            <w:tcW w:w="805" w:type="dxa"/>
            <w:vAlign w:val="center"/>
          </w:tcPr>
          <w:p w14:paraId="6145F88E">
            <w:pPr>
              <w:adjustRightInd w:val="0"/>
              <w:spacing w:after="100" w:afterAutospacing="1" w:line="360" w:lineRule="exact"/>
              <w:jc w:val="center"/>
              <w:rPr>
                <w:rFonts w:hint="default" w:ascii="宋体" w:hAnsi="宋体" w:cs="宋体"/>
                <w:color w:val="auto"/>
                <w:sz w:val="24"/>
                <w:szCs w:val="24"/>
                <w:highlight w:val="none"/>
                <w:lang w:val="en-US" w:eastAsia="zh-CN"/>
              </w:rPr>
            </w:pPr>
            <w:r>
              <w:rPr>
                <w:rFonts w:hint="eastAsia" w:ascii="Times New Roman" w:hAnsi="Times New Roman" w:eastAsia="宋体" w:cs="宋体"/>
                <w:b/>
                <w:bCs/>
                <w:color w:val="auto"/>
                <w:szCs w:val="21"/>
                <w:highlight w:val="none"/>
                <w:lang w:val="en-US" w:eastAsia="zh-CN"/>
              </w:rPr>
              <w:t>主观分</w:t>
            </w:r>
          </w:p>
        </w:tc>
      </w:tr>
      <w:tr w14:paraId="58D8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9" w:type="dxa"/>
            <w:vAlign w:val="center"/>
          </w:tcPr>
          <w:p w14:paraId="37028CE7">
            <w:pPr>
              <w:spacing w:line="360" w:lineRule="exact"/>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w:t>
            </w:r>
          </w:p>
        </w:tc>
        <w:tc>
          <w:tcPr>
            <w:tcW w:w="1318" w:type="dxa"/>
            <w:vAlign w:val="center"/>
          </w:tcPr>
          <w:p w14:paraId="4EBDDD10">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安装调试方案</w:t>
            </w:r>
          </w:p>
        </w:tc>
        <w:tc>
          <w:tcPr>
            <w:tcW w:w="7154" w:type="dxa"/>
            <w:vAlign w:val="center"/>
          </w:tcPr>
          <w:p w14:paraId="42FD4A8E">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根据投标人提供的</w:t>
            </w:r>
            <w:r>
              <w:rPr>
                <w:rFonts w:hint="eastAsia" w:asciiTheme="minorEastAsia" w:hAnsiTheme="minorEastAsia" w:eastAsiaTheme="minorEastAsia" w:cstheme="minorEastAsia"/>
                <w:bCs/>
                <w:color w:val="auto"/>
                <w:kern w:val="0"/>
                <w:sz w:val="24"/>
                <w:szCs w:val="24"/>
                <w:highlight w:val="none"/>
              </w:rPr>
              <w:t>安装调试方案，内容包含但不限于以下要点：安装方法、安装人员配置、调试方法、开箱调试方式。评委根据内容进行评议：</w:t>
            </w:r>
          </w:p>
          <w:p w14:paraId="6AAEACF6">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①安装调试方案</w:t>
            </w:r>
            <w:r>
              <w:rPr>
                <w:rFonts w:hint="eastAsia" w:asciiTheme="minorEastAsia" w:hAnsiTheme="minorEastAsia" w:eastAsiaTheme="minorEastAsia" w:cstheme="minorEastAsia"/>
                <w:bCs/>
                <w:color w:val="auto"/>
                <w:sz w:val="24"/>
                <w:szCs w:val="24"/>
                <w:highlight w:val="none"/>
                <w:lang w:val="en-US" w:eastAsia="zh-CN"/>
              </w:rPr>
              <w:t>完整，</w:t>
            </w:r>
            <w:r>
              <w:rPr>
                <w:rFonts w:hint="eastAsia" w:asciiTheme="minorEastAsia" w:hAnsiTheme="minorEastAsia" w:eastAsiaTheme="minorEastAsia" w:cstheme="minorEastAsia"/>
                <w:bCs/>
                <w:color w:val="auto"/>
                <w:sz w:val="24"/>
                <w:szCs w:val="24"/>
                <w:highlight w:val="none"/>
              </w:rPr>
              <w:t>安装方法得当、安装人员配置贴合实际需求、调试方法科学明确、开箱调试方式科学，能确保产品正常安装并通过验收的得</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w:t>
            </w:r>
          </w:p>
          <w:p w14:paraId="0FC66F21">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②安装调试方案中涉及安装方法、安装人员配置、调试方法、开箱调试方式，但内容笼统细节不完善的得</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分；</w:t>
            </w:r>
          </w:p>
          <w:p w14:paraId="16C65E16">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③安装调试方案不完整，实际操作有无法保证产品正常安装风险的得</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分；</w:t>
            </w:r>
          </w:p>
          <w:p w14:paraId="750B8637">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④</w:t>
            </w:r>
            <w:r>
              <w:rPr>
                <w:rFonts w:hint="eastAsia" w:asciiTheme="minorEastAsia" w:hAnsiTheme="minorEastAsia" w:eastAsiaTheme="minorEastAsia" w:cstheme="minorEastAsia"/>
                <w:bCs/>
                <w:color w:val="auto"/>
                <w:sz w:val="24"/>
                <w:szCs w:val="24"/>
                <w:highlight w:val="none"/>
              </w:rPr>
              <w:t>未提供相应内容的不得分。</w:t>
            </w:r>
          </w:p>
        </w:tc>
        <w:tc>
          <w:tcPr>
            <w:tcW w:w="805" w:type="dxa"/>
            <w:vAlign w:val="center"/>
          </w:tcPr>
          <w:p w14:paraId="26D5D385">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0-3</w:t>
            </w:r>
          </w:p>
        </w:tc>
        <w:tc>
          <w:tcPr>
            <w:tcW w:w="805" w:type="dxa"/>
            <w:vAlign w:val="center"/>
          </w:tcPr>
          <w:p w14:paraId="34046AC4">
            <w:pPr>
              <w:keepNext w:val="0"/>
              <w:keepLines w:val="0"/>
              <w:pageBreakBefore w:val="0"/>
              <w:kinsoku/>
              <w:wordWrap/>
              <w:overflowPunct/>
              <w:topLinePunct w:val="0"/>
              <w:autoSpaceDE/>
              <w:autoSpaceDN/>
              <w:bidi w:val="0"/>
              <w:snapToGrid/>
              <w:spacing w:line="340" w:lineRule="exact"/>
              <w:jc w:val="center"/>
              <w:textAlignment w:val="auto"/>
              <w:rPr>
                <w:rFonts w:hint="eastAsia" w:ascii="宋体" w:hAnsi="宋体" w:cs="宋体"/>
                <w:color w:val="auto"/>
                <w:sz w:val="24"/>
                <w:szCs w:val="24"/>
                <w:highlight w:val="none"/>
                <w:lang w:val="en-US" w:eastAsia="zh-CN"/>
              </w:rPr>
            </w:pPr>
            <w:r>
              <w:rPr>
                <w:rFonts w:hint="eastAsia" w:ascii="Times New Roman" w:hAnsi="Times New Roman" w:eastAsia="宋体" w:cs="宋体"/>
                <w:b/>
                <w:bCs/>
                <w:color w:val="auto"/>
                <w:szCs w:val="21"/>
                <w:highlight w:val="none"/>
              </w:rPr>
              <w:t>主观分</w:t>
            </w:r>
          </w:p>
        </w:tc>
      </w:tr>
      <w:tr w14:paraId="01AD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9" w:type="dxa"/>
            <w:vMerge w:val="restart"/>
            <w:vAlign w:val="center"/>
          </w:tcPr>
          <w:p w14:paraId="16EF302C">
            <w:pPr>
              <w:widowControl/>
              <w:spacing w:line="360" w:lineRule="auto"/>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5</w:t>
            </w:r>
          </w:p>
        </w:tc>
        <w:tc>
          <w:tcPr>
            <w:tcW w:w="1318" w:type="dxa"/>
            <w:vMerge w:val="restart"/>
            <w:vAlign w:val="center"/>
          </w:tcPr>
          <w:p w14:paraId="08CB00B8">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售后服务方案</w:t>
            </w:r>
          </w:p>
        </w:tc>
        <w:tc>
          <w:tcPr>
            <w:tcW w:w="7154" w:type="dxa"/>
            <w:vAlign w:val="center"/>
          </w:tcPr>
          <w:p w14:paraId="0902D341">
            <w:pPr>
              <w:spacing w:line="360" w:lineRule="exact"/>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质保期：</w:t>
            </w:r>
            <w:r>
              <w:rPr>
                <w:rFonts w:hint="eastAsia" w:asciiTheme="minorEastAsia" w:hAnsiTheme="minorEastAsia" w:eastAsiaTheme="minorEastAsia" w:cstheme="minorEastAsia"/>
                <w:color w:val="auto"/>
                <w:sz w:val="24"/>
                <w:szCs w:val="24"/>
                <w:highlight w:val="none"/>
              </w:rPr>
              <w:t>超过</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文件规定的质保期每增加</w:t>
            </w:r>
            <w:r>
              <w:rPr>
                <w:rFonts w:hint="eastAsia" w:asciiTheme="minorEastAsia" w:hAnsiTheme="minorEastAsia" w:eastAsiaTheme="minorEastAsia" w:cstheme="minorEastAsia"/>
                <w:color w:val="auto"/>
                <w:sz w:val="24"/>
                <w:szCs w:val="24"/>
                <w:highlight w:val="none"/>
                <w:lang w:val="en-US" w:eastAsia="zh-CN"/>
              </w:rPr>
              <w:t>6个月</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c>
          <w:tcPr>
            <w:tcW w:w="805" w:type="dxa"/>
            <w:vAlign w:val="center"/>
          </w:tcPr>
          <w:p w14:paraId="6A776443">
            <w:pPr>
              <w:adjustRightInd w:val="0"/>
              <w:spacing w:after="100" w:afterAutospacing="1"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0-3</w:t>
            </w:r>
          </w:p>
        </w:tc>
        <w:tc>
          <w:tcPr>
            <w:tcW w:w="805" w:type="dxa"/>
            <w:vAlign w:val="center"/>
          </w:tcPr>
          <w:p w14:paraId="2D90519C">
            <w:pPr>
              <w:adjustRightInd w:val="0"/>
              <w:spacing w:after="100" w:afterAutospacing="1" w:line="360" w:lineRule="exact"/>
              <w:jc w:val="center"/>
              <w:rPr>
                <w:rFonts w:hint="eastAsia" w:ascii="宋体" w:hAnsi="宋体" w:cs="宋体"/>
                <w:color w:val="auto"/>
                <w:sz w:val="24"/>
                <w:szCs w:val="24"/>
                <w:highlight w:val="none"/>
                <w:lang w:val="en-US" w:eastAsia="zh-CN"/>
              </w:rPr>
            </w:pPr>
            <w:r>
              <w:rPr>
                <w:rFonts w:hint="eastAsia" w:ascii="Times New Roman" w:hAnsi="Times New Roman" w:eastAsia="宋体" w:cs="宋体"/>
                <w:b/>
                <w:bCs/>
                <w:color w:val="auto"/>
                <w:szCs w:val="21"/>
                <w:highlight w:val="none"/>
              </w:rPr>
              <w:t>客观分</w:t>
            </w:r>
          </w:p>
        </w:tc>
      </w:tr>
      <w:tr w14:paraId="2F15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9" w:type="dxa"/>
            <w:vMerge w:val="continue"/>
            <w:vAlign w:val="center"/>
          </w:tcPr>
          <w:p w14:paraId="24E9B310">
            <w:pPr>
              <w:widowControl/>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rPr>
            </w:pPr>
          </w:p>
        </w:tc>
        <w:tc>
          <w:tcPr>
            <w:tcW w:w="1318" w:type="dxa"/>
            <w:vMerge w:val="continue"/>
            <w:vAlign w:val="center"/>
          </w:tcPr>
          <w:p w14:paraId="2683F607">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54" w:type="dxa"/>
            <w:vAlign w:val="center"/>
          </w:tcPr>
          <w:p w14:paraId="537D7E43">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根据投标人提供的售后服务方案、应急方案进行评分：</w:t>
            </w:r>
          </w:p>
          <w:p w14:paraId="5A95A9C7">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 承诺提供7×24 小时售后服务，包括邮件、电话、远程维护等方式；</w:t>
            </w:r>
          </w:p>
          <w:p w14:paraId="26E3EACB">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 承诺软硬件在使用过程中遇到的问题/故障、固件/系统升级等问题，软硬件供应商在解决问题过程中双方无条件配合支持，直到问题解决；</w:t>
            </w:r>
          </w:p>
          <w:p w14:paraId="225A9B2E">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③包含针对本项目提供的应急方案；</w:t>
            </w:r>
          </w:p>
          <w:p w14:paraId="493CCDB0">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④包含在服务期间内故障处理的组织和联系机制；</w:t>
            </w:r>
          </w:p>
          <w:p w14:paraId="4F660B6D">
            <w:p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每项满足基本要求的得0.5分，结合项目实际能够提出更合理科学方案的得1分，未提供或不满足不得分，最高得4分。</w:t>
            </w:r>
          </w:p>
        </w:tc>
        <w:tc>
          <w:tcPr>
            <w:tcW w:w="805" w:type="dxa"/>
            <w:vAlign w:val="center"/>
          </w:tcPr>
          <w:p w14:paraId="0D28F68D">
            <w:pPr>
              <w:widowControl/>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0-4</w:t>
            </w:r>
          </w:p>
        </w:tc>
        <w:tc>
          <w:tcPr>
            <w:tcW w:w="805" w:type="dxa"/>
            <w:vAlign w:val="center"/>
          </w:tcPr>
          <w:p w14:paraId="245BC72B">
            <w:pPr>
              <w:widowControl/>
              <w:spacing w:line="300" w:lineRule="exact"/>
              <w:jc w:val="center"/>
              <w:rPr>
                <w:rFonts w:hint="eastAsia" w:ascii="微软雅黑" w:hAnsi="微软雅黑" w:eastAsia="微软雅黑" w:cs="微软雅黑"/>
                <w:color w:val="auto"/>
                <w:sz w:val="21"/>
                <w:szCs w:val="21"/>
                <w:highlight w:val="none"/>
                <w:lang w:val="en-US" w:eastAsia="zh-CN"/>
              </w:rPr>
            </w:pPr>
            <w:r>
              <w:rPr>
                <w:rFonts w:hint="eastAsia" w:ascii="Times New Roman" w:hAnsi="Times New Roman" w:eastAsia="宋体" w:cs="宋体"/>
                <w:b/>
                <w:bCs/>
                <w:color w:val="auto"/>
                <w:szCs w:val="21"/>
                <w:highlight w:val="none"/>
              </w:rPr>
              <w:t>客观分</w:t>
            </w:r>
          </w:p>
        </w:tc>
      </w:tr>
      <w:tr w14:paraId="7671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9" w:type="dxa"/>
            <w:vMerge w:val="continue"/>
            <w:vAlign w:val="center"/>
          </w:tcPr>
          <w:p w14:paraId="28B59995">
            <w:pPr>
              <w:widowControl/>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rPr>
            </w:pPr>
          </w:p>
        </w:tc>
        <w:tc>
          <w:tcPr>
            <w:tcW w:w="1318" w:type="dxa"/>
            <w:vMerge w:val="continue"/>
            <w:vAlign w:val="center"/>
          </w:tcPr>
          <w:p w14:paraId="150FD55E">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54" w:type="dxa"/>
            <w:vAlign w:val="center"/>
          </w:tcPr>
          <w:p w14:paraId="59334E38">
            <w:pPr>
              <w:keepNext w:val="0"/>
              <w:keepLines w:val="0"/>
              <w:pageBreakBefore w:val="0"/>
              <w:tabs>
                <w:tab w:val="left" w:pos="4469"/>
              </w:tabs>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bidi="ar"/>
              </w:rPr>
              <w:t>服务响应时间</w:t>
            </w:r>
            <w:r>
              <w:rPr>
                <w:rFonts w:hint="eastAsia" w:asciiTheme="minorEastAsia" w:hAnsiTheme="minorEastAsia" w:eastAsiaTheme="minorEastAsia" w:cstheme="minorEastAsia"/>
                <w:bCs/>
                <w:color w:val="auto"/>
                <w:sz w:val="24"/>
                <w:szCs w:val="24"/>
                <w:highlight w:val="none"/>
                <w:lang w:val="en-US" w:eastAsia="zh-CN" w:bidi="ar"/>
              </w:rPr>
              <w:t>承诺</w:t>
            </w:r>
            <w:r>
              <w:rPr>
                <w:rFonts w:hint="eastAsia" w:asciiTheme="minorEastAsia" w:hAnsiTheme="minorEastAsia" w:eastAsiaTheme="minorEastAsia" w:cstheme="minorEastAsia"/>
                <w:bCs/>
                <w:color w:val="auto"/>
                <w:sz w:val="24"/>
                <w:szCs w:val="24"/>
                <w:highlight w:val="none"/>
                <w:lang w:val="en-US" w:eastAsia="zh-CN"/>
              </w:rPr>
              <w:t>：</w:t>
            </w:r>
          </w:p>
          <w:p w14:paraId="3CFB9E0A">
            <w:pPr>
              <w:keepNext w:val="0"/>
              <w:keepLines w:val="0"/>
              <w:pageBreakBefore w:val="0"/>
              <w:tabs>
                <w:tab w:val="left" w:pos="4469"/>
              </w:tabs>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rPr>
              <w:t>投标人承诺</w:t>
            </w:r>
            <w:r>
              <w:rPr>
                <w:rFonts w:hint="eastAsia" w:asciiTheme="minorEastAsia" w:hAnsiTheme="minorEastAsia" w:eastAsiaTheme="minorEastAsia" w:cstheme="minorEastAsia"/>
                <w:bCs/>
                <w:color w:val="auto"/>
                <w:sz w:val="24"/>
                <w:szCs w:val="24"/>
                <w:highlight w:val="none"/>
                <w:lang w:bidi="ar"/>
              </w:rPr>
              <w:t>接到采购人通知后能够</w:t>
            </w:r>
            <w:r>
              <w:rPr>
                <w:rFonts w:hint="eastAsia" w:asciiTheme="minorEastAsia" w:hAnsiTheme="minorEastAsia" w:eastAsiaTheme="minorEastAsia" w:cstheme="minorEastAsia"/>
                <w:bCs/>
                <w:color w:val="auto"/>
                <w:sz w:val="24"/>
                <w:szCs w:val="24"/>
                <w:highlight w:val="none"/>
                <w:lang w:val="en-US" w:eastAsia="zh-CN" w:bidi="ar"/>
              </w:rPr>
              <w:t>3小时以</w:t>
            </w:r>
            <w:r>
              <w:rPr>
                <w:rFonts w:hint="eastAsia" w:asciiTheme="minorEastAsia" w:hAnsiTheme="minorEastAsia" w:eastAsiaTheme="minorEastAsia" w:cstheme="minorEastAsia"/>
                <w:bCs/>
                <w:color w:val="auto"/>
                <w:sz w:val="24"/>
                <w:szCs w:val="24"/>
                <w:highlight w:val="none"/>
                <w:lang w:bidi="ar"/>
              </w:rPr>
              <w:t>内响应并到达项目现场</w:t>
            </w:r>
            <w:r>
              <w:rPr>
                <w:rFonts w:hint="eastAsia" w:asciiTheme="minorEastAsia" w:hAnsiTheme="minorEastAsia" w:eastAsiaTheme="minorEastAsia" w:cstheme="minorEastAsia"/>
                <w:bCs/>
                <w:color w:val="auto"/>
                <w:sz w:val="24"/>
                <w:szCs w:val="24"/>
                <w:highlight w:val="none"/>
                <w:lang w:val="en-US" w:eastAsia="zh-CN" w:bidi="ar"/>
              </w:rPr>
              <w:t>的得2分</w:t>
            </w:r>
            <w:r>
              <w:rPr>
                <w:rFonts w:hint="eastAsia" w:asciiTheme="minorEastAsia" w:hAnsiTheme="minorEastAsia" w:eastAsiaTheme="minorEastAsia" w:cstheme="minorEastAsia"/>
                <w:bCs/>
                <w:color w:val="auto"/>
                <w:sz w:val="24"/>
                <w:szCs w:val="24"/>
                <w:highlight w:val="none"/>
                <w:lang w:eastAsia="zh-CN" w:bidi="ar"/>
              </w:rPr>
              <w:t>；</w:t>
            </w:r>
          </w:p>
          <w:p w14:paraId="3860EF1E">
            <w:pPr>
              <w:keepNext w:val="0"/>
              <w:keepLines w:val="0"/>
              <w:pageBreakBefore w:val="0"/>
              <w:tabs>
                <w:tab w:val="left" w:pos="4469"/>
              </w:tabs>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rPr>
              <w:t>投标人承诺</w:t>
            </w:r>
            <w:r>
              <w:rPr>
                <w:rFonts w:hint="eastAsia" w:asciiTheme="minorEastAsia" w:hAnsiTheme="minorEastAsia" w:eastAsiaTheme="minorEastAsia" w:cstheme="minorEastAsia"/>
                <w:bCs/>
                <w:color w:val="auto"/>
                <w:sz w:val="24"/>
                <w:szCs w:val="24"/>
                <w:highlight w:val="none"/>
                <w:lang w:bidi="ar"/>
              </w:rPr>
              <w:t>接到采购人通知后能够</w:t>
            </w:r>
            <w:r>
              <w:rPr>
                <w:rFonts w:hint="eastAsia" w:asciiTheme="minorEastAsia" w:hAnsiTheme="minorEastAsia" w:eastAsiaTheme="minorEastAsia" w:cstheme="minorEastAsia"/>
                <w:bCs/>
                <w:color w:val="auto"/>
                <w:sz w:val="24"/>
                <w:szCs w:val="24"/>
                <w:highlight w:val="none"/>
                <w:lang w:val="en-US" w:eastAsia="zh-CN" w:bidi="ar"/>
              </w:rPr>
              <w:t>6个小时</w:t>
            </w:r>
            <w:r>
              <w:rPr>
                <w:rFonts w:hint="eastAsia" w:asciiTheme="minorEastAsia" w:hAnsiTheme="minorEastAsia" w:eastAsiaTheme="minorEastAsia" w:cstheme="minorEastAsia"/>
                <w:bCs/>
                <w:color w:val="auto"/>
                <w:sz w:val="24"/>
                <w:szCs w:val="24"/>
                <w:highlight w:val="none"/>
                <w:lang w:bidi="ar"/>
              </w:rPr>
              <w:t>内响应并到达项目现场</w:t>
            </w:r>
            <w:r>
              <w:rPr>
                <w:rFonts w:hint="eastAsia" w:asciiTheme="minorEastAsia" w:hAnsiTheme="minorEastAsia" w:eastAsiaTheme="minorEastAsia" w:cstheme="minorEastAsia"/>
                <w:bCs/>
                <w:color w:val="auto"/>
                <w:sz w:val="24"/>
                <w:szCs w:val="24"/>
                <w:highlight w:val="none"/>
                <w:lang w:val="en-US" w:eastAsia="zh-CN" w:bidi="ar"/>
              </w:rPr>
              <w:t>的得1分</w:t>
            </w:r>
            <w:r>
              <w:rPr>
                <w:rFonts w:hint="eastAsia" w:asciiTheme="minorEastAsia" w:hAnsiTheme="minorEastAsia" w:eastAsiaTheme="minorEastAsia" w:cstheme="minorEastAsia"/>
                <w:bCs/>
                <w:color w:val="auto"/>
                <w:sz w:val="24"/>
                <w:szCs w:val="24"/>
                <w:highlight w:val="none"/>
                <w:lang w:bidi="ar"/>
              </w:rPr>
              <w:t>；</w:t>
            </w:r>
          </w:p>
          <w:p w14:paraId="014E9C17">
            <w:pPr>
              <w:keepNext w:val="0"/>
              <w:keepLines w:val="0"/>
              <w:pageBreakBefore w:val="0"/>
              <w:tabs>
                <w:tab w:val="left" w:pos="4469"/>
              </w:tabs>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rPr>
              <w:t>投标人承诺</w:t>
            </w:r>
            <w:r>
              <w:rPr>
                <w:rFonts w:hint="eastAsia" w:asciiTheme="minorEastAsia" w:hAnsiTheme="minorEastAsia" w:eastAsiaTheme="minorEastAsia" w:cstheme="minorEastAsia"/>
                <w:bCs/>
                <w:color w:val="auto"/>
                <w:sz w:val="24"/>
                <w:szCs w:val="24"/>
                <w:highlight w:val="none"/>
                <w:lang w:bidi="ar"/>
              </w:rPr>
              <w:t>接到采购人通知后能够</w:t>
            </w:r>
            <w:r>
              <w:rPr>
                <w:rFonts w:hint="eastAsia" w:asciiTheme="minorEastAsia" w:hAnsiTheme="minorEastAsia" w:eastAsiaTheme="minorEastAsia" w:cstheme="minorEastAsia"/>
                <w:bCs/>
                <w:color w:val="auto"/>
                <w:sz w:val="24"/>
                <w:szCs w:val="24"/>
                <w:highlight w:val="none"/>
                <w:lang w:val="en-US" w:eastAsia="zh-CN" w:bidi="ar"/>
              </w:rPr>
              <w:t>12个小时</w:t>
            </w:r>
            <w:r>
              <w:rPr>
                <w:rFonts w:hint="eastAsia" w:asciiTheme="minorEastAsia" w:hAnsiTheme="minorEastAsia" w:eastAsiaTheme="minorEastAsia" w:cstheme="minorEastAsia"/>
                <w:bCs/>
                <w:color w:val="auto"/>
                <w:sz w:val="24"/>
                <w:szCs w:val="24"/>
                <w:highlight w:val="none"/>
                <w:lang w:bidi="ar"/>
              </w:rPr>
              <w:t>内响应并到达项目现场</w:t>
            </w:r>
            <w:r>
              <w:rPr>
                <w:rFonts w:hint="eastAsia" w:asciiTheme="minorEastAsia" w:hAnsiTheme="minorEastAsia" w:eastAsiaTheme="minorEastAsia" w:cstheme="minorEastAsia"/>
                <w:bCs/>
                <w:color w:val="auto"/>
                <w:sz w:val="24"/>
                <w:szCs w:val="24"/>
                <w:highlight w:val="none"/>
                <w:lang w:val="en-US" w:eastAsia="zh-CN" w:bidi="ar"/>
              </w:rPr>
              <w:t>的得0.5分</w:t>
            </w:r>
            <w:r>
              <w:rPr>
                <w:rFonts w:hint="eastAsia" w:asciiTheme="minorEastAsia" w:hAnsiTheme="minorEastAsia" w:eastAsiaTheme="minorEastAsia" w:cstheme="minorEastAsia"/>
                <w:bCs/>
                <w:color w:val="auto"/>
                <w:sz w:val="24"/>
                <w:szCs w:val="24"/>
                <w:highlight w:val="none"/>
                <w:lang w:bidi="ar"/>
              </w:rPr>
              <w:t>。</w:t>
            </w:r>
          </w:p>
          <w:p w14:paraId="0BFA6A28">
            <w:pP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注：需提供承诺函（格式见附件），否则不得分。</w:t>
            </w:r>
          </w:p>
        </w:tc>
        <w:tc>
          <w:tcPr>
            <w:tcW w:w="805" w:type="dxa"/>
            <w:vAlign w:val="center"/>
          </w:tcPr>
          <w:p w14:paraId="702D0D78">
            <w:pPr>
              <w:adjustRightInd w:val="0"/>
              <w:spacing w:after="100" w:afterAutospacing="1"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0-2</w:t>
            </w:r>
          </w:p>
        </w:tc>
        <w:tc>
          <w:tcPr>
            <w:tcW w:w="805" w:type="dxa"/>
            <w:vAlign w:val="center"/>
          </w:tcPr>
          <w:p w14:paraId="44D65522">
            <w:pPr>
              <w:adjustRightInd w:val="0"/>
              <w:spacing w:after="100" w:afterAutospacing="1" w:line="36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客观分</w:t>
            </w:r>
          </w:p>
        </w:tc>
      </w:tr>
      <w:tr w14:paraId="2043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9" w:type="dxa"/>
            <w:vMerge w:val="continue"/>
            <w:vAlign w:val="center"/>
          </w:tcPr>
          <w:p w14:paraId="77967917">
            <w:pPr>
              <w:widowControl/>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rPr>
            </w:pPr>
          </w:p>
        </w:tc>
        <w:tc>
          <w:tcPr>
            <w:tcW w:w="1318" w:type="dxa"/>
            <w:vMerge w:val="continue"/>
            <w:vAlign w:val="center"/>
          </w:tcPr>
          <w:p w14:paraId="1E3B7334">
            <w:pPr>
              <w:spacing w:line="36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54" w:type="dxa"/>
            <w:vAlign w:val="center"/>
          </w:tcPr>
          <w:p w14:paraId="7BEF491B">
            <w:pPr>
              <w:keepNext w:val="0"/>
              <w:keepLines w:val="0"/>
              <w:pageBreakBefore w:val="0"/>
              <w:numPr>
                <w:ilvl w:val="0"/>
                <w:numId w:val="0"/>
              </w:numPr>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p>
          <w:p w14:paraId="64C42949">
            <w:pPr>
              <w:keepNext w:val="0"/>
              <w:keepLines w:val="0"/>
              <w:pageBreakBefore w:val="0"/>
              <w:numPr>
                <w:ilvl w:val="0"/>
                <w:numId w:val="0"/>
              </w:numPr>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提供合理明确的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6A4FF887">
            <w:pPr>
              <w:keepNext w:val="0"/>
              <w:keepLines w:val="0"/>
              <w:pageBreakBefore w:val="0"/>
              <w:numPr>
                <w:ilvl w:val="0"/>
                <w:numId w:val="0"/>
              </w:numPr>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r>
              <w:rPr>
                <w:rFonts w:hint="eastAsia" w:asciiTheme="minorEastAsia" w:hAnsiTheme="minorEastAsia" w:eastAsiaTheme="minorEastAsia" w:cstheme="minorEastAsia"/>
                <w:bCs/>
                <w:color w:val="auto"/>
                <w:sz w:val="24"/>
                <w:szCs w:val="24"/>
                <w:highlight w:val="none"/>
                <w:lang w:val="en-US" w:eastAsia="zh-CN" w:bidi="ar"/>
              </w:rPr>
              <w:t>基本</w:t>
            </w:r>
            <w:r>
              <w:rPr>
                <w:rFonts w:hint="eastAsia" w:asciiTheme="minorEastAsia" w:hAnsiTheme="minorEastAsia" w:eastAsiaTheme="minorEastAsia" w:cstheme="minorEastAsia"/>
                <w:bCs/>
                <w:color w:val="auto"/>
                <w:sz w:val="24"/>
                <w:szCs w:val="24"/>
                <w:highlight w:val="none"/>
                <w:lang w:bidi="ar"/>
              </w:rPr>
              <w:t>合理明确的得</w:t>
            </w:r>
            <w:r>
              <w:rPr>
                <w:rFonts w:hint="eastAsia" w:asciiTheme="minorEastAsia" w:hAnsiTheme="minorEastAsia" w:eastAsiaTheme="minorEastAsia" w:cstheme="minorEastAsia"/>
                <w:bCs/>
                <w:color w:val="auto"/>
                <w:sz w:val="24"/>
                <w:szCs w:val="24"/>
                <w:highlight w:val="none"/>
                <w:lang w:val="en-US" w:eastAsia="zh-CN" w:bidi="ar"/>
              </w:rPr>
              <w:t>2</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70C47842">
            <w:pPr>
              <w:keepNext w:val="0"/>
              <w:keepLines w:val="0"/>
              <w:pageBreakBefore w:val="0"/>
              <w:numPr>
                <w:ilvl w:val="0"/>
                <w:numId w:val="0"/>
              </w:numPr>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处理方案不够合理明确的得</w:t>
            </w:r>
            <w:r>
              <w:rPr>
                <w:rFonts w:hint="eastAsia" w:asciiTheme="minorEastAsia" w:hAnsiTheme="minorEastAsia" w:eastAsiaTheme="minorEastAsia" w:cstheme="minorEastAsia"/>
                <w:bCs/>
                <w:color w:val="auto"/>
                <w:sz w:val="24"/>
                <w:szCs w:val="24"/>
                <w:highlight w:val="none"/>
                <w:lang w:val="en-US" w:eastAsia="zh-CN" w:bidi="ar"/>
              </w:rPr>
              <w:t>1</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35B3900A">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bidi="ar"/>
              </w:rPr>
              <w:t>④</w:t>
            </w:r>
            <w:r>
              <w:rPr>
                <w:rFonts w:hint="eastAsia" w:asciiTheme="minorEastAsia" w:hAnsiTheme="minorEastAsia" w:eastAsiaTheme="minorEastAsia" w:cstheme="minorEastAsia"/>
                <w:bCs/>
                <w:color w:val="auto"/>
                <w:sz w:val="24"/>
                <w:szCs w:val="24"/>
                <w:highlight w:val="none"/>
              </w:rPr>
              <w:t>未提供相应内容的不得分</w:t>
            </w:r>
            <w:r>
              <w:rPr>
                <w:rFonts w:hint="eastAsia" w:asciiTheme="minorEastAsia" w:hAnsiTheme="minorEastAsia" w:eastAsiaTheme="minorEastAsia" w:cstheme="minorEastAsia"/>
                <w:bCs/>
                <w:color w:val="auto"/>
                <w:sz w:val="24"/>
                <w:szCs w:val="24"/>
                <w:highlight w:val="none"/>
                <w:lang w:bidi="ar"/>
              </w:rPr>
              <w:t>。</w:t>
            </w:r>
          </w:p>
        </w:tc>
        <w:tc>
          <w:tcPr>
            <w:tcW w:w="805" w:type="dxa"/>
            <w:vAlign w:val="center"/>
          </w:tcPr>
          <w:p w14:paraId="7F433084">
            <w:pPr>
              <w:adjustRightInd w:val="0"/>
              <w:spacing w:after="100" w:afterAutospacing="1" w:line="36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0-3</w:t>
            </w:r>
          </w:p>
        </w:tc>
        <w:tc>
          <w:tcPr>
            <w:tcW w:w="805" w:type="dxa"/>
            <w:vAlign w:val="center"/>
          </w:tcPr>
          <w:p w14:paraId="38AACD2F">
            <w:pPr>
              <w:adjustRightInd w:val="0"/>
              <w:spacing w:after="100" w:afterAutospacing="1" w:line="36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主观分</w:t>
            </w:r>
          </w:p>
        </w:tc>
      </w:tr>
      <w:tr w14:paraId="49FD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9" w:type="dxa"/>
            <w:vAlign w:val="center"/>
          </w:tcPr>
          <w:p w14:paraId="51ADEF34">
            <w:pPr>
              <w:widowControl/>
              <w:spacing w:line="360" w:lineRule="auto"/>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6</w:t>
            </w:r>
          </w:p>
        </w:tc>
        <w:tc>
          <w:tcPr>
            <w:tcW w:w="1318" w:type="dxa"/>
            <w:vAlign w:val="center"/>
          </w:tcPr>
          <w:p w14:paraId="6E9CACFA">
            <w:pPr>
              <w:spacing w:line="360" w:lineRule="exact"/>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培训方案</w:t>
            </w:r>
          </w:p>
        </w:tc>
        <w:tc>
          <w:tcPr>
            <w:tcW w:w="7154" w:type="dxa"/>
            <w:vAlign w:val="center"/>
          </w:tcPr>
          <w:p w14:paraId="79F579DF">
            <w:pPr>
              <w:widowControl/>
              <w:spacing w:line="360" w:lineRule="exac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投标人提供的可行合理的培训方案及培训计划：含培训方式、培训参加人员、培训内容、日程、课程安排等：</w:t>
            </w:r>
          </w:p>
          <w:p w14:paraId="7D484CF5">
            <w:pPr>
              <w:adjustRightInd w:val="0"/>
              <w:spacing w:after="100" w:afterAutospacing="1" w:line="360" w:lineRule="exact"/>
              <w:contextualSpacing/>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①</w:t>
            </w:r>
            <w:r>
              <w:rPr>
                <w:rFonts w:hint="eastAsia" w:asciiTheme="minorEastAsia" w:hAnsiTheme="minorEastAsia" w:eastAsiaTheme="minorEastAsia" w:cstheme="minorEastAsia"/>
                <w:b w:val="0"/>
                <w:bCs w:val="0"/>
                <w:color w:val="auto"/>
                <w:sz w:val="24"/>
                <w:szCs w:val="24"/>
                <w:highlight w:val="none"/>
              </w:rPr>
              <w:t>培训方案措施明确、培训人员安排非常周到、培训内容非常丰富、课程安排非常合理的得</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分；</w:t>
            </w:r>
          </w:p>
          <w:p w14:paraId="5E244AE8">
            <w:pPr>
              <w:adjustRightInd w:val="0"/>
              <w:spacing w:after="100" w:afterAutospacing="1" w:line="360" w:lineRule="exact"/>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②</w:t>
            </w:r>
            <w:r>
              <w:rPr>
                <w:rFonts w:hint="eastAsia" w:asciiTheme="minorEastAsia" w:hAnsiTheme="minorEastAsia" w:eastAsiaTheme="minorEastAsia" w:cstheme="minorEastAsia"/>
                <w:color w:val="auto"/>
                <w:sz w:val="24"/>
                <w:szCs w:val="24"/>
                <w:highlight w:val="none"/>
              </w:rPr>
              <w:t>培训方案措施比较明确、培训人员安排比较周到、培训内容比较丰富、课程安排比较合理的得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638A52FF">
            <w:pPr>
              <w:adjustRightInd w:val="0"/>
              <w:spacing w:after="100" w:afterAutospacing="1" w:line="360" w:lineRule="exact"/>
              <w:contextualSpacing/>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③</w:t>
            </w:r>
            <w:r>
              <w:rPr>
                <w:rFonts w:hint="eastAsia" w:asciiTheme="minorEastAsia" w:hAnsiTheme="minorEastAsia" w:eastAsiaTheme="minorEastAsia" w:cstheme="minorEastAsia"/>
                <w:color w:val="auto"/>
                <w:sz w:val="24"/>
                <w:szCs w:val="24"/>
                <w:highlight w:val="none"/>
              </w:rPr>
              <w:t>培训方案措施不够明确、培训人员安排不够周到、培训内容不够丰富、课程安排不够合理的得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分。                             </w:t>
            </w:r>
            <w:r>
              <w:rPr>
                <w:rFonts w:hint="eastAsia" w:asciiTheme="minorEastAsia" w:hAnsiTheme="minorEastAsia" w:eastAsiaTheme="minorEastAsia" w:cstheme="minorEastAsia"/>
                <w:color w:val="auto"/>
                <w:sz w:val="24"/>
                <w:szCs w:val="24"/>
                <w:highlight w:val="none"/>
                <w:lang w:val="en-US" w:eastAsia="zh-CN"/>
              </w:rPr>
              <w:t>④</w:t>
            </w:r>
            <w:r>
              <w:rPr>
                <w:rFonts w:hint="eastAsia" w:asciiTheme="minorEastAsia" w:hAnsiTheme="minorEastAsia" w:eastAsiaTheme="minorEastAsia" w:cstheme="minorEastAsia"/>
                <w:color w:val="auto"/>
                <w:sz w:val="24"/>
                <w:szCs w:val="24"/>
                <w:highlight w:val="none"/>
              </w:rPr>
              <w:t>未提及此项的不得分。</w:t>
            </w:r>
          </w:p>
        </w:tc>
        <w:tc>
          <w:tcPr>
            <w:tcW w:w="805" w:type="dxa"/>
            <w:vAlign w:val="center"/>
          </w:tcPr>
          <w:p w14:paraId="2B8A391E">
            <w:pPr>
              <w:adjustRightInd w:val="0"/>
              <w:spacing w:after="100" w:afterAutospacing="1"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w:t>
            </w:r>
          </w:p>
        </w:tc>
        <w:tc>
          <w:tcPr>
            <w:tcW w:w="805" w:type="dxa"/>
            <w:vAlign w:val="center"/>
          </w:tcPr>
          <w:p w14:paraId="106FE21A">
            <w:pPr>
              <w:adjustRightInd w:val="0"/>
              <w:spacing w:after="100" w:afterAutospacing="1"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主观分</w:t>
            </w:r>
          </w:p>
        </w:tc>
      </w:tr>
      <w:tr w14:paraId="176A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9" w:type="dxa"/>
            <w:vAlign w:val="center"/>
          </w:tcPr>
          <w:p w14:paraId="7F6275E9">
            <w:pPr>
              <w:widowControl/>
              <w:spacing w:line="360" w:lineRule="auto"/>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7</w:t>
            </w:r>
          </w:p>
        </w:tc>
        <w:tc>
          <w:tcPr>
            <w:tcW w:w="1318" w:type="dxa"/>
            <w:vAlign w:val="center"/>
          </w:tcPr>
          <w:p w14:paraId="5E89F1D1">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政策性因素加分</w:t>
            </w:r>
          </w:p>
        </w:tc>
        <w:tc>
          <w:tcPr>
            <w:tcW w:w="7154" w:type="dxa"/>
            <w:vAlign w:val="center"/>
          </w:tcPr>
          <w:p w14:paraId="085F3DE8">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投标产品属于《节能产品政府采购品目清单》范围的且具有国家确定的认证机构出具的、处于有效期之内的节能产品认证证书的得0.5分；</w:t>
            </w:r>
          </w:p>
          <w:p w14:paraId="1B134D01">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投标产品属于《环境标志产品政府采购品目清单》范围的且具有国家确定的认证机构出具的、处于有效期之内的环境标志产品认证证书的得0.5分。</w:t>
            </w:r>
          </w:p>
          <w:p w14:paraId="60D352FF">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注：投标文件中必须同时提供以下资料：</w:t>
            </w:r>
          </w:p>
          <w:p w14:paraId="423935BA">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C4C44F6">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805" w:type="dxa"/>
            <w:vAlign w:val="center"/>
          </w:tcPr>
          <w:p w14:paraId="3394DBE3">
            <w:pPr>
              <w:adjustRightInd w:val="0"/>
              <w:spacing w:after="100" w:afterAutospacing="1"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0-1</w:t>
            </w:r>
          </w:p>
        </w:tc>
        <w:tc>
          <w:tcPr>
            <w:tcW w:w="805" w:type="dxa"/>
            <w:vAlign w:val="center"/>
          </w:tcPr>
          <w:p w14:paraId="099FCABC">
            <w:pPr>
              <w:adjustRightInd w:val="0"/>
              <w:spacing w:after="100" w:afterAutospacing="1"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客观分</w:t>
            </w:r>
          </w:p>
        </w:tc>
      </w:tr>
      <w:tr w14:paraId="37A8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9" w:type="dxa"/>
            <w:vAlign w:val="center"/>
          </w:tcPr>
          <w:p w14:paraId="4CF98F3C">
            <w:pPr>
              <w:widowControl/>
              <w:spacing w:line="360" w:lineRule="auto"/>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8</w:t>
            </w:r>
          </w:p>
        </w:tc>
        <w:tc>
          <w:tcPr>
            <w:tcW w:w="1318" w:type="dxa"/>
            <w:vAlign w:val="center"/>
          </w:tcPr>
          <w:p w14:paraId="051E2506">
            <w:pPr>
              <w:keepNext w:val="0"/>
              <w:keepLines w:val="0"/>
              <w:pageBreakBefore w:val="0"/>
              <w:kinsoku/>
              <w:wordWrap/>
              <w:overflowPunct/>
              <w:topLinePunct w:val="0"/>
              <w:autoSpaceDE/>
              <w:autoSpaceDN/>
              <w:bidi w:val="0"/>
              <w:snapToGri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价格分</w:t>
            </w:r>
          </w:p>
        </w:tc>
        <w:tc>
          <w:tcPr>
            <w:tcW w:w="7154" w:type="dxa"/>
            <w:vAlign w:val="center"/>
          </w:tcPr>
          <w:p w14:paraId="40C01584">
            <w:pPr>
              <w:keepNext w:val="0"/>
              <w:keepLines w:val="0"/>
              <w:pageBreakBefore w:val="0"/>
              <w:widowControl/>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评标基准价=满足</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要求的参与评审价格最低价。</w:t>
            </w:r>
          </w:p>
          <w:p w14:paraId="1D9A8391">
            <w:pPr>
              <w:keepNext w:val="0"/>
              <w:keepLines w:val="0"/>
              <w:pageBreakBefore w:val="0"/>
              <w:widowControl/>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基准价得分30分。</w:t>
            </w:r>
          </w:p>
          <w:p w14:paraId="5CBC0F96">
            <w:pPr>
              <w:keepNext w:val="0"/>
              <w:keepLines w:val="0"/>
              <w:pageBreakBefore w:val="0"/>
              <w:widowControl/>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参与评审价格=投标报价</w:t>
            </w:r>
          </w:p>
          <w:p w14:paraId="621CF789">
            <w:pPr>
              <w:keepNext w:val="0"/>
              <w:keepLines w:val="0"/>
              <w:pageBreakBefore w:val="0"/>
              <w:widowControl/>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投标报价得分=（评标基准价/参与评审价格）×30%×100</w:t>
            </w:r>
          </w:p>
          <w:p w14:paraId="28BD5992">
            <w:pPr>
              <w:keepNext w:val="0"/>
              <w:keepLines w:val="0"/>
              <w:pageBreakBefore w:val="0"/>
              <w:kinsoku/>
              <w:wordWrap/>
              <w:overflowPunct/>
              <w:topLinePunct w:val="0"/>
              <w:autoSpaceDE/>
              <w:autoSpaceDN/>
              <w:bidi w:val="0"/>
              <w:snapToGrid/>
              <w:spacing w:line="3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投标报价得分以四舍五入保留小数点后两位。</w:t>
            </w:r>
          </w:p>
        </w:tc>
        <w:tc>
          <w:tcPr>
            <w:tcW w:w="805" w:type="dxa"/>
            <w:vAlign w:val="center"/>
          </w:tcPr>
          <w:p w14:paraId="7B818DD2">
            <w:pPr>
              <w:adjustRightInd w:val="0"/>
              <w:spacing w:after="100" w:afterAutospacing="1"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0-30</w:t>
            </w:r>
          </w:p>
        </w:tc>
        <w:tc>
          <w:tcPr>
            <w:tcW w:w="805" w:type="dxa"/>
            <w:vAlign w:val="center"/>
          </w:tcPr>
          <w:p w14:paraId="106E52B9">
            <w:pPr>
              <w:adjustRightInd w:val="0"/>
              <w:spacing w:after="100" w:afterAutospacing="1"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bl>
    <w:p w14:paraId="1F2C12D3">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(注：以上需提供的合同、证书、报告等各项证明需将原件扫描上传至投标文件，并加盖电子印章。评委打分保留1位小数</w:t>
      </w:r>
      <w:r>
        <w:rPr>
          <w:rFonts w:hint="eastAsia" w:asciiTheme="minorEastAsia" w:hAnsiTheme="minorEastAsia" w:eastAsiaTheme="minorEastAsia" w:cstheme="minorEastAsia"/>
          <w:b/>
          <w:color w:val="auto"/>
          <w:sz w:val="24"/>
          <w:szCs w:val="24"/>
          <w:highlight w:val="none"/>
          <w:lang w:eastAsia="zh-CN"/>
        </w:rPr>
        <w:t>）</w:t>
      </w:r>
    </w:p>
    <w:p w14:paraId="63037E3A">
      <w:pPr>
        <w:pageBreakBefore/>
        <w:spacing w:line="480" w:lineRule="auto"/>
        <w:jc w:val="center"/>
        <w:outlineLvl w:val="0"/>
        <w:rPr>
          <w:rFonts w:hint="eastAsia" w:ascii="宋体" w:hAnsi="宋体" w:eastAsia="宋体" w:cs="宋体"/>
          <w:b/>
          <w:color w:val="auto"/>
          <w:sz w:val="24"/>
          <w:szCs w:val="24"/>
          <w:highlight w:val="none"/>
        </w:rPr>
      </w:pPr>
      <w:r>
        <w:rPr>
          <w:rStyle w:val="55"/>
          <w:rFonts w:hint="eastAsia" w:cs="Times New Roman" w:asciiTheme="minorEastAsia" w:hAnsiTheme="minorEastAsia" w:eastAsiaTheme="minorEastAsia"/>
          <w:b/>
          <w:color w:val="auto"/>
          <w:sz w:val="32"/>
          <w:szCs w:val="32"/>
          <w:highlight w:val="none"/>
          <w:u w:val="none"/>
        </w:rPr>
        <w:fldChar w:fldCharType="begin"/>
      </w:r>
      <w:r>
        <w:rPr>
          <w:rStyle w:val="55"/>
          <w:rFonts w:hint="eastAsia" w:cs="Times New Roman" w:asciiTheme="minorEastAsia" w:hAnsiTheme="minorEastAsia" w:eastAsiaTheme="minorEastAsia"/>
          <w:b/>
          <w:color w:val="auto"/>
          <w:sz w:val="32"/>
          <w:szCs w:val="32"/>
          <w:highlight w:val="none"/>
          <w:u w:val="none"/>
        </w:rPr>
        <w:instrText xml:space="preserve"> HYPERLINK "file:///F:\\微信\\WeChat%20Files\\a29023143\\FileStorage\\File\\2021-11\\台州市公安局特警支队最小作战单元装备建设采购项目10.28.docx" \l "●评分标准"</w:instrText>
      </w:r>
      <w:r>
        <w:rPr>
          <w:rStyle w:val="55"/>
          <w:rFonts w:hint="eastAsia" w:cs="Times New Roman" w:asciiTheme="minorEastAsia" w:hAnsiTheme="minorEastAsia" w:eastAsiaTheme="minorEastAsia"/>
          <w:b/>
          <w:color w:val="auto"/>
          <w:sz w:val="32"/>
          <w:szCs w:val="32"/>
          <w:highlight w:val="none"/>
          <w:u w:val="none"/>
        </w:rPr>
        <w:fldChar w:fldCharType="separate"/>
      </w:r>
      <w:r>
        <w:rPr>
          <w:rStyle w:val="55"/>
          <w:rFonts w:hint="eastAsia" w:cs="Times New Roman" w:asciiTheme="minorEastAsia" w:hAnsiTheme="minorEastAsia" w:eastAsiaTheme="minorEastAsia"/>
          <w:b/>
          <w:color w:val="auto"/>
          <w:sz w:val="32"/>
          <w:szCs w:val="32"/>
          <w:highlight w:val="none"/>
          <w:u w:val="none"/>
        </w:rPr>
        <w:t>第五部分</w:t>
      </w:r>
      <w:r>
        <w:rPr>
          <w:rStyle w:val="55"/>
          <w:rFonts w:hint="eastAsia" w:cs="Times New Roman" w:asciiTheme="minorEastAsia" w:hAnsiTheme="minorEastAsia" w:eastAsiaTheme="minorEastAsia"/>
          <w:b/>
          <w:color w:val="auto"/>
          <w:sz w:val="32"/>
          <w:szCs w:val="32"/>
          <w:highlight w:val="none"/>
          <w:u w:val="none"/>
        </w:rPr>
        <w:fldChar w:fldCharType="end"/>
      </w:r>
      <w:r>
        <w:rPr>
          <w:rStyle w:val="55"/>
          <w:rFonts w:hint="eastAsia" w:cs="Times New Roman" w:asciiTheme="minorEastAsia" w:hAnsiTheme="minorEastAsia" w:eastAsiaTheme="minorEastAsia"/>
          <w:b/>
          <w:color w:val="auto"/>
          <w:sz w:val="32"/>
          <w:szCs w:val="32"/>
          <w:highlight w:val="none"/>
          <w:u w:val="none"/>
        </w:rPr>
        <w:t xml:space="preserve">  采购内容及要求</w:t>
      </w:r>
      <w:bookmarkEnd w:id="59"/>
      <w:bookmarkEnd w:id="60"/>
      <w:bookmarkEnd w:id="61"/>
      <w:bookmarkEnd w:id="62"/>
      <w:bookmarkEnd w:id="63"/>
      <w:bookmarkEnd w:id="64"/>
    </w:p>
    <w:p w14:paraId="0ABC9BAF">
      <w:pPr>
        <w:tabs>
          <w:tab w:val="left" w:pos="8280"/>
        </w:tabs>
        <w:autoSpaceDE w:val="0"/>
        <w:autoSpaceDN w:val="0"/>
        <w:adjustRightInd w:val="0"/>
        <w:spacing w:line="360" w:lineRule="auto"/>
        <w:ind w:right="25"/>
        <w:rPr>
          <w:rFonts w:hint="eastAsia" w:ascii="宋体" w:hAnsi="宋体" w:eastAsia="宋体" w:cs="宋体"/>
          <w:color w:val="auto"/>
          <w:sz w:val="28"/>
          <w:szCs w:val="28"/>
          <w:highlight w:val="none"/>
        </w:rPr>
      </w:pPr>
      <w:bookmarkStart w:id="65" w:name="_Toc13728"/>
      <w:bookmarkStart w:id="66" w:name="_Toc18152"/>
      <w:r>
        <w:rPr>
          <w:rFonts w:hint="eastAsia" w:ascii="宋体" w:hAnsi="宋体" w:eastAsia="宋体" w:cs="宋体"/>
          <w:b/>
          <w:color w:val="auto"/>
          <w:sz w:val="28"/>
          <w:szCs w:val="28"/>
          <w:highlight w:val="none"/>
        </w:rPr>
        <w:t>一、招标项目一览表</w:t>
      </w:r>
    </w:p>
    <w:p w14:paraId="3147DFDB">
      <w:pP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eastAsia="zh-CN"/>
        </w:rPr>
        <w:t>标项</w:t>
      </w:r>
      <w:r>
        <w:rPr>
          <w:rFonts w:hint="eastAsia" w:ascii="宋体" w:hAnsi="宋体" w:eastAsia="宋体" w:cs="宋体"/>
          <w:color w:val="auto"/>
          <w:sz w:val="24"/>
          <w:szCs w:val="24"/>
          <w:highlight w:val="none"/>
        </w:rPr>
        <w:t>，具体内容如下表：</w:t>
      </w:r>
    </w:p>
    <w:tbl>
      <w:tblPr>
        <w:tblStyle w:val="47"/>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78"/>
        <w:gridCol w:w="964"/>
        <w:gridCol w:w="956"/>
        <w:gridCol w:w="833"/>
        <w:gridCol w:w="1100"/>
        <w:gridCol w:w="1750"/>
        <w:gridCol w:w="1917"/>
      </w:tblGrid>
      <w:tr w14:paraId="64F4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88" w:type="dxa"/>
            <w:shd w:val="clear" w:color="auto" w:fill="EEECE1" w:themeFill="background2"/>
            <w:vAlign w:val="center"/>
          </w:tcPr>
          <w:p w14:paraId="53ADD024">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标项号</w:t>
            </w:r>
          </w:p>
        </w:tc>
        <w:tc>
          <w:tcPr>
            <w:tcW w:w="1578" w:type="dxa"/>
            <w:shd w:val="clear" w:color="auto" w:fill="EEECE1" w:themeFill="background2"/>
            <w:vAlign w:val="center"/>
          </w:tcPr>
          <w:p w14:paraId="38C5CAF0">
            <w:pP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标项名称</w:t>
            </w:r>
          </w:p>
        </w:tc>
        <w:tc>
          <w:tcPr>
            <w:tcW w:w="964" w:type="dxa"/>
            <w:shd w:val="clear" w:color="auto" w:fill="EEECE1" w:themeFill="background2"/>
            <w:vAlign w:val="center"/>
          </w:tcPr>
          <w:p w14:paraId="155419AB">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956" w:type="dxa"/>
            <w:shd w:val="clear" w:color="auto" w:fill="EEECE1" w:themeFill="background2"/>
            <w:vAlign w:val="center"/>
          </w:tcPr>
          <w:p w14:paraId="35EFAD8B">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833" w:type="dxa"/>
            <w:shd w:val="clear" w:color="auto" w:fill="EEECE1" w:themeFill="background2"/>
            <w:vAlign w:val="center"/>
          </w:tcPr>
          <w:p w14:paraId="3CC185C7">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100" w:type="dxa"/>
            <w:shd w:val="clear" w:color="auto" w:fill="EEECE1" w:themeFill="background2"/>
            <w:vAlign w:val="center"/>
          </w:tcPr>
          <w:p w14:paraId="1EA85C88">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w:t>
            </w:r>
          </w:p>
          <w:p w14:paraId="449171A3">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750" w:type="dxa"/>
            <w:shd w:val="clear" w:color="auto" w:fill="EEECE1" w:themeFill="background2"/>
            <w:vAlign w:val="center"/>
          </w:tcPr>
          <w:p w14:paraId="13A14129">
            <w:pPr>
              <w:tabs>
                <w:tab w:val="left" w:pos="8280"/>
              </w:tabs>
              <w:autoSpaceDE w:val="0"/>
              <w:autoSpaceDN w:val="0"/>
              <w:adjustRightInd w:val="0"/>
              <w:spacing w:line="360" w:lineRule="auto"/>
              <w:ind w:right="25" w:firstLine="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交货期</w:t>
            </w:r>
          </w:p>
        </w:tc>
        <w:tc>
          <w:tcPr>
            <w:tcW w:w="1917" w:type="dxa"/>
            <w:shd w:val="clear" w:color="auto" w:fill="EEECE1" w:themeFill="background2"/>
            <w:vAlign w:val="center"/>
          </w:tcPr>
          <w:p w14:paraId="7975A434">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交货地点</w:t>
            </w:r>
          </w:p>
        </w:tc>
      </w:tr>
      <w:tr w14:paraId="11D8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88" w:type="dxa"/>
            <w:vAlign w:val="center"/>
          </w:tcPr>
          <w:p w14:paraId="5E3E7500">
            <w:pPr>
              <w:tabs>
                <w:tab w:val="left" w:pos="8280"/>
              </w:tabs>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8" w:type="dxa"/>
            <w:vAlign w:val="center"/>
          </w:tcPr>
          <w:p w14:paraId="4F7E4CBE">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北斗检测设备采购项目</w:t>
            </w:r>
          </w:p>
        </w:tc>
        <w:tc>
          <w:tcPr>
            <w:tcW w:w="964" w:type="dxa"/>
            <w:vAlign w:val="center"/>
          </w:tcPr>
          <w:p w14:paraId="714E2A7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详见技术需求</w:t>
            </w:r>
          </w:p>
        </w:tc>
        <w:tc>
          <w:tcPr>
            <w:tcW w:w="956" w:type="dxa"/>
            <w:vAlign w:val="center"/>
          </w:tcPr>
          <w:p w14:paraId="1907799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3" w:type="dxa"/>
            <w:vAlign w:val="center"/>
          </w:tcPr>
          <w:p w14:paraId="0C98A67E">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套</w:t>
            </w:r>
          </w:p>
        </w:tc>
        <w:tc>
          <w:tcPr>
            <w:tcW w:w="1100" w:type="dxa"/>
            <w:vAlign w:val="center"/>
          </w:tcPr>
          <w:p w14:paraId="773255D6">
            <w:pPr>
              <w:tabs>
                <w:tab w:val="left" w:pos="8280"/>
              </w:tabs>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130</w:t>
            </w:r>
          </w:p>
        </w:tc>
        <w:tc>
          <w:tcPr>
            <w:tcW w:w="1750" w:type="dxa"/>
            <w:vAlign w:val="center"/>
          </w:tcPr>
          <w:p w14:paraId="25E50A5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w:t>
            </w:r>
            <w:r>
              <w:rPr>
                <w:rFonts w:hint="eastAsia" w:ascii="宋体" w:hAnsi="宋体" w:eastAsia="宋体" w:cs="宋体"/>
                <w:color w:val="auto"/>
                <w:sz w:val="24"/>
                <w:szCs w:val="24"/>
                <w:highlight w:val="none"/>
                <w:lang w:val="en-US" w:eastAsia="zh-CN"/>
              </w:rPr>
              <w:t>30日历天</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完成场地基础改造、供货、</w:t>
            </w:r>
            <w:r>
              <w:rPr>
                <w:rFonts w:hint="eastAsia" w:ascii="宋体" w:hAnsi="宋体" w:eastAsia="宋体" w:cs="宋体"/>
                <w:color w:val="auto"/>
                <w:sz w:val="24"/>
                <w:szCs w:val="24"/>
                <w:highlight w:val="none"/>
              </w:rPr>
              <w:t>安装</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调试</w:t>
            </w:r>
            <w:r>
              <w:rPr>
                <w:rFonts w:hint="eastAsia" w:ascii="宋体" w:hAnsi="宋体" w:eastAsia="宋体" w:cs="宋体"/>
                <w:color w:val="auto"/>
                <w:sz w:val="24"/>
                <w:szCs w:val="24"/>
                <w:highlight w:val="none"/>
                <w:lang w:eastAsia="zh-CN"/>
              </w:rPr>
              <w:t>。</w:t>
            </w:r>
          </w:p>
        </w:tc>
        <w:tc>
          <w:tcPr>
            <w:tcW w:w="1917" w:type="dxa"/>
            <w:vAlign w:val="center"/>
          </w:tcPr>
          <w:p w14:paraId="60B1D1CB">
            <w:pPr>
              <w:tabs>
                <w:tab w:val="left" w:pos="8280"/>
              </w:tabs>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台州市产品质量安全检测研究院</w:t>
            </w:r>
          </w:p>
        </w:tc>
      </w:tr>
      <w:tr w14:paraId="05DE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88" w:type="dxa"/>
            <w:vAlign w:val="center"/>
          </w:tcPr>
          <w:p w14:paraId="25065E68">
            <w:pPr>
              <w:tabs>
                <w:tab w:val="left" w:pos="8280"/>
              </w:tabs>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578" w:type="dxa"/>
            <w:vAlign w:val="center"/>
          </w:tcPr>
          <w:p w14:paraId="40ED2C62">
            <w:pPr>
              <w:pStyle w:val="43"/>
              <w:spacing w:before="0" w:beforeAutospacing="0" w:after="0" w:afterAutospacing="0" w:line="380" w:lineRule="exact"/>
              <w:contextualSpacing/>
              <w:jc w:val="center"/>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防火阻燃检测设备采购项目</w:t>
            </w:r>
          </w:p>
          <w:p w14:paraId="1158627B">
            <w:pPr>
              <w:widowControl/>
              <w:jc w:val="center"/>
              <w:rPr>
                <w:rFonts w:hint="eastAsia" w:ascii="宋体" w:hAnsi="宋体" w:cs="宋体"/>
                <w:color w:val="auto"/>
                <w:sz w:val="24"/>
                <w:szCs w:val="24"/>
                <w:highlight w:val="none"/>
                <w:lang w:eastAsia="zh-CN"/>
              </w:rPr>
            </w:pPr>
          </w:p>
        </w:tc>
        <w:tc>
          <w:tcPr>
            <w:tcW w:w="964" w:type="dxa"/>
            <w:vAlign w:val="center"/>
          </w:tcPr>
          <w:p w14:paraId="7986FD5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详见技术需求</w:t>
            </w:r>
          </w:p>
        </w:tc>
        <w:tc>
          <w:tcPr>
            <w:tcW w:w="956" w:type="dxa"/>
            <w:vAlign w:val="center"/>
          </w:tcPr>
          <w:p w14:paraId="0DED69B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3" w:type="dxa"/>
            <w:vAlign w:val="center"/>
          </w:tcPr>
          <w:p w14:paraId="41CBBEFA">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100" w:type="dxa"/>
            <w:vAlign w:val="center"/>
          </w:tcPr>
          <w:p w14:paraId="4CC3443D">
            <w:pPr>
              <w:tabs>
                <w:tab w:val="left" w:pos="8280"/>
              </w:tabs>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1750" w:type="dxa"/>
            <w:vAlign w:val="center"/>
          </w:tcPr>
          <w:p w14:paraId="38295FD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w:t>
            </w:r>
            <w:r>
              <w:rPr>
                <w:rFonts w:hint="eastAsia" w:ascii="宋体" w:hAnsi="宋体" w:eastAsia="宋体" w:cs="宋体"/>
                <w:color w:val="auto"/>
                <w:sz w:val="24"/>
                <w:szCs w:val="24"/>
                <w:highlight w:val="none"/>
                <w:lang w:val="en-US" w:eastAsia="zh-CN"/>
              </w:rPr>
              <w:t>30日历天</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完成场地基础改造、供货、</w:t>
            </w:r>
            <w:r>
              <w:rPr>
                <w:rFonts w:hint="eastAsia" w:ascii="宋体" w:hAnsi="宋体" w:eastAsia="宋体" w:cs="宋体"/>
                <w:color w:val="auto"/>
                <w:sz w:val="24"/>
                <w:szCs w:val="24"/>
                <w:highlight w:val="none"/>
              </w:rPr>
              <w:t>安装</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调试</w:t>
            </w:r>
            <w:r>
              <w:rPr>
                <w:rFonts w:hint="eastAsia" w:ascii="宋体" w:hAnsi="宋体" w:eastAsia="宋体" w:cs="宋体"/>
                <w:color w:val="auto"/>
                <w:sz w:val="24"/>
                <w:szCs w:val="24"/>
                <w:highlight w:val="none"/>
                <w:lang w:eastAsia="zh-CN"/>
              </w:rPr>
              <w:t>。</w:t>
            </w:r>
          </w:p>
        </w:tc>
        <w:tc>
          <w:tcPr>
            <w:tcW w:w="1917" w:type="dxa"/>
            <w:vAlign w:val="center"/>
          </w:tcPr>
          <w:p w14:paraId="09E96172">
            <w:pPr>
              <w:tabs>
                <w:tab w:val="left" w:pos="8280"/>
              </w:tabs>
              <w:autoSpaceDE w:val="0"/>
              <w:autoSpaceDN w:val="0"/>
              <w:adjustRightInd w:val="0"/>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台州市产品质量安全检测研究院</w:t>
            </w:r>
          </w:p>
        </w:tc>
      </w:tr>
    </w:tbl>
    <w:p w14:paraId="03528DA2">
      <w:pPr>
        <w:pStyle w:val="26"/>
        <w:snapToGrid w:val="0"/>
        <w:spacing w:line="360" w:lineRule="auto"/>
        <w:jc w:val="center"/>
        <w:outlineLvl w:val="0"/>
        <w:rPr>
          <w:rFonts w:hint="eastAsia" w:ascii="宋体" w:hAnsi="宋体" w:eastAsia="宋体" w:cs="宋体"/>
          <w:b/>
          <w:color w:val="auto"/>
          <w:sz w:val="24"/>
          <w:szCs w:val="24"/>
          <w:highlight w:val="none"/>
        </w:rPr>
      </w:pPr>
    </w:p>
    <w:p w14:paraId="61D087EF">
      <w:pPr>
        <w:numPr>
          <w:ilvl w:val="0"/>
          <w:numId w:val="8"/>
        </w:numPr>
        <w:tabs>
          <w:tab w:val="left" w:pos="960"/>
        </w:tabs>
        <w:spacing w:line="360" w:lineRule="auto"/>
        <w:rPr>
          <w:rFonts w:hint="eastAsia" w:ascii="宋体" w:hAnsi="宋体" w:eastAsia="宋体" w:cs="宋体"/>
          <w:b/>
          <w:color w:val="auto"/>
          <w:sz w:val="28"/>
          <w:szCs w:val="28"/>
          <w:highlight w:val="none"/>
        </w:rPr>
      </w:pPr>
      <w:bookmarkStart w:id="67" w:name="_Toc177870557"/>
      <w:r>
        <w:rPr>
          <w:rFonts w:hint="eastAsia" w:ascii="宋体" w:hAnsi="宋体" w:eastAsia="宋体" w:cs="宋体"/>
          <w:b/>
          <w:color w:val="auto"/>
          <w:sz w:val="28"/>
          <w:szCs w:val="28"/>
          <w:highlight w:val="none"/>
        </w:rPr>
        <w:t>标项一技术需求（北斗检测设备采购）</w:t>
      </w:r>
    </w:p>
    <w:p w14:paraId="07DB416E">
      <w:pPr>
        <w:numPr>
          <w:ilvl w:val="0"/>
          <w:numId w:val="0"/>
        </w:numPr>
        <w:tabs>
          <w:tab w:val="left" w:pos="960"/>
        </w:tabs>
        <w:spacing w:line="360" w:lineRule="auto"/>
        <w:rPr>
          <w:rFonts w:ascii="Times New Roman" w:hAnsi="Times New Roman"/>
          <w:color w:val="auto"/>
          <w:sz w:val="24"/>
          <w:szCs w:val="24"/>
          <w:highlight w:val="none"/>
        </w:rPr>
      </w:pPr>
      <w:r>
        <w:rPr>
          <w:rFonts w:ascii="Times New Roman" w:hAnsi="Times New Roman"/>
          <w:b/>
          <w:color w:val="auto"/>
          <w:sz w:val="24"/>
          <w:szCs w:val="24"/>
          <w:highlight w:val="none"/>
        </w:rPr>
        <w:t>（一）货物需求一览</w:t>
      </w:r>
    </w:p>
    <w:tbl>
      <w:tblPr>
        <w:tblStyle w:val="47"/>
        <w:tblW w:w="9772" w:type="dxa"/>
        <w:jc w:val="center"/>
        <w:tblBorders>
          <w:top w:val="single" w:color="auto" w:sz="4"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89"/>
        <w:gridCol w:w="3372"/>
        <w:gridCol w:w="1118"/>
        <w:gridCol w:w="1276"/>
        <w:gridCol w:w="2617"/>
      </w:tblGrid>
      <w:tr w14:paraId="3C0345DA">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79"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6D4D6E06">
            <w:pPr>
              <w:spacing w:line="4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3372" w:type="dxa"/>
            <w:tcBorders>
              <w:top w:val="single" w:color="auto" w:sz="4" w:space="0"/>
              <w:left w:val="single" w:color="auto" w:sz="4" w:space="0"/>
              <w:bottom w:val="single" w:color="auto" w:sz="4" w:space="0"/>
              <w:right w:val="single" w:color="auto" w:sz="4" w:space="0"/>
            </w:tcBorders>
            <w:noWrap/>
            <w:vAlign w:val="center"/>
          </w:tcPr>
          <w:p w14:paraId="5582B99F">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设备名称</w:t>
            </w:r>
          </w:p>
        </w:tc>
        <w:tc>
          <w:tcPr>
            <w:tcW w:w="1118" w:type="dxa"/>
            <w:tcBorders>
              <w:top w:val="single" w:color="auto" w:sz="4" w:space="0"/>
              <w:left w:val="single" w:color="auto" w:sz="4" w:space="0"/>
              <w:bottom w:val="nil"/>
              <w:right w:val="single" w:color="auto" w:sz="4" w:space="0"/>
            </w:tcBorders>
            <w:noWrap/>
            <w:vAlign w:val="center"/>
          </w:tcPr>
          <w:p w14:paraId="1CB95B8C">
            <w:pPr>
              <w:spacing w:line="4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数量</w:t>
            </w:r>
          </w:p>
        </w:tc>
        <w:tc>
          <w:tcPr>
            <w:tcW w:w="1276" w:type="dxa"/>
            <w:tcBorders>
              <w:top w:val="single" w:color="auto" w:sz="4" w:space="0"/>
              <w:left w:val="single" w:color="auto" w:sz="4" w:space="0"/>
              <w:bottom w:val="nil"/>
              <w:right w:val="single" w:color="auto" w:sz="4" w:space="0"/>
            </w:tcBorders>
            <w:noWrap/>
            <w:vAlign w:val="center"/>
          </w:tcPr>
          <w:p w14:paraId="1D750407">
            <w:pPr>
              <w:spacing w:line="4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单位</w:t>
            </w:r>
          </w:p>
        </w:tc>
        <w:tc>
          <w:tcPr>
            <w:tcW w:w="2617" w:type="dxa"/>
            <w:tcBorders>
              <w:top w:val="single" w:color="auto" w:sz="4" w:space="0"/>
              <w:left w:val="single" w:color="auto" w:sz="4" w:space="0"/>
              <w:bottom w:val="nil"/>
              <w:right w:val="single" w:color="auto" w:sz="4" w:space="0"/>
            </w:tcBorders>
            <w:noWrap/>
            <w:vAlign w:val="center"/>
          </w:tcPr>
          <w:p w14:paraId="0A904811">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备注</w:t>
            </w:r>
          </w:p>
        </w:tc>
      </w:tr>
      <w:tr w14:paraId="3565417B">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2FF534C9">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3372" w:type="dxa"/>
            <w:tcBorders>
              <w:top w:val="single" w:color="auto" w:sz="4" w:space="0"/>
              <w:left w:val="single" w:color="auto" w:sz="4" w:space="0"/>
              <w:bottom w:val="single" w:color="auto" w:sz="4" w:space="0"/>
              <w:right w:val="single" w:color="auto" w:sz="4" w:space="0"/>
            </w:tcBorders>
            <w:noWrap/>
            <w:vAlign w:val="center"/>
          </w:tcPr>
          <w:p w14:paraId="540B383A">
            <w:pPr>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highlight w:val="none"/>
                <w:lang w:bidi="ar"/>
              </w:rPr>
              <w:t>卫星导航信号模拟器</w:t>
            </w:r>
          </w:p>
        </w:tc>
        <w:tc>
          <w:tcPr>
            <w:tcW w:w="1118" w:type="dxa"/>
            <w:tcBorders>
              <w:top w:val="single" w:color="auto" w:sz="4" w:space="0"/>
              <w:left w:val="single" w:color="auto" w:sz="4" w:space="0"/>
              <w:bottom w:val="single" w:color="auto" w:sz="4" w:space="0"/>
              <w:right w:val="single" w:color="auto" w:sz="4" w:space="0"/>
            </w:tcBorders>
            <w:noWrap/>
            <w:vAlign w:val="center"/>
          </w:tcPr>
          <w:p w14:paraId="07F99F30">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ign w:val="center"/>
          </w:tcPr>
          <w:p w14:paraId="54F99A13">
            <w:pPr>
              <w:spacing w:line="460" w:lineRule="exact"/>
              <w:jc w:val="center"/>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509385C4">
            <w:pPr>
              <w:spacing w:line="460" w:lineRule="exact"/>
              <w:rPr>
                <w:rFonts w:ascii="Times New Roman" w:hAnsi="Times New Roman"/>
                <w:color w:val="auto"/>
                <w:sz w:val="24"/>
                <w:szCs w:val="24"/>
                <w:highlight w:val="none"/>
              </w:rPr>
            </w:pPr>
          </w:p>
        </w:tc>
      </w:tr>
      <w:tr w14:paraId="195F297B">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7B7808B8">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3372" w:type="dxa"/>
            <w:tcBorders>
              <w:top w:val="single" w:color="auto" w:sz="4" w:space="0"/>
              <w:left w:val="single" w:color="auto" w:sz="4" w:space="0"/>
              <w:bottom w:val="single" w:color="auto" w:sz="4" w:space="0"/>
              <w:right w:val="single" w:color="auto" w:sz="4" w:space="0"/>
            </w:tcBorders>
            <w:noWrap/>
            <w:vAlign w:val="center"/>
          </w:tcPr>
          <w:p w14:paraId="3E03FFF8">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RNSS转发器</w:t>
            </w:r>
          </w:p>
        </w:tc>
        <w:tc>
          <w:tcPr>
            <w:tcW w:w="1118" w:type="dxa"/>
            <w:tcBorders>
              <w:top w:val="single" w:color="auto" w:sz="4" w:space="0"/>
              <w:left w:val="single" w:color="auto" w:sz="4" w:space="0"/>
              <w:bottom w:val="single" w:color="auto" w:sz="4" w:space="0"/>
              <w:right w:val="single" w:color="auto" w:sz="4" w:space="0"/>
            </w:tcBorders>
            <w:noWrap/>
            <w:vAlign w:val="center"/>
          </w:tcPr>
          <w:p w14:paraId="2FC9B98F">
            <w:pPr>
              <w:spacing w:line="46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ign w:val="center"/>
          </w:tcPr>
          <w:p w14:paraId="7C49C6B1">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7FB9C1DC">
            <w:pPr>
              <w:spacing w:line="460" w:lineRule="exact"/>
              <w:jc w:val="center"/>
              <w:rPr>
                <w:rFonts w:ascii="Times New Roman" w:hAnsi="Times New Roman"/>
                <w:color w:val="auto"/>
                <w:sz w:val="24"/>
                <w:szCs w:val="24"/>
                <w:highlight w:val="none"/>
              </w:rPr>
            </w:pPr>
          </w:p>
        </w:tc>
      </w:tr>
      <w:tr w14:paraId="742848F7">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65DCDCC7">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3372" w:type="dxa"/>
            <w:tcBorders>
              <w:top w:val="single" w:color="auto" w:sz="4" w:space="0"/>
              <w:left w:val="single" w:color="auto" w:sz="4" w:space="0"/>
              <w:bottom w:val="single" w:color="auto" w:sz="4" w:space="0"/>
              <w:right w:val="single" w:color="auto" w:sz="4" w:space="0"/>
            </w:tcBorders>
            <w:noWrap/>
            <w:vAlign w:val="center"/>
          </w:tcPr>
          <w:p w14:paraId="5A03D93E">
            <w:pPr>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外场标准基准点</w:t>
            </w:r>
          </w:p>
        </w:tc>
        <w:tc>
          <w:tcPr>
            <w:tcW w:w="1118" w:type="dxa"/>
            <w:tcBorders>
              <w:top w:val="single" w:color="auto" w:sz="4" w:space="0"/>
              <w:left w:val="single" w:color="auto" w:sz="4" w:space="0"/>
              <w:bottom w:val="single" w:color="auto" w:sz="4" w:space="0"/>
              <w:right w:val="single" w:color="auto" w:sz="4" w:space="0"/>
            </w:tcBorders>
            <w:noWrap/>
            <w:vAlign w:val="center"/>
          </w:tcPr>
          <w:p w14:paraId="45C6B95F">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ign w:val="center"/>
          </w:tcPr>
          <w:p w14:paraId="0E97BF47">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47E4EA92">
            <w:pPr>
              <w:spacing w:line="460" w:lineRule="exact"/>
              <w:jc w:val="center"/>
              <w:rPr>
                <w:rFonts w:ascii="Times New Roman" w:hAnsi="Times New Roman"/>
                <w:color w:val="auto"/>
                <w:sz w:val="24"/>
                <w:szCs w:val="24"/>
                <w:highlight w:val="none"/>
              </w:rPr>
            </w:pPr>
          </w:p>
        </w:tc>
      </w:tr>
      <w:tr w14:paraId="1A845FEC">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5F770F9E">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3372" w:type="dxa"/>
            <w:tcBorders>
              <w:top w:val="single" w:color="auto" w:sz="4" w:space="0"/>
              <w:left w:val="single" w:color="auto" w:sz="4" w:space="0"/>
              <w:bottom w:val="single" w:color="auto" w:sz="4" w:space="0"/>
              <w:right w:val="single" w:color="auto" w:sz="4" w:space="0"/>
            </w:tcBorders>
            <w:noWrap/>
            <w:vAlign w:val="center"/>
          </w:tcPr>
          <w:p w14:paraId="7AD7370C">
            <w:pPr>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屏蔽室</w:t>
            </w:r>
          </w:p>
        </w:tc>
        <w:tc>
          <w:tcPr>
            <w:tcW w:w="1118" w:type="dxa"/>
            <w:tcBorders>
              <w:top w:val="single" w:color="auto" w:sz="4" w:space="0"/>
              <w:left w:val="single" w:color="auto" w:sz="4" w:space="0"/>
              <w:bottom w:val="single" w:color="auto" w:sz="4" w:space="0"/>
              <w:right w:val="single" w:color="auto" w:sz="4" w:space="0"/>
            </w:tcBorders>
            <w:noWrap/>
            <w:vAlign w:val="center"/>
          </w:tcPr>
          <w:p w14:paraId="29120471">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ign w:val="center"/>
          </w:tcPr>
          <w:p w14:paraId="4E33C7D1">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632191EE">
            <w:pPr>
              <w:spacing w:line="460" w:lineRule="exact"/>
              <w:jc w:val="center"/>
              <w:rPr>
                <w:rFonts w:ascii="Times New Roman" w:hAnsi="Times New Roman"/>
                <w:color w:val="auto"/>
                <w:sz w:val="24"/>
                <w:szCs w:val="24"/>
                <w:highlight w:val="none"/>
              </w:rPr>
            </w:pPr>
          </w:p>
        </w:tc>
      </w:tr>
      <w:tr w14:paraId="5248B504">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139DF78D">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3372" w:type="dxa"/>
            <w:tcBorders>
              <w:top w:val="single" w:color="auto" w:sz="4" w:space="0"/>
              <w:left w:val="single" w:color="auto" w:sz="4" w:space="0"/>
              <w:bottom w:val="single" w:color="auto" w:sz="4" w:space="0"/>
              <w:right w:val="single" w:color="auto" w:sz="4" w:space="0"/>
            </w:tcBorders>
            <w:noWrap/>
            <w:vAlign w:val="center"/>
          </w:tcPr>
          <w:p w14:paraId="58D3F6A9">
            <w:pPr>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测试评估软件</w:t>
            </w:r>
          </w:p>
        </w:tc>
        <w:tc>
          <w:tcPr>
            <w:tcW w:w="1118" w:type="dxa"/>
            <w:tcBorders>
              <w:top w:val="single" w:color="auto" w:sz="4" w:space="0"/>
              <w:left w:val="single" w:color="auto" w:sz="4" w:space="0"/>
              <w:bottom w:val="single" w:color="auto" w:sz="4" w:space="0"/>
              <w:right w:val="single" w:color="auto" w:sz="4" w:space="0"/>
            </w:tcBorders>
            <w:noWrap/>
            <w:vAlign w:val="center"/>
          </w:tcPr>
          <w:p w14:paraId="59E9EAD1">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ign w:val="center"/>
          </w:tcPr>
          <w:p w14:paraId="499C4D52">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71F254C6">
            <w:pPr>
              <w:spacing w:line="460" w:lineRule="exact"/>
              <w:jc w:val="center"/>
              <w:rPr>
                <w:rFonts w:ascii="Times New Roman" w:hAnsi="Times New Roman"/>
                <w:color w:val="auto"/>
                <w:sz w:val="24"/>
                <w:szCs w:val="24"/>
                <w:highlight w:val="none"/>
              </w:rPr>
            </w:pPr>
          </w:p>
        </w:tc>
      </w:tr>
      <w:tr w14:paraId="7A139FCE">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592D2F7E">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3372" w:type="dxa"/>
            <w:tcBorders>
              <w:top w:val="single" w:color="auto" w:sz="4" w:space="0"/>
              <w:left w:val="single" w:color="auto" w:sz="4" w:space="0"/>
              <w:bottom w:val="single" w:color="auto" w:sz="4" w:space="0"/>
              <w:right w:val="single" w:color="auto" w:sz="4" w:space="0"/>
            </w:tcBorders>
            <w:noWrap/>
            <w:vAlign w:val="center"/>
          </w:tcPr>
          <w:p w14:paraId="17A06D0F">
            <w:pPr>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蜂窝信号转发器</w:t>
            </w:r>
          </w:p>
        </w:tc>
        <w:tc>
          <w:tcPr>
            <w:tcW w:w="1118" w:type="dxa"/>
            <w:tcBorders>
              <w:top w:val="single" w:color="auto" w:sz="4" w:space="0"/>
              <w:left w:val="single" w:color="auto" w:sz="4" w:space="0"/>
              <w:bottom w:val="single" w:color="auto" w:sz="4" w:space="0"/>
              <w:right w:val="single" w:color="auto" w:sz="4" w:space="0"/>
            </w:tcBorders>
            <w:noWrap/>
            <w:vAlign w:val="center"/>
          </w:tcPr>
          <w:p w14:paraId="41F6CEE2">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ign w:val="center"/>
          </w:tcPr>
          <w:p w14:paraId="19D464F0">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7FB2C3E1">
            <w:pPr>
              <w:spacing w:line="460" w:lineRule="exact"/>
              <w:jc w:val="center"/>
              <w:rPr>
                <w:rFonts w:ascii="Times New Roman" w:hAnsi="Times New Roman"/>
                <w:color w:val="auto"/>
                <w:sz w:val="24"/>
                <w:szCs w:val="24"/>
                <w:highlight w:val="none"/>
              </w:rPr>
            </w:pPr>
          </w:p>
        </w:tc>
      </w:tr>
      <w:tr w14:paraId="43BBE6B6">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45CD5013">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3372" w:type="dxa"/>
            <w:tcBorders>
              <w:top w:val="single" w:color="auto" w:sz="4" w:space="0"/>
              <w:left w:val="single" w:color="auto" w:sz="4" w:space="0"/>
              <w:bottom w:val="single" w:color="auto" w:sz="4" w:space="0"/>
              <w:right w:val="single" w:color="auto" w:sz="4" w:space="0"/>
            </w:tcBorders>
            <w:noWrap/>
            <w:vAlign w:val="center"/>
          </w:tcPr>
          <w:p w14:paraId="3B26CD2B">
            <w:pPr>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其他配套附件及服务</w:t>
            </w:r>
          </w:p>
        </w:tc>
        <w:tc>
          <w:tcPr>
            <w:tcW w:w="1118" w:type="dxa"/>
            <w:tcBorders>
              <w:top w:val="single" w:color="auto" w:sz="4" w:space="0"/>
              <w:left w:val="single" w:color="auto" w:sz="4" w:space="0"/>
              <w:bottom w:val="single" w:color="auto" w:sz="4" w:space="0"/>
              <w:right w:val="single" w:color="auto" w:sz="4" w:space="0"/>
            </w:tcBorders>
            <w:noWrap/>
            <w:vAlign w:val="center"/>
          </w:tcPr>
          <w:p w14:paraId="30015D18">
            <w:pPr>
              <w:spacing w:line="4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ign w:val="center"/>
          </w:tcPr>
          <w:p w14:paraId="0FF26A66">
            <w:pPr>
              <w:spacing w:line="460" w:lineRule="exact"/>
              <w:jc w:val="center"/>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eastAsia="zh-CN"/>
              </w:rPr>
              <w:t>项</w:t>
            </w:r>
          </w:p>
        </w:tc>
        <w:tc>
          <w:tcPr>
            <w:tcW w:w="2617" w:type="dxa"/>
            <w:tcBorders>
              <w:top w:val="single" w:color="auto" w:sz="4" w:space="0"/>
              <w:left w:val="single" w:color="auto" w:sz="4" w:space="0"/>
              <w:bottom w:val="single" w:color="auto" w:sz="4" w:space="0"/>
              <w:right w:val="single" w:color="auto" w:sz="4" w:space="0"/>
            </w:tcBorders>
            <w:noWrap/>
            <w:vAlign w:val="center"/>
          </w:tcPr>
          <w:p w14:paraId="4E4E5847">
            <w:pPr>
              <w:spacing w:line="460" w:lineRule="exact"/>
              <w:jc w:val="center"/>
              <w:rPr>
                <w:rFonts w:ascii="Times New Roman" w:hAnsi="Times New Roman"/>
                <w:color w:val="auto"/>
                <w:sz w:val="24"/>
                <w:szCs w:val="24"/>
                <w:highlight w:val="none"/>
              </w:rPr>
            </w:pPr>
          </w:p>
        </w:tc>
      </w:tr>
    </w:tbl>
    <w:p w14:paraId="72649F57">
      <w:pPr>
        <w:spacing w:line="360" w:lineRule="auto"/>
        <w:ind w:firstLine="480" w:firstLineChars="200"/>
        <w:rPr>
          <w:rFonts w:ascii="Times New Roman" w:hAnsi="Times New Roman"/>
          <w:b/>
          <w:color w:val="auto"/>
          <w:sz w:val="24"/>
          <w:szCs w:val="24"/>
          <w:highlight w:val="none"/>
        </w:rPr>
      </w:pPr>
      <w:r>
        <w:rPr>
          <w:rFonts w:ascii="Times New Roman" w:hAnsi="Times New Roman"/>
          <w:color w:val="auto"/>
          <w:kern w:val="0"/>
          <w:sz w:val="24"/>
          <w:szCs w:val="24"/>
          <w:highlight w:val="none"/>
          <w:lang w:bidi="en-US"/>
        </w:rPr>
        <w:t>本项目投标文件中的报价包含完成本项目所有内容的一切费用</w:t>
      </w:r>
      <w:r>
        <w:rPr>
          <w:rFonts w:hint="eastAsia" w:ascii="Times New Roman" w:hAnsi="Times New Roman"/>
          <w:color w:val="auto"/>
          <w:kern w:val="0"/>
          <w:sz w:val="24"/>
          <w:szCs w:val="24"/>
          <w:highlight w:val="none"/>
          <w:lang w:eastAsia="zh-CN" w:bidi="en-US"/>
        </w:rPr>
        <w:t>，包括</w:t>
      </w:r>
      <w:r>
        <w:rPr>
          <w:rFonts w:hint="eastAsia" w:ascii="宋体" w:hAnsi="宋体" w:cs="宋体"/>
          <w:bCs/>
          <w:color w:val="auto"/>
          <w:sz w:val="24"/>
          <w:szCs w:val="24"/>
          <w:highlight w:val="none"/>
          <w:lang w:val="en-US" w:eastAsia="zh-CN"/>
        </w:rPr>
        <w:t>场地基础改造、</w:t>
      </w:r>
      <w:r>
        <w:rPr>
          <w:rFonts w:hint="eastAsia" w:ascii="Times New Roman" w:hAnsi="Times New Roman"/>
          <w:color w:val="auto"/>
          <w:kern w:val="0"/>
          <w:sz w:val="24"/>
          <w:szCs w:val="24"/>
          <w:highlight w:val="none"/>
          <w:lang w:eastAsia="zh-CN" w:bidi="en-US"/>
        </w:rPr>
        <w:t>设备仪器与配件价格标准附件、备品备件、人工费、专用工具、包装、运输、装卸、保险、税金、货到就位以及接地施工、安装、调试、检测试验、第三方验收、检定校准、培训及相关证书获取、售后服务及质保期内的设备更换、保养、维护、合同包含的所有风险责任等各项费用及不可预见费等所需的全部费用，</w:t>
      </w:r>
      <w:r>
        <w:rPr>
          <w:rFonts w:ascii="Times New Roman" w:hAnsi="Times New Roman"/>
          <w:color w:val="auto"/>
          <w:kern w:val="0"/>
          <w:sz w:val="24"/>
          <w:szCs w:val="24"/>
          <w:highlight w:val="none"/>
          <w:lang w:bidi="en-US"/>
        </w:rPr>
        <w:t>投标人应充分考虑本项目合同实施期间可能发生的一切费用，并承担由此而带来的风险。凡投标人在报价中未列的项目或遗漏项目，采购人将一律视为已包括在其报价中，不再增加额外费用。</w:t>
      </w:r>
    </w:p>
    <w:p w14:paraId="5565C574">
      <w:pPr>
        <w:pStyle w:val="2"/>
        <w:widowControl/>
        <w:spacing w:line="360" w:lineRule="auto"/>
        <w:ind w:firstLine="0" w:firstLineChars="0"/>
        <w:rPr>
          <w:rFonts w:ascii="Times New Roman" w:hAnsi="Times New Roman"/>
          <w:color w:val="auto"/>
          <w:sz w:val="24"/>
          <w:szCs w:val="24"/>
          <w:highlight w:val="none"/>
        </w:rPr>
      </w:pPr>
      <w:r>
        <w:rPr>
          <w:rFonts w:ascii="Times New Roman" w:hAnsi="Times New Roman"/>
          <w:b/>
          <w:color w:val="auto"/>
          <w:sz w:val="24"/>
          <w:szCs w:val="24"/>
          <w:highlight w:val="none"/>
        </w:rPr>
        <w:t>（二）、技术要求</w:t>
      </w:r>
    </w:p>
    <w:tbl>
      <w:tblPr>
        <w:tblStyle w:val="47"/>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265"/>
        <w:gridCol w:w="5850"/>
      </w:tblGrid>
      <w:tr w14:paraId="53E7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shd w:val="clear" w:color="auto" w:fill="EEECE1" w:themeFill="background2"/>
            <w:vAlign w:val="center"/>
          </w:tcPr>
          <w:p w14:paraId="6D917FA3">
            <w:pPr>
              <w:snapToGrid w:val="0"/>
              <w:spacing w:before="156" w:beforeLines="50" w:after="156" w:afterLines="5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65" w:type="dxa"/>
            <w:shd w:val="clear" w:color="auto" w:fill="EEECE1" w:themeFill="background2"/>
            <w:vAlign w:val="center"/>
          </w:tcPr>
          <w:p w14:paraId="4AB0688B">
            <w:pPr>
              <w:snapToGrid w:val="0"/>
              <w:spacing w:before="156" w:beforeLines="50" w:after="156" w:afterLines="5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5850" w:type="dxa"/>
            <w:shd w:val="clear" w:color="auto" w:fill="EEECE1" w:themeFill="background2"/>
            <w:vAlign w:val="center"/>
          </w:tcPr>
          <w:p w14:paraId="2E72C561">
            <w:pPr>
              <w:snapToGrid w:val="0"/>
              <w:spacing w:before="156" w:beforeLines="50" w:after="156" w:afterLines="5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r>
      <w:tr w14:paraId="7B9A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D37EB48">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p>
        </w:tc>
        <w:tc>
          <w:tcPr>
            <w:tcW w:w="2265" w:type="dxa"/>
            <w:vAlign w:val="center"/>
          </w:tcPr>
          <w:p w14:paraId="6F6D5E17">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highlight w:val="none"/>
                <w:lang w:bidi="ar"/>
              </w:rPr>
              <w:t>卫星导航信号模拟器</w:t>
            </w:r>
          </w:p>
        </w:tc>
        <w:tc>
          <w:tcPr>
            <w:tcW w:w="5850" w:type="dxa"/>
            <w:vAlign w:val="center"/>
          </w:tcPr>
          <w:p w14:paraId="624EA518">
            <w:pPr>
              <w:pageBreakBefore w:val="0"/>
              <w:widowControl w:val="0"/>
              <w:kinsoku/>
              <w:wordWrap/>
              <w:overflowPunct/>
              <w:topLinePunct w:val="0"/>
              <w:autoSpaceDE/>
              <w:autoSpaceDN/>
              <w:bidi w:val="0"/>
              <w:adjustRightInd/>
              <w:spacing w:line="32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功能指标</w:t>
            </w:r>
          </w:p>
          <w:p w14:paraId="4B61A4A0">
            <w:pPr>
              <w:spacing w:line="240" w:lineRule="auto"/>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能够完成卫星轨道仿真、卫星钟差仿真、延时差分TGD仿真、电离层延迟仿真、对流层延迟仿真、地球自转效应仿真、相对论效应仿真、地面大气参数仿真以及用户轨迹仿真等。</w:t>
            </w:r>
          </w:p>
          <w:p w14:paraId="3E6FE326">
            <w:pPr>
              <w:pageBreakBefore w:val="0"/>
              <w:widowControl w:val="0"/>
              <w:kinsoku/>
              <w:wordWrap/>
              <w:overflowPunct/>
              <w:topLinePunct w:val="0"/>
              <w:autoSpaceDE/>
              <w:autoSpaceDN/>
              <w:bidi w:val="0"/>
              <w:adjustRightInd/>
              <w:spacing w:line="320" w:lineRule="exact"/>
              <w:ind w:firstLine="480" w:firstLineChars="200"/>
              <w:jc w:val="both"/>
              <w:textAlignment w:val="auto"/>
              <w:rPr>
                <w:rStyle w:val="49"/>
                <w:rFonts w:hint="eastAsia" w:ascii="宋体" w:hAnsi="宋体" w:eastAsia="宋体" w:cs="宋体"/>
                <w:color w:val="auto"/>
                <w:kern w:val="2"/>
                <w:sz w:val="21"/>
                <w:szCs w:val="21"/>
                <w:highlight w:val="none"/>
                <w:lang w:val="en-US" w:eastAsia="zh-CN" w:bidi="ar-SA"/>
              </w:rPr>
            </w:pPr>
            <w:r>
              <w:rPr>
                <w:rFonts w:hint="eastAsia" w:ascii="Times New Roman" w:hAnsi="Times New Roman" w:cs="Times New Roman"/>
                <w:color w:val="auto"/>
                <w:sz w:val="24"/>
                <w:szCs w:val="24"/>
                <w:highlight w:val="none"/>
                <w:lang w:val="en-US" w:eastAsia="zh-CN"/>
              </w:rPr>
              <w:t>2）</w:t>
            </w:r>
            <w:r>
              <w:rPr>
                <w:rStyle w:val="49"/>
                <w:rFonts w:hint="eastAsia" w:ascii="宋体" w:hAnsi="宋体" w:eastAsia="宋体" w:cs="宋体"/>
                <w:color w:val="auto"/>
                <w:kern w:val="2"/>
                <w:sz w:val="24"/>
                <w:szCs w:val="24"/>
                <w:highlight w:val="none"/>
                <w:lang w:val="en-US" w:eastAsia="zh-CN" w:bidi="ar-SA"/>
              </w:rPr>
              <w:t>可仿真完好性信息，可仿真静态用户、低动态用户、高动态用户的导航信号，能够根据用户要求对仿真数据进行配置</w:t>
            </w:r>
            <w:r>
              <w:rPr>
                <w:rStyle w:val="49"/>
                <w:rFonts w:hint="eastAsia" w:ascii="宋体" w:hAnsi="宋体" w:cs="宋体"/>
                <w:color w:val="auto"/>
                <w:kern w:val="2"/>
                <w:sz w:val="24"/>
                <w:szCs w:val="24"/>
                <w:highlight w:val="none"/>
                <w:lang w:val="en-US" w:eastAsia="zh-CN" w:bidi="ar-SA"/>
              </w:rPr>
              <w:t>。</w:t>
            </w:r>
          </w:p>
          <w:p w14:paraId="3169117B">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r>
              <w:rPr>
                <w:rStyle w:val="49"/>
                <w:rFonts w:hint="eastAsia" w:ascii="宋体" w:hAnsi="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rPr>
              <w:t>具备接收机观测模拟仿真功能，包括对卫星钟差、电离层、对流层、接收机钟差仿真功能，并生成伪距、载波相位、多普勒频移等观测数据。</w:t>
            </w:r>
          </w:p>
          <w:p w14:paraId="3C5FD331">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能够提供各测试场景配置文件及真值参考坐标。</w:t>
            </w:r>
          </w:p>
          <w:p w14:paraId="7A91366A">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宋体" w:hAnsi="宋体"/>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hint="eastAsia" w:ascii="宋体" w:hAnsi="宋体"/>
                <w:color w:val="auto"/>
                <w:sz w:val="24"/>
                <w:szCs w:val="24"/>
                <w:highlight w:val="none"/>
              </w:rPr>
              <w:t>基于</w:t>
            </w:r>
            <w:r>
              <w:rPr>
                <w:rFonts w:hint="default" w:ascii="Times New Roman" w:hAnsi="Times New Roman" w:cs="Times New Roman"/>
                <w:color w:val="auto"/>
                <w:sz w:val="24"/>
                <w:szCs w:val="24"/>
                <w:highlight w:val="none"/>
              </w:rPr>
              <w:t>AXI</w:t>
            </w:r>
            <w:r>
              <w:rPr>
                <w:rFonts w:hint="eastAsia" w:ascii="宋体" w:hAnsi="宋体"/>
                <w:color w:val="auto"/>
                <w:sz w:val="24"/>
                <w:szCs w:val="24"/>
                <w:highlight w:val="none"/>
              </w:rPr>
              <w:t>总线设计，可与</w:t>
            </w:r>
            <w:r>
              <w:rPr>
                <w:rFonts w:hint="default" w:ascii="Times New Roman" w:hAnsi="Times New Roman" w:cs="Times New Roman"/>
                <w:color w:val="auto"/>
                <w:sz w:val="24"/>
                <w:szCs w:val="24"/>
                <w:highlight w:val="none"/>
              </w:rPr>
              <w:t>PXI</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CPCI</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LXl</w:t>
            </w:r>
            <w:r>
              <w:rPr>
                <w:rFonts w:hint="eastAsia" w:ascii="宋体" w:hAnsi="宋体"/>
                <w:color w:val="auto"/>
                <w:sz w:val="24"/>
                <w:szCs w:val="24"/>
                <w:highlight w:val="none"/>
              </w:rPr>
              <w:t>和</w:t>
            </w:r>
            <w:r>
              <w:rPr>
                <w:rFonts w:hint="default" w:ascii="Times New Roman" w:hAnsi="Times New Roman" w:cs="Times New Roman"/>
                <w:color w:val="auto"/>
                <w:sz w:val="24"/>
                <w:szCs w:val="24"/>
                <w:highlight w:val="none"/>
              </w:rPr>
              <w:t>IVI</w:t>
            </w:r>
            <w:r>
              <w:rPr>
                <w:rFonts w:hint="eastAsia" w:ascii="宋体" w:hAnsi="宋体"/>
                <w:color w:val="auto"/>
                <w:sz w:val="24"/>
                <w:szCs w:val="24"/>
                <w:highlight w:val="none"/>
              </w:rPr>
              <w:t>等构架设备进行集成，数据通信架构兼容</w:t>
            </w:r>
            <w:r>
              <w:rPr>
                <w:rFonts w:hint="default" w:ascii="Times New Roman" w:hAnsi="Times New Roman" w:cs="Times New Roman"/>
                <w:color w:val="auto"/>
                <w:sz w:val="24"/>
                <w:szCs w:val="24"/>
                <w:highlight w:val="none"/>
              </w:rPr>
              <w:t>LAN</w:t>
            </w:r>
            <w:r>
              <w:rPr>
                <w:rFonts w:hint="eastAsia" w:ascii="宋体" w:hAnsi="宋体"/>
                <w:color w:val="auto"/>
                <w:sz w:val="24"/>
                <w:szCs w:val="24"/>
                <w:highlight w:val="none"/>
              </w:rPr>
              <w:t>和</w:t>
            </w:r>
            <w:r>
              <w:rPr>
                <w:rFonts w:hint="default" w:ascii="Times New Roman" w:hAnsi="Times New Roman" w:cs="Times New Roman"/>
                <w:color w:val="auto"/>
                <w:sz w:val="24"/>
                <w:szCs w:val="24"/>
                <w:highlight w:val="none"/>
              </w:rPr>
              <w:t>PCIE</w:t>
            </w:r>
            <w:r>
              <w:rPr>
                <w:rFonts w:hint="eastAsia" w:ascii="宋体" w:hAnsi="宋体"/>
                <w:color w:val="auto"/>
                <w:sz w:val="24"/>
                <w:szCs w:val="24"/>
                <w:highlight w:val="none"/>
              </w:rPr>
              <w:t>两种标准, 可支持包括</w:t>
            </w:r>
            <w:r>
              <w:rPr>
                <w:rFonts w:hint="default" w:ascii="Times New Roman" w:hAnsi="Times New Roman" w:cs="Times New Roman"/>
                <w:color w:val="auto"/>
                <w:sz w:val="24"/>
                <w:szCs w:val="24"/>
                <w:highlight w:val="none"/>
              </w:rPr>
              <w:t>PCIE</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PCIExpress</w:t>
            </w:r>
            <w:r>
              <w:rPr>
                <w:rFonts w:hint="eastAsia" w:ascii="宋体" w:hAnsi="宋体"/>
                <w:color w:val="auto"/>
                <w:sz w:val="24"/>
                <w:szCs w:val="24"/>
                <w:highlight w:val="none"/>
              </w:rPr>
              <w:t>）和</w:t>
            </w:r>
            <w:r>
              <w:rPr>
                <w:rFonts w:hint="default" w:ascii="Times New Roman" w:hAnsi="Times New Roman" w:cs="Times New Roman"/>
                <w:color w:val="auto"/>
                <w:sz w:val="24"/>
                <w:szCs w:val="24"/>
                <w:highlight w:val="none"/>
              </w:rPr>
              <w:t>LAN</w:t>
            </w:r>
            <w:r>
              <w:rPr>
                <w:rFonts w:hint="eastAsia" w:ascii="宋体" w:hAnsi="宋体"/>
                <w:color w:val="auto"/>
                <w:sz w:val="24"/>
                <w:szCs w:val="24"/>
                <w:highlight w:val="none"/>
              </w:rPr>
              <w:t>两种接口，支持仪器进行扩展</w:t>
            </w:r>
            <w:r>
              <w:rPr>
                <w:rFonts w:hint="eastAsia" w:ascii="宋体" w:hAnsi="宋体"/>
                <w:color w:val="auto"/>
                <w:sz w:val="24"/>
                <w:szCs w:val="24"/>
                <w:highlight w:val="none"/>
                <w:lang w:eastAsia="zh-CN"/>
              </w:rPr>
              <w:t>。</w:t>
            </w:r>
          </w:p>
          <w:p w14:paraId="566768D5">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hint="eastAsia" w:ascii="宋体" w:hAnsi="宋体"/>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模拟器自带液晶显示屏，尺寸不小于</w:t>
            </w:r>
            <w:r>
              <w:rPr>
                <w:rFonts w:hint="default" w:ascii="Times New Roman" w:hAnsi="Times New Roman" w:cs="Times New Roman" w:eastAsia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rPr>
              <w:t>英寸，支持触摸式控制和按键控制两种方式，具备优秀的人机交互界面。</w:t>
            </w:r>
          </w:p>
          <w:p w14:paraId="0FAADFC5">
            <w:pPr>
              <w:bidi w:val="0"/>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color w:val="auto"/>
                <w:sz w:val="24"/>
                <w:szCs w:val="24"/>
                <w:highlight w:val="none"/>
              </w:rPr>
              <w:t>具有静态、动态轨迹生成和测试能力，各通道伪距、功率、载波初相独立设置能力，针对星座模型生成导航电文能力，多径信号模拟能力，可编程信号场景生成能力，大气层、电离层模型参数设置能力，以及观测数据和导航电文记录与输出功能。</w:t>
            </w:r>
          </w:p>
          <w:p w14:paraId="6A06D9A9">
            <w:pPr>
              <w:pageBreakBefore w:val="0"/>
              <w:widowControl w:val="0"/>
              <w:kinsoku/>
              <w:wordWrap/>
              <w:overflowPunct/>
              <w:topLinePunct w:val="0"/>
              <w:autoSpaceDE/>
              <w:autoSpaceDN/>
              <w:bidi w:val="0"/>
              <w:adjustRightInd/>
              <w:spacing w:line="32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技术参数</w:t>
            </w:r>
          </w:p>
          <w:p w14:paraId="396E34B3">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输出频率：</w:t>
            </w:r>
            <w:r>
              <w:rPr>
                <w:rFonts w:hint="default" w:ascii="Times New Roman" w:hAnsi="Times New Roman" w:cs="Times New Roman" w:eastAsiaTheme="minorEastAsia"/>
                <w:color w:val="auto"/>
                <w:sz w:val="24"/>
                <w:szCs w:val="24"/>
                <w:highlight w:val="none"/>
                <w:lang w:val="en-US" w:eastAsia="zh-CN"/>
              </w:rPr>
              <w:t>BDS-B1I</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BDS-B1C</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BDS-B2a</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BDS-B2b</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BDS-B2I</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BDS-B3I</w:t>
            </w:r>
            <w:r>
              <w:rPr>
                <w:rFonts w:hint="eastAsia" w:asciiTheme="minorEastAsia" w:hAnsiTheme="minorEastAsia" w:eastAsiaTheme="minorEastAsia" w:cstheme="minorEastAsia"/>
                <w:color w:val="auto"/>
                <w:sz w:val="24"/>
                <w:szCs w:val="24"/>
                <w:highlight w:val="none"/>
                <w:lang w:val="en-US" w:eastAsia="zh-CN"/>
              </w:rPr>
              <w:t>。</w:t>
            </w:r>
          </w:p>
          <w:p w14:paraId="30831A04">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信号规模：每频点</w:t>
            </w:r>
            <w:r>
              <w:rPr>
                <w:rFonts w:hint="default" w:ascii="Times New Roman" w:hAnsi="Times New Roman" w:cs="Times New Roman" w:eastAsia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t>通道</w:t>
            </w:r>
            <w:r>
              <w:rPr>
                <w:rFonts w:hint="eastAsia" w:asciiTheme="minorEastAsia" w:hAnsiTheme="minorEastAsia" w:eastAsiaTheme="minorEastAsia" w:cstheme="minorEastAsia"/>
                <w:color w:val="auto"/>
                <w:sz w:val="24"/>
                <w:szCs w:val="24"/>
                <w:highlight w:val="none"/>
                <w:lang w:eastAsia="zh-CN"/>
              </w:rPr>
              <w:t>。</w:t>
            </w:r>
          </w:p>
          <w:p w14:paraId="1122973B">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信号精度：伪距相位控制精度：优于</w:t>
            </w:r>
            <w:r>
              <w:rPr>
                <w:rFonts w:hint="default" w:ascii="Times New Roman" w:hAnsi="Times New Roman" w:cs="Times New Roman" w:eastAsiaTheme="minorEastAsia"/>
                <w:color w:val="auto"/>
                <w:sz w:val="24"/>
                <w:szCs w:val="24"/>
                <w:highlight w:val="none"/>
              </w:rPr>
              <w:t>0.05m</w:t>
            </w:r>
            <w:r>
              <w:rPr>
                <w:rFonts w:hint="eastAsia" w:asciiTheme="minorEastAsia" w:hAnsiTheme="minorEastAsia" w:eastAsiaTheme="minorEastAsia" w:cstheme="minorEastAsia"/>
                <w:color w:val="auto"/>
                <w:sz w:val="24"/>
                <w:szCs w:val="24"/>
                <w:highlight w:val="none"/>
              </w:rPr>
              <w:t>，伪距变化率精度：优于</w:t>
            </w:r>
            <w:r>
              <w:rPr>
                <w:rFonts w:hint="default" w:ascii="Times New Roman" w:hAnsi="Times New Roman" w:cs="Times New Roman" w:eastAsiaTheme="minorEastAsia"/>
                <w:color w:val="auto"/>
                <w:sz w:val="24"/>
                <w:szCs w:val="24"/>
                <w:highlight w:val="none"/>
              </w:rPr>
              <w:t>0.005m</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rPr>
              <w:t>s</w:t>
            </w:r>
            <w:r>
              <w:rPr>
                <w:rFonts w:hint="eastAsia" w:asciiTheme="minorEastAsia" w:hAnsiTheme="minorEastAsia" w:eastAsiaTheme="minorEastAsia" w:cstheme="minorEastAsia"/>
                <w:color w:val="auto"/>
                <w:sz w:val="24"/>
                <w:szCs w:val="24"/>
                <w:highlight w:val="none"/>
              </w:rPr>
              <w:t>，通道间一致性：</w:t>
            </w:r>
            <w:r>
              <w:rPr>
                <w:rFonts w:hint="default" w:ascii="Times New Roman" w:hAnsi="Times New Roman" w:cs="Times New Roman" w:eastAsiaTheme="minorEastAsia"/>
                <w:color w:val="auto"/>
                <w:sz w:val="24"/>
                <w:szCs w:val="24"/>
                <w:highlight w:val="none"/>
              </w:rPr>
              <w:t>0.3ns</w:t>
            </w:r>
            <w:r>
              <w:rPr>
                <w:rFonts w:hint="eastAsia" w:ascii="Times New Roman" w:hAnsi="Times New Roman" w:cs="Times New Roman" w:eastAsiaTheme="minorEastAsia"/>
                <w:color w:val="auto"/>
                <w:sz w:val="24"/>
                <w:szCs w:val="24"/>
                <w:highlight w:val="none"/>
                <w:lang w:eastAsia="zh-CN"/>
              </w:rPr>
              <w:t>。</w:t>
            </w:r>
          </w:p>
          <w:p w14:paraId="5629ECF3">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信号质量：</w:t>
            </w:r>
            <w:r>
              <w:rPr>
                <w:rFonts w:hint="eastAsia" w:asciiTheme="minorEastAsia" w:hAnsiTheme="minorEastAsia" w:eastAsiaTheme="minorEastAsia" w:cstheme="minorEastAsia"/>
                <w:color w:val="auto"/>
                <w:sz w:val="24"/>
                <w:szCs w:val="24"/>
                <w:highlight w:val="none"/>
              </w:rPr>
              <w:t>相位噪声：</w:t>
            </w:r>
            <w:r>
              <w:rPr>
                <w:rFonts w:hint="default" w:ascii="Times New Roman" w:hAnsi="Times New Roman" w:cs="Times New Roman"/>
                <w:color w:val="auto"/>
                <w:sz w:val="24"/>
                <w:szCs w:val="24"/>
                <w:highlight w:val="none"/>
              </w:rPr>
              <w:t>-75dBc</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Hz</w:t>
            </w:r>
            <w:r>
              <w:rPr>
                <w:rFonts w:hint="eastAsia" w:ascii="宋体" w:hAnsi="宋体"/>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100Hz</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-80dBc</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Hz</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1kHz</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-85dBc</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Hz</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10kHz</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-90dBc</w:t>
            </w:r>
            <w:r>
              <w:rPr>
                <w:rFonts w:hint="eastAsia" w:ascii="宋体" w:hAnsi="宋体"/>
                <w:color w:val="auto"/>
                <w:sz w:val="24"/>
                <w:szCs w:val="24"/>
                <w:highlight w:val="none"/>
              </w:rPr>
              <w:t>/</w:t>
            </w:r>
            <w:r>
              <w:rPr>
                <w:rFonts w:hint="default" w:ascii="Times New Roman" w:hAnsi="Times New Roman" w:cs="Times New Roman"/>
                <w:color w:val="auto"/>
                <w:sz w:val="24"/>
                <w:szCs w:val="24"/>
                <w:highlight w:val="none"/>
              </w:rPr>
              <w:t>Hz</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100kHz</w:t>
            </w:r>
            <w:r>
              <w:rPr>
                <w:rFonts w:hint="eastAsia" w:ascii="宋体" w:hAnsi="宋体"/>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载波相位精度（≤</w:t>
            </w:r>
            <w:r>
              <w:rPr>
                <w:rFonts w:hint="default" w:ascii="Times New Roman" w:hAnsi="Times New Roman" w:cs="Times New Roman" w:eastAsiaTheme="minorEastAsia"/>
                <w:color w:val="auto"/>
                <w:sz w:val="24"/>
                <w:szCs w:val="24"/>
                <w:highlight w:val="none"/>
                <w:lang w:val="en-US" w:eastAsia="zh-CN"/>
              </w:rPr>
              <w:t>0.01</w:t>
            </w:r>
            <w:r>
              <w:rPr>
                <w:rFonts w:hint="eastAsia" w:asciiTheme="minorEastAsia" w:hAnsiTheme="minorEastAsia" w:eastAsiaTheme="minorEastAsia" w:cstheme="minorEastAsia"/>
                <w:color w:val="auto"/>
                <w:sz w:val="24"/>
                <w:szCs w:val="24"/>
                <w:highlight w:val="none"/>
                <w:lang w:val="en-US" w:eastAsia="zh-CN"/>
              </w:rPr>
              <w:t>周）；谐波功率（</w:t>
            </w:r>
            <w:r>
              <w:rPr>
                <w:rFonts w:hint="default" w:ascii="Times New Roman" w:hAnsi="Times New Roman" w:cs="Times New Roman" w:eastAsiaTheme="minorEastAsia"/>
                <w:color w:val="auto"/>
                <w:sz w:val="24"/>
                <w:szCs w:val="24"/>
                <w:highlight w:val="none"/>
                <w:lang w:val="en-US" w:eastAsia="zh-CN"/>
              </w:rPr>
              <w:t>MAX</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-35dBc</w:t>
            </w:r>
            <w:r>
              <w:rPr>
                <w:rFonts w:hint="eastAsia" w:asciiTheme="minorEastAsia" w:hAnsiTheme="minorEastAsia" w:eastAsiaTheme="minorEastAsia" w:cstheme="minorEastAsia"/>
                <w:color w:val="auto"/>
                <w:sz w:val="24"/>
                <w:szCs w:val="24"/>
                <w:highlight w:val="none"/>
                <w:lang w:val="en-US" w:eastAsia="zh-CN"/>
              </w:rPr>
              <w:t>；杂波功率（</w:t>
            </w:r>
            <w:r>
              <w:rPr>
                <w:rFonts w:hint="default" w:ascii="Times New Roman" w:hAnsi="Times New Roman" w:cs="Times New Roman" w:eastAsiaTheme="minorEastAsia"/>
                <w:color w:val="auto"/>
                <w:sz w:val="24"/>
                <w:szCs w:val="24"/>
                <w:highlight w:val="none"/>
                <w:lang w:val="en-US" w:eastAsia="zh-CN"/>
              </w:rPr>
              <w:t>MAX</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-40dBc</w:t>
            </w:r>
            <w:r>
              <w:rPr>
                <w:rFonts w:hint="eastAsia" w:ascii="Times New Roman" w:hAnsi="Times New Roman" w:cs="Times New Roman" w:eastAsiaTheme="minorEastAsia"/>
                <w:color w:val="auto"/>
                <w:sz w:val="24"/>
                <w:szCs w:val="24"/>
                <w:highlight w:val="none"/>
                <w:lang w:val="en-US" w:eastAsia="zh-CN"/>
              </w:rPr>
              <w:t>。</w:t>
            </w:r>
          </w:p>
          <w:p w14:paraId="53DB3AB8">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信号功率：</w:t>
            </w:r>
            <w:r>
              <w:rPr>
                <w:rFonts w:hint="eastAsia" w:asciiTheme="minorEastAsia" w:hAnsiTheme="minorEastAsia" w:eastAsiaTheme="minorEastAsia" w:cstheme="minorEastAsia"/>
                <w:color w:val="auto"/>
                <w:sz w:val="24"/>
                <w:szCs w:val="24"/>
                <w:highlight w:val="none"/>
              </w:rPr>
              <w:t>功率范围：－</w:t>
            </w:r>
            <w:r>
              <w:rPr>
                <w:rFonts w:hint="default" w:ascii="Times New Roman" w:hAnsi="Times New Roman" w:cs="Times New Roman" w:eastAsiaTheme="minorEastAsia"/>
                <w:color w:val="auto"/>
                <w:sz w:val="24"/>
                <w:szCs w:val="24"/>
                <w:highlight w:val="none"/>
              </w:rPr>
              <w:t>150dBm</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rPr>
              <w:t>60dBm</w:t>
            </w:r>
            <w:r>
              <w:rPr>
                <w:rFonts w:hint="eastAsia" w:asciiTheme="minorEastAsia" w:hAnsiTheme="minorEastAsia" w:eastAsiaTheme="minorEastAsia" w:cstheme="minorEastAsia"/>
                <w:color w:val="auto"/>
                <w:sz w:val="24"/>
                <w:szCs w:val="24"/>
                <w:highlight w:val="none"/>
                <w:lang w:eastAsia="zh-CN"/>
              </w:rPr>
              <w:t>；功率分辨率：小于</w:t>
            </w:r>
            <w:r>
              <w:rPr>
                <w:rFonts w:hint="default" w:ascii="Times New Roman" w:hAnsi="Times New Roman" w:cs="Times New Roman" w:eastAsiaTheme="minorEastAsia"/>
                <w:color w:val="auto"/>
                <w:sz w:val="24"/>
                <w:szCs w:val="24"/>
                <w:highlight w:val="none"/>
                <w:lang w:val="en-US" w:eastAsia="zh-CN"/>
              </w:rPr>
              <w:t>0.2dB</w:t>
            </w:r>
            <w:r>
              <w:rPr>
                <w:rFonts w:hint="eastAsia" w:asciiTheme="minorEastAsia" w:hAnsiTheme="minorEastAsia" w:eastAsiaTheme="minorEastAsia" w:cstheme="minorEastAsia"/>
                <w:color w:val="auto"/>
                <w:sz w:val="24"/>
                <w:szCs w:val="24"/>
                <w:highlight w:val="none"/>
                <w:lang w:val="en-US" w:eastAsia="zh-CN"/>
              </w:rPr>
              <w:t>；功率准确率：小于</w:t>
            </w:r>
            <w:r>
              <w:rPr>
                <w:rFonts w:hint="default" w:ascii="Times New Roman" w:hAnsi="Times New Roman" w:cs="Times New Roman" w:eastAsiaTheme="minorEastAsia"/>
                <w:color w:val="auto"/>
                <w:sz w:val="24"/>
                <w:szCs w:val="24"/>
                <w:highlight w:val="none"/>
                <w:lang w:val="en-US" w:eastAsia="zh-CN"/>
              </w:rPr>
              <w:t>0.5dB</w:t>
            </w:r>
            <w:r>
              <w:rPr>
                <w:rFonts w:hint="eastAsia" w:asciiTheme="minorEastAsia" w:hAnsiTheme="minorEastAsia" w:eastAsiaTheme="minorEastAsia" w:cstheme="minorEastAsia"/>
                <w:color w:val="auto"/>
                <w:sz w:val="24"/>
                <w:szCs w:val="24"/>
                <w:highlight w:val="none"/>
                <w:lang w:val="en-US" w:eastAsia="zh-CN"/>
              </w:rPr>
              <w:t>。</w:t>
            </w:r>
          </w:p>
          <w:p w14:paraId="7D864767">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）动态范围：</w:t>
            </w:r>
            <w:r>
              <w:rPr>
                <w:rFonts w:hint="default" w:ascii="Times New Roman" w:hAnsi="Times New Roman" w:cs="Times New Roman" w:eastAsiaTheme="minorEastAsia"/>
                <w:color w:val="auto"/>
                <w:sz w:val="24"/>
                <w:szCs w:val="24"/>
                <w:highlight w:val="none"/>
                <w:lang w:val="en-US" w:eastAsia="zh-CN"/>
              </w:rPr>
              <w:t>0～10000m</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s</w:t>
            </w:r>
            <w:r>
              <w:rPr>
                <w:rFonts w:hint="eastAsia" w:asciiTheme="minorEastAsia" w:hAnsiTheme="minorEastAsia" w:eastAsiaTheme="minorEastAsia" w:cstheme="minorEastAsia"/>
                <w:color w:val="auto"/>
                <w:sz w:val="24"/>
                <w:szCs w:val="24"/>
                <w:highlight w:val="none"/>
                <w:lang w:val="en-US" w:eastAsia="zh-CN"/>
              </w:rPr>
              <w:t>；加速度：</w:t>
            </w:r>
            <w:r>
              <w:rPr>
                <w:rFonts w:hint="default" w:ascii="Times New Roman" w:hAnsi="Times New Roman" w:cs="Times New Roman" w:eastAsiaTheme="minorEastAsia"/>
                <w:color w:val="auto"/>
                <w:sz w:val="24"/>
                <w:szCs w:val="24"/>
                <w:highlight w:val="none"/>
                <w:lang w:val="en-US" w:eastAsia="zh-CN"/>
              </w:rPr>
              <w:t>0～900m</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s</w:t>
            </w:r>
            <w:r>
              <w:rPr>
                <w:rFonts w:hint="default" w:ascii="Times New Roman" w:hAnsi="Times New Roman" w:cs="Times New Roman" w:eastAsiaTheme="minorEastAsia"/>
                <w:color w:val="auto"/>
                <w:sz w:val="24"/>
                <w:szCs w:val="24"/>
                <w:highlight w:val="none"/>
                <w:vertAlign w:val="superscript"/>
                <w:lang w:val="en-US" w:eastAsia="zh-CN"/>
              </w:rPr>
              <w:t>2</w:t>
            </w:r>
            <w:r>
              <w:rPr>
                <w:rFonts w:hint="eastAsia" w:asciiTheme="minorEastAsia" w:hAnsiTheme="minorEastAsia" w:eastAsiaTheme="minorEastAsia" w:cstheme="minorEastAsia"/>
                <w:color w:val="auto"/>
                <w:sz w:val="24"/>
                <w:szCs w:val="24"/>
                <w:highlight w:val="none"/>
                <w:lang w:val="en-US" w:eastAsia="zh-CN"/>
              </w:rPr>
              <w:t>；加加速度：</w:t>
            </w:r>
            <w:r>
              <w:rPr>
                <w:rFonts w:hint="default" w:ascii="Times New Roman" w:hAnsi="Times New Roman" w:cs="Times New Roman" w:eastAsiaTheme="minorEastAsia"/>
                <w:color w:val="auto"/>
                <w:sz w:val="24"/>
                <w:szCs w:val="24"/>
                <w:highlight w:val="none"/>
                <w:lang w:val="en-US" w:eastAsia="zh-CN"/>
              </w:rPr>
              <w:t>0～900m</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s</w:t>
            </w:r>
            <w:r>
              <w:rPr>
                <w:rFonts w:hint="default" w:ascii="Times New Roman" w:hAnsi="Times New Roman" w:cs="Times New Roman" w:eastAsiaTheme="minorEastAsia"/>
                <w:color w:val="auto"/>
                <w:sz w:val="24"/>
                <w:szCs w:val="24"/>
                <w:highlight w:val="none"/>
                <w:vertAlign w:val="superscript"/>
                <w:lang w:val="en-US" w:eastAsia="zh-CN"/>
              </w:rPr>
              <w:t>3</w:t>
            </w:r>
            <w:r>
              <w:rPr>
                <w:rFonts w:hint="eastAsia" w:asciiTheme="minorEastAsia" w:hAnsiTheme="minorEastAsia" w:eastAsiaTheme="minorEastAsia" w:cstheme="minorEastAsia"/>
                <w:color w:val="auto"/>
                <w:sz w:val="24"/>
                <w:szCs w:val="24"/>
                <w:highlight w:val="none"/>
                <w:lang w:val="en-US" w:eastAsia="zh-CN"/>
              </w:rPr>
              <w:t>。</w:t>
            </w:r>
          </w:p>
          <w:p w14:paraId="422130B3">
            <w:pPr>
              <w:spacing w:line="440" w:lineRule="exact"/>
              <w:ind w:firstLine="480" w:firstLineChars="200"/>
              <w:contextualSpacing/>
              <w:rPr>
                <w:rFonts w:hint="eastAsia" w:ascii="宋体" w:hAnsi="宋体" w:eastAsia="宋体" w:cs="宋体"/>
                <w:color w:val="auto"/>
                <w:kern w:val="0"/>
                <w:sz w:val="24"/>
                <w:szCs w:val="24"/>
                <w:highlight w:val="none"/>
                <w:lang w:bidi="ar"/>
              </w:rPr>
            </w:pPr>
            <w:r>
              <w:rPr>
                <w:rFonts w:hint="default" w:ascii="Times New Roman" w:hAnsi="Times New Roman" w:cs="Times New Roman" w:eastAsia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）外部接口：</w:t>
            </w:r>
            <w:r>
              <w:rPr>
                <w:rFonts w:hint="eastAsia" w:ascii="宋体" w:hAnsi="宋体"/>
                <w:color w:val="auto"/>
                <w:sz w:val="24"/>
                <w:szCs w:val="24"/>
                <w:highlight w:val="none"/>
              </w:rPr>
              <w:t>参考</w:t>
            </w:r>
            <w:r>
              <w:rPr>
                <w:rFonts w:hint="default" w:ascii="Times New Roman" w:hAnsi="Times New Roman" w:cs="Times New Roman"/>
                <w:color w:val="auto"/>
                <w:sz w:val="24"/>
                <w:szCs w:val="24"/>
                <w:highlight w:val="none"/>
              </w:rPr>
              <w:t>1PPS</w:t>
            </w:r>
            <w:r>
              <w:rPr>
                <w:rFonts w:hint="eastAsia" w:ascii="宋体" w:hAnsi="宋体"/>
                <w:color w:val="auto"/>
                <w:sz w:val="24"/>
                <w:szCs w:val="24"/>
                <w:highlight w:val="none"/>
              </w:rPr>
              <w:t>脉冲信号（</w:t>
            </w:r>
            <w:r>
              <w:rPr>
                <w:rFonts w:hint="default" w:ascii="Times New Roman" w:hAnsi="Times New Roman" w:cs="Times New Roman"/>
                <w:color w:val="auto"/>
                <w:sz w:val="24"/>
                <w:szCs w:val="24"/>
                <w:highlight w:val="none"/>
              </w:rPr>
              <w:t>BNC</w:t>
            </w:r>
            <w:r>
              <w:rPr>
                <w:rFonts w:hint="eastAsia" w:ascii="宋体" w:hAnsi="宋体"/>
                <w:color w:val="auto"/>
                <w:sz w:val="24"/>
                <w:szCs w:val="24"/>
                <w:highlight w:val="none"/>
              </w:rPr>
              <w:t>型头）：输入、输出各</w:t>
            </w:r>
            <w:r>
              <w:rPr>
                <w:rFonts w:hint="default" w:ascii="Times New Roman" w:hAnsi="Times New Roman" w:cs="Times New Roman"/>
                <w:color w:val="auto"/>
                <w:sz w:val="24"/>
                <w:szCs w:val="24"/>
                <w:highlight w:val="none"/>
              </w:rPr>
              <w:t>1</w:t>
            </w:r>
            <w:r>
              <w:rPr>
                <w:rFonts w:hint="eastAsia" w:ascii="宋体" w:hAnsi="宋体"/>
                <w:color w:val="auto"/>
                <w:sz w:val="24"/>
                <w:szCs w:val="24"/>
                <w:highlight w:val="none"/>
              </w:rPr>
              <w:t>个</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参考</w:t>
            </w:r>
            <w:r>
              <w:rPr>
                <w:rFonts w:hint="default" w:ascii="Times New Roman" w:hAnsi="Times New Roman" w:cs="Times New Roman"/>
                <w:color w:val="auto"/>
                <w:sz w:val="24"/>
                <w:szCs w:val="24"/>
                <w:highlight w:val="none"/>
              </w:rPr>
              <w:t>10MHz</w:t>
            </w:r>
            <w:r>
              <w:rPr>
                <w:rFonts w:hint="eastAsia" w:ascii="宋体" w:hAnsi="宋体"/>
                <w:color w:val="auto"/>
                <w:sz w:val="24"/>
                <w:szCs w:val="24"/>
                <w:highlight w:val="none"/>
              </w:rPr>
              <w:t>时钟信号（</w:t>
            </w:r>
            <w:r>
              <w:rPr>
                <w:rFonts w:hint="default" w:ascii="Times New Roman" w:hAnsi="Times New Roman" w:cs="Times New Roman"/>
                <w:color w:val="auto"/>
                <w:sz w:val="24"/>
                <w:szCs w:val="24"/>
                <w:highlight w:val="none"/>
              </w:rPr>
              <w:t>BNC</w:t>
            </w:r>
            <w:r>
              <w:rPr>
                <w:rFonts w:hint="eastAsia" w:ascii="宋体" w:hAnsi="宋体"/>
                <w:color w:val="auto"/>
                <w:sz w:val="24"/>
                <w:szCs w:val="24"/>
                <w:highlight w:val="none"/>
              </w:rPr>
              <w:t>型头）：输入、输出各</w:t>
            </w:r>
            <w:r>
              <w:rPr>
                <w:rFonts w:hint="default" w:ascii="Times New Roman" w:hAnsi="Times New Roman" w:cs="Times New Roman"/>
                <w:color w:val="auto"/>
                <w:sz w:val="24"/>
                <w:szCs w:val="24"/>
                <w:highlight w:val="none"/>
              </w:rPr>
              <w:t>1</w:t>
            </w:r>
            <w:r>
              <w:rPr>
                <w:rFonts w:hint="eastAsia" w:ascii="宋体" w:hAnsi="宋体"/>
                <w:color w:val="auto"/>
                <w:sz w:val="24"/>
                <w:szCs w:val="24"/>
                <w:highlight w:val="none"/>
              </w:rPr>
              <w:t>个</w:t>
            </w:r>
            <w:r>
              <w:rPr>
                <w:rFonts w:hint="eastAsia" w:ascii="宋体" w:hAnsi="宋体"/>
                <w:color w:val="auto"/>
                <w:sz w:val="24"/>
                <w:szCs w:val="24"/>
                <w:highlight w:val="none"/>
                <w:lang w:eastAsia="zh-CN"/>
              </w:rPr>
              <w:t>；</w:t>
            </w:r>
            <w:r>
              <w:rPr>
                <w:rFonts w:hint="eastAsia" w:ascii="宋体" w:hAnsi="宋体"/>
                <w:color w:val="auto"/>
                <w:sz w:val="24"/>
                <w:szCs w:val="24"/>
                <w:highlight w:val="none"/>
              </w:rPr>
              <w:t>射频输出口（</w:t>
            </w:r>
            <w:r>
              <w:rPr>
                <w:rFonts w:hint="default" w:ascii="Times New Roman" w:hAnsi="Times New Roman" w:cs="Times New Roman"/>
                <w:color w:val="auto"/>
                <w:sz w:val="24"/>
                <w:szCs w:val="24"/>
                <w:highlight w:val="none"/>
              </w:rPr>
              <w:t>N</w:t>
            </w:r>
            <w:r>
              <w:rPr>
                <w:rFonts w:hint="eastAsia" w:ascii="宋体" w:hAnsi="宋体"/>
                <w:color w:val="auto"/>
                <w:sz w:val="24"/>
                <w:szCs w:val="24"/>
                <w:highlight w:val="none"/>
              </w:rPr>
              <w:t>型头）：</w:t>
            </w:r>
            <w:r>
              <w:rPr>
                <w:rFonts w:hint="default" w:ascii="Times New Roman" w:hAnsi="Times New Roman" w:cs="Times New Roman"/>
                <w:color w:val="auto"/>
                <w:sz w:val="24"/>
                <w:szCs w:val="24"/>
                <w:highlight w:val="none"/>
              </w:rPr>
              <w:t>1</w:t>
            </w:r>
            <w:r>
              <w:rPr>
                <w:rFonts w:hint="eastAsia" w:ascii="宋体" w:hAnsi="宋体"/>
                <w:color w:val="auto"/>
                <w:sz w:val="24"/>
                <w:szCs w:val="24"/>
                <w:highlight w:val="none"/>
              </w:rPr>
              <w:t>个</w:t>
            </w:r>
            <w:r>
              <w:rPr>
                <w:rFonts w:hint="eastAsia" w:ascii="宋体" w:hAnsi="宋体"/>
                <w:color w:val="auto"/>
                <w:sz w:val="24"/>
                <w:szCs w:val="24"/>
                <w:highlight w:val="none"/>
                <w:lang w:eastAsia="zh-CN"/>
              </w:rPr>
              <w:t>。</w:t>
            </w:r>
          </w:p>
        </w:tc>
      </w:tr>
      <w:tr w14:paraId="3B32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911" w:type="dxa"/>
            <w:vAlign w:val="center"/>
          </w:tcPr>
          <w:p w14:paraId="16163127">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p>
        </w:tc>
        <w:tc>
          <w:tcPr>
            <w:tcW w:w="2265" w:type="dxa"/>
            <w:vAlign w:val="center"/>
          </w:tcPr>
          <w:p w14:paraId="0E18AA30">
            <w:pPr>
              <w:widowControl/>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RNSS转发器</w:t>
            </w:r>
          </w:p>
        </w:tc>
        <w:tc>
          <w:tcPr>
            <w:tcW w:w="5850" w:type="dxa"/>
            <w:vAlign w:val="center"/>
          </w:tcPr>
          <w:p w14:paraId="5298F389">
            <w:pPr>
              <w:pageBreakBefore w:val="0"/>
              <w:widowControl w:val="0"/>
              <w:kinsoku/>
              <w:wordWrap/>
              <w:overflowPunct/>
              <w:topLinePunct w:val="0"/>
              <w:autoSpaceDE/>
              <w:autoSpaceDN/>
              <w:bidi w:val="0"/>
              <w:adjustRightInd/>
              <w:spacing w:line="320" w:lineRule="exact"/>
              <w:ind w:firstLine="241" w:firstLineChars="100"/>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功能指标</w:t>
            </w:r>
          </w:p>
          <w:p w14:paraId="28C1EE28">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val="en-US" w:eastAsia="zh-CN"/>
              </w:rPr>
              <w:t>能够实现将实际卫星导航信号引入实验室内进行实验。</w:t>
            </w:r>
          </w:p>
          <w:p w14:paraId="668388BB">
            <w:pPr>
              <w:pageBreakBefore w:val="0"/>
              <w:widowControl w:val="0"/>
              <w:kinsoku/>
              <w:wordWrap/>
              <w:overflowPunct/>
              <w:topLinePunct w:val="0"/>
              <w:autoSpaceDE/>
              <w:autoSpaceDN/>
              <w:bidi w:val="0"/>
              <w:adjustRightInd/>
              <w:spacing w:line="320" w:lineRule="exact"/>
              <w:ind w:firstLine="241" w:firstLineChars="100"/>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技术参数</w:t>
            </w:r>
          </w:p>
          <w:p w14:paraId="41490665">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转发频率：</w:t>
            </w:r>
            <w:r>
              <w:rPr>
                <w:rFonts w:hint="default" w:ascii="Times New Roman" w:hAnsi="Times New Roman" w:cs="Times New Roman" w:eastAsiaTheme="minorEastAsia"/>
                <w:color w:val="auto"/>
                <w:sz w:val="24"/>
                <w:szCs w:val="24"/>
                <w:highlight w:val="none"/>
              </w:rPr>
              <w:t>1.1GHz～1.7GHz</w:t>
            </w:r>
            <w:r>
              <w:rPr>
                <w:rFonts w:hint="eastAsia" w:asciiTheme="minorEastAsia" w:hAnsiTheme="minorEastAsia" w:eastAsiaTheme="minorEastAsia" w:cstheme="minorEastAsia"/>
                <w:color w:val="auto"/>
                <w:sz w:val="24"/>
                <w:szCs w:val="24"/>
                <w:highlight w:val="none"/>
              </w:rPr>
              <w:t>导航频点</w:t>
            </w:r>
            <w:r>
              <w:rPr>
                <w:rFonts w:hint="eastAsia" w:asciiTheme="minorEastAsia" w:hAnsiTheme="minorEastAsia" w:eastAsiaTheme="minorEastAsia" w:cstheme="minorEastAsia"/>
                <w:color w:val="auto"/>
                <w:sz w:val="24"/>
                <w:szCs w:val="24"/>
                <w:highlight w:val="none"/>
                <w:lang w:eastAsia="zh-CN"/>
              </w:rPr>
              <w:t>。</w:t>
            </w:r>
          </w:p>
          <w:p w14:paraId="27F9DD85">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增益</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rPr>
              <w:t>45dB</w:t>
            </w:r>
            <w:r>
              <w:rPr>
                <w:rFonts w:hint="eastAsia" w:asciiTheme="minorEastAsia" w:hAnsiTheme="minorEastAsia" w:eastAsiaTheme="minorEastAsia" w:cstheme="minorEastAsia"/>
                <w:color w:val="auto"/>
                <w:sz w:val="24"/>
                <w:szCs w:val="24"/>
                <w:highlight w:val="none"/>
                <w:lang w:eastAsia="zh-CN"/>
              </w:rPr>
              <w:t>。</w:t>
            </w:r>
          </w:p>
          <w:p w14:paraId="162DE766">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功率衰减范围</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rPr>
              <w:t>0～60dB</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rPr>
              <w:t>1dB</w:t>
            </w:r>
            <w:r>
              <w:rPr>
                <w:rFonts w:hint="eastAsia" w:asciiTheme="minorEastAsia" w:hAnsiTheme="minorEastAsia" w:eastAsiaTheme="minorEastAsia" w:cstheme="minorEastAsia"/>
                <w:color w:val="auto"/>
                <w:sz w:val="24"/>
                <w:szCs w:val="24"/>
                <w:highlight w:val="none"/>
              </w:rPr>
              <w:t>步进</w:t>
            </w:r>
            <w:r>
              <w:rPr>
                <w:rFonts w:hint="eastAsia" w:asciiTheme="minorEastAsia" w:hAnsiTheme="minorEastAsia" w:eastAsiaTheme="minorEastAsia" w:cstheme="minorEastAsia"/>
                <w:color w:val="auto"/>
                <w:sz w:val="24"/>
                <w:szCs w:val="24"/>
                <w:highlight w:val="none"/>
                <w:lang w:eastAsia="zh-CN"/>
              </w:rPr>
              <w:t>。</w:t>
            </w:r>
          </w:p>
          <w:p w14:paraId="54FD8B74">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）抗干扰：（带外抑制≥</w:t>
            </w:r>
            <w:r>
              <w:rPr>
                <w:rFonts w:hint="default" w:ascii="Times New Roman" w:hAnsi="Times New Roman" w:cs="Times New Roman" w:eastAsiaTheme="minorEastAsia"/>
                <w:color w:val="auto"/>
                <w:sz w:val="24"/>
                <w:szCs w:val="24"/>
                <w:highlight w:val="none"/>
                <w:lang w:val="en-US" w:eastAsia="zh-CN"/>
              </w:rPr>
              <w:t>60 dB</w:t>
            </w:r>
            <w:r>
              <w:rPr>
                <w:rFonts w:hint="eastAsia" w:asciiTheme="minorEastAsia" w:hAnsiTheme="minorEastAsia" w:eastAsiaTheme="minorEastAsia" w:cstheme="minorEastAsia"/>
                <w:color w:val="auto"/>
                <w:sz w:val="24"/>
                <w:szCs w:val="24"/>
                <w:highlight w:val="none"/>
                <w:lang w:val="en-US" w:eastAsia="zh-CN"/>
              </w:rPr>
              <w:t>）、支持北斗三号全频段转发。</w:t>
            </w:r>
          </w:p>
          <w:p w14:paraId="2A3F164C">
            <w:pPr>
              <w:bidi w:val="0"/>
              <w:ind w:firstLine="480" w:firstLineChars="200"/>
              <w:rPr>
                <w:rFonts w:hint="eastAsia" w:ascii="宋体" w:hAnsi="宋体" w:eastAsia="宋体" w:cs="宋体"/>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）电压：</w:t>
            </w:r>
            <w:r>
              <w:rPr>
                <w:rFonts w:hint="default" w:ascii="Times New Roman" w:hAnsi="Times New Roman" w:cs="Times New Roman" w:eastAsiaTheme="minorEastAsia"/>
                <w:color w:val="auto"/>
                <w:sz w:val="24"/>
                <w:szCs w:val="24"/>
                <w:highlight w:val="none"/>
                <w:lang w:val="en-US" w:eastAsia="zh-CN"/>
              </w:rPr>
              <w:t>220V AC</w:t>
            </w:r>
            <w:r>
              <w:rPr>
                <w:rFonts w:hint="eastAsia" w:asciiTheme="minorEastAsia" w:hAnsiTheme="minorEastAsia" w:eastAsiaTheme="minorEastAsia" w:cstheme="minorEastAsia"/>
                <w:color w:val="auto"/>
                <w:sz w:val="24"/>
                <w:szCs w:val="24"/>
                <w:highlight w:val="none"/>
                <w:lang w:val="en-US" w:eastAsia="zh-CN"/>
              </w:rPr>
              <w:t>。</w:t>
            </w:r>
          </w:p>
        </w:tc>
      </w:tr>
      <w:tr w14:paraId="5F64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6FA0988">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p>
        </w:tc>
        <w:tc>
          <w:tcPr>
            <w:tcW w:w="2265" w:type="dxa"/>
            <w:vAlign w:val="center"/>
          </w:tcPr>
          <w:p w14:paraId="1C15C087">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外场标准基准点</w:t>
            </w:r>
          </w:p>
        </w:tc>
        <w:tc>
          <w:tcPr>
            <w:tcW w:w="5850" w:type="dxa"/>
            <w:vAlign w:val="center"/>
          </w:tcPr>
          <w:p w14:paraId="41A08D21">
            <w:pPr>
              <w:pageBreakBefore w:val="0"/>
              <w:widowControl w:val="0"/>
              <w:kinsoku/>
              <w:wordWrap/>
              <w:overflowPunct/>
              <w:topLinePunct w:val="0"/>
              <w:autoSpaceDE/>
              <w:autoSpaceDN/>
              <w:bidi w:val="0"/>
              <w:adjustRightInd/>
              <w:spacing w:line="320" w:lineRule="exact"/>
              <w:ind w:firstLine="240" w:firstLineChars="1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★1）卫星星座PDOP≤4；</w:t>
            </w:r>
          </w:p>
          <w:p w14:paraId="7DD66367">
            <w:pPr>
              <w:pageBreakBefore w:val="0"/>
              <w:widowControl w:val="0"/>
              <w:kinsoku/>
              <w:wordWrap/>
              <w:overflowPunct/>
              <w:topLinePunct w:val="0"/>
              <w:autoSpaceDE/>
              <w:autoSpaceDN/>
              <w:bidi w:val="0"/>
              <w:adjustRightInd/>
              <w:spacing w:line="320" w:lineRule="exact"/>
              <w:ind w:firstLine="240" w:firstLineChars="1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2）具有高精度接收机；</w:t>
            </w:r>
          </w:p>
          <w:p w14:paraId="706EF791">
            <w:pPr>
              <w:pageBreakBefore w:val="0"/>
              <w:widowControl w:val="0"/>
              <w:kinsoku/>
              <w:wordWrap/>
              <w:overflowPunct/>
              <w:topLinePunct w:val="0"/>
              <w:autoSpaceDE/>
              <w:autoSpaceDN/>
              <w:bidi w:val="0"/>
              <w:adjustRightInd/>
              <w:spacing w:line="320" w:lineRule="exact"/>
              <w:ind w:firstLine="240" w:firstLineChars="1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★3）实时显示PDOP；</w:t>
            </w:r>
          </w:p>
          <w:p w14:paraId="12371EE1">
            <w:pPr>
              <w:pageBreakBefore w:val="0"/>
              <w:widowControl w:val="0"/>
              <w:kinsoku/>
              <w:wordWrap/>
              <w:overflowPunct/>
              <w:topLinePunct w:val="0"/>
              <w:autoSpaceDE/>
              <w:autoSpaceDN/>
              <w:bidi w:val="0"/>
              <w:adjustRightInd/>
              <w:spacing w:line="32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▲4）负责基准观测点的建设（以实际现场确认为主）。</w:t>
            </w:r>
          </w:p>
        </w:tc>
      </w:tr>
      <w:tr w14:paraId="0274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E1CA17E">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2265" w:type="dxa"/>
            <w:vAlign w:val="center"/>
          </w:tcPr>
          <w:p w14:paraId="55A30380">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屏蔽室</w:t>
            </w:r>
          </w:p>
        </w:tc>
        <w:tc>
          <w:tcPr>
            <w:tcW w:w="5850" w:type="dxa"/>
            <w:vAlign w:val="center"/>
          </w:tcPr>
          <w:p w14:paraId="004BD096">
            <w:pPr>
              <w:pageBreakBefore w:val="0"/>
              <w:widowControl w:val="0"/>
              <w:kinsoku/>
              <w:wordWrap/>
              <w:overflowPunct/>
              <w:topLinePunct w:val="0"/>
              <w:autoSpaceDE/>
              <w:autoSpaceDN/>
              <w:bidi w:val="0"/>
              <w:adjustRightInd/>
              <w:spacing w:line="320" w:lineRule="exact"/>
              <w:ind w:firstLine="241" w:firstLineChars="1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功能指标</w:t>
            </w:r>
          </w:p>
          <w:p w14:paraId="5C46FC1F">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用于</w:t>
            </w:r>
            <w:r>
              <w:rPr>
                <w:rFonts w:hint="eastAsia" w:asciiTheme="minorEastAsia" w:hAnsiTheme="minorEastAsia" w:eastAsiaTheme="minorEastAsia" w:cstheme="minorEastAsia"/>
                <w:color w:val="auto"/>
                <w:sz w:val="24"/>
                <w:szCs w:val="24"/>
                <w:highlight w:val="none"/>
                <w:lang w:val="en-US" w:eastAsia="zh-CN"/>
              </w:rPr>
              <w:t>屏蔽</w:t>
            </w:r>
            <w:r>
              <w:rPr>
                <w:rFonts w:hint="eastAsia" w:asciiTheme="minorEastAsia" w:hAnsiTheme="minorEastAsia" w:eastAsiaTheme="minorEastAsia" w:cstheme="minorEastAsia"/>
                <w:color w:val="auto"/>
                <w:sz w:val="24"/>
                <w:szCs w:val="24"/>
                <w:highlight w:val="none"/>
              </w:rPr>
              <w:t>来自</w:t>
            </w:r>
            <w:r>
              <w:rPr>
                <w:rFonts w:hint="eastAsia" w:asciiTheme="minorEastAsia" w:hAnsiTheme="minorEastAsia" w:eastAsiaTheme="minorEastAsia" w:cstheme="minorEastAsia"/>
                <w:color w:val="auto"/>
                <w:sz w:val="24"/>
                <w:szCs w:val="24"/>
                <w:highlight w:val="none"/>
                <w:lang w:val="en-US" w:eastAsia="zh-CN"/>
              </w:rPr>
              <w:t>外界</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导航</w:t>
            </w:r>
            <w:r>
              <w:rPr>
                <w:rFonts w:hint="eastAsia" w:asciiTheme="minorEastAsia" w:hAnsiTheme="minorEastAsia" w:eastAsiaTheme="minorEastAsia" w:cstheme="minorEastAsia"/>
                <w:color w:val="auto"/>
                <w:sz w:val="24"/>
                <w:szCs w:val="24"/>
                <w:highlight w:val="none"/>
              </w:rPr>
              <w:t>干扰信号，提高测试的灵敏度,降低背景噪声等作用。</w:t>
            </w:r>
          </w:p>
          <w:p w14:paraId="659F7873">
            <w:pPr>
              <w:pageBreakBefore w:val="0"/>
              <w:widowControl w:val="0"/>
              <w:kinsoku/>
              <w:wordWrap/>
              <w:overflowPunct/>
              <w:topLinePunct w:val="0"/>
              <w:autoSpaceDE/>
              <w:autoSpaceDN/>
              <w:bidi w:val="0"/>
              <w:adjustRightInd/>
              <w:spacing w:line="320" w:lineRule="exact"/>
              <w:ind w:firstLine="241" w:firstLineChars="100"/>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技术参数</w:t>
            </w:r>
          </w:p>
          <w:p w14:paraId="0C19A27C">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尺寸</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5.5m*4m</w:t>
            </w:r>
            <w:r>
              <w:rPr>
                <w:rFonts w:hint="eastAsia" w:asciiTheme="minorEastAsia" w:hAnsiTheme="minorEastAsia" w:eastAsiaTheme="minorEastAsia" w:cstheme="minorEastAsia"/>
                <w:color w:val="auto"/>
                <w:sz w:val="24"/>
                <w:szCs w:val="24"/>
                <w:highlight w:val="none"/>
                <w:lang w:val="en-US" w:eastAsia="zh-CN"/>
              </w:rPr>
              <w:t>，高</w:t>
            </w:r>
            <w:r>
              <w:rPr>
                <w:rFonts w:hint="default" w:ascii="Times New Roman" w:hAnsi="Times New Roman" w:cs="Times New Roman" w:eastAsiaTheme="minorEastAsia"/>
                <w:color w:val="auto"/>
                <w:sz w:val="24"/>
                <w:szCs w:val="24"/>
                <w:highlight w:val="none"/>
                <w:lang w:val="en-US" w:eastAsia="zh-CN"/>
              </w:rPr>
              <w:t>3m</w:t>
            </w:r>
            <w:r>
              <w:rPr>
                <w:rFonts w:hint="eastAsia" w:asciiTheme="minorEastAsia" w:hAnsiTheme="minorEastAsia" w:eastAsiaTheme="minorEastAsia" w:cstheme="minorEastAsia"/>
                <w:color w:val="auto"/>
                <w:sz w:val="24"/>
                <w:szCs w:val="24"/>
                <w:highlight w:val="none"/>
                <w:lang w:val="en-US" w:eastAsia="zh-CN"/>
              </w:rPr>
              <w:t>；屏蔽门宽：</w:t>
            </w:r>
            <w:r>
              <w:rPr>
                <w:rFonts w:hint="default" w:ascii="Times New Roman" w:hAnsi="Times New Roman" w:cs="Times New Roman" w:eastAsiaTheme="minorEastAsia"/>
                <w:color w:val="auto"/>
                <w:sz w:val="24"/>
                <w:szCs w:val="24"/>
                <w:highlight w:val="none"/>
                <w:lang w:val="en-US" w:eastAsia="zh-CN"/>
              </w:rPr>
              <w:t>1.2 m</w:t>
            </w:r>
            <w:r>
              <w:rPr>
                <w:rFonts w:hint="eastAsia" w:asciiTheme="minorEastAsia" w:hAnsiTheme="minorEastAsia" w:eastAsiaTheme="minorEastAsia" w:cstheme="minorEastAsia"/>
                <w:color w:val="auto"/>
                <w:sz w:val="24"/>
                <w:szCs w:val="24"/>
                <w:highlight w:val="none"/>
                <w:lang w:val="en-US" w:eastAsia="zh-CN"/>
              </w:rPr>
              <w:t>；</w:t>
            </w:r>
          </w:p>
          <w:p w14:paraId="36467D52">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Cs w:val="21"/>
                <w:highlight w:val="none"/>
              </w:rPr>
            </w:pPr>
            <w:r>
              <w:rPr>
                <w:rFonts w:hint="eastAsia" w:ascii="Times New Roman" w:hAnsi="Times New Roman" w:cs="Times New Roman"/>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屏蔽效能</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 xml:space="preserve">1 MHZ-1000 MHz </w:t>
            </w:r>
            <w:r>
              <w:rPr>
                <w:rFonts w:hint="eastAsia" w:asciiTheme="minorEastAsia" w:hAnsiTheme="minorEastAsia" w:eastAsiaTheme="minorEastAsia" w:cstheme="minorEastAsia"/>
                <w:color w:val="auto"/>
                <w:sz w:val="24"/>
                <w:szCs w:val="24"/>
                <w:highlight w:val="none"/>
                <w:lang w:val="en-US" w:eastAsia="zh-CN"/>
              </w:rPr>
              <w:t>&gt;</w:t>
            </w:r>
            <w:r>
              <w:rPr>
                <w:rFonts w:hint="default" w:ascii="Times New Roman" w:hAnsi="Times New Roman" w:cs="Times New Roman" w:eastAsiaTheme="minorEastAsia"/>
                <w:color w:val="auto"/>
                <w:sz w:val="24"/>
                <w:szCs w:val="24"/>
                <w:highlight w:val="none"/>
                <w:lang w:val="en-US" w:eastAsia="zh-CN"/>
              </w:rPr>
              <w:t>90dB</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1GHz-6GHz</w:t>
            </w:r>
            <w:r>
              <w:rPr>
                <w:rFonts w:hint="eastAsia" w:asciiTheme="minorEastAsia" w:hAnsiTheme="minorEastAsia" w:eastAsiaTheme="minorEastAsia" w:cstheme="minorEastAsia"/>
                <w:color w:val="auto"/>
                <w:sz w:val="24"/>
                <w:szCs w:val="24"/>
                <w:highlight w:val="none"/>
                <w:lang w:val="en-US" w:eastAsia="zh-CN"/>
              </w:rPr>
              <w:t>&gt;</w:t>
            </w:r>
            <w:r>
              <w:rPr>
                <w:rFonts w:hint="default" w:ascii="Times New Roman" w:hAnsi="Times New Roman" w:cs="Times New Roman" w:eastAsiaTheme="minorEastAsia"/>
                <w:color w:val="auto"/>
                <w:sz w:val="24"/>
                <w:szCs w:val="24"/>
                <w:highlight w:val="none"/>
                <w:lang w:val="en-US" w:eastAsia="zh-CN"/>
              </w:rPr>
              <w:t>80dB</w:t>
            </w:r>
            <w:r>
              <w:rPr>
                <w:rFonts w:hint="eastAsia" w:asciiTheme="minorEastAsia" w:hAnsiTheme="minorEastAsia" w:eastAsiaTheme="minorEastAsia" w:cstheme="minorEastAsia"/>
                <w:color w:val="auto"/>
                <w:sz w:val="24"/>
                <w:szCs w:val="24"/>
                <w:highlight w:val="none"/>
              </w:rPr>
              <w:t>；</w:t>
            </w:r>
          </w:p>
          <w:p w14:paraId="2CB69ED5">
            <w:pPr>
              <w:numPr>
                <w:ilvl w:val="0"/>
                <w:numId w:val="0"/>
              </w:numPr>
              <w:spacing w:line="24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接地电阻</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&lt;</w:t>
            </w:r>
            <w:r>
              <w:rPr>
                <w:rFonts w:hint="default" w:ascii="Times New Roman" w:hAnsi="Times New Roman" w:cs="Times New Roman" w:eastAsiaTheme="minorEastAsia"/>
                <w:color w:val="auto"/>
                <w:sz w:val="24"/>
                <w:szCs w:val="24"/>
                <w:highlight w:val="none"/>
                <w:lang w:val="en-US" w:eastAsia="zh-CN"/>
              </w:rPr>
              <w:t>1Ω</w:t>
            </w:r>
            <w:r>
              <w:rPr>
                <w:rFonts w:hint="eastAsia" w:asciiTheme="minorEastAsia" w:hAnsiTheme="minorEastAsia" w:eastAsiaTheme="minorEastAsia" w:cstheme="minorEastAsia"/>
                <w:color w:val="auto"/>
                <w:sz w:val="24"/>
                <w:szCs w:val="24"/>
                <w:highlight w:val="none"/>
              </w:rPr>
              <w:t>；</w:t>
            </w:r>
          </w:p>
          <w:p w14:paraId="5CB4B7E3">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绝缘电阻</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&gt;</w:t>
            </w:r>
            <w:r>
              <w:rPr>
                <w:rFonts w:hint="default" w:ascii="Times New Roman" w:hAnsi="Times New Roman" w:cs="Times New Roman" w:eastAsiaTheme="minorEastAsia"/>
                <w:color w:val="auto"/>
                <w:sz w:val="24"/>
                <w:szCs w:val="24"/>
                <w:highlight w:val="none"/>
                <w:lang w:val="en-US" w:eastAsia="zh-CN"/>
              </w:rPr>
              <w:t>2MΩ</w:t>
            </w:r>
            <w:r>
              <w:rPr>
                <w:rFonts w:hint="eastAsia" w:asciiTheme="minorEastAsia" w:hAnsiTheme="minorEastAsia" w:eastAsiaTheme="minorEastAsia" w:cstheme="minorEastAsia"/>
                <w:color w:val="auto"/>
                <w:sz w:val="24"/>
                <w:szCs w:val="24"/>
                <w:highlight w:val="none"/>
              </w:rPr>
              <w:t>；</w:t>
            </w:r>
          </w:p>
          <w:p w14:paraId="0A64E721">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宋体" w:hAnsi="宋体" w:eastAsia="宋体" w:cs="宋体"/>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）通风与安全要求：通风系统设计（换气次数≥</w:t>
            </w:r>
            <w:r>
              <w:rPr>
                <w:rFonts w:hint="default" w:ascii="Times New Roman" w:hAnsi="Times New Roman" w:cs="Times New Roman" w:eastAsia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次/小时）及防火等级（达到</w:t>
            </w:r>
            <w:r>
              <w:rPr>
                <w:rFonts w:hint="default" w:ascii="Times New Roman" w:hAnsi="Times New Roman" w:cs="Times New Roman" w:eastAsiaTheme="minorEastAsia"/>
                <w:color w:val="auto"/>
                <w:sz w:val="24"/>
                <w:szCs w:val="24"/>
                <w:highlight w:val="none"/>
                <w:lang w:val="en-US" w:eastAsia="zh-CN"/>
              </w:rPr>
              <w:t>A</w:t>
            </w:r>
            <w:r>
              <w:rPr>
                <w:rFonts w:hint="eastAsia" w:asciiTheme="minorEastAsia" w:hAnsiTheme="minorEastAsia" w:eastAsiaTheme="minorEastAsia" w:cstheme="minorEastAsia"/>
                <w:color w:val="auto"/>
                <w:sz w:val="24"/>
                <w:szCs w:val="24"/>
                <w:highlight w:val="none"/>
                <w:lang w:val="en-US" w:eastAsia="zh-CN"/>
              </w:rPr>
              <w:t>级）。</w:t>
            </w:r>
          </w:p>
        </w:tc>
      </w:tr>
      <w:tr w14:paraId="0C38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68BBB85">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p>
        </w:tc>
        <w:tc>
          <w:tcPr>
            <w:tcW w:w="2265" w:type="dxa"/>
            <w:vAlign w:val="center"/>
          </w:tcPr>
          <w:p w14:paraId="6CC59FDC">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测试评估软件</w:t>
            </w:r>
          </w:p>
        </w:tc>
        <w:tc>
          <w:tcPr>
            <w:tcW w:w="5850" w:type="dxa"/>
            <w:vAlign w:val="center"/>
          </w:tcPr>
          <w:p w14:paraId="6979426D">
            <w:pPr>
              <w:pageBreakBefore w:val="0"/>
              <w:widowControl w:val="0"/>
              <w:kinsoku/>
              <w:wordWrap/>
              <w:overflowPunct/>
              <w:topLinePunct w:val="0"/>
              <w:autoSpaceDE/>
              <w:autoSpaceDN/>
              <w:bidi w:val="0"/>
              <w:adjustRightInd/>
              <w:spacing w:line="320" w:lineRule="exact"/>
              <w:ind w:firstLine="241" w:firstLineChars="100"/>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功能指标</w:t>
            </w:r>
          </w:p>
          <w:p w14:paraId="5AD4641B">
            <w:pPr>
              <w:spacing w:line="240" w:lineRule="auto"/>
              <w:ind w:firstLine="480" w:firstLineChars="200"/>
              <w:rPr>
                <w:rFonts w:hint="eastAsia" w:asciiTheme="minorEastAsia" w:hAnsiTheme="minorEastAsia" w:eastAsiaTheme="minorEastAsia" w:cstheme="minorEastAsia"/>
                <w:color w:val="auto"/>
                <w:sz w:val="21"/>
                <w:szCs w:val="21"/>
                <w:highlight w:val="none"/>
                <w:lang w:eastAsia="zh-CN"/>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val="en-US" w:eastAsia="zh-CN"/>
              </w:rPr>
              <w:t>测试任务规划功能：</w:t>
            </w:r>
            <w:r>
              <w:rPr>
                <w:rFonts w:hint="eastAsia" w:asciiTheme="minorEastAsia" w:hAnsiTheme="minorEastAsia" w:eastAsiaTheme="minorEastAsia" w:cstheme="minorEastAsia"/>
                <w:color w:val="auto"/>
                <w:sz w:val="24"/>
                <w:szCs w:val="24"/>
                <w:highlight w:val="none"/>
                <w:lang w:val="en-US" w:eastAsia="zh-CN"/>
              </w:rPr>
              <w:t>实现</w:t>
            </w:r>
            <w:r>
              <w:rPr>
                <w:rFonts w:hint="eastAsia" w:asciiTheme="minorEastAsia" w:hAnsiTheme="minorEastAsia" w:eastAsiaTheme="minorEastAsia" w:cstheme="minorEastAsia"/>
                <w:color w:val="auto"/>
                <w:sz w:val="24"/>
                <w:szCs w:val="24"/>
                <w:highlight w:val="none"/>
              </w:rPr>
              <w:t>冷启动首次定位时间、重捕获时间、冷启动捕获灵敏度、热启动捕获灵敏度、重捕获灵敏度、跟踪灵敏度、定位精度、测速精度等测试项目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对北斗测试流程、测试指标和测试任务进行新增、编辑、</w:t>
            </w:r>
            <w:r>
              <w:rPr>
                <w:rFonts w:hint="eastAsia" w:asciiTheme="minorEastAsia" w:hAnsiTheme="minorEastAsia" w:eastAsiaTheme="minorEastAsia" w:cstheme="minorEastAsia"/>
                <w:color w:val="auto"/>
                <w:sz w:val="24"/>
                <w:szCs w:val="24"/>
                <w:highlight w:val="none"/>
                <w:lang w:val="en-US" w:eastAsia="zh-CN"/>
              </w:rPr>
              <w:t>查询、</w:t>
            </w:r>
            <w:r>
              <w:rPr>
                <w:rFonts w:hint="eastAsia" w:asciiTheme="minorEastAsia" w:hAnsiTheme="minorEastAsia" w:eastAsiaTheme="minorEastAsia" w:cstheme="minorEastAsia"/>
                <w:color w:val="auto"/>
                <w:sz w:val="24"/>
                <w:szCs w:val="24"/>
                <w:highlight w:val="none"/>
              </w:rPr>
              <w:t>删除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可对测试指标选择指定的流程集合，对测试任务选择指定的指标集合</w:t>
            </w:r>
            <w:r>
              <w:rPr>
                <w:rFonts w:hint="eastAsia" w:asciiTheme="minorEastAsia" w:hAnsiTheme="minorEastAsia" w:eastAsiaTheme="minorEastAsia" w:cstheme="minorEastAsia"/>
                <w:color w:val="auto"/>
                <w:sz w:val="24"/>
                <w:szCs w:val="24"/>
                <w:highlight w:val="none"/>
                <w:lang w:val="en-US" w:eastAsia="zh-CN"/>
              </w:rPr>
              <w:t>。</w:t>
            </w:r>
          </w:p>
          <w:p w14:paraId="74698DD8">
            <w:pPr>
              <w:spacing w:line="240" w:lineRule="auto"/>
              <w:ind w:firstLine="48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imes New Roman" w:hAnsi="Times New Roman" w:cs="Times New Roman"/>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测试控制功能：根据测试任务中的流程指令，对各类外部测试设备进行控制命令发送、回传数据接收功能，对待测北斗产品的数据进行保存。</w:t>
            </w:r>
          </w:p>
          <w:p w14:paraId="5701D879">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评估结果管理功能：北斗测试任务的评估结果查询、分析。</w:t>
            </w:r>
          </w:p>
          <w:p w14:paraId="30180635">
            <w:pPr>
              <w:spacing w:line="24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）北斗自动化测试评估功能：统计</w:t>
            </w:r>
            <w:r>
              <w:rPr>
                <w:rFonts w:hint="default" w:ascii="Times New Roman" w:hAnsi="Times New Roman" w:cs="Times New Roman" w:eastAsiaTheme="minorEastAsia"/>
                <w:color w:val="auto"/>
                <w:sz w:val="24"/>
                <w:szCs w:val="24"/>
                <w:highlight w:val="none"/>
                <w:lang w:val="en-US" w:eastAsia="zh-CN"/>
              </w:rPr>
              <w:t>30 s</w:t>
            </w:r>
            <w:r>
              <w:rPr>
                <w:rFonts w:hint="eastAsia" w:asciiTheme="minorEastAsia" w:hAnsiTheme="minorEastAsia" w:eastAsiaTheme="minorEastAsia" w:cstheme="minorEastAsia"/>
                <w:color w:val="auto"/>
                <w:sz w:val="24"/>
                <w:szCs w:val="24"/>
                <w:highlight w:val="none"/>
                <w:lang w:val="en-US" w:eastAsia="zh-CN"/>
              </w:rPr>
              <w:t>内定位精度不超过</w:t>
            </w:r>
            <w:r>
              <w:rPr>
                <w:rFonts w:hint="default" w:ascii="Times New Roman" w:hAnsi="Times New Roman" w:cs="Times New Roman" w:eastAsiaTheme="minorEastAsia"/>
                <w:color w:val="auto"/>
                <w:sz w:val="24"/>
                <w:szCs w:val="24"/>
                <w:highlight w:val="none"/>
                <w:lang w:val="en-US" w:eastAsia="zh-CN"/>
              </w:rPr>
              <w:t>30 m</w:t>
            </w:r>
            <w:r>
              <w:rPr>
                <w:rFonts w:hint="eastAsia" w:asciiTheme="minorEastAsia" w:hAnsiTheme="minorEastAsia" w:eastAsiaTheme="minorEastAsia" w:cs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95%</w:t>
            </w:r>
            <w:r>
              <w:rPr>
                <w:rFonts w:hint="eastAsia" w:asciiTheme="minorEastAsia" w:hAnsiTheme="minorEastAsia" w:eastAsiaTheme="minorEastAsia" w:cstheme="minorEastAsia"/>
                <w:color w:val="auto"/>
                <w:sz w:val="24"/>
                <w:szCs w:val="24"/>
                <w:highlight w:val="none"/>
                <w:lang w:val="en-US" w:eastAsia="zh-CN"/>
              </w:rPr>
              <w:t>置信度），对北斗测试数据进行定位精度的实时评估以及最终评估。对冷启动首次定位时间、重捕获时间、冷启动捕获灵敏度、热启动捕获灵敏度、重捕获灵敏度、跟踪灵敏度、测速精度等测试项目的实时评估以及最终评估。</w:t>
            </w:r>
          </w:p>
          <w:p w14:paraId="7F97AE61">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）定位信息确认功能：定位信息包括卫星信号种类、经度、纬度、速度、定位时间。</w:t>
            </w:r>
          </w:p>
          <w:p w14:paraId="51FD4F8C">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）定位功能异常自检确认功能：通过电动自行车厂商提供的连接工具检测电动自行车是否具有定位及异常状态检测功能。</w:t>
            </w:r>
          </w:p>
          <w:p w14:paraId="4734FB1A">
            <w:pPr>
              <w:spacing w:line="24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）数据管理功能：原始数据存储格式（如</w:t>
            </w:r>
            <w:r>
              <w:rPr>
                <w:rFonts w:hint="default" w:ascii="Times New Roman" w:hAnsi="Times New Roman" w:cs="Times New Roman" w:eastAsiaTheme="minorEastAsia"/>
                <w:color w:val="auto"/>
                <w:sz w:val="24"/>
                <w:szCs w:val="24"/>
                <w:highlight w:val="none"/>
                <w:lang w:val="en-US" w:eastAsia="zh-CN"/>
              </w:rPr>
              <w:t>RINEX 3.03</w:t>
            </w:r>
            <w:r>
              <w:rPr>
                <w:rFonts w:hint="eastAsia" w:asciiTheme="minorEastAsia" w:hAnsiTheme="minorEastAsia" w:eastAsiaTheme="minorEastAsia" w:cstheme="minorEastAsia"/>
                <w:color w:val="auto"/>
                <w:sz w:val="24"/>
                <w:szCs w:val="24"/>
                <w:highlight w:val="none"/>
                <w:lang w:val="en-US" w:eastAsia="zh-CN"/>
              </w:rPr>
              <w:t>标准）及长期存储周期（≥</w:t>
            </w:r>
            <w:r>
              <w:rPr>
                <w:rFonts w:hint="default" w:ascii="Times New Roman" w:hAnsi="Times New Roman" w:cs="Times New Roman" w:eastAsia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年）。</w:t>
            </w:r>
          </w:p>
          <w:p w14:paraId="672BFD69">
            <w:pPr>
              <w:spacing w:line="24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）场景文件管理功能：</w:t>
            </w:r>
            <w:r>
              <w:rPr>
                <w:rFonts w:hint="eastAsia" w:asciiTheme="minorEastAsia" w:hAnsiTheme="minorEastAsia" w:eastAsiaTheme="minorEastAsia" w:cstheme="minorEastAsia"/>
                <w:color w:val="auto"/>
                <w:sz w:val="24"/>
                <w:szCs w:val="24"/>
                <w:highlight w:val="none"/>
              </w:rPr>
              <w:t>可对北斗标准场景文件进行集中式管理，可为测试评估软件、仿真控制软件所在的服务器提供场景文件传输</w:t>
            </w:r>
            <w:r>
              <w:rPr>
                <w:rFonts w:hint="eastAsia" w:asciiTheme="minorEastAsia" w:hAnsiTheme="minorEastAsia" w:eastAsiaTheme="minorEastAsia" w:cstheme="minorEastAsia"/>
                <w:color w:val="auto"/>
                <w:sz w:val="24"/>
                <w:szCs w:val="24"/>
                <w:highlight w:val="none"/>
                <w:lang w:eastAsia="zh-CN"/>
              </w:rPr>
              <w:t>。</w:t>
            </w:r>
          </w:p>
          <w:p w14:paraId="7A2FA459">
            <w:pPr>
              <w:pageBreakBefore w:val="0"/>
              <w:widowControl w:val="0"/>
              <w:kinsoku/>
              <w:wordWrap/>
              <w:overflowPunct/>
              <w:topLinePunct w:val="0"/>
              <w:autoSpaceDE/>
              <w:autoSpaceDN/>
              <w:bidi w:val="0"/>
              <w:adjustRightInd/>
              <w:spacing w:line="320" w:lineRule="exact"/>
              <w:ind w:firstLine="241" w:firstLineChars="100"/>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技术参数</w:t>
            </w:r>
          </w:p>
          <w:p w14:paraId="05BA100D">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通信功能可靠性：丢包率≤</w:t>
            </w:r>
            <w:r>
              <w:rPr>
                <w:rFonts w:hint="default" w:ascii="Times New Roman" w:hAnsi="Times New Roman" w:cs="Times New Roman" w:eastAsia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、时延≤</w:t>
            </w:r>
            <w:r>
              <w:rPr>
                <w:rFonts w:hint="default" w:ascii="Times New Roman" w:hAnsi="Times New Roman" w:cs="Times New Roman" w:eastAsiaTheme="minorEastAsia"/>
                <w:color w:val="auto"/>
                <w:sz w:val="24"/>
                <w:szCs w:val="24"/>
                <w:highlight w:val="none"/>
                <w:lang w:val="en-US" w:eastAsia="zh-CN"/>
              </w:rPr>
              <w:t>100 ms</w:t>
            </w:r>
            <w:r>
              <w:rPr>
                <w:rFonts w:hint="eastAsia" w:asciiTheme="minorEastAsia" w:hAnsiTheme="minorEastAsia" w:eastAsiaTheme="minorEastAsia" w:cstheme="minorEastAsia"/>
                <w:color w:val="auto"/>
                <w:sz w:val="24"/>
                <w:szCs w:val="24"/>
                <w:highlight w:val="none"/>
                <w:lang w:val="en-US" w:eastAsia="zh-CN"/>
              </w:rPr>
              <w:t>。</w:t>
            </w:r>
          </w:p>
        </w:tc>
      </w:tr>
      <w:tr w14:paraId="17E3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1283FBA">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p>
        </w:tc>
        <w:tc>
          <w:tcPr>
            <w:tcW w:w="2265" w:type="dxa"/>
            <w:vAlign w:val="center"/>
          </w:tcPr>
          <w:p w14:paraId="4BAAAE8F">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蜂窝信号转发器</w:t>
            </w:r>
          </w:p>
        </w:tc>
        <w:tc>
          <w:tcPr>
            <w:tcW w:w="5850" w:type="dxa"/>
            <w:vAlign w:val="center"/>
          </w:tcPr>
          <w:p w14:paraId="5258DDBC">
            <w:pPr>
              <w:pageBreakBefore w:val="0"/>
              <w:widowControl w:val="0"/>
              <w:kinsoku/>
              <w:wordWrap/>
              <w:overflowPunct/>
              <w:topLinePunct w:val="0"/>
              <w:autoSpaceDE/>
              <w:autoSpaceDN/>
              <w:bidi w:val="0"/>
              <w:adjustRightInd/>
              <w:spacing w:line="320" w:lineRule="exact"/>
              <w:ind w:firstLine="241" w:firstLineChars="100"/>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功能指标</w:t>
            </w:r>
          </w:p>
          <w:p w14:paraId="63EFFF41">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实现将实际蜂窝信号引入暗室，实现蜂窝网信号的转发功能</w:t>
            </w:r>
            <w:r>
              <w:rPr>
                <w:rFonts w:hint="eastAsia" w:asciiTheme="minorEastAsia" w:hAnsiTheme="minorEastAsia" w:eastAsiaTheme="minorEastAsia" w:cstheme="minorEastAsia"/>
                <w:color w:val="auto"/>
                <w:sz w:val="24"/>
                <w:szCs w:val="24"/>
                <w:highlight w:val="none"/>
              </w:rPr>
              <w:t>。</w:t>
            </w:r>
          </w:p>
          <w:p w14:paraId="2350C43E">
            <w:pPr>
              <w:pageBreakBefore w:val="0"/>
              <w:widowControl w:val="0"/>
              <w:kinsoku/>
              <w:wordWrap/>
              <w:overflowPunct/>
              <w:topLinePunct w:val="0"/>
              <w:autoSpaceDE/>
              <w:autoSpaceDN/>
              <w:bidi w:val="0"/>
              <w:adjustRightInd/>
              <w:spacing w:line="320" w:lineRule="exact"/>
              <w:ind w:firstLine="241" w:firstLineChars="100"/>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技术参数</w:t>
            </w:r>
          </w:p>
          <w:p w14:paraId="48FEF2ED">
            <w:pPr>
              <w:numPr>
                <w:ilvl w:val="0"/>
                <w:numId w:val="0"/>
              </w:numPr>
              <w:spacing w:line="240" w:lineRule="auto"/>
              <w:ind w:firstLine="480" w:firstLineChars="200"/>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支持</w:t>
            </w:r>
            <w:r>
              <w:rPr>
                <w:rFonts w:hint="default" w:ascii="Times New Roman" w:hAnsi="Times New Roman" w:cs="Times New Roman" w:eastAsiaTheme="minorEastAsia"/>
                <w:color w:val="auto"/>
                <w:sz w:val="24"/>
                <w:szCs w:val="24"/>
                <w:highlight w:val="none"/>
              </w:rPr>
              <w:t>4G</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rPr>
              <w:t>5G</w:t>
            </w:r>
            <w:r>
              <w:rPr>
                <w:rFonts w:hint="eastAsia" w:asciiTheme="minorEastAsia" w:hAnsiTheme="minorEastAsia" w:eastAsiaTheme="minorEastAsia" w:cstheme="minorEastAsia"/>
                <w:color w:val="auto"/>
                <w:sz w:val="24"/>
                <w:szCs w:val="24"/>
                <w:highlight w:val="none"/>
              </w:rPr>
              <w:t>国内主要频段，包括但不限于移动</w:t>
            </w:r>
            <w:r>
              <w:rPr>
                <w:rFonts w:hint="default" w:ascii="Times New Roman" w:hAnsi="Times New Roman" w:cs="Times New Roman" w:eastAsiaTheme="minorEastAsia"/>
                <w:color w:val="auto"/>
                <w:sz w:val="24"/>
                <w:szCs w:val="24"/>
                <w:highlight w:val="none"/>
              </w:rPr>
              <w:t>5G</w:t>
            </w:r>
            <w:r>
              <w:rPr>
                <w:rFonts w:hint="eastAsia" w:asciiTheme="minorEastAsia" w:hAnsiTheme="minorEastAsia" w:eastAsiaTheme="minorEastAsia" w:cstheme="minorEastAsia"/>
                <w:color w:val="auto"/>
                <w:sz w:val="24"/>
                <w:szCs w:val="24"/>
                <w:highlight w:val="none"/>
              </w:rPr>
              <w:t>的</w:t>
            </w:r>
            <w:r>
              <w:rPr>
                <w:rFonts w:hint="default" w:ascii="Times New Roman" w:hAnsi="Times New Roman" w:cs="Times New Roman" w:eastAsiaTheme="minorEastAsia"/>
                <w:color w:val="auto"/>
                <w:sz w:val="24"/>
                <w:szCs w:val="24"/>
                <w:highlight w:val="none"/>
              </w:rPr>
              <w:t>n41</w:t>
            </w:r>
            <w:r>
              <w:rPr>
                <w:rFonts w:hint="eastAsia" w:asciiTheme="minorEastAsia" w:hAnsiTheme="minorEastAsia" w:eastAsiaTheme="minorEastAsia" w:cstheme="minorEastAsia"/>
                <w:color w:val="auto"/>
                <w:sz w:val="24"/>
                <w:szCs w:val="24"/>
                <w:highlight w:val="none"/>
              </w:rPr>
              <w:t>频段，移动</w:t>
            </w:r>
            <w:r>
              <w:rPr>
                <w:rFonts w:hint="default" w:ascii="Times New Roman" w:hAnsi="Times New Roman" w:cs="Times New Roman" w:eastAsiaTheme="minorEastAsia"/>
                <w:color w:val="auto"/>
                <w:sz w:val="24"/>
                <w:szCs w:val="24"/>
                <w:highlight w:val="none"/>
              </w:rPr>
              <w:t>4G</w:t>
            </w:r>
            <w:r>
              <w:rPr>
                <w:rFonts w:hint="eastAsia" w:asciiTheme="minorEastAsia" w:hAnsiTheme="minorEastAsia" w:eastAsiaTheme="minorEastAsia" w:cstheme="minorEastAsia"/>
                <w:color w:val="auto"/>
                <w:sz w:val="24"/>
                <w:szCs w:val="24"/>
                <w:highlight w:val="none"/>
              </w:rPr>
              <w:t>的</w:t>
            </w:r>
            <w:r>
              <w:rPr>
                <w:rFonts w:hint="default" w:ascii="Times New Roman" w:hAnsi="Times New Roman" w:cs="Times New Roman" w:eastAsiaTheme="minorEastAsia"/>
                <w:color w:val="auto"/>
                <w:sz w:val="24"/>
                <w:szCs w:val="24"/>
                <w:highlight w:val="none"/>
              </w:rPr>
              <w:t>b39、b40</w:t>
            </w:r>
            <w:r>
              <w:rPr>
                <w:rFonts w:hint="eastAsia" w:asciiTheme="minorEastAsia" w:hAnsiTheme="minorEastAsia" w:eastAsiaTheme="minorEastAsia" w:cstheme="minorEastAsia"/>
                <w:color w:val="auto"/>
                <w:sz w:val="24"/>
                <w:szCs w:val="24"/>
                <w:highlight w:val="none"/>
              </w:rPr>
              <w:t>频段；电信联通</w:t>
            </w:r>
            <w:r>
              <w:rPr>
                <w:rFonts w:hint="default" w:ascii="Times New Roman" w:hAnsi="Times New Roman" w:cs="Times New Roman" w:eastAsiaTheme="minorEastAsia"/>
                <w:color w:val="auto"/>
                <w:sz w:val="24"/>
                <w:szCs w:val="24"/>
                <w:highlight w:val="none"/>
              </w:rPr>
              <w:t>5G</w:t>
            </w:r>
            <w:r>
              <w:rPr>
                <w:rFonts w:hint="eastAsia" w:asciiTheme="minorEastAsia" w:hAnsiTheme="minorEastAsia" w:eastAsiaTheme="minorEastAsia" w:cstheme="minorEastAsia"/>
                <w:color w:val="auto"/>
                <w:sz w:val="24"/>
                <w:szCs w:val="24"/>
                <w:highlight w:val="none"/>
              </w:rPr>
              <w:t>的</w:t>
            </w:r>
            <w:r>
              <w:rPr>
                <w:rFonts w:hint="default" w:ascii="Times New Roman" w:hAnsi="Times New Roman" w:cs="Times New Roman" w:eastAsiaTheme="minorEastAsia"/>
                <w:color w:val="auto"/>
                <w:sz w:val="24"/>
                <w:szCs w:val="24"/>
                <w:highlight w:val="none"/>
              </w:rPr>
              <w:t>n78</w:t>
            </w:r>
            <w:r>
              <w:rPr>
                <w:rFonts w:hint="eastAsia" w:asciiTheme="minorEastAsia" w:hAnsiTheme="minorEastAsia" w:eastAsiaTheme="minorEastAsia" w:cstheme="minorEastAsia"/>
                <w:color w:val="auto"/>
                <w:sz w:val="24"/>
                <w:szCs w:val="24"/>
                <w:highlight w:val="none"/>
              </w:rPr>
              <w:t>频段，电信联通</w:t>
            </w:r>
            <w:r>
              <w:rPr>
                <w:rFonts w:hint="default" w:ascii="Times New Roman" w:hAnsi="Times New Roman" w:cs="Times New Roman" w:eastAsiaTheme="minorEastAsia"/>
                <w:color w:val="auto"/>
                <w:sz w:val="24"/>
                <w:szCs w:val="24"/>
                <w:highlight w:val="none"/>
              </w:rPr>
              <w:t>4G</w:t>
            </w:r>
            <w:r>
              <w:rPr>
                <w:rFonts w:hint="eastAsia" w:asciiTheme="minorEastAsia" w:hAnsiTheme="minorEastAsia" w:eastAsiaTheme="minorEastAsia" w:cstheme="minorEastAsia"/>
                <w:color w:val="auto"/>
                <w:sz w:val="24"/>
                <w:szCs w:val="24"/>
                <w:highlight w:val="none"/>
              </w:rPr>
              <w:t>的</w:t>
            </w:r>
            <w:r>
              <w:rPr>
                <w:rFonts w:hint="default" w:ascii="Times New Roman" w:hAnsi="Times New Roman" w:cs="Times New Roman" w:eastAsiaTheme="minorEastAsia"/>
                <w:color w:val="auto"/>
                <w:sz w:val="24"/>
                <w:szCs w:val="24"/>
                <w:highlight w:val="none"/>
              </w:rPr>
              <w:t>b1</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rPr>
              <w:t>b3</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rPr>
              <w:t>b5</w:t>
            </w:r>
            <w:r>
              <w:rPr>
                <w:rFonts w:hint="eastAsia" w:asciiTheme="minorEastAsia" w:hAnsiTheme="minorEastAsia" w:eastAsiaTheme="minorEastAsia" w:cstheme="minorEastAsia"/>
                <w:color w:val="auto"/>
                <w:sz w:val="24"/>
                <w:szCs w:val="24"/>
                <w:highlight w:val="none"/>
              </w:rPr>
              <w:t>、</w:t>
            </w:r>
            <w:r>
              <w:rPr>
                <w:rFonts w:hint="default" w:ascii="Times New Roman" w:hAnsi="Times New Roman" w:cs="Times New Roman" w:eastAsiaTheme="minorEastAsia"/>
                <w:color w:val="auto"/>
                <w:sz w:val="24"/>
                <w:szCs w:val="24"/>
                <w:highlight w:val="none"/>
              </w:rPr>
              <w:t>b8</w:t>
            </w:r>
            <w:r>
              <w:rPr>
                <w:rFonts w:hint="eastAsia" w:asciiTheme="minorEastAsia" w:hAnsiTheme="minorEastAsia" w:eastAsiaTheme="minorEastAsia" w:cstheme="minorEastAsia"/>
                <w:color w:val="auto"/>
                <w:sz w:val="24"/>
                <w:szCs w:val="24"/>
                <w:highlight w:val="none"/>
              </w:rPr>
              <w:t>频段</w:t>
            </w:r>
            <w:r>
              <w:rPr>
                <w:rFonts w:hint="eastAsia" w:asciiTheme="minorEastAsia" w:hAnsiTheme="minorEastAsia" w:eastAsiaTheme="minorEastAsia" w:cstheme="minorEastAsia"/>
                <w:color w:val="auto"/>
                <w:sz w:val="24"/>
                <w:szCs w:val="24"/>
                <w:highlight w:val="none"/>
                <w:lang w:eastAsia="zh-CN"/>
              </w:rPr>
              <w:t>。</w:t>
            </w:r>
          </w:p>
          <w:p w14:paraId="51844B35">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室外收发天线、</w:t>
            </w:r>
            <w:r>
              <w:rPr>
                <w:rFonts w:hint="eastAsia" w:asciiTheme="minorEastAsia" w:hAnsiTheme="minorEastAsia" w:eastAsiaTheme="minorEastAsia" w:cstheme="minorEastAsia"/>
                <w:color w:val="auto"/>
                <w:sz w:val="24"/>
                <w:szCs w:val="24"/>
                <w:highlight w:val="none"/>
                <w:lang w:val="en-US" w:eastAsia="zh-CN"/>
              </w:rPr>
              <w:t>屏蔽室</w:t>
            </w:r>
            <w:r>
              <w:rPr>
                <w:rFonts w:hint="eastAsia" w:asciiTheme="minorEastAsia" w:hAnsiTheme="minorEastAsia" w:eastAsiaTheme="minorEastAsia" w:cstheme="minorEastAsia"/>
                <w:color w:val="auto"/>
                <w:sz w:val="24"/>
                <w:szCs w:val="24"/>
                <w:highlight w:val="none"/>
              </w:rPr>
              <w:t>内收发天线的频率范围覆盖</w:t>
            </w:r>
            <w:r>
              <w:rPr>
                <w:rFonts w:hint="default" w:ascii="Times New Roman" w:hAnsi="Times New Roman" w:cs="Times New Roman" w:eastAsiaTheme="minorEastAsia"/>
                <w:color w:val="auto"/>
                <w:sz w:val="24"/>
                <w:szCs w:val="24"/>
                <w:highlight w:val="none"/>
              </w:rPr>
              <w:t>700MHz</w:t>
            </w:r>
            <w:r>
              <w:rPr>
                <w:rFonts w:hint="eastAsia" w:asciiTheme="minorEastAsia" w:hAnsiTheme="minorEastAsia" w:eastAsiaTheme="minorEastAsia" w:cstheme="minorEastAsia"/>
                <w:color w:val="auto"/>
                <w:sz w:val="24"/>
                <w:szCs w:val="24"/>
                <w:highlight w:val="none"/>
              </w:rPr>
              <w:t>到</w:t>
            </w:r>
            <w:r>
              <w:rPr>
                <w:rFonts w:hint="default" w:ascii="Times New Roman" w:hAnsi="Times New Roman" w:cs="Times New Roman" w:eastAsiaTheme="minorEastAsia"/>
                <w:color w:val="auto"/>
                <w:sz w:val="24"/>
                <w:szCs w:val="24"/>
                <w:highlight w:val="none"/>
              </w:rPr>
              <w:t>6GHz</w:t>
            </w:r>
            <w:r>
              <w:rPr>
                <w:rFonts w:hint="eastAsia" w:asciiTheme="minorEastAsia" w:hAnsiTheme="minorEastAsia" w:eastAsiaTheme="minorEastAsia" w:cstheme="minorEastAsia"/>
                <w:color w:val="auto"/>
                <w:sz w:val="24"/>
                <w:szCs w:val="24"/>
                <w:highlight w:val="none"/>
                <w:lang w:eastAsia="zh-CN"/>
              </w:rPr>
              <w:t>。</w:t>
            </w:r>
          </w:p>
          <w:p w14:paraId="783F5B6B">
            <w:pPr>
              <w:pageBreakBefore w:val="0"/>
              <w:widowControl w:val="0"/>
              <w:kinsoku/>
              <w:wordWrap/>
              <w:overflowPunct/>
              <w:topLinePunct w:val="0"/>
              <w:autoSpaceDE/>
              <w:autoSpaceDN/>
              <w:bidi w:val="0"/>
              <w:adjustRightIn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下行到室内被测点功率</w:t>
            </w:r>
            <w:r>
              <w:rPr>
                <w:rFonts w:hint="default" w:ascii="Times New Roman" w:hAnsi="Times New Roman" w:cs="Times New Roman" w:eastAsiaTheme="minorEastAsia"/>
                <w:color w:val="auto"/>
                <w:sz w:val="24"/>
                <w:szCs w:val="24"/>
                <w:highlight w:val="none"/>
              </w:rPr>
              <w:t>-85dBm</w:t>
            </w:r>
            <w:r>
              <w:rPr>
                <w:rFonts w:hint="eastAsia" w:asciiTheme="minorEastAsia" w:hAnsiTheme="minorEastAsia" w:eastAsiaTheme="minorEastAsia" w:cstheme="minorEastAsia"/>
                <w:color w:val="auto"/>
                <w:sz w:val="24"/>
                <w:szCs w:val="24"/>
                <w:highlight w:val="none"/>
              </w:rPr>
              <w:t>，最大增益</w:t>
            </w:r>
            <w:r>
              <w:rPr>
                <w:rFonts w:hint="default" w:ascii="Times New Roman" w:hAnsi="Times New Roman" w:cs="Times New Roman" w:eastAsiaTheme="minorEastAsia"/>
                <w:color w:val="auto"/>
                <w:sz w:val="24"/>
                <w:szCs w:val="24"/>
                <w:highlight w:val="none"/>
              </w:rPr>
              <w:t>50dB</w:t>
            </w:r>
            <w:r>
              <w:rPr>
                <w:rFonts w:hint="eastAsia" w:asciiTheme="minorEastAsia" w:hAnsiTheme="minorEastAsia" w:eastAsiaTheme="minorEastAsia" w:cstheme="minorEastAsia"/>
                <w:color w:val="auto"/>
                <w:sz w:val="24"/>
                <w:szCs w:val="24"/>
                <w:highlight w:val="none"/>
              </w:rPr>
              <w:t>，可调衰减</w:t>
            </w:r>
            <w:r>
              <w:rPr>
                <w:rFonts w:hint="eastAsia" w:asciiTheme="minorEastAsia" w:hAnsiTheme="minorEastAsia" w:eastAsiaTheme="minorEastAsia" w:cstheme="minorEastAsia"/>
                <w:color w:val="auto"/>
                <w:sz w:val="24"/>
                <w:szCs w:val="24"/>
                <w:highlight w:val="none"/>
                <w:lang w:eastAsia="zh-CN"/>
              </w:rPr>
              <w:t>。</w:t>
            </w:r>
          </w:p>
          <w:p w14:paraId="40841CCA">
            <w:pPr>
              <w:widowControl/>
              <w:jc w:val="left"/>
              <w:rPr>
                <w:rFonts w:hint="eastAsia" w:ascii="宋体" w:hAnsi="宋体" w:eastAsia="宋体" w:cs="宋体"/>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上行到室外能覆盖按室内空间损耗+线损，最大增益</w:t>
            </w:r>
            <w:r>
              <w:rPr>
                <w:rFonts w:hint="default" w:ascii="Times New Roman" w:hAnsi="Times New Roman" w:cs="Times New Roman" w:eastAsiaTheme="minorEastAsia"/>
                <w:color w:val="auto"/>
                <w:sz w:val="24"/>
                <w:szCs w:val="24"/>
                <w:highlight w:val="none"/>
              </w:rPr>
              <w:t>50dB</w:t>
            </w:r>
            <w:r>
              <w:rPr>
                <w:rFonts w:hint="eastAsia" w:asciiTheme="minorEastAsia" w:hAnsiTheme="minorEastAsia" w:eastAsiaTheme="minorEastAsia" w:cstheme="minorEastAsia"/>
                <w:color w:val="auto"/>
                <w:sz w:val="24"/>
                <w:szCs w:val="24"/>
                <w:highlight w:val="none"/>
              </w:rPr>
              <w:t>，可调衰减。</w:t>
            </w:r>
          </w:p>
        </w:tc>
      </w:tr>
      <w:tr w14:paraId="3707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2F350CE">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p>
        </w:tc>
        <w:tc>
          <w:tcPr>
            <w:tcW w:w="2265" w:type="dxa"/>
            <w:vAlign w:val="center"/>
          </w:tcPr>
          <w:p w14:paraId="458B43EB">
            <w:pPr>
              <w:spacing w:line="4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其他配套附件及服务</w:t>
            </w:r>
          </w:p>
        </w:tc>
        <w:tc>
          <w:tcPr>
            <w:tcW w:w="5850" w:type="dxa"/>
            <w:vAlign w:val="center"/>
          </w:tcPr>
          <w:p w14:paraId="2CA2D2E3">
            <w:pPr>
              <w:pageBreakBefore w:val="0"/>
              <w:widowControl w:val="0"/>
              <w:kinsoku/>
              <w:wordWrap/>
              <w:overflowPunct/>
              <w:topLinePunct w:val="0"/>
              <w:autoSpaceDE/>
              <w:autoSpaceDN/>
              <w:bidi w:val="0"/>
              <w:adjustRightInd/>
              <w:spacing w:line="32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工控机：</w:t>
            </w:r>
          </w:p>
          <w:p w14:paraId="68AC853E">
            <w:pPr>
              <w:pageBreakBefore w:val="0"/>
              <w:widowControl w:val="0"/>
              <w:kinsoku/>
              <w:wordWrap/>
              <w:overflowPunct/>
              <w:topLinePunct w:val="0"/>
              <w:autoSpaceDE/>
              <w:autoSpaceDN/>
              <w:bidi w:val="0"/>
              <w:adjustRightInd/>
              <w:spacing w:line="32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项目指标</w:t>
            </w:r>
          </w:p>
          <w:p w14:paraId="1E699C72">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bidi="ar-SA"/>
              </w:rPr>
              <w:t>1）</w:t>
            </w:r>
            <w:r>
              <w:rPr>
                <w:rFonts w:hint="eastAsia" w:ascii="Times New Roman" w:hAnsi="Times New Roman" w:cs="Times New Roman"/>
                <w:b w:val="0"/>
                <w:bCs w:val="0"/>
                <w:color w:val="auto"/>
                <w:sz w:val="24"/>
                <w:szCs w:val="24"/>
                <w:highlight w:val="none"/>
                <w:lang w:val="en-US" w:eastAsia="zh-CN"/>
              </w:rPr>
              <w:t>机箱：</w:t>
            </w:r>
            <w:r>
              <w:rPr>
                <w:rStyle w:val="49"/>
                <w:rFonts w:hint="eastAsia" w:ascii="宋体" w:hAnsi="宋体" w:eastAsia="宋体" w:cs="宋体"/>
                <w:color w:val="auto"/>
                <w:kern w:val="2"/>
                <w:sz w:val="24"/>
                <w:szCs w:val="24"/>
                <w:highlight w:val="none"/>
                <w:lang w:val="en-US" w:eastAsia="zh-CN" w:bidi="ar-SA"/>
              </w:rPr>
              <w:t>标准</w:t>
            </w:r>
            <w:r>
              <w:rPr>
                <w:rStyle w:val="49"/>
                <w:rFonts w:hint="default" w:ascii="Times New Roman" w:hAnsi="Times New Roman" w:eastAsia="宋体" w:cs="Times New Roman"/>
                <w:color w:val="auto"/>
                <w:kern w:val="2"/>
                <w:sz w:val="24"/>
                <w:szCs w:val="24"/>
                <w:highlight w:val="none"/>
                <w:lang w:val="en-US" w:eastAsia="zh-CN" w:bidi="ar-SA"/>
              </w:rPr>
              <w:t>2U</w:t>
            </w:r>
            <w:r>
              <w:rPr>
                <w:rStyle w:val="49"/>
                <w:rFonts w:hint="eastAsia" w:ascii="宋体" w:hAnsi="宋体" w:eastAsia="宋体" w:cs="宋体"/>
                <w:color w:val="auto"/>
                <w:kern w:val="2"/>
                <w:sz w:val="24"/>
                <w:szCs w:val="24"/>
                <w:highlight w:val="none"/>
                <w:lang w:val="en-US" w:eastAsia="zh-CN" w:bidi="ar-SA"/>
              </w:rPr>
              <w:t>·</w:t>
            </w:r>
            <w:r>
              <w:rPr>
                <w:rStyle w:val="49"/>
                <w:rFonts w:hint="default" w:ascii="Times New Roman" w:hAnsi="Times New Roman" w:eastAsia="宋体" w:cs="Times New Roman"/>
                <w:color w:val="auto"/>
                <w:kern w:val="2"/>
                <w:sz w:val="24"/>
                <w:szCs w:val="24"/>
                <w:highlight w:val="none"/>
                <w:lang w:val="en-US" w:eastAsia="zh-CN" w:bidi="ar-SA"/>
              </w:rPr>
              <w:t>19</w:t>
            </w:r>
            <w:r>
              <w:rPr>
                <w:rStyle w:val="49"/>
                <w:rFonts w:hint="eastAsia" w:ascii="宋体" w:hAnsi="宋体" w:eastAsia="宋体" w:cs="宋体"/>
                <w:color w:val="auto"/>
                <w:kern w:val="2"/>
                <w:sz w:val="24"/>
                <w:szCs w:val="24"/>
                <w:highlight w:val="none"/>
                <w:lang w:val="en-US" w:eastAsia="zh-CN" w:bidi="ar-SA"/>
              </w:rPr>
              <w:t>英寸优质可上架机箱。</w:t>
            </w:r>
          </w:p>
          <w:p w14:paraId="2CCF00B3">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2）</w:t>
            </w:r>
            <w:r>
              <w:rPr>
                <w:rFonts w:hint="eastAsia" w:ascii="Times New Roman" w:hAnsi="Times New Roman" w:cs="Times New Roman"/>
                <w:b w:val="0"/>
                <w:bCs w:val="0"/>
                <w:color w:val="auto"/>
                <w:sz w:val="24"/>
                <w:szCs w:val="24"/>
                <w:highlight w:val="none"/>
                <w:lang w:val="en-US" w:eastAsia="zh-CN"/>
              </w:rPr>
              <w:t>处理器：</w:t>
            </w:r>
            <w:r>
              <w:rPr>
                <w:rFonts w:hint="eastAsia" w:ascii="Times New Roman" w:hAnsi="Times New Roman" w:cs="Times New Roman"/>
                <w:b w:val="0"/>
                <w:bCs w:val="0"/>
                <w:color w:val="auto"/>
                <w:kern w:val="2"/>
                <w:sz w:val="24"/>
                <w:szCs w:val="24"/>
                <w:highlight w:val="none"/>
                <w:lang w:val="en-US" w:eastAsia="zh-CN" w:bidi="ar-SA"/>
              </w:rPr>
              <w:t>英特尔酷睿</w:t>
            </w:r>
            <w:r>
              <w:rPr>
                <w:rFonts w:hint="default" w:ascii="Times New Roman" w:hAnsi="Times New Roman" w:eastAsia="宋体" w:cs="Times New Roman"/>
                <w:b w:val="0"/>
                <w:bCs w:val="0"/>
                <w:color w:val="auto"/>
                <w:kern w:val="2"/>
                <w:sz w:val="24"/>
                <w:szCs w:val="24"/>
                <w:highlight w:val="none"/>
                <w:lang w:val="en-US" w:eastAsia="zh-CN" w:bidi="ar-SA"/>
              </w:rPr>
              <w:t xml:space="preserve"> i</w:t>
            </w:r>
            <w:r>
              <w:rPr>
                <w:rFonts w:hint="eastAsia" w:ascii="Times New Roman" w:hAnsi="Times New Roman" w:cs="Times New Roman"/>
                <w:b w:val="0"/>
                <w:bCs w:val="0"/>
                <w:color w:val="auto"/>
                <w:kern w:val="2"/>
                <w:sz w:val="24"/>
                <w:szCs w:val="24"/>
                <w:highlight w:val="none"/>
                <w:lang w:val="en-US" w:eastAsia="zh-CN" w:bidi="ar-SA"/>
              </w:rPr>
              <w:t>7及以上。</w:t>
            </w:r>
          </w:p>
          <w:p w14:paraId="6205AC0A">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3）</w:t>
            </w:r>
            <w:r>
              <w:rPr>
                <w:rFonts w:hint="eastAsia" w:ascii="Times New Roman" w:hAnsi="Times New Roman" w:cs="Times New Roman"/>
                <w:b w:val="0"/>
                <w:bCs w:val="0"/>
                <w:color w:val="auto"/>
                <w:sz w:val="24"/>
                <w:szCs w:val="24"/>
                <w:highlight w:val="none"/>
                <w:lang w:val="en-US" w:eastAsia="zh-CN"/>
              </w:rPr>
              <w:t>内存：</w:t>
            </w:r>
            <w:r>
              <w:rPr>
                <w:rStyle w:val="49"/>
                <w:rFonts w:hint="eastAsia" w:ascii="宋体" w:hAnsi="宋体" w:eastAsia="宋体" w:cs="宋体"/>
                <w:color w:val="auto"/>
                <w:kern w:val="2"/>
                <w:sz w:val="24"/>
                <w:szCs w:val="24"/>
                <w:highlight w:val="none"/>
                <w:lang w:val="en-US" w:eastAsia="zh-CN" w:bidi="ar-SA"/>
              </w:rPr>
              <w:t xml:space="preserve">≥ </w:t>
            </w:r>
            <w:r>
              <w:rPr>
                <w:rStyle w:val="49"/>
                <w:rFonts w:hint="eastAsia" w:ascii="Times New Roman" w:hAnsi="Times New Roman" w:cs="Times New Roman"/>
                <w:color w:val="auto"/>
                <w:kern w:val="2"/>
                <w:sz w:val="24"/>
                <w:szCs w:val="24"/>
                <w:highlight w:val="none"/>
                <w:lang w:val="en-US" w:eastAsia="zh-CN" w:bidi="ar-SA"/>
              </w:rPr>
              <w:t>16</w:t>
            </w:r>
            <w:r>
              <w:rPr>
                <w:rStyle w:val="49"/>
                <w:rFonts w:hint="default" w:ascii="Times New Roman" w:hAnsi="Times New Roman" w:eastAsia="宋体" w:cs="Times New Roman"/>
                <w:color w:val="auto"/>
                <w:kern w:val="2"/>
                <w:sz w:val="24"/>
                <w:szCs w:val="24"/>
                <w:highlight w:val="none"/>
                <w:lang w:val="en-US" w:eastAsia="zh-CN" w:bidi="ar-SA"/>
              </w:rPr>
              <w:t>GB</w:t>
            </w:r>
            <w:r>
              <w:rPr>
                <w:rStyle w:val="49"/>
                <w:rFonts w:hint="eastAsia" w:ascii="Times New Roman" w:hAnsi="Times New Roman" w:eastAsia="宋体" w:cs="Times New Roman"/>
                <w:color w:val="auto"/>
                <w:kern w:val="2"/>
                <w:sz w:val="24"/>
                <w:szCs w:val="24"/>
                <w:highlight w:val="none"/>
                <w:lang w:val="en-US" w:eastAsia="zh-CN" w:bidi="ar-SA"/>
              </w:rPr>
              <w:t>。</w:t>
            </w:r>
          </w:p>
          <w:p w14:paraId="3F73F86C">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4）</w:t>
            </w:r>
            <w:r>
              <w:rPr>
                <w:rFonts w:hint="eastAsia" w:ascii="Times New Roman" w:hAnsi="Times New Roman" w:cs="Times New Roman"/>
                <w:b w:val="0"/>
                <w:bCs w:val="0"/>
                <w:color w:val="auto"/>
                <w:sz w:val="24"/>
                <w:szCs w:val="24"/>
                <w:highlight w:val="none"/>
                <w:lang w:val="en-US" w:eastAsia="zh-CN"/>
              </w:rPr>
              <w:t>硬盘：</w:t>
            </w:r>
            <w:r>
              <w:rPr>
                <w:rStyle w:val="49"/>
                <w:rFonts w:hint="eastAsia" w:ascii="宋体" w:hAnsi="宋体" w:eastAsia="宋体" w:cs="宋体"/>
                <w:color w:val="auto"/>
                <w:kern w:val="2"/>
                <w:sz w:val="24"/>
                <w:szCs w:val="24"/>
                <w:highlight w:val="none"/>
                <w:lang w:val="en-US" w:eastAsia="zh-CN" w:bidi="ar-SA"/>
              </w:rPr>
              <w:t>≥</w:t>
            </w:r>
            <w:r>
              <w:rPr>
                <w:rStyle w:val="49"/>
                <w:rFonts w:hint="eastAsia" w:ascii="Times New Roman" w:hAnsi="Times New Roman" w:cs="Times New Roman"/>
                <w:color w:val="auto"/>
                <w:kern w:val="2"/>
                <w:sz w:val="24"/>
                <w:szCs w:val="24"/>
                <w:highlight w:val="none"/>
                <w:lang w:val="en-US" w:eastAsia="zh-CN" w:bidi="ar-SA"/>
              </w:rPr>
              <w:t>1T</w:t>
            </w:r>
            <w:r>
              <w:rPr>
                <w:rStyle w:val="49"/>
                <w:rFonts w:hint="default" w:ascii="Times New Roman" w:hAnsi="Times New Roman" w:eastAsia="宋体" w:cs="Times New Roman"/>
                <w:color w:val="auto"/>
                <w:kern w:val="2"/>
                <w:sz w:val="24"/>
                <w:szCs w:val="24"/>
                <w:highlight w:val="none"/>
                <w:lang w:val="en-US" w:eastAsia="zh-CN" w:bidi="ar-SA"/>
              </w:rPr>
              <w:t>B</w:t>
            </w:r>
            <w:r>
              <w:rPr>
                <w:rStyle w:val="49"/>
                <w:rFonts w:hint="eastAsia" w:ascii="Times New Roman" w:hAnsi="Times New Roman" w:eastAsia="宋体" w:cs="Times New Roman"/>
                <w:color w:val="auto"/>
                <w:kern w:val="2"/>
                <w:sz w:val="24"/>
                <w:szCs w:val="24"/>
                <w:highlight w:val="none"/>
                <w:lang w:val="en-US" w:eastAsia="zh-CN" w:bidi="ar-SA"/>
              </w:rPr>
              <w:t>。</w:t>
            </w:r>
          </w:p>
          <w:p w14:paraId="33AA9861">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Style w:val="49"/>
                <w:rFonts w:hint="eastAsia" w:ascii="宋体" w:hAnsi="宋体" w:eastAsia="宋体" w:cs="宋体"/>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5）</w:t>
            </w:r>
            <w:r>
              <w:rPr>
                <w:rFonts w:hint="eastAsia" w:ascii="Times New Roman" w:hAnsi="Times New Roman" w:cs="Times New Roman"/>
                <w:b w:val="0"/>
                <w:bCs w:val="0"/>
                <w:color w:val="auto"/>
                <w:sz w:val="24"/>
                <w:szCs w:val="24"/>
                <w:highlight w:val="none"/>
                <w:lang w:val="en-US" w:eastAsia="zh-CN"/>
              </w:rPr>
              <w:t>USB：</w:t>
            </w:r>
            <w:r>
              <w:rPr>
                <w:rStyle w:val="49"/>
                <w:rFonts w:hint="eastAsia" w:ascii="宋体" w:hAnsi="宋体" w:eastAsia="宋体" w:cs="宋体"/>
                <w:color w:val="auto"/>
                <w:kern w:val="2"/>
                <w:sz w:val="24"/>
                <w:szCs w:val="24"/>
                <w:highlight w:val="none"/>
                <w:lang w:val="en-US" w:eastAsia="zh-CN" w:bidi="ar-SA"/>
              </w:rPr>
              <w:t>不少于</w:t>
            </w:r>
            <w:r>
              <w:rPr>
                <w:rStyle w:val="49"/>
                <w:rFonts w:hint="default" w:ascii="Times New Roman" w:hAnsi="Times New Roman" w:eastAsia="宋体" w:cs="Times New Roman"/>
                <w:color w:val="auto"/>
                <w:kern w:val="2"/>
                <w:sz w:val="24"/>
                <w:szCs w:val="24"/>
                <w:highlight w:val="none"/>
                <w:lang w:val="en-US" w:eastAsia="zh-CN" w:bidi="ar-SA"/>
              </w:rPr>
              <w:t>6</w:t>
            </w:r>
            <w:r>
              <w:rPr>
                <w:rStyle w:val="49"/>
                <w:rFonts w:hint="eastAsia" w:ascii="宋体" w:hAnsi="宋体" w:eastAsia="宋体" w:cs="宋体"/>
                <w:color w:val="auto"/>
                <w:kern w:val="2"/>
                <w:sz w:val="24"/>
                <w:szCs w:val="24"/>
                <w:highlight w:val="none"/>
                <w:lang w:val="en-US" w:eastAsia="zh-CN" w:bidi="ar-SA"/>
              </w:rPr>
              <w:t>个</w:t>
            </w:r>
            <w:r>
              <w:rPr>
                <w:rStyle w:val="49"/>
                <w:rFonts w:hint="default" w:ascii="Times New Roman" w:hAnsi="Times New Roman" w:eastAsia="宋体" w:cs="Times New Roman"/>
                <w:color w:val="auto"/>
                <w:kern w:val="2"/>
                <w:sz w:val="24"/>
                <w:szCs w:val="24"/>
                <w:highlight w:val="none"/>
                <w:lang w:val="en-US" w:eastAsia="zh-CN" w:bidi="ar-SA"/>
              </w:rPr>
              <w:t>USB2.0</w:t>
            </w:r>
            <w:r>
              <w:rPr>
                <w:rStyle w:val="49"/>
                <w:rFonts w:hint="eastAsia" w:ascii="宋体" w:hAnsi="宋体" w:eastAsia="宋体" w:cs="宋体"/>
                <w:color w:val="auto"/>
                <w:kern w:val="2"/>
                <w:sz w:val="24"/>
                <w:szCs w:val="24"/>
                <w:highlight w:val="none"/>
                <w:lang w:val="en-US" w:eastAsia="zh-CN" w:bidi="ar-SA"/>
              </w:rPr>
              <w:t>接口。</w:t>
            </w:r>
          </w:p>
          <w:p w14:paraId="4719347E">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6）操作系统：</w:t>
            </w:r>
            <w:r>
              <w:rPr>
                <w:rFonts w:hint="default" w:ascii="Times New Roman" w:hAnsi="Times New Roman" w:eastAsia="宋体" w:cs="Times New Roman"/>
                <w:b w:val="0"/>
                <w:bCs w:val="0"/>
                <w:color w:val="auto"/>
                <w:kern w:val="2"/>
                <w:sz w:val="24"/>
                <w:szCs w:val="24"/>
                <w:highlight w:val="none"/>
                <w:lang w:val="en-US" w:eastAsia="zh-CN" w:bidi="ar-SA"/>
              </w:rPr>
              <w:t>Windows 1</w:t>
            </w:r>
            <w:r>
              <w:rPr>
                <w:rFonts w:hint="eastAsia" w:ascii="Times New Roman" w:hAnsi="Times New Roman" w:eastAsia="宋体" w:cs="Times New Roman"/>
                <w:b w:val="0"/>
                <w:bCs w:val="0"/>
                <w:color w:val="auto"/>
                <w:kern w:val="2"/>
                <w:sz w:val="24"/>
                <w:szCs w:val="24"/>
                <w:highlight w:val="none"/>
                <w:lang w:val="en-US" w:eastAsia="zh-CN" w:bidi="ar-SA"/>
              </w:rPr>
              <w:t>0及以上。</w:t>
            </w:r>
          </w:p>
          <w:p w14:paraId="63437B03">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7）</w:t>
            </w:r>
            <w:r>
              <w:rPr>
                <w:rFonts w:hint="eastAsia" w:ascii="Times New Roman" w:hAnsi="Times New Roman" w:eastAsia="宋体" w:cs="Times New Roman"/>
                <w:b w:val="0"/>
                <w:bCs w:val="0"/>
                <w:color w:val="auto"/>
                <w:kern w:val="2"/>
                <w:sz w:val="24"/>
                <w:szCs w:val="24"/>
                <w:highlight w:val="none"/>
                <w:lang w:val="en-US" w:eastAsia="zh-CN" w:bidi="ar-SA"/>
              </w:rPr>
              <w:t>串口：不少于</w:t>
            </w:r>
            <w:r>
              <w:rPr>
                <w:rFonts w:hint="default" w:ascii="Times New Roman" w:hAnsi="Times New Roman" w:eastAsia="宋体" w:cs="Times New Roman"/>
                <w:b w:val="0"/>
                <w:bCs w:val="0"/>
                <w:color w:val="auto"/>
                <w:kern w:val="2"/>
                <w:sz w:val="24"/>
                <w:szCs w:val="24"/>
                <w:highlight w:val="none"/>
                <w:lang w:val="en-US" w:eastAsia="zh-CN" w:bidi="ar-SA"/>
              </w:rPr>
              <w:t>2</w:t>
            </w:r>
            <w:r>
              <w:rPr>
                <w:rFonts w:hint="eastAsia" w:ascii="Times New Roman" w:hAnsi="Times New Roman" w:eastAsia="宋体" w:cs="Times New Roman"/>
                <w:b w:val="0"/>
                <w:bCs w:val="0"/>
                <w:color w:val="auto"/>
                <w:kern w:val="2"/>
                <w:sz w:val="24"/>
                <w:szCs w:val="24"/>
                <w:highlight w:val="none"/>
                <w:lang w:val="en-US" w:eastAsia="zh-CN" w:bidi="ar-SA"/>
              </w:rPr>
              <w:t>个</w:t>
            </w:r>
            <w:r>
              <w:rPr>
                <w:rFonts w:hint="default" w:ascii="Times New Roman" w:hAnsi="Times New Roman" w:eastAsia="宋体" w:cs="Times New Roman"/>
                <w:b w:val="0"/>
                <w:bCs w:val="0"/>
                <w:color w:val="auto"/>
                <w:kern w:val="2"/>
                <w:sz w:val="24"/>
                <w:szCs w:val="24"/>
                <w:highlight w:val="none"/>
                <w:lang w:val="en-US" w:eastAsia="zh-CN" w:bidi="ar-SA"/>
              </w:rPr>
              <w:t>RS232</w:t>
            </w:r>
            <w:r>
              <w:rPr>
                <w:rFonts w:hint="eastAsia" w:ascii="Times New Roman" w:hAnsi="Times New Roman" w:eastAsia="宋体" w:cs="Times New Roman"/>
                <w:b w:val="0"/>
                <w:bCs w:val="0"/>
                <w:color w:val="auto"/>
                <w:kern w:val="2"/>
                <w:sz w:val="24"/>
                <w:szCs w:val="24"/>
                <w:highlight w:val="none"/>
                <w:lang w:val="en-US" w:eastAsia="zh-CN" w:bidi="ar-SA"/>
              </w:rPr>
              <w:t xml:space="preserve"> 接口。</w:t>
            </w:r>
          </w:p>
          <w:p w14:paraId="21AEBC37">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8）</w:t>
            </w:r>
            <w:r>
              <w:rPr>
                <w:rFonts w:hint="eastAsia" w:ascii="Times New Roman" w:hAnsi="Times New Roman" w:eastAsia="宋体" w:cs="Times New Roman"/>
                <w:b w:val="0"/>
                <w:bCs w:val="0"/>
                <w:color w:val="auto"/>
                <w:kern w:val="2"/>
                <w:sz w:val="24"/>
                <w:szCs w:val="24"/>
                <w:highlight w:val="none"/>
                <w:lang w:val="en-US" w:eastAsia="zh-CN" w:bidi="ar-SA"/>
              </w:rPr>
              <w:t>电源：</w:t>
            </w:r>
            <w:r>
              <w:rPr>
                <w:rFonts w:hint="default" w:ascii="Times New Roman" w:hAnsi="Times New Roman" w:eastAsia="宋体" w:cs="Times New Roman"/>
                <w:b w:val="0"/>
                <w:bCs w:val="0"/>
                <w:color w:val="auto"/>
                <w:kern w:val="2"/>
                <w:sz w:val="24"/>
                <w:szCs w:val="24"/>
                <w:highlight w:val="none"/>
                <w:lang w:val="en-US" w:eastAsia="zh-CN" w:bidi="ar-SA"/>
              </w:rPr>
              <w:t>AC220V</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50Hz</w:t>
            </w:r>
            <w:r>
              <w:rPr>
                <w:rFonts w:hint="eastAsia" w:ascii="Times New Roman" w:hAnsi="Times New Roman" w:eastAsia="宋体" w:cs="Times New Roman"/>
                <w:b w:val="0"/>
                <w:bCs w:val="0"/>
                <w:color w:val="auto"/>
                <w:kern w:val="2"/>
                <w:sz w:val="24"/>
                <w:szCs w:val="24"/>
                <w:highlight w:val="none"/>
                <w:lang w:val="en-US" w:eastAsia="zh-CN" w:bidi="ar-SA"/>
              </w:rPr>
              <w:t xml:space="preserve"> 交流输入。</w:t>
            </w:r>
          </w:p>
          <w:p w14:paraId="0C894585">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9）屏幕：27英寸显示屏及以上。</w:t>
            </w:r>
          </w:p>
          <w:p w14:paraId="78A4971F">
            <w:pPr>
              <w:pageBreakBefore w:val="0"/>
              <w:widowControl w:val="0"/>
              <w:numPr>
                <w:ilvl w:val="0"/>
                <w:numId w:val="0"/>
              </w:numPr>
              <w:kinsoku/>
              <w:wordWrap/>
              <w:overflowPunct/>
              <w:topLinePunct w:val="0"/>
              <w:autoSpaceDE/>
              <w:autoSpaceDN/>
              <w:bidi w:val="0"/>
              <w:adjustRightInd/>
              <w:spacing w:line="320" w:lineRule="exact"/>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10</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eastAsia="宋体" w:cs="Times New Roman"/>
                <w:b w:val="0"/>
                <w:bCs w:val="0"/>
                <w:color w:val="auto"/>
                <w:kern w:val="2"/>
                <w:sz w:val="24"/>
                <w:szCs w:val="24"/>
                <w:highlight w:val="none"/>
                <w:lang w:val="en-US" w:eastAsia="zh-CN" w:bidi="ar-SA"/>
              </w:rPr>
              <w:t>键盘鼠标：键盘鼠标一套。</w:t>
            </w:r>
          </w:p>
          <w:p w14:paraId="208F7CF0">
            <w:pPr>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其他配套附件技术要求</w:t>
            </w:r>
          </w:p>
          <w:p w14:paraId="756FE516">
            <w:pPr>
              <w:numPr>
                <w:ilvl w:val="0"/>
                <w:numId w:val="0"/>
              </w:numPr>
              <w:ind w:firstLine="480" w:firstLineChars="200"/>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bidi="ar-SA"/>
              </w:rPr>
              <w:t>1）</w:t>
            </w:r>
            <w:r>
              <w:rPr>
                <w:rFonts w:hint="eastAsia" w:ascii="Times New Roman" w:hAnsi="Times New Roman" w:cs="Times New Roman"/>
                <w:b w:val="0"/>
                <w:bCs w:val="0"/>
                <w:color w:val="auto"/>
                <w:sz w:val="24"/>
                <w:szCs w:val="24"/>
                <w:highlight w:val="none"/>
                <w:lang w:val="en-US" w:eastAsia="zh-CN"/>
              </w:rPr>
              <w:t>线缆：</w:t>
            </w:r>
            <w:r>
              <w:rPr>
                <w:rStyle w:val="49"/>
                <w:rFonts w:hint="eastAsia" w:ascii="宋体" w:hAnsi="宋体" w:eastAsia="宋体" w:cs="宋体"/>
                <w:color w:val="auto"/>
                <w:kern w:val="2"/>
                <w:sz w:val="24"/>
                <w:szCs w:val="24"/>
                <w:highlight w:val="none"/>
                <w:lang w:val="en-US" w:eastAsia="zh-CN" w:bidi="ar-SA"/>
              </w:rPr>
              <w:t>有线无线系统搭建所需的射频线缆、电源线、数据线等，采用低插损的</w:t>
            </w:r>
            <w:r>
              <w:rPr>
                <w:rStyle w:val="49"/>
                <w:rFonts w:hint="default" w:ascii="Times New Roman" w:hAnsi="Times New Roman" w:eastAsia="宋体" w:cs="Times New Roman"/>
                <w:color w:val="auto"/>
                <w:kern w:val="2"/>
                <w:sz w:val="24"/>
                <w:szCs w:val="24"/>
                <w:highlight w:val="none"/>
                <w:lang w:val="en-US" w:eastAsia="zh-CN" w:bidi="ar-SA"/>
              </w:rPr>
              <w:t>RG316</w:t>
            </w:r>
            <w:r>
              <w:rPr>
                <w:rStyle w:val="49"/>
                <w:rFonts w:hint="eastAsia" w:ascii="宋体" w:hAnsi="宋体" w:eastAsia="宋体" w:cs="宋体"/>
                <w:color w:val="auto"/>
                <w:kern w:val="2"/>
                <w:sz w:val="24"/>
                <w:szCs w:val="24"/>
                <w:highlight w:val="none"/>
                <w:lang w:val="en-US" w:eastAsia="zh-CN" w:bidi="ar-SA"/>
              </w:rPr>
              <w:t>射频同轴电缆，双</w:t>
            </w:r>
            <w:r>
              <w:rPr>
                <w:rStyle w:val="49"/>
                <w:rFonts w:hint="default" w:ascii="Times New Roman" w:hAnsi="Times New Roman" w:eastAsia="宋体" w:cs="Times New Roman"/>
                <w:color w:val="auto"/>
                <w:kern w:val="2"/>
                <w:sz w:val="24"/>
                <w:szCs w:val="24"/>
                <w:highlight w:val="none"/>
                <w:lang w:val="en-US" w:eastAsia="zh-CN" w:bidi="ar-SA"/>
              </w:rPr>
              <w:t>SMA</w:t>
            </w:r>
            <w:r>
              <w:rPr>
                <w:rStyle w:val="49"/>
                <w:rFonts w:hint="eastAsia" w:ascii="宋体" w:hAnsi="宋体" w:eastAsia="宋体" w:cs="宋体"/>
                <w:color w:val="auto"/>
                <w:kern w:val="2"/>
                <w:sz w:val="24"/>
                <w:szCs w:val="24"/>
                <w:highlight w:val="none"/>
                <w:lang w:val="en-US" w:eastAsia="zh-CN" w:bidi="ar-SA"/>
              </w:rPr>
              <w:t>头。</w:t>
            </w:r>
          </w:p>
          <w:p w14:paraId="0A8F8E51">
            <w:pPr>
              <w:numPr>
                <w:ilvl w:val="0"/>
                <w:numId w:val="0"/>
              </w:numPr>
              <w:ind w:firstLine="480" w:firstLineChars="200"/>
              <w:rPr>
                <w:rFonts w:hint="eastAsia"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2）</w:t>
            </w:r>
            <w:r>
              <w:rPr>
                <w:rFonts w:hint="eastAsia" w:ascii="Times New Roman" w:hAnsi="Times New Roman" w:cs="Times New Roman"/>
                <w:b w:val="0"/>
                <w:bCs w:val="0"/>
                <w:color w:val="auto"/>
                <w:sz w:val="24"/>
                <w:szCs w:val="24"/>
                <w:highlight w:val="none"/>
                <w:lang w:val="en-US" w:eastAsia="zh-CN"/>
              </w:rPr>
              <w:t>显示器：32寸及以上。</w:t>
            </w:r>
          </w:p>
          <w:p w14:paraId="74B6EB02">
            <w:pPr>
              <w:numPr>
                <w:ilvl w:val="0"/>
                <w:numId w:val="0"/>
              </w:numPr>
              <w:ind w:firstLine="480" w:firstLineChars="200"/>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3）摄像头1个（像素800万以上，用于监控屏蔽室内情况）。</w:t>
            </w:r>
          </w:p>
          <w:p w14:paraId="01995E1B">
            <w:pPr>
              <w:numPr>
                <w:ilvl w:val="0"/>
                <w:numId w:val="0"/>
              </w:numPr>
              <w:ind w:firstLine="480" w:firstLineChars="20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3）</w:t>
            </w:r>
            <w:r>
              <w:rPr>
                <w:rFonts w:hint="eastAsia" w:ascii="Times New Roman" w:hAnsi="Times New Roman" w:cs="Times New Roman"/>
                <w:b w:val="0"/>
                <w:bCs w:val="0"/>
                <w:color w:val="auto"/>
                <w:sz w:val="24"/>
                <w:szCs w:val="24"/>
                <w:highlight w:val="none"/>
                <w:lang w:val="en-US" w:eastAsia="zh-CN"/>
              </w:rPr>
              <w:t>网络交换机：</w:t>
            </w:r>
            <w:r>
              <w:rPr>
                <w:rStyle w:val="49"/>
                <w:rFonts w:hint="default" w:ascii="Times New Roman" w:hAnsi="Times New Roman" w:eastAsia="宋体" w:cs="Times New Roman"/>
                <w:color w:val="auto"/>
                <w:kern w:val="2"/>
                <w:sz w:val="24"/>
                <w:szCs w:val="24"/>
                <w:highlight w:val="none"/>
                <w:lang w:val="en-US" w:eastAsia="zh-CN" w:bidi="ar-SA"/>
              </w:rPr>
              <w:t>4</w:t>
            </w:r>
            <w:r>
              <w:rPr>
                <w:rStyle w:val="49"/>
                <w:rFonts w:hint="eastAsia" w:ascii="宋体" w:hAnsi="宋体" w:eastAsia="宋体" w:cs="宋体"/>
                <w:color w:val="auto"/>
                <w:kern w:val="2"/>
                <w:sz w:val="24"/>
                <w:szCs w:val="24"/>
                <w:highlight w:val="none"/>
                <w:lang w:val="en-US" w:eastAsia="zh-CN" w:bidi="ar-SA"/>
              </w:rPr>
              <w:t>口网络交换机</w:t>
            </w:r>
            <w:r>
              <w:rPr>
                <w:rStyle w:val="49"/>
                <w:rFonts w:hint="default" w:ascii="Times New Roman" w:hAnsi="Times New Roman" w:eastAsia="宋体" w:cs="Times New Roman"/>
                <w:color w:val="auto"/>
                <w:kern w:val="2"/>
                <w:sz w:val="24"/>
                <w:szCs w:val="24"/>
                <w:highlight w:val="none"/>
                <w:lang w:val="en-US" w:eastAsia="zh-CN" w:bidi="ar-SA"/>
              </w:rPr>
              <w:t>1</w:t>
            </w:r>
            <w:r>
              <w:rPr>
                <w:rStyle w:val="49"/>
                <w:rFonts w:hint="eastAsia" w:ascii="宋体" w:hAnsi="宋体" w:eastAsia="宋体" w:cs="宋体"/>
                <w:color w:val="auto"/>
                <w:kern w:val="2"/>
                <w:sz w:val="24"/>
                <w:szCs w:val="24"/>
                <w:highlight w:val="none"/>
                <w:lang w:val="en-US" w:eastAsia="zh-CN" w:bidi="ar-SA"/>
              </w:rPr>
              <w:t>台</w:t>
            </w:r>
            <w:r>
              <w:rPr>
                <w:rStyle w:val="49"/>
                <w:rFonts w:hint="eastAsia" w:ascii="宋体" w:hAnsi="宋体" w:cs="宋体"/>
                <w:color w:val="auto"/>
                <w:kern w:val="2"/>
                <w:sz w:val="24"/>
                <w:szCs w:val="24"/>
                <w:highlight w:val="none"/>
                <w:lang w:val="en-US" w:eastAsia="zh-CN" w:bidi="ar-SA"/>
              </w:rPr>
              <w:t>。</w:t>
            </w:r>
          </w:p>
          <w:p w14:paraId="0E7C7AB7">
            <w:pPr>
              <w:numPr>
                <w:ilvl w:val="0"/>
                <w:numId w:val="0"/>
              </w:numPr>
              <w:ind w:firstLine="480" w:firstLineChars="200"/>
              <w:rPr>
                <w:rFonts w:hint="eastAsia"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4）</w:t>
            </w:r>
            <w:r>
              <w:rPr>
                <w:rFonts w:hint="eastAsia" w:ascii="Times New Roman" w:hAnsi="Times New Roman" w:cs="Times New Roman"/>
                <w:b w:val="0"/>
                <w:bCs w:val="0"/>
                <w:color w:val="auto"/>
                <w:sz w:val="24"/>
                <w:szCs w:val="24"/>
                <w:highlight w:val="none"/>
                <w:lang w:val="en-US" w:eastAsia="zh-CN"/>
              </w:rPr>
              <w:t>串口服务器：</w:t>
            </w:r>
            <w:r>
              <w:rPr>
                <w:rFonts w:hint="default" w:ascii="Times New Roman" w:hAnsi="Times New Roman" w:cs="Times New Roman"/>
                <w:b w:val="0"/>
                <w:bCs w:val="0"/>
                <w:color w:val="auto"/>
                <w:sz w:val="24"/>
                <w:szCs w:val="24"/>
                <w:highlight w:val="none"/>
                <w:lang w:val="en-US" w:eastAsia="zh-CN"/>
              </w:rPr>
              <w:t>Nport 16</w:t>
            </w:r>
            <w:r>
              <w:rPr>
                <w:rFonts w:hint="eastAsia" w:ascii="Times New Roman" w:hAnsi="Times New Roman" w:cs="Times New Roman"/>
                <w:b w:val="0"/>
                <w:bCs w:val="0"/>
                <w:color w:val="auto"/>
                <w:sz w:val="24"/>
                <w:szCs w:val="24"/>
                <w:highlight w:val="none"/>
                <w:lang w:val="en-US" w:eastAsia="zh-CN"/>
              </w:rPr>
              <w:t>口串口服务器</w:t>
            </w:r>
            <w:r>
              <w:rPr>
                <w:rFonts w:hint="default" w:ascii="Times New Roman" w:hAnsi="Times New Roman" w:cs="Times New Roman"/>
                <w:b w:val="0"/>
                <w:bCs w:val="0"/>
                <w:color w:val="auto"/>
                <w:sz w:val="24"/>
                <w:szCs w:val="24"/>
                <w:highlight w:val="none"/>
                <w:lang w:val="en-US" w:eastAsia="zh-CN"/>
              </w:rPr>
              <w:t>1</w:t>
            </w:r>
            <w:r>
              <w:rPr>
                <w:rFonts w:hint="eastAsia" w:ascii="Times New Roman" w:hAnsi="Times New Roman" w:cs="Times New Roman"/>
                <w:b w:val="0"/>
                <w:bCs w:val="0"/>
                <w:color w:val="auto"/>
                <w:sz w:val="24"/>
                <w:szCs w:val="24"/>
                <w:highlight w:val="none"/>
                <w:lang w:val="en-US" w:eastAsia="zh-CN"/>
              </w:rPr>
              <w:t>台。</w:t>
            </w:r>
          </w:p>
          <w:p w14:paraId="304790DF">
            <w:pPr>
              <w:numPr>
                <w:ilvl w:val="0"/>
                <w:numId w:val="0"/>
              </w:numPr>
              <w:ind w:firstLine="480" w:firstLineChars="200"/>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5）串口及串口转换器：TTL串口、RS232串口等（满足大部分北斗模块企业常见的串口）。</w:t>
            </w:r>
          </w:p>
          <w:p w14:paraId="54BAA80F">
            <w:pPr>
              <w:numPr>
                <w:ilvl w:val="0"/>
                <w:numId w:val="0"/>
              </w:numPr>
              <w:ind w:firstLine="480" w:firstLineChars="200"/>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6</w:t>
            </w:r>
            <w:r>
              <w:rPr>
                <w:rFonts w:hint="default" w:ascii="Times New Roman" w:hAnsi="Times New Roman" w:cs="Times New Roman"/>
                <w:b w:val="0"/>
                <w:bCs w:val="0"/>
                <w:color w:val="auto"/>
                <w:sz w:val="24"/>
                <w:szCs w:val="24"/>
                <w:highlight w:val="none"/>
                <w:lang w:val="en-US" w:eastAsia="zh-CN"/>
              </w:rPr>
              <w:t>）</w:t>
            </w:r>
            <w:r>
              <w:rPr>
                <w:rFonts w:hint="eastAsia" w:ascii="Times New Roman" w:hAnsi="Times New Roman" w:cs="Times New Roman"/>
                <w:b w:val="0"/>
                <w:bCs w:val="0"/>
                <w:color w:val="auto"/>
                <w:sz w:val="24"/>
                <w:szCs w:val="24"/>
                <w:highlight w:val="none"/>
                <w:lang w:val="en-US" w:eastAsia="zh-CN"/>
              </w:rPr>
              <w:t>机柜：</w:t>
            </w:r>
            <w:r>
              <w:rPr>
                <w:rFonts w:hint="default" w:ascii="Times New Roman" w:hAnsi="Times New Roman" w:cs="Times New Roman"/>
                <w:b w:val="0"/>
                <w:bCs w:val="0"/>
                <w:color w:val="auto"/>
                <w:sz w:val="24"/>
                <w:szCs w:val="24"/>
                <w:highlight w:val="none"/>
                <w:lang w:val="en-US" w:eastAsia="zh-CN"/>
              </w:rPr>
              <w:t>42U</w:t>
            </w:r>
            <w:r>
              <w:rPr>
                <w:rFonts w:hint="eastAsia" w:ascii="Times New Roman" w:hAnsi="Times New Roman" w:cs="Times New Roman"/>
                <w:b w:val="0"/>
                <w:bCs w:val="0"/>
                <w:color w:val="auto"/>
                <w:sz w:val="24"/>
                <w:szCs w:val="24"/>
                <w:highlight w:val="none"/>
                <w:lang w:val="en-US" w:eastAsia="zh-CN"/>
              </w:rPr>
              <w:t>标准机柜</w:t>
            </w:r>
            <w:r>
              <w:rPr>
                <w:rFonts w:hint="default" w:ascii="Times New Roman" w:hAnsi="Times New Roman" w:cs="Times New Roman"/>
                <w:b w:val="0"/>
                <w:bCs w:val="0"/>
                <w:color w:val="auto"/>
                <w:sz w:val="24"/>
                <w:szCs w:val="24"/>
                <w:highlight w:val="none"/>
                <w:lang w:val="en-US" w:eastAsia="zh-CN"/>
              </w:rPr>
              <w:t>1</w:t>
            </w:r>
            <w:r>
              <w:rPr>
                <w:rFonts w:hint="eastAsia" w:ascii="Times New Roman" w:hAnsi="Times New Roman" w:cs="Times New Roman"/>
                <w:b w:val="0"/>
                <w:bCs w:val="0"/>
                <w:color w:val="auto"/>
                <w:sz w:val="24"/>
                <w:szCs w:val="24"/>
                <w:highlight w:val="none"/>
                <w:lang w:val="en-US" w:eastAsia="zh-CN"/>
              </w:rPr>
              <w:t>台。</w:t>
            </w:r>
          </w:p>
          <w:p w14:paraId="564FE760">
            <w:pPr>
              <w:numPr>
                <w:ilvl w:val="0"/>
                <w:numId w:val="0"/>
              </w:numPr>
              <w:ind w:firstLine="480" w:firstLineChars="200"/>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7</w:t>
            </w:r>
            <w:r>
              <w:rPr>
                <w:rFonts w:hint="default" w:ascii="Times New Roman" w:hAnsi="Times New Roman" w:cs="Times New Roman"/>
                <w:b w:val="0"/>
                <w:bCs w:val="0"/>
                <w:color w:val="auto"/>
                <w:sz w:val="24"/>
                <w:szCs w:val="24"/>
                <w:highlight w:val="none"/>
                <w:lang w:val="en-US" w:eastAsia="zh-CN"/>
              </w:rPr>
              <w:t>）</w:t>
            </w:r>
            <w:r>
              <w:rPr>
                <w:rFonts w:hint="eastAsia" w:ascii="Times New Roman" w:hAnsi="Times New Roman" w:cs="Times New Roman"/>
                <w:b w:val="0"/>
                <w:bCs w:val="0"/>
                <w:color w:val="auto"/>
                <w:sz w:val="24"/>
                <w:szCs w:val="24"/>
                <w:highlight w:val="none"/>
                <w:lang w:val="en-US" w:eastAsia="zh-CN"/>
              </w:rPr>
              <w:t>转接头；</w:t>
            </w:r>
          </w:p>
          <w:p w14:paraId="752867C2">
            <w:pPr>
              <w:numPr>
                <w:ilvl w:val="0"/>
                <w:numId w:val="0"/>
              </w:numPr>
              <w:ind w:firstLine="480" w:firstLineChars="200"/>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8</w:t>
            </w:r>
            <w:r>
              <w:rPr>
                <w:rFonts w:hint="default" w:ascii="Times New Roman" w:hAnsi="Times New Roman" w:cs="Times New Roman"/>
                <w:b w:val="0"/>
                <w:bCs w:val="0"/>
                <w:color w:val="auto"/>
                <w:sz w:val="24"/>
                <w:szCs w:val="24"/>
                <w:highlight w:val="none"/>
                <w:lang w:val="en-US" w:eastAsia="zh-CN"/>
              </w:rPr>
              <w:t>）</w:t>
            </w:r>
            <w:r>
              <w:rPr>
                <w:rFonts w:hint="eastAsia" w:ascii="Times New Roman" w:hAnsi="Times New Roman" w:cs="Times New Roman"/>
                <w:b w:val="0"/>
                <w:bCs w:val="0"/>
                <w:color w:val="auto"/>
                <w:sz w:val="24"/>
                <w:szCs w:val="24"/>
                <w:highlight w:val="none"/>
                <w:lang w:val="en-US" w:eastAsia="zh-CN"/>
              </w:rPr>
              <w:t>功率分配器：一分八功率分配器；</w:t>
            </w:r>
          </w:p>
          <w:p w14:paraId="644B1B14">
            <w:pPr>
              <w:numPr>
                <w:ilvl w:val="0"/>
                <w:numId w:val="0"/>
              </w:numPr>
              <w:ind w:firstLine="480" w:firstLineChars="200"/>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9）交直流稳压电源（输出容量不低于10kVA）；</w:t>
            </w:r>
          </w:p>
          <w:p w14:paraId="5B1F249B">
            <w:pPr>
              <w:numPr>
                <w:ilvl w:val="0"/>
                <w:numId w:val="0"/>
              </w:numPr>
              <w:ind w:firstLine="480" w:firstLineChars="200"/>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10）插座若干；</w:t>
            </w:r>
          </w:p>
          <w:p w14:paraId="2088BF37">
            <w:pPr>
              <w:numPr>
                <w:ilvl w:val="0"/>
                <w:numId w:val="0"/>
              </w:numPr>
              <w:ind w:firstLine="480" w:firstLineChars="200"/>
              <w:rPr>
                <w:rFonts w:hint="eastAsia" w:ascii="宋体" w:hAnsi="宋体" w:eastAsia="宋体" w:cs="宋体"/>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11）供应商承担系统集成，设备安装调试及第三方计量。</w:t>
            </w:r>
          </w:p>
        </w:tc>
      </w:tr>
    </w:tbl>
    <w:p w14:paraId="543D8487">
      <w:pPr>
        <w:spacing w:line="360" w:lineRule="auto"/>
        <w:rPr>
          <w:rFonts w:hint="eastAsia" w:ascii="Times New Roman" w:hAnsi="Times New Roman" w:eastAsia="宋体"/>
          <w:b/>
          <w:color w:val="auto"/>
          <w:kern w:val="0"/>
          <w:sz w:val="21"/>
          <w:szCs w:val="21"/>
          <w:highlight w:val="none"/>
          <w:lang w:eastAsia="zh-CN" w:bidi="en-US"/>
        </w:rPr>
      </w:pPr>
      <w:r>
        <w:rPr>
          <w:rFonts w:hint="eastAsia" w:ascii="Times New Roman" w:hAnsi="Times New Roman"/>
          <w:b/>
          <w:color w:val="auto"/>
          <w:kern w:val="0"/>
          <w:sz w:val="21"/>
          <w:szCs w:val="21"/>
          <w:highlight w:val="none"/>
          <w:lang w:eastAsia="zh-CN" w:bidi="en-US"/>
        </w:rPr>
        <w:t>注：加“★”的核心参数需要在投标文件中提供本次投标产品同型号或同系列设备的使用说明、校准/检定证书、检测报告（可以三选一）等证明材料，未提供将视为负偏离。</w:t>
      </w:r>
    </w:p>
    <w:p w14:paraId="505572F7">
      <w:pPr>
        <w:pageBreakBefore w:val="0"/>
        <w:widowControl w:val="0"/>
        <w:numPr>
          <w:ilvl w:val="0"/>
          <w:numId w:val="9"/>
        </w:numPr>
        <w:kinsoku/>
        <w:wordWrap/>
        <w:overflowPunct/>
        <w:topLinePunct w:val="0"/>
        <w:autoSpaceDE/>
        <w:autoSpaceDN/>
        <w:bidi w:val="0"/>
        <w:adjustRightInd/>
        <w:spacing w:line="320" w:lineRule="exact"/>
        <w:ind w:firstLine="241" w:firstLineChars="100"/>
        <w:jc w:val="both"/>
        <w:textAlignment w:val="auto"/>
        <w:rPr>
          <w:rFonts w:hint="default" w:ascii="Times New Roman" w:hAnsi="Times New Roman" w:cs="Times New Roman"/>
          <w:b w:val="0"/>
          <w:bCs w:val="0"/>
          <w:color w:val="auto"/>
          <w:sz w:val="24"/>
          <w:szCs w:val="24"/>
          <w:highlight w:val="none"/>
          <w:lang w:val="en-US" w:eastAsia="zh-CN"/>
        </w:rPr>
      </w:pPr>
      <w:r>
        <w:rPr>
          <w:rFonts w:ascii="Times New Roman" w:hAnsi="Times New Roman"/>
          <w:b/>
          <w:color w:val="auto"/>
          <w:kern w:val="0"/>
          <w:sz w:val="24"/>
          <w:szCs w:val="24"/>
          <w:highlight w:val="none"/>
          <w:lang w:bidi="en-US"/>
        </w:rPr>
        <w:t>、货物质量要求</w:t>
      </w:r>
      <w:r>
        <w:rPr>
          <w:rFonts w:hint="eastAsia" w:ascii="Times New Roman" w:hAnsi="Times New Roman"/>
          <w:b/>
          <w:color w:val="auto"/>
          <w:kern w:val="0"/>
          <w:sz w:val="24"/>
          <w:szCs w:val="24"/>
          <w:highlight w:val="none"/>
          <w:lang w:eastAsia="zh-CN" w:bidi="en-US"/>
        </w:rPr>
        <w:t>：</w:t>
      </w:r>
    </w:p>
    <w:p w14:paraId="5CAD5B3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1、符合以下标准的最新标准</w:t>
      </w:r>
      <w:r>
        <w:rPr>
          <w:rFonts w:hint="default" w:ascii="Times New Roman" w:hAnsi="Times New Roman" w:cs="Times New Roman"/>
          <w:color w:val="auto"/>
          <w:sz w:val="24"/>
          <w:szCs w:val="24"/>
          <w:highlight w:val="none"/>
          <w:lang w:val="en-US" w:eastAsia="zh-CN"/>
        </w:rPr>
        <w:t>GB 17761-2024</w:t>
      </w:r>
      <w:r>
        <w:rPr>
          <w:rFonts w:hint="eastAsia" w:cs="Times New Roman"/>
          <w:color w:val="auto"/>
          <w:sz w:val="24"/>
          <w:szCs w:val="24"/>
          <w:highlight w:val="none"/>
          <w:lang w:val="en-US" w:eastAsia="zh-CN"/>
        </w:rPr>
        <w:t>《电动自行车安全技术规范》</w:t>
      </w:r>
      <w:r>
        <w:rPr>
          <w:rFonts w:hint="eastAsia" w:ascii="Times New Roman" w:hAnsi="Times New Roman" w:cs="Times New Roman"/>
          <w:b w:val="0"/>
          <w:bCs w:val="0"/>
          <w:color w:val="auto"/>
          <w:sz w:val="24"/>
          <w:szCs w:val="24"/>
          <w:highlight w:val="none"/>
          <w:lang w:val="en-US" w:eastAsia="zh-CN"/>
        </w:rPr>
        <w:t>当设备性能指标与依据标准有冲突时，设备最终以最新标准为验收依据。</w:t>
      </w:r>
    </w:p>
    <w:p w14:paraId="401D262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2、本设备质量标准为招标技术要求、厂家出厂标准，国家相关检定、校准或检验的规程、标准。</w:t>
      </w:r>
    </w:p>
    <w:p w14:paraId="65DFF0B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3、投标人应按招标文件规定的货物性能、技术要求、质量标准向甲方提供</w:t>
      </w:r>
      <w:r>
        <w:rPr>
          <w:rFonts w:hint="eastAsia" w:ascii="Times New Roman" w:hAnsi="Times New Roman" w:cs="Times New Roman"/>
          <w:color w:val="auto"/>
          <w:sz w:val="24"/>
          <w:szCs w:val="24"/>
          <w:highlight w:val="none"/>
          <w:lang w:val="en-US" w:eastAsia="zh-CN"/>
        </w:rPr>
        <w:t>2024</w:t>
      </w:r>
      <w:r>
        <w:rPr>
          <w:rFonts w:hint="eastAsia" w:eastAsia="宋体" w:cs="Times New Roman"/>
          <w:color w:val="auto"/>
          <w:sz w:val="24"/>
          <w:szCs w:val="24"/>
          <w:highlight w:val="none"/>
          <w:lang w:val="en-US" w:eastAsia="zh-CN"/>
        </w:rPr>
        <w:t>年以后生产的未经使用的全新原装正品。乙方应确保提供的货物名称、型号规格、品牌等表明产品的信息在相关资料上（包括但不限于产品铭牌、说明书、合格证、计量证书、发票等）保持完全一致。</w:t>
      </w:r>
    </w:p>
    <w:p w14:paraId="502772D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default" w:ascii="Times New Roman" w:hAnsi="Times New Roman" w:eastAsia="宋体"/>
          <w:b/>
          <w:color w:val="auto"/>
          <w:kern w:val="0"/>
          <w:sz w:val="24"/>
          <w:szCs w:val="24"/>
          <w:highlight w:val="none"/>
          <w:lang w:val="en-US" w:eastAsia="zh-CN" w:bidi="en-US"/>
        </w:rPr>
      </w:pPr>
      <w:r>
        <w:rPr>
          <w:rFonts w:hint="eastAsia" w:eastAsia="宋体" w:cs="Times New Roman"/>
          <w:color w:val="auto"/>
          <w:sz w:val="24"/>
          <w:szCs w:val="24"/>
          <w:highlight w:val="none"/>
          <w:lang w:val="en-US" w:eastAsia="zh-CN"/>
        </w:rPr>
        <w:t>4、投标人应在满足技术要求的基础上提供验收技术方案，当有国家相关检定、校准或检验的规程、标准时，应依据相关规程、标准执行。当没有上述的规程或标准时，投标人应提供验收技术方案，经招标人认可确认后，开展验收。投标人没有或无法提供招标人认可的验收方案或证明技术指标合格的科学、合理、可验证的证据时，验收作不合格处理。</w:t>
      </w:r>
    </w:p>
    <w:p w14:paraId="77E6D5B9">
      <w:pPr>
        <w:tabs>
          <w:tab w:val="left" w:pos="8280"/>
        </w:tabs>
        <w:autoSpaceDE w:val="0"/>
        <w:autoSpaceDN w:val="0"/>
        <w:adjustRightInd w:val="0"/>
        <w:spacing w:line="360" w:lineRule="auto"/>
        <w:ind w:right="25"/>
        <w:rPr>
          <w:rFonts w:ascii="Times New Roman" w:hAnsi="Times New Roman"/>
          <w:b/>
          <w:color w:val="auto"/>
          <w:sz w:val="24"/>
          <w:szCs w:val="24"/>
          <w:highlight w:val="none"/>
        </w:rPr>
      </w:pPr>
    </w:p>
    <w:p w14:paraId="604D97FB">
      <w:pPr>
        <w:widowControl/>
        <w:spacing w:line="360" w:lineRule="auto"/>
        <w:jc w:val="left"/>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三、</w:t>
      </w:r>
      <w:r>
        <w:rPr>
          <w:rFonts w:ascii="Times New Roman" w:hAnsi="Times New Roman"/>
          <w:b/>
          <w:bCs/>
          <w:color w:val="auto"/>
          <w:sz w:val="28"/>
          <w:szCs w:val="28"/>
          <w:highlight w:val="none"/>
        </w:rPr>
        <w:t>标项二技术需求（</w:t>
      </w:r>
      <w:r>
        <w:rPr>
          <w:rFonts w:hint="eastAsia" w:ascii="Times New Roman" w:hAnsi="Times New Roman"/>
          <w:b/>
          <w:bCs/>
          <w:color w:val="auto"/>
          <w:sz w:val="28"/>
          <w:szCs w:val="28"/>
          <w:highlight w:val="none"/>
          <w:lang w:val="en-US" w:eastAsia="zh-CN"/>
        </w:rPr>
        <w:t>防火阻燃检测</w:t>
      </w:r>
      <w:r>
        <w:rPr>
          <w:rFonts w:hint="eastAsia" w:ascii="Times New Roman" w:hAnsi="Times New Roman"/>
          <w:b/>
          <w:bCs/>
          <w:color w:val="auto"/>
          <w:sz w:val="28"/>
          <w:szCs w:val="28"/>
          <w:highlight w:val="none"/>
        </w:rPr>
        <w:t>设备采购项目</w:t>
      </w:r>
      <w:r>
        <w:rPr>
          <w:rFonts w:ascii="Times New Roman" w:hAnsi="Times New Roman"/>
          <w:b/>
          <w:bCs/>
          <w:color w:val="auto"/>
          <w:sz w:val="28"/>
          <w:szCs w:val="28"/>
          <w:highlight w:val="none"/>
        </w:rPr>
        <w:t>）</w:t>
      </w:r>
    </w:p>
    <w:p w14:paraId="7B6F73FB">
      <w:pPr>
        <w:numPr>
          <w:ilvl w:val="0"/>
          <w:numId w:val="0"/>
        </w:numPr>
        <w:tabs>
          <w:tab w:val="left" w:pos="960"/>
        </w:tabs>
        <w:spacing w:line="360" w:lineRule="auto"/>
        <w:rPr>
          <w:rFonts w:ascii="Times New Roman" w:hAnsi="Times New Roman"/>
          <w:color w:val="auto"/>
          <w:sz w:val="24"/>
          <w:szCs w:val="24"/>
          <w:highlight w:val="none"/>
        </w:rPr>
      </w:pPr>
      <w:r>
        <w:rPr>
          <w:rFonts w:ascii="Times New Roman" w:hAnsi="Times New Roman"/>
          <w:b/>
          <w:color w:val="auto"/>
          <w:sz w:val="24"/>
          <w:szCs w:val="24"/>
          <w:highlight w:val="none"/>
        </w:rPr>
        <w:t>（一）货物需求一览</w:t>
      </w:r>
    </w:p>
    <w:tbl>
      <w:tblPr>
        <w:tblStyle w:val="47"/>
        <w:tblW w:w="9772" w:type="dxa"/>
        <w:jc w:val="center"/>
        <w:tblBorders>
          <w:top w:val="single" w:color="auto" w:sz="4"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89"/>
        <w:gridCol w:w="3232"/>
        <w:gridCol w:w="1300"/>
        <w:gridCol w:w="1234"/>
        <w:gridCol w:w="2617"/>
      </w:tblGrid>
      <w:tr w14:paraId="74EB7D37">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79"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6591A795">
            <w:pPr>
              <w:spacing w:line="4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3232" w:type="dxa"/>
            <w:tcBorders>
              <w:top w:val="single" w:color="auto" w:sz="4" w:space="0"/>
              <w:left w:val="single" w:color="auto" w:sz="4" w:space="0"/>
              <w:bottom w:val="single" w:color="auto" w:sz="4" w:space="0"/>
              <w:right w:val="single" w:color="auto" w:sz="4" w:space="0"/>
            </w:tcBorders>
            <w:noWrap/>
            <w:vAlign w:val="center"/>
          </w:tcPr>
          <w:p w14:paraId="4FE6AA8E">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设备名称</w:t>
            </w:r>
          </w:p>
        </w:tc>
        <w:tc>
          <w:tcPr>
            <w:tcW w:w="1300" w:type="dxa"/>
            <w:tcBorders>
              <w:top w:val="single" w:color="auto" w:sz="4" w:space="0"/>
              <w:left w:val="single" w:color="auto" w:sz="4" w:space="0"/>
              <w:bottom w:val="nil"/>
              <w:right w:val="single" w:color="auto" w:sz="4" w:space="0"/>
            </w:tcBorders>
            <w:noWrap/>
            <w:vAlign w:val="center"/>
          </w:tcPr>
          <w:p w14:paraId="7B403F29">
            <w:pPr>
              <w:spacing w:line="4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数量</w:t>
            </w:r>
          </w:p>
        </w:tc>
        <w:tc>
          <w:tcPr>
            <w:tcW w:w="1234" w:type="dxa"/>
            <w:tcBorders>
              <w:top w:val="single" w:color="auto" w:sz="4" w:space="0"/>
              <w:left w:val="single" w:color="auto" w:sz="4" w:space="0"/>
              <w:bottom w:val="nil"/>
              <w:right w:val="single" w:color="auto" w:sz="4" w:space="0"/>
            </w:tcBorders>
            <w:noWrap/>
            <w:vAlign w:val="center"/>
          </w:tcPr>
          <w:p w14:paraId="70350DBE">
            <w:pPr>
              <w:spacing w:line="4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单位</w:t>
            </w:r>
          </w:p>
        </w:tc>
        <w:tc>
          <w:tcPr>
            <w:tcW w:w="2617" w:type="dxa"/>
            <w:tcBorders>
              <w:top w:val="single" w:color="auto" w:sz="4" w:space="0"/>
              <w:left w:val="single" w:color="auto" w:sz="4" w:space="0"/>
              <w:bottom w:val="nil"/>
              <w:right w:val="single" w:color="auto" w:sz="4" w:space="0"/>
            </w:tcBorders>
            <w:noWrap/>
            <w:vAlign w:val="center"/>
          </w:tcPr>
          <w:p w14:paraId="7344BD42">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备注</w:t>
            </w:r>
          </w:p>
        </w:tc>
      </w:tr>
      <w:tr w14:paraId="3D46029C">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71E36779">
            <w:pPr>
              <w:spacing w:line="460" w:lineRule="exact"/>
              <w:jc w:val="center"/>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1</w:t>
            </w:r>
          </w:p>
        </w:tc>
        <w:tc>
          <w:tcPr>
            <w:tcW w:w="3232" w:type="dxa"/>
            <w:tcBorders>
              <w:top w:val="single" w:color="auto" w:sz="4" w:space="0"/>
              <w:left w:val="single" w:color="auto" w:sz="4" w:space="0"/>
              <w:bottom w:val="single" w:color="auto" w:sz="4" w:space="0"/>
              <w:right w:val="single" w:color="auto" w:sz="4" w:space="0"/>
            </w:tcBorders>
            <w:noWrap/>
            <w:vAlign w:val="center"/>
          </w:tcPr>
          <w:p w14:paraId="6781E3DB">
            <w:pPr>
              <w:spacing w:line="46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水平垂直燃烧试验机</w:t>
            </w:r>
          </w:p>
        </w:tc>
        <w:tc>
          <w:tcPr>
            <w:tcW w:w="1300" w:type="dxa"/>
            <w:tcBorders>
              <w:top w:val="single" w:color="auto" w:sz="4" w:space="0"/>
              <w:left w:val="single" w:color="auto" w:sz="4" w:space="0"/>
              <w:bottom w:val="single" w:color="auto" w:sz="4" w:space="0"/>
              <w:right w:val="single" w:color="auto" w:sz="4" w:space="0"/>
            </w:tcBorders>
            <w:noWrap/>
            <w:vAlign w:val="center"/>
          </w:tcPr>
          <w:p w14:paraId="1341E4A5">
            <w:pPr>
              <w:spacing w:line="460" w:lineRule="exact"/>
              <w:jc w:val="center"/>
              <w:rPr>
                <w:rFonts w:hint="eastAsia" w:ascii="Times New Roman" w:hAnsi="Times New Roman" w:eastAsia="宋体"/>
                <w:color w:val="auto"/>
                <w:sz w:val="24"/>
                <w:szCs w:val="24"/>
                <w:highlight w:val="none"/>
                <w:lang w:val="en-US" w:eastAsia="zh-CN"/>
              </w:rPr>
            </w:pPr>
            <w:bookmarkStart w:id="68" w:name="OLE_LINK1"/>
            <w:r>
              <w:rPr>
                <w:rFonts w:hint="eastAsia" w:ascii="Times New Roman" w:hAnsi="Times New Roman"/>
                <w:color w:val="auto"/>
                <w:sz w:val="24"/>
                <w:szCs w:val="24"/>
                <w:highlight w:val="none"/>
                <w:lang w:val="en-US" w:eastAsia="zh-CN"/>
              </w:rPr>
              <w:t>1</w:t>
            </w:r>
            <w:bookmarkEnd w:id="68"/>
          </w:p>
        </w:tc>
        <w:tc>
          <w:tcPr>
            <w:tcW w:w="1234" w:type="dxa"/>
            <w:tcBorders>
              <w:top w:val="single" w:color="auto" w:sz="4" w:space="0"/>
              <w:left w:val="single" w:color="auto" w:sz="4" w:space="0"/>
              <w:bottom w:val="single" w:color="auto" w:sz="4" w:space="0"/>
              <w:right w:val="single" w:color="auto" w:sz="4" w:space="0"/>
            </w:tcBorders>
            <w:noWrap/>
            <w:vAlign w:val="center"/>
          </w:tcPr>
          <w:p w14:paraId="34CCCE0A">
            <w:pPr>
              <w:spacing w:line="460" w:lineRule="exact"/>
              <w:jc w:val="center"/>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29D8DE5D">
            <w:pPr>
              <w:spacing w:line="460" w:lineRule="exact"/>
              <w:rPr>
                <w:rFonts w:ascii="Times New Roman" w:hAnsi="Times New Roman"/>
                <w:color w:val="auto"/>
                <w:sz w:val="24"/>
                <w:szCs w:val="24"/>
                <w:highlight w:val="none"/>
              </w:rPr>
            </w:pPr>
          </w:p>
        </w:tc>
      </w:tr>
      <w:tr w14:paraId="7D47EE93">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5D475B8C">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3232" w:type="dxa"/>
            <w:tcBorders>
              <w:top w:val="single" w:color="auto" w:sz="4" w:space="0"/>
              <w:left w:val="single" w:color="auto" w:sz="4" w:space="0"/>
              <w:bottom w:val="single" w:color="auto" w:sz="4" w:space="0"/>
              <w:right w:val="single" w:color="auto" w:sz="4" w:space="0"/>
            </w:tcBorders>
            <w:noWrap/>
            <w:vAlign w:val="center"/>
          </w:tcPr>
          <w:p w14:paraId="1D6BDC3B">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汽车内饰垂直燃烧测试仪</w:t>
            </w:r>
          </w:p>
        </w:tc>
        <w:tc>
          <w:tcPr>
            <w:tcW w:w="1300" w:type="dxa"/>
            <w:tcBorders>
              <w:top w:val="single" w:color="auto" w:sz="4" w:space="0"/>
              <w:left w:val="single" w:color="auto" w:sz="4" w:space="0"/>
              <w:bottom w:val="single" w:color="auto" w:sz="4" w:space="0"/>
              <w:right w:val="single" w:color="auto" w:sz="4" w:space="0"/>
            </w:tcBorders>
            <w:noWrap/>
            <w:vAlign w:val="center"/>
          </w:tcPr>
          <w:p w14:paraId="3E379EDE">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w:t>
            </w:r>
          </w:p>
        </w:tc>
        <w:tc>
          <w:tcPr>
            <w:tcW w:w="1234" w:type="dxa"/>
            <w:tcBorders>
              <w:top w:val="single" w:color="auto" w:sz="4" w:space="0"/>
              <w:left w:val="single" w:color="auto" w:sz="4" w:space="0"/>
              <w:bottom w:val="single" w:color="auto" w:sz="4" w:space="0"/>
              <w:right w:val="single" w:color="auto" w:sz="4" w:space="0"/>
            </w:tcBorders>
            <w:noWrap/>
            <w:vAlign w:val="center"/>
          </w:tcPr>
          <w:p w14:paraId="4C122CD9">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19B8559E">
            <w:pPr>
              <w:spacing w:line="460" w:lineRule="exact"/>
              <w:jc w:val="center"/>
              <w:rPr>
                <w:rFonts w:hint="eastAsia" w:ascii="Times New Roman" w:hAnsi="Times New Roman" w:cs="Times New Roman"/>
                <w:color w:val="auto"/>
                <w:sz w:val="24"/>
                <w:szCs w:val="24"/>
                <w:highlight w:val="none"/>
                <w:lang w:val="en-US" w:eastAsia="zh-CN"/>
              </w:rPr>
            </w:pPr>
          </w:p>
        </w:tc>
      </w:tr>
      <w:tr w14:paraId="56D0E8E1">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5A174833">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c>
          <w:tcPr>
            <w:tcW w:w="3232" w:type="dxa"/>
            <w:tcBorders>
              <w:top w:val="single" w:color="auto" w:sz="4" w:space="0"/>
              <w:left w:val="single" w:color="auto" w:sz="4" w:space="0"/>
              <w:bottom w:val="single" w:color="auto" w:sz="4" w:space="0"/>
              <w:right w:val="single" w:color="auto" w:sz="4" w:space="0"/>
            </w:tcBorders>
            <w:noWrap/>
            <w:vAlign w:val="center"/>
          </w:tcPr>
          <w:p w14:paraId="6B3B626A">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纺织品垂直燃烧试验机</w:t>
            </w:r>
          </w:p>
        </w:tc>
        <w:tc>
          <w:tcPr>
            <w:tcW w:w="1300" w:type="dxa"/>
            <w:tcBorders>
              <w:top w:val="single" w:color="auto" w:sz="4" w:space="0"/>
              <w:left w:val="single" w:color="auto" w:sz="4" w:space="0"/>
              <w:bottom w:val="single" w:color="auto" w:sz="4" w:space="0"/>
              <w:right w:val="single" w:color="auto" w:sz="4" w:space="0"/>
            </w:tcBorders>
            <w:noWrap/>
            <w:vAlign w:val="center"/>
          </w:tcPr>
          <w:p w14:paraId="63DECCFC">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w:t>
            </w:r>
          </w:p>
        </w:tc>
        <w:tc>
          <w:tcPr>
            <w:tcW w:w="1234" w:type="dxa"/>
            <w:tcBorders>
              <w:top w:val="single" w:color="auto" w:sz="4" w:space="0"/>
              <w:left w:val="single" w:color="auto" w:sz="4" w:space="0"/>
              <w:bottom w:val="single" w:color="auto" w:sz="4" w:space="0"/>
              <w:right w:val="single" w:color="auto" w:sz="4" w:space="0"/>
            </w:tcBorders>
            <w:noWrap/>
            <w:vAlign w:val="center"/>
          </w:tcPr>
          <w:p w14:paraId="7391ABA3">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061B5957">
            <w:pPr>
              <w:spacing w:line="460" w:lineRule="exact"/>
              <w:jc w:val="center"/>
              <w:rPr>
                <w:rFonts w:hint="eastAsia" w:ascii="Times New Roman" w:hAnsi="Times New Roman" w:cs="Times New Roman"/>
                <w:color w:val="auto"/>
                <w:sz w:val="24"/>
                <w:szCs w:val="24"/>
                <w:highlight w:val="none"/>
                <w:lang w:val="en-US" w:eastAsia="zh-CN"/>
              </w:rPr>
            </w:pPr>
          </w:p>
        </w:tc>
      </w:tr>
      <w:tr w14:paraId="38B26DC1">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7894AC99">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p>
        </w:tc>
        <w:tc>
          <w:tcPr>
            <w:tcW w:w="3232" w:type="dxa"/>
            <w:tcBorders>
              <w:top w:val="single" w:color="auto" w:sz="4" w:space="0"/>
              <w:left w:val="single" w:color="auto" w:sz="4" w:space="0"/>
              <w:bottom w:val="single" w:color="auto" w:sz="4" w:space="0"/>
              <w:right w:val="single" w:color="auto" w:sz="4" w:space="0"/>
            </w:tcBorders>
            <w:noWrap/>
            <w:vAlign w:val="center"/>
          </w:tcPr>
          <w:p w14:paraId="4F5E62C5">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智能型氧指数测试仪</w:t>
            </w:r>
          </w:p>
        </w:tc>
        <w:tc>
          <w:tcPr>
            <w:tcW w:w="1300" w:type="dxa"/>
            <w:tcBorders>
              <w:top w:val="single" w:color="auto" w:sz="4" w:space="0"/>
              <w:left w:val="single" w:color="auto" w:sz="4" w:space="0"/>
              <w:bottom w:val="single" w:color="auto" w:sz="4" w:space="0"/>
              <w:right w:val="single" w:color="auto" w:sz="4" w:space="0"/>
            </w:tcBorders>
            <w:noWrap/>
            <w:vAlign w:val="center"/>
          </w:tcPr>
          <w:p w14:paraId="333023E1">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w:t>
            </w:r>
          </w:p>
        </w:tc>
        <w:tc>
          <w:tcPr>
            <w:tcW w:w="1234" w:type="dxa"/>
            <w:tcBorders>
              <w:top w:val="single" w:color="auto" w:sz="4" w:space="0"/>
              <w:left w:val="single" w:color="auto" w:sz="4" w:space="0"/>
              <w:bottom w:val="single" w:color="auto" w:sz="4" w:space="0"/>
              <w:right w:val="single" w:color="auto" w:sz="4" w:space="0"/>
            </w:tcBorders>
            <w:noWrap/>
            <w:vAlign w:val="center"/>
          </w:tcPr>
          <w:p w14:paraId="206BA383">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3C787932">
            <w:pPr>
              <w:spacing w:line="460" w:lineRule="exact"/>
              <w:jc w:val="center"/>
              <w:rPr>
                <w:rFonts w:hint="eastAsia" w:ascii="Times New Roman" w:hAnsi="Times New Roman" w:cs="Times New Roman"/>
                <w:color w:val="auto"/>
                <w:sz w:val="24"/>
                <w:szCs w:val="24"/>
                <w:highlight w:val="none"/>
                <w:lang w:val="en-US" w:eastAsia="zh-CN"/>
              </w:rPr>
            </w:pPr>
          </w:p>
        </w:tc>
      </w:tr>
      <w:tr w14:paraId="7CD0107C">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29920A7D">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w:t>
            </w:r>
          </w:p>
        </w:tc>
        <w:tc>
          <w:tcPr>
            <w:tcW w:w="3232" w:type="dxa"/>
            <w:tcBorders>
              <w:top w:val="single" w:color="auto" w:sz="4" w:space="0"/>
              <w:left w:val="single" w:color="auto" w:sz="4" w:space="0"/>
              <w:bottom w:val="single" w:color="auto" w:sz="4" w:space="0"/>
              <w:right w:val="single" w:color="auto" w:sz="4" w:space="0"/>
            </w:tcBorders>
            <w:noWrap/>
            <w:vAlign w:val="center"/>
          </w:tcPr>
          <w:p w14:paraId="04E1843C">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电线电缆燃烧试验机</w:t>
            </w:r>
          </w:p>
        </w:tc>
        <w:tc>
          <w:tcPr>
            <w:tcW w:w="1300" w:type="dxa"/>
            <w:tcBorders>
              <w:top w:val="single" w:color="auto" w:sz="4" w:space="0"/>
              <w:left w:val="single" w:color="auto" w:sz="4" w:space="0"/>
              <w:bottom w:val="single" w:color="auto" w:sz="4" w:space="0"/>
              <w:right w:val="single" w:color="auto" w:sz="4" w:space="0"/>
            </w:tcBorders>
            <w:noWrap/>
            <w:vAlign w:val="center"/>
          </w:tcPr>
          <w:p w14:paraId="0EA531E1">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1234" w:type="dxa"/>
            <w:tcBorders>
              <w:top w:val="single" w:color="auto" w:sz="4" w:space="0"/>
              <w:left w:val="single" w:color="auto" w:sz="4" w:space="0"/>
              <w:bottom w:val="single" w:color="auto" w:sz="4" w:space="0"/>
              <w:right w:val="single" w:color="auto" w:sz="4" w:space="0"/>
            </w:tcBorders>
            <w:noWrap/>
            <w:vAlign w:val="center"/>
          </w:tcPr>
          <w:p w14:paraId="6FE48CE4">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7E81197D">
            <w:pPr>
              <w:spacing w:line="460" w:lineRule="exact"/>
              <w:jc w:val="center"/>
              <w:rPr>
                <w:rFonts w:hint="eastAsia" w:ascii="Times New Roman" w:hAnsi="Times New Roman" w:cs="Times New Roman"/>
                <w:color w:val="auto"/>
                <w:sz w:val="24"/>
                <w:szCs w:val="24"/>
                <w:highlight w:val="none"/>
                <w:lang w:val="en-US" w:eastAsia="zh-CN"/>
              </w:rPr>
            </w:pPr>
          </w:p>
        </w:tc>
      </w:tr>
      <w:tr w14:paraId="46BA922B">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5DD1DF20">
            <w:pPr>
              <w:spacing w:line="46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6</w:t>
            </w:r>
          </w:p>
        </w:tc>
        <w:tc>
          <w:tcPr>
            <w:tcW w:w="3232" w:type="dxa"/>
            <w:tcBorders>
              <w:top w:val="single" w:color="auto" w:sz="4" w:space="0"/>
              <w:left w:val="single" w:color="auto" w:sz="4" w:space="0"/>
              <w:bottom w:val="single" w:color="auto" w:sz="4" w:space="0"/>
              <w:right w:val="single" w:color="auto" w:sz="4" w:space="0"/>
            </w:tcBorders>
            <w:noWrap/>
            <w:vAlign w:val="center"/>
          </w:tcPr>
          <w:p w14:paraId="2C563463">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建筑材料烟密度测试仪</w:t>
            </w:r>
          </w:p>
        </w:tc>
        <w:tc>
          <w:tcPr>
            <w:tcW w:w="1300" w:type="dxa"/>
            <w:tcBorders>
              <w:top w:val="single" w:color="auto" w:sz="4" w:space="0"/>
              <w:left w:val="single" w:color="auto" w:sz="4" w:space="0"/>
              <w:bottom w:val="single" w:color="auto" w:sz="4" w:space="0"/>
              <w:right w:val="single" w:color="auto" w:sz="4" w:space="0"/>
            </w:tcBorders>
            <w:noWrap/>
            <w:vAlign w:val="center"/>
          </w:tcPr>
          <w:p w14:paraId="03BEDBBD">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w:t>
            </w:r>
          </w:p>
        </w:tc>
        <w:tc>
          <w:tcPr>
            <w:tcW w:w="1234" w:type="dxa"/>
            <w:tcBorders>
              <w:top w:val="single" w:color="auto" w:sz="4" w:space="0"/>
              <w:left w:val="single" w:color="auto" w:sz="4" w:space="0"/>
              <w:bottom w:val="single" w:color="auto" w:sz="4" w:space="0"/>
              <w:right w:val="single" w:color="auto" w:sz="4" w:space="0"/>
            </w:tcBorders>
            <w:noWrap/>
            <w:vAlign w:val="center"/>
          </w:tcPr>
          <w:p w14:paraId="43C636EE">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6404D824">
            <w:pPr>
              <w:spacing w:line="460" w:lineRule="exact"/>
              <w:jc w:val="center"/>
              <w:rPr>
                <w:rFonts w:hint="eastAsia" w:ascii="Times New Roman" w:hAnsi="Times New Roman" w:cs="Times New Roman"/>
                <w:color w:val="auto"/>
                <w:sz w:val="24"/>
                <w:szCs w:val="24"/>
                <w:highlight w:val="none"/>
                <w:lang w:val="en-US" w:eastAsia="zh-CN"/>
              </w:rPr>
            </w:pPr>
          </w:p>
        </w:tc>
      </w:tr>
      <w:tr w14:paraId="4E682730">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4EA066CA">
            <w:pPr>
              <w:spacing w:line="46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w:t>
            </w:r>
          </w:p>
        </w:tc>
        <w:tc>
          <w:tcPr>
            <w:tcW w:w="3232" w:type="dxa"/>
            <w:tcBorders>
              <w:top w:val="single" w:color="auto" w:sz="4" w:space="0"/>
              <w:left w:val="single" w:color="auto" w:sz="4" w:space="0"/>
              <w:bottom w:val="single" w:color="auto" w:sz="4" w:space="0"/>
              <w:right w:val="single" w:color="auto" w:sz="4" w:space="0"/>
            </w:tcBorders>
            <w:noWrap/>
            <w:vAlign w:val="center"/>
          </w:tcPr>
          <w:p w14:paraId="741D69D9">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恒温恒湿试验箱</w:t>
            </w:r>
          </w:p>
        </w:tc>
        <w:tc>
          <w:tcPr>
            <w:tcW w:w="1300" w:type="dxa"/>
            <w:tcBorders>
              <w:top w:val="single" w:color="auto" w:sz="4" w:space="0"/>
              <w:left w:val="single" w:color="auto" w:sz="4" w:space="0"/>
              <w:bottom w:val="single" w:color="auto" w:sz="4" w:space="0"/>
              <w:right w:val="single" w:color="auto" w:sz="4" w:space="0"/>
            </w:tcBorders>
            <w:noWrap/>
            <w:vAlign w:val="center"/>
          </w:tcPr>
          <w:p w14:paraId="03BDD280">
            <w:pPr>
              <w:spacing w:line="46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p>
        </w:tc>
        <w:tc>
          <w:tcPr>
            <w:tcW w:w="1234" w:type="dxa"/>
            <w:tcBorders>
              <w:top w:val="single" w:color="auto" w:sz="4" w:space="0"/>
              <w:left w:val="single" w:color="auto" w:sz="4" w:space="0"/>
              <w:bottom w:val="single" w:color="auto" w:sz="4" w:space="0"/>
              <w:right w:val="single" w:color="auto" w:sz="4" w:space="0"/>
            </w:tcBorders>
            <w:noWrap/>
            <w:vAlign w:val="center"/>
          </w:tcPr>
          <w:p w14:paraId="3EB03FFC">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04204C05">
            <w:pPr>
              <w:spacing w:line="460" w:lineRule="exact"/>
              <w:jc w:val="center"/>
              <w:rPr>
                <w:rFonts w:hint="eastAsia" w:ascii="Times New Roman" w:hAnsi="Times New Roman" w:cs="Times New Roman"/>
                <w:color w:val="auto"/>
                <w:sz w:val="24"/>
                <w:szCs w:val="24"/>
                <w:highlight w:val="none"/>
                <w:lang w:val="en-US" w:eastAsia="zh-CN"/>
              </w:rPr>
            </w:pPr>
          </w:p>
        </w:tc>
      </w:tr>
      <w:tr w14:paraId="0A9532E4">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25FF6342">
            <w:pPr>
              <w:spacing w:line="46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8</w:t>
            </w:r>
          </w:p>
        </w:tc>
        <w:tc>
          <w:tcPr>
            <w:tcW w:w="3232" w:type="dxa"/>
            <w:tcBorders>
              <w:top w:val="single" w:color="auto" w:sz="4" w:space="0"/>
              <w:left w:val="single" w:color="auto" w:sz="4" w:space="0"/>
              <w:bottom w:val="single" w:color="auto" w:sz="4" w:space="0"/>
              <w:right w:val="single" w:color="auto" w:sz="4" w:space="0"/>
            </w:tcBorders>
            <w:noWrap/>
            <w:vAlign w:val="center"/>
          </w:tcPr>
          <w:p w14:paraId="11222FC1">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通风柜</w:t>
            </w:r>
          </w:p>
        </w:tc>
        <w:tc>
          <w:tcPr>
            <w:tcW w:w="1300" w:type="dxa"/>
            <w:tcBorders>
              <w:top w:val="single" w:color="auto" w:sz="4" w:space="0"/>
              <w:left w:val="single" w:color="auto" w:sz="4" w:space="0"/>
              <w:bottom w:val="single" w:color="auto" w:sz="4" w:space="0"/>
              <w:right w:val="single" w:color="auto" w:sz="4" w:space="0"/>
            </w:tcBorders>
            <w:noWrap/>
            <w:vAlign w:val="center"/>
          </w:tcPr>
          <w:p w14:paraId="27C5EDCA">
            <w:pPr>
              <w:spacing w:line="46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9</w:t>
            </w:r>
          </w:p>
        </w:tc>
        <w:tc>
          <w:tcPr>
            <w:tcW w:w="1234" w:type="dxa"/>
            <w:tcBorders>
              <w:top w:val="single" w:color="auto" w:sz="4" w:space="0"/>
              <w:left w:val="single" w:color="auto" w:sz="4" w:space="0"/>
              <w:bottom w:val="single" w:color="auto" w:sz="4" w:space="0"/>
              <w:right w:val="single" w:color="auto" w:sz="4" w:space="0"/>
            </w:tcBorders>
            <w:noWrap/>
            <w:vAlign w:val="center"/>
          </w:tcPr>
          <w:p w14:paraId="4EC9991C">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1B9021AD">
            <w:pPr>
              <w:spacing w:line="46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满足已有2套设备以及新购设备通风需求，根据实际需求适当调整，并需配备废气处理装置</w:t>
            </w:r>
          </w:p>
        </w:tc>
      </w:tr>
      <w:tr w14:paraId="33C41CF8">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14:paraId="426EB9EF">
            <w:pPr>
              <w:spacing w:line="46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9</w:t>
            </w:r>
          </w:p>
        </w:tc>
        <w:tc>
          <w:tcPr>
            <w:tcW w:w="3232" w:type="dxa"/>
            <w:tcBorders>
              <w:top w:val="single" w:color="auto" w:sz="4" w:space="0"/>
              <w:left w:val="single" w:color="auto" w:sz="4" w:space="0"/>
              <w:bottom w:val="single" w:color="auto" w:sz="4" w:space="0"/>
              <w:right w:val="single" w:color="auto" w:sz="4" w:space="0"/>
            </w:tcBorders>
            <w:noWrap/>
            <w:vAlign w:val="center"/>
          </w:tcPr>
          <w:p w14:paraId="3C9C5E8D">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供气系统</w:t>
            </w:r>
          </w:p>
        </w:tc>
        <w:tc>
          <w:tcPr>
            <w:tcW w:w="1300" w:type="dxa"/>
            <w:tcBorders>
              <w:top w:val="single" w:color="auto" w:sz="4" w:space="0"/>
              <w:left w:val="single" w:color="auto" w:sz="4" w:space="0"/>
              <w:bottom w:val="single" w:color="auto" w:sz="4" w:space="0"/>
              <w:right w:val="single" w:color="auto" w:sz="4" w:space="0"/>
            </w:tcBorders>
            <w:noWrap/>
            <w:vAlign w:val="center"/>
          </w:tcPr>
          <w:p w14:paraId="5CB3CA49">
            <w:pPr>
              <w:spacing w:line="46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c>
          <w:tcPr>
            <w:tcW w:w="1234" w:type="dxa"/>
            <w:tcBorders>
              <w:top w:val="single" w:color="auto" w:sz="4" w:space="0"/>
              <w:left w:val="single" w:color="auto" w:sz="4" w:space="0"/>
              <w:bottom w:val="single" w:color="auto" w:sz="4" w:space="0"/>
              <w:right w:val="single" w:color="auto" w:sz="4" w:space="0"/>
            </w:tcBorders>
            <w:noWrap/>
            <w:vAlign w:val="center"/>
          </w:tcPr>
          <w:p w14:paraId="0820C953">
            <w:pPr>
              <w:spacing w:line="46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套</w:t>
            </w:r>
          </w:p>
        </w:tc>
        <w:tc>
          <w:tcPr>
            <w:tcW w:w="2617" w:type="dxa"/>
            <w:tcBorders>
              <w:top w:val="single" w:color="auto" w:sz="4" w:space="0"/>
              <w:left w:val="single" w:color="auto" w:sz="4" w:space="0"/>
              <w:bottom w:val="single" w:color="auto" w:sz="4" w:space="0"/>
              <w:right w:val="single" w:color="auto" w:sz="4" w:space="0"/>
            </w:tcBorders>
            <w:noWrap/>
            <w:vAlign w:val="center"/>
          </w:tcPr>
          <w:p w14:paraId="5D910924">
            <w:pPr>
              <w:spacing w:line="460" w:lineRule="exact"/>
              <w:jc w:val="center"/>
              <w:rPr>
                <w:rFonts w:hint="eastAsia" w:ascii="Times New Roman" w:hAnsi="Times New Roman" w:cs="Times New Roman"/>
                <w:color w:val="auto"/>
                <w:sz w:val="24"/>
                <w:szCs w:val="24"/>
                <w:highlight w:val="none"/>
                <w:lang w:val="en-US" w:eastAsia="zh-CN"/>
              </w:rPr>
            </w:pPr>
          </w:p>
        </w:tc>
      </w:tr>
    </w:tbl>
    <w:p w14:paraId="22927D9F">
      <w:pPr>
        <w:spacing w:line="360" w:lineRule="auto"/>
        <w:ind w:firstLine="480" w:firstLineChars="200"/>
        <w:rPr>
          <w:rFonts w:ascii="Times New Roman" w:hAnsi="Times New Roman"/>
          <w:b/>
          <w:color w:val="auto"/>
          <w:sz w:val="24"/>
          <w:szCs w:val="24"/>
          <w:highlight w:val="none"/>
        </w:rPr>
      </w:pPr>
      <w:r>
        <w:rPr>
          <w:rFonts w:ascii="Times New Roman" w:hAnsi="Times New Roman"/>
          <w:color w:val="auto"/>
          <w:kern w:val="0"/>
          <w:sz w:val="24"/>
          <w:szCs w:val="24"/>
          <w:highlight w:val="none"/>
          <w:lang w:bidi="en-US"/>
        </w:rPr>
        <w:t>本项目投标文件中的报价包含完成本项目所有内容的一切费用</w:t>
      </w:r>
      <w:r>
        <w:rPr>
          <w:rFonts w:hint="eastAsia" w:ascii="Times New Roman" w:hAnsi="Times New Roman"/>
          <w:color w:val="auto"/>
          <w:kern w:val="0"/>
          <w:sz w:val="24"/>
          <w:szCs w:val="24"/>
          <w:highlight w:val="none"/>
          <w:lang w:eastAsia="zh-CN" w:bidi="en-US"/>
        </w:rPr>
        <w:t>，包括</w:t>
      </w:r>
      <w:r>
        <w:rPr>
          <w:rFonts w:hint="eastAsia" w:ascii="宋体" w:hAnsi="宋体" w:cs="宋体"/>
          <w:bCs/>
          <w:color w:val="auto"/>
          <w:sz w:val="24"/>
          <w:szCs w:val="24"/>
          <w:highlight w:val="none"/>
          <w:lang w:val="en-US" w:eastAsia="zh-CN"/>
        </w:rPr>
        <w:t>场地基础改造、</w:t>
      </w:r>
      <w:r>
        <w:rPr>
          <w:rFonts w:hint="eastAsia" w:ascii="Times New Roman" w:hAnsi="Times New Roman"/>
          <w:color w:val="auto"/>
          <w:kern w:val="0"/>
          <w:sz w:val="24"/>
          <w:szCs w:val="24"/>
          <w:highlight w:val="none"/>
          <w:lang w:eastAsia="zh-CN" w:bidi="en-US"/>
        </w:rPr>
        <w:t>设备仪器与配件价格标准附件、备品备件、人工费、专用工具、包装、运输、装卸、保险、税金、货到就位以及接地施工、安装、调试、检测试验、第三方验收、检定校准、培训及相关证书获取、售后服务及质保期内的设备更换、保养、维护、合同包含的所有风险责任等各项费用及不可预见费等所需的全部费用，</w:t>
      </w:r>
      <w:r>
        <w:rPr>
          <w:rFonts w:ascii="Times New Roman" w:hAnsi="Times New Roman"/>
          <w:color w:val="auto"/>
          <w:kern w:val="0"/>
          <w:sz w:val="24"/>
          <w:szCs w:val="24"/>
          <w:highlight w:val="none"/>
          <w:lang w:bidi="en-US"/>
        </w:rPr>
        <w:t>投标人应充分考虑本项目合同实施期间可能发生的一切费用，并承担由此而带来的风险。凡投标人在报价中未列的项目或遗漏项目，采购人将一律视为已包括在其报价中，不再增加额外费用。</w:t>
      </w:r>
    </w:p>
    <w:p w14:paraId="126770B2">
      <w:pPr>
        <w:pStyle w:val="2"/>
        <w:widowControl/>
        <w:numPr>
          <w:ilvl w:val="0"/>
          <w:numId w:val="10"/>
        </w:numPr>
        <w:spacing w:line="360" w:lineRule="auto"/>
        <w:ind w:firstLine="0" w:firstLineChars="0"/>
        <w:rPr>
          <w:rFonts w:ascii="Times New Roman" w:hAnsi="Times New Roman"/>
          <w:b/>
          <w:color w:val="auto"/>
          <w:sz w:val="24"/>
          <w:szCs w:val="24"/>
          <w:highlight w:val="none"/>
        </w:rPr>
      </w:pPr>
      <w:r>
        <w:rPr>
          <w:rFonts w:ascii="Times New Roman" w:hAnsi="Times New Roman"/>
          <w:b/>
          <w:color w:val="auto"/>
          <w:sz w:val="24"/>
          <w:szCs w:val="24"/>
          <w:highlight w:val="none"/>
        </w:rPr>
        <w:t>、技术要求</w:t>
      </w:r>
    </w:p>
    <w:tbl>
      <w:tblPr>
        <w:tblStyle w:val="47"/>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265"/>
        <w:gridCol w:w="5850"/>
      </w:tblGrid>
      <w:tr w14:paraId="3A6C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shd w:val="clear" w:color="auto" w:fill="EEECE1" w:themeFill="background2"/>
            <w:vAlign w:val="center"/>
          </w:tcPr>
          <w:p w14:paraId="2B87E97F">
            <w:pPr>
              <w:snapToGrid w:val="0"/>
              <w:spacing w:before="156" w:beforeLines="50" w:after="156" w:afterLines="5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65" w:type="dxa"/>
            <w:shd w:val="clear" w:color="auto" w:fill="EEECE1" w:themeFill="background2"/>
            <w:vAlign w:val="center"/>
          </w:tcPr>
          <w:p w14:paraId="36FDAFCF">
            <w:pPr>
              <w:snapToGrid w:val="0"/>
              <w:spacing w:before="156" w:beforeLines="50" w:after="156" w:afterLines="5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5850" w:type="dxa"/>
            <w:shd w:val="clear" w:color="auto" w:fill="EEECE1" w:themeFill="background2"/>
            <w:vAlign w:val="center"/>
          </w:tcPr>
          <w:p w14:paraId="4546D898">
            <w:pPr>
              <w:snapToGrid w:val="0"/>
              <w:spacing w:before="156" w:beforeLines="50" w:after="156" w:afterLines="5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r>
      <w:tr w14:paraId="2ED9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D4C335C">
            <w:pPr>
              <w:spacing w:line="460" w:lineRule="exact"/>
              <w:jc w:val="center"/>
              <w:rPr>
                <w:rFonts w:hint="eastAsia" w:ascii="宋体" w:hAnsi="宋体" w:eastAsia="宋体" w:cs="宋体"/>
                <w:b/>
                <w:bCs/>
                <w:color w:val="auto"/>
                <w:sz w:val="24"/>
                <w:szCs w:val="24"/>
                <w:highlight w:val="none"/>
              </w:rPr>
            </w:pPr>
            <w:r>
              <w:rPr>
                <w:rFonts w:hint="eastAsia" w:ascii="Times New Roman" w:hAnsi="Times New Roman"/>
                <w:b/>
                <w:bCs/>
                <w:color w:val="auto"/>
                <w:sz w:val="24"/>
                <w:szCs w:val="24"/>
                <w:highlight w:val="none"/>
                <w:lang w:val="en-US" w:eastAsia="zh-CN"/>
              </w:rPr>
              <w:t>1</w:t>
            </w:r>
          </w:p>
        </w:tc>
        <w:tc>
          <w:tcPr>
            <w:tcW w:w="2265" w:type="dxa"/>
            <w:vAlign w:val="center"/>
          </w:tcPr>
          <w:p w14:paraId="48A89727">
            <w:pPr>
              <w:spacing w:line="460" w:lineRule="exact"/>
              <w:jc w:val="center"/>
              <w:rPr>
                <w:rFonts w:hint="eastAsia" w:ascii="宋体" w:hAnsi="宋体" w:eastAsia="宋体" w:cs="宋体"/>
                <w:b/>
                <w:bCs/>
                <w:color w:val="auto"/>
                <w:sz w:val="24"/>
                <w:szCs w:val="24"/>
                <w:highlight w:val="none"/>
              </w:rPr>
            </w:pPr>
            <w:r>
              <w:rPr>
                <w:rFonts w:hint="eastAsia" w:ascii="Times New Roman" w:hAnsi="Times New Roman"/>
                <w:b/>
                <w:bCs/>
                <w:color w:val="auto"/>
                <w:sz w:val="24"/>
                <w:szCs w:val="24"/>
                <w:highlight w:val="none"/>
                <w:lang w:val="en-US" w:eastAsia="zh-CN"/>
              </w:rPr>
              <w:t>水平垂直燃烧试验机</w:t>
            </w:r>
          </w:p>
        </w:tc>
        <w:tc>
          <w:tcPr>
            <w:tcW w:w="5850" w:type="dxa"/>
            <w:vAlign w:val="center"/>
          </w:tcPr>
          <w:p w14:paraId="52198561">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设备配置（换辅助设备、耗材等）</w:t>
            </w:r>
          </w:p>
          <w:p w14:paraId="0E7D8C84">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主机一台。含水平垂直燃烧支架；配有50W的火焰头，配有20mm以及10mm的量隙规；配有50W带直径5.5mm铜块热电偶；配有计时温度校准装置；配有供气装置，流量计，样品架，镜子等。</w:t>
            </w:r>
          </w:p>
          <w:p w14:paraId="651BCB75">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2）配套附件和备件。配备容量不低于40L纯度不低于98%甲烷，含控制阀减压装置；并提供有资质的第三方报告。仪器操作和维护必须的专用工具，如满足标准要求的约为100%棉花垫100张，厚10mm的平滑木板2块，并提供有资质的第三方报告</w:t>
            </w:r>
          </w:p>
          <w:p w14:paraId="76D8428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标准要求、设备性能、主要技术指标：</w:t>
            </w:r>
          </w:p>
          <w:p w14:paraId="78E7E59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符合以下标准：</w:t>
            </w:r>
          </w:p>
          <w:p w14:paraId="23CF837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5169.16—2017《电工电子产品着火危险试验 第16部分：试验火焰50W水平与垂直火焰试验方法》</w:t>
            </w:r>
          </w:p>
          <w:p w14:paraId="4C65B56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40302—2021《塑料 立式软薄试样与小火焰源接触的燃烧性能测定》</w:t>
            </w:r>
          </w:p>
          <w:p w14:paraId="510C7C3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5169.22《电工电子产品着火危险试验 第22部分：试验火焰50W火焰装置和确认试验方法》。</w:t>
            </w:r>
          </w:p>
          <w:p w14:paraId="64AF37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当设备性能指标与依据标准有冲突时，设备最终以最新标准为验收依据。</w:t>
            </w:r>
          </w:p>
          <w:p w14:paraId="22E1060E">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设备性能、主要技术</w:t>
            </w:r>
            <w:r>
              <w:rPr>
                <w:rFonts w:hint="eastAsia" w:asciiTheme="minorEastAsia" w:hAnsiTheme="minorEastAsia" w:eastAsiaTheme="minorEastAsia" w:cstheme="minorEastAsia"/>
                <w:color w:val="auto"/>
                <w:sz w:val="24"/>
                <w:szCs w:val="24"/>
                <w:highlight w:val="none"/>
                <w:lang w:val="en-US" w:eastAsia="zh-CN"/>
              </w:rPr>
              <w:t>：</w:t>
            </w:r>
          </w:p>
          <w:p w14:paraId="705B51A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1）燃烧器：产生一个符合IEC 60695-11-4规定的50W标准试验火焰；50W标准试验火焰的产生符合GB/T 5169.22标准中4.1条款所有要求；</w:t>
            </w:r>
          </w:p>
          <w:p w14:paraId="4057A4A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2）流量表：适用于测量在23℃、0.1Mpa条件下流量为105mL/min的气体，且精确到±2%。</w:t>
            </w:r>
          </w:p>
          <w:p w14:paraId="03911D9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3）压力表：适用于0kPa～7.5kPa压力测量，为确保得到标准要求的背压，压力表要与流量表连接。</w:t>
            </w:r>
          </w:p>
          <w:p w14:paraId="63C346F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4）控制阀：应能设定气体流量。</w:t>
            </w:r>
          </w:p>
          <w:p w14:paraId="3503ED7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5）铜块：直径为5.5mm，质量为1.76g±0.01g，并附有相关证明材料。</w:t>
            </w:r>
          </w:p>
          <w:p w14:paraId="6B57E1D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6）热电偶：用带有绝缘结点的矿物绝缘金属铠装细丝热电偶测量铜块的温度，该热电偶应符合GB/T 16839.2的一级标准。其标称直径应为0.5mm。</w:t>
            </w:r>
          </w:p>
          <w:p w14:paraId="071883C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7）温度校准装置：应适用于测量铜块由100℃士2℃加热到700℃士3℃的时间44s±2s，且时间测量容差为±0.5s，并附有相关证明材料（校准证书等）。</w:t>
            </w:r>
          </w:p>
          <w:p w14:paraId="4C6CEF2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8）实验室试验箱：容积应至少为0.5m，照度小于20lx。</w:t>
            </w:r>
          </w:p>
          <w:p w14:paraId="6501406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9）应配备一个照度计，精度为0.1 lx。</w:t>
            </w:r>
          </w:p>
          <w:p w14:paraId="3E0F9EB9">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10）控制功能：</w:t>
            </w:r>
          </w:p>
          <w:p w14:paraId="6D212E6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①能自动调整燃烧支架高度，控制燃烧口与样条底部的距离为预设值；</w:t>
            </w:r>
          </w:p>
          <w:p w14:paraId="6C3D436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②控制喷灯能够在燃烧过程中进行45°调整；</w:t>
            </w:r>
          </w:p>
          <w:p w14:paraId="39D9E6E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③能自动控制喷灯撤离的速度（如300mm/s）以及距离（如150mm）；</w:t>
            </w:r>
          </w:p>
          <w:p w14:paraId="1D78845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④能够统计</w:t>
            </w:r>
            <w:r>
              <w:rPr>
                <w:rFonts w:hint="eastAsia" w:asciiTheme="minorEastAsia" w:hAnsiTheme="minorEastAsia" w:eastAsiaTheme="minorEastAsia" w:cstheme="minorEastAsia"/>
                <w:b/>
                <w:bCs/>
                <w:color w:val="auto"/>
                <w:sz w:val="24"/>
                <w:szCs w:val="24"/>
                <w:highlight w:val="none"/>
                <w:lang w:val="en-US" w:eastAsia="zh-CN"/>
              </w:rPr>
              <w:t>编辑</w:t>
            </w:r>
            <w:r>
              <w:rPr>
                <w:rFonts w:hint="eastAsia" w:asciiTheme="minorEastAsia" w:hAnsiTheme="minorEastAsia" w:eastAsiaTheme="minorEastAsia" w:cstheme="minorEastAsia"/>
                <w:color w:val="auto"/>
                <w:sz w:val="24"/>
                <w:szCs w:val="24"/>
                <w:highlight w:val="none"/>
                <w:lang w:val="en-US" w:eastAsia="zh-CN"/>
              </w:rPr>
              <w:t>记录五组t1，t2，t3，并自动计算t2+t3以及五组∑（t1+t2）值。</w:t>
            </w:r>
          </w:p>
          <w:p w14:paraId="2B53720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11）提供标准棉垫（50mm*50mm*6mm）最大质量0.08g以及10mm厚平滑木板并附有棉垫，木板等证明材料。</w:t>
            </w:r>
          </w:p>
          <w:p w14:paraId="3DD08E2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12）一根直径为13.0mm，长度为200mm的棒杆；直径为0.2~0.5mm，长度为500mm的镍铬丝；10mm、20mm的量隙规（测量火焰高度以及样条离燃烧口高度）；试样量规（用于测量试样尺寸是否符合要求）。</w:t>
            </w:r>
          </w:p>
          <w:p w14:paraId="32F7736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13）试验箱背面配有镜子，以方便观察余焰以及余灼情况。</w:t>
            </w:r>
          </w:p>
          <w:p w14:paraId="4BCFAA7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★14）至少配备可同时满足水平/垂直燃烧试验的试样夹具、及泡沫材料垂直燃烧试验夹具各1套</w:t>
            </w:r>
          </w:p>
          <w:p w14:paraId="3AAE357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0"/>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rPr>
              <w:t>15）应配备容量不低于40L纯度不低于98%甲烷，并提供有资质的第三方报告。</w:t>
            </w:r>
          </w:p>
        </w:tc>
      </w:tr>
      <w:tr w14:paraId="3528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1" w:type="dxa"/>
            <w:vAlign w:val="center"/>
          </w:tcPr>
          <w:p w14:paraId="674DABB8">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2</w:t>
            </w:r>
          </w:p>
        </w:tc>
        <w:tc>
          <w:tcPr>
            <w:tcW w:w="2265" w:type="dxa"/>
            <w:vAlign w:val="center"/>
          </w:tcPr>
          <w:p w14:paraId="7A657B76">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汽车内饰垂直燃烧测试仪</w:t>
            </w:r>
          </w:p>
        </w:tc>
        <w:tc>
          <w:tcPr>
            <w:tcW w:w="5850" w:type="dxa"/>
            <w:vAlign w:val="center"/>
          </w:tcPr>
          <w:p w14:paraId="685200E9">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设备配置（换辅助设备、耗材等）</w:t>
            </w:r>
          </w:p>
          <w:p w14:paraId="71F99163">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主机一台。含：汽车内饰垂直燃烧试样固定架；压板，配有相应的量隙规；配有供气装置，流量计，固定针，定位柱等。</w:t>
            </w:r>
          </w:p>
          <w:p w14:paraId="23D268A6">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配套附件和备件：满足标准要求的白色丝光棉线600份；备用1套汽车内饰垂直燃烧试样固定针；配备设备所需气体，含控制阀减压装置等，并提供有资质的第三方报告。</w:t>
            </w:r>
          </w:p>
          <w:p w14:paraId="4F9FE0F0">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标准要求、设备性能、主要技术指标：</w:t>
            </w:r>
          </w:p>
          <w:p w14:paraId="2D3AF68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符合以下标准的最新标准</w:t>
            </w:r>
          </w:p>
          <w:p w14:paraId="398A1E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GB/T 32086-2015《特定种类汽车内饰材料垂直燃烧特性技术要求和试验方法》。</w:t>
            </w:r>
          </w:p>
          <w:p w14:paraId="21C938E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当设备性能指标与依据标准有冲突时，设备最终以最新标准为验收依据。</w:t>
            </w:r>
          </w:p>
          <w:p w14:paraId="26C6CB4D">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设备性能、主要技术</w:t>
            </w:r>
            <w:r>
              <w:rPr>
                <w:rFonts w:hint="eastAsia" w:asciiTheme="minorEastAsia" w:hAnsiTheme="minorEastAsia" w:eastAsiaTheme="minorEastAsia" w:cstheme="minorEastAsia"/>
                <w:color w:val="auto"/>
                <w:sz w:val="24"/>
                <w:szCs w:val="24"/>
                <w:highlight w:val="none"/>
                <w:lang w:val="en-US" w:eastAsia="zh-CN"/>
              </w:rPr>
              <w:t>：</w:t>
            </w:r>
          </w:p>
          <w:p w14:paraId="29F6547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试样固定架：样品夹具为方形框架，框架高560mm,由两根间距为150mm的平行杆连接组成，杆上有固定试样的固定针；固定针直径应不大于2mm，长度至少27mm。需在固定针附件安装直径为2mm，高度至少为20mm的定位柱。</w:t>
            </w:r>
          </w:p>
          <w:p w14:paraId="1835A09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2）压板：平整且具有刚性，尺寸相当于试样固定架尺寸，厚度为1.0mm±0.1mm。在压板的左右两侧钻出直径大约为4mm的12个圆孔，圆孔位置应保证其圆心间距等于试样固定架上固定针之间的距离。</w:t>
            </w:r>
          </w:p>
          <w:p w14:paraId="6EB6DD2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3）燃气灯，喷嘴内径0.18mm，产生火焰高度40mm，并能进行30°快速调节；需要满足最新GB 32086标准中燃气灯附录A的要求。</w:t>
            </w:r>
          </w:p>
          <w:p w14:paraId="44BDD74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4）标记线：白色丝光棉线，线密度最大为50tex，并附有相关证明材料。</w:t>
            </w:r>
          </w:p>
          <w:p w14:paraId="4F445C8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通风橱：通风橱内部容积为试样固定架体积的20倍~110倍,且通风橱的长宽、高的任一尺寸不得超过另外两个尺寸中任一尺寸的2倍，在距离试样固定架最终确定位置前后各100mm处测量空气流过通风橱的垂直速度,该速度应在0.10m/s~0.30m/s之间（可与通风柜合用）。</w:t>
            </w:r>
          </w:p>
          <w:p w14:paraId="1351C93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6）固定架旁边悬挂钢板尺，量程在600mm以上，精度为1mm。</w:t>
            </w:r>
          </w:p>
          <w:p w14:paraId="7460DBE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7）20mm、40mm量隙规(用于测量火焰高度)各一个。</w:t>
            </w:r>
          </w:p>
          <w:p w14:paraId="0E16FA33">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8）控制功能：</w:t>
            </w:r>
          </w:p>
          <w:p w14:paraId="6F52537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①应能计时并记录3组样条燃烧时间，计时装置精度不低于0.5s。</w:t>
            </w:r>
          </w:p>
          <w:p w14:paraId="53284EE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②控制火焰燃烧时间，并在计时结束后能熄灭燃灯并复位。</w:t>
            </w:r>
          </w:p>
          <w:p w14:paraId="76AFBA2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9）提供容量不低于40L的工业用丙烷气体、丁烷气体或液化石油气，并提供有资质的第三方报告。</w:t>
            </w:r>
          </w:p>
          <w:p w14:paraId="1A140112">
            <w:pPr>
              <w:keepNext w:val="0"/>
              <w:keepLines w:val="0"/>
              <w:pageBreakBefore w:val="0"/>
              <w:widowControl w:val="0"/>
              <w:kinsoku/>
              <w:wordWrap/>
              <w:overflowPunct/>
              <w:topLinePunct w:val="0"/>
              <w:autoSpaceDE/>
              <w:autoSpaceDN/>
              <w:bidi w:val="0"/>
              <w:adjustRightInd w:val="0"/>
              <w:snapToGrid w:val="0"/>
              <w:spacing w:line="240" w:lineRule="auto"/>
              <w:ind w:left="315" w:leftChars="15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10）应配有气体气压控制，并能精准读数。</w:t>
            </w:r>
          </w:p>
          <w:p w14:paraId="6112AB74">
            <w:pPr>
              <w:keepNext w:val="0"/>
              <w:keepLines w:val="0"/>
              <w:pageBreakBefore w:val="0"/>
              <w:widowControl w:val="0"/>
              <w:kinsoku/>
              <w:wordWrap/>
              <w:overflowPunct/>
              <w:topLinePunct w:val="0"/>
              <w:autoSpaceDE/>
              <w:autoSpaceDN/>
              <w:bidi w:val="0"/>
              <w:adjustRightInd w:val="0"/>
              <w:snapToGrid w:val="0"/>
              <w:spacing w:line="240" w:lineRule="auto"/>
              <w:ind w:left="315" w:leftChars="150" w:firstLine="480" w:firstLineChars="200"/>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11）配备风速计1个（或集成到到设备可精准测量风速值的装置）。</w:t>
            </w:r>
          </w:p>
        </w:tc>
      </w:tr>
      <w:tr w14:paraId="206A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5D126A6">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3</w:t>
            </w:r>
          </w:p>
        </w:tc>
        <w:tc>
          <w:tcPr>
            <w:tcW w:w="2265" w:type="dxa"/>
            <w:vAlign w:val="center"/>
          </w:tcPr>
          <w:p w14:paraId="00E6FF92">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纺织品垂直燃烧试验机</w:t>
            </w:r>
          </w:p>
        </w:tc>
        <w:tc>
          <w:tcPr>
            <w:tcW w:w="5850" w:type="dxa"/>
            <w:vAlign w:val="center"/>
          </w:tcPr>
          <w:p w14:paraId="3FA4133C">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设备配置（换辅助设备、耗材等）</w:t>
            </w:r>
          </w:p>
          <w:p w14:paraId="44929878">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主机一台。含纺织品垂直燃烧试验箱；试样夹，配有相应的量隙规；点火器；配有供气装置，流量计，计时器等。</w:t>
            </w:r>
          </w:p>
          <w:p w14:paraId="2EC5D075">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配套附件和备件：配备容量不低于40L纯度不低于97%甲烷，含控制阀减压装置；并提供有资质的第三方报告；仪器操作和维护必须的专用工具：满足标准要求的2块可承受溶滴或其他碎片的板或丝网，其最小尺寸152*152*1.5mm；加紧试样夹两边的夹子20个；10mm厚医用脱脂棉200份；满足标准要求的5中不同质量的重锤（含挂钩），并提供有资质的第三方报告等。</w:t>
            </w:r>
          </w:p>
          <w:p w14:paraId="5C297645">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标准要求、设备性能、主要技术指标：</w:t>
            </w:r>
          </w:p>
          <w:p w14:paraId="779F40A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符合以下标准的最新标准</w:t>
            </w:r>
          </w:p>
          <w:p w14:paraId="7812C1F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5455-2014《纺织品 燃烧性能 垂直方向损毁长度、阴燃和续燃时间的测定》。</w:t>
            </w:r>
          </w:p>
          <w:p w14:paraId="79F96E1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当设备性能指标与依据标准有冲突时，设备最终以最新标准为验收依据。</w:t>
            </w:r>
          </w:p>
          <w:p w14:paraId="7479A89E">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设备性能、主要技术</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w:t>
            </w:r>
          </w:p>
          <w:p w14:paraId="7C4AED2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垂直燃烧试验箱：燃烧箱尺寸为329*329*767mm；箱体顶部设有均匀排列的16个内径为12.5mm的排气孔，距箱顶部30mm处加装顶板一块，箱两侧下部各开6个内径为12.5mm的通风孔；箱子中央放一块可承受溶滴或其他碎片的板或丝网，其最小尺寸152*152*1.5mm；底部应配备耐热及耐腐蚀材料制成的板,长宽较箱底各小25mm，厚度约3mm。</w:t>
            </w:r>
          </w:p>
          <w:p w14:paraId="2C6806B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2）支架可承挂试样夹。</w:t>
            </w:r>
          </w:p>
          <w:p w14:paraId="4959B48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3）试样夹：由两块厚2.0mm、长422mm,宽89mm的U形不锈钢板构成,其内框尺寸为 356mm*51mm,配备足够多夹子固定两块U型板。</w:t>
            </w:r>
          </w:p>
          <w:p w14:paraId="3BDC465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4）点火器：管口内径为11mm，管头与垂线成25°角，可控制点火时间精确到0.05s；点火器入口气体压力为17.2kPa±1.7kPa；</w:t>
            </w:r>
          </w:p>
          <w:p w14:paraId="3363077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5）重锤：每一重锤附以挂钩，挂钩由直径1.1mm，长度76mm，在末端弯曲13mm成45°角的钢丝或不锈钢丝制成，共有5种重锤（含挂钩），质量分别为54.5g、113.4g、226.8g、340.2g、453.6g。</w:t>
            </w:r>
          </w:p>
          <w:p w14:paraId="0499A2F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6）应配有气体气压控制,.并能精准读数，精准度0.1kPa；气体压力可调并可根据调湿条件选用气体，条件A选用</w:t>
            </w:r>
          </w:p>
          <w:p w14:paraId="023DC02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7）配备可编程控制器、自动化控制、检测、计算及数据存储、自行设定试验时间和受火时间、续燃+阴燃+脱脂棉点燃的自动计时等功能，计时装置装置精度到0.05s。</w:t>
            </w:r>
          </w:p>
          <w:p w14:paraId="06D2BA0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8）配备容量不低于40L纯度不低于97%的甲烷，并提供带资质的第三方报告。</w:t>
            </w:r>
          </w:p>
        </w:tc>
      </w:tr>
      <w:tr w14:paraId="29B8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91EA6E0">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4</w:t>
            </w:r>
          </w:p>
        </w:tc>
        <w:tc>
          <w:tcPr>
            <w:tcW w:w="2265" w:type="dxa"/>
            <w:vAlign w:val="center"/>
          </w:tcPr>
          <w:p w14:paraId="76B7EFCF">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智能型氧指数测试仪</w:t>
            </w:r>
          </w:p>
        </w:tc>
        <w:tc>
          <w:tcPr>
            <w:tcW w:w="5850" w:type="dxa"/>
            <w:vAlign w:val="center"/>
          </w:tcPr>
          <w:p w14:paraId="50E84BDE">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设备配置（换辅助设备、耗材等）</w:t>
            </w:r>
          </w:p>
          <w:p w14:paraId="503C1C6E">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主机一台。含智能型氧指数测试仪，2个燃烧筒，4个试样夹（2个满足GB/T5454-1997，2个满足GB/T2406.2-2009标准中试样夹尺寸规定），配有相应的高度规；点火器；配有供气装置，气体减压计，计时器等。</w:t>
            </w:r>
          </w:p>
          <w:p w14:paraId="26F56F13">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配套附件和备件：配备容量不低于40L纯度不低于98%的工业用氧气以及工业氮气，含控制阀减压装置，并提供有资质的第三方报告；仪器操作和维护必须的专用工具：满足标准要求的秒表，钢尺和点火器，火焰高度量隙规，水平指示器，记号笔，样品粘合剂等。</w:t>
            </w:r>
          </w:p>
          <w:p w14:paraId="1776D78C">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标准要求、设备性能、主要技术指标：</w:t>
            </w:r>
          </w:p>
          <w:p w14:paraId="73FFA56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符合以下标准的最新标准</w:t>
            </w:r>
          </w:p>
          <w:p w14:paraId="34162A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5454-1997《纺织品 燃烧性能试验 氧指数法》</w:t>
            </w:r>
          </w:p>
          <w:p w14:paraId="2365D3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2406.2-2009《塑料 用氧指数法测定燃烧行为第2部分：室温试验》</w:t>
            </w:r>
          </w:p>
          <w:p w14:paraId="650A116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当设备性能指标与依据标准有冲突时，设备最终以最新标准为验收依据。</w:t>
            </w:r>
          </w:p>
          <w:p w14:paraId="1D7B5FA6">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设备性能、主要技术：</w:t>
            </w:r>
          </w:p>
          <w:p w14:paraId="0F54216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1）燃烧筒：内径75-100mm和高度500±50mm的耐热玻璃管构成，筒底连接进气管，</w:t>
            </w:r>
            <w:r>
              <w:rPr>
                <w:rFonts w:hint="eastAsia" w:asciiTheme="minorEastAsia" w:hAnsiTheme="minorEastAsia" w:eastAsiaTheme="minorEastAsia" w:cstheme="minorEastAsia"/>
                <w:color w:val="auto"/>
                <w:sz w:val="24"/>
                <w:szCs w:val="24"/>
                <w:highlight w:val="none"/>
                <w:lang w:bidi="ar"/>
              </w:rPr>
              <w:t>燃烧筒顶端具有限流孔罩，孔直径为40±1mm，使排出气体的流速至少90mm/s</w:t>
            </w:r>
            <w:r>
              <w:rPr>
                <w:rFonts w:hint="eastAsia" w:asciiTheme="minorEastAsia" w:hAnsiTheme="minorEastAsia" w:eastAsiaTheme="minorEastAsia" w:cstheme="minorEastAsia"/>
                <w:color w:val="auto"/>
                <w:sz w:val="24"/>
                <w:szCs w:val="24"/>
                <w:highlight w:val="none"/>
                <w:lang w:eastAsia="zh-CN" w:bidi="ar"/>
              </w:rPr>
              <w:t>，</w:t>
            </w:r>
            <w:r>
              <w:rPr>
                <w:rFonts w:hint="eastAsia" w:asciiTheme="minorEastAsia" w:hAnsiTheme="minorEastAsia" w:eastAsiaTheme="minorEastAsia" w:cstheme="minorEastAsia"/>
                <w:color w:val="auto"/>
                <w:sz w:val="24"/>
                <w:szCs w:val="24"/>
                <w:highlight w:val="none"/>
                <w:lang w:val="en-US" w:eastAsia="zh-CN"/>
              </w:rPr>
              <w:t>并用直径3-5mm的玻璃珠充填，高度为80-100mm，并带有金属网。</w:t>
            </w:r>
          </w:p>
          <w:p w14:paraId="24B8186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bidi="ar"/>
              </w:rPr>
              <w:t>为保证进入燃烧筒的氧、氮混合气流的温度达到23℃±2℃，燃烧筒底部设有电加热温度系统，能自动控制和加热进入燃烧筒的混合气体的稳定达到23℃±2℃。如混合气体的稳定超过25℃，本装置将自动启动半导体制冷器降低混合气体的温度。</w:t>
            </w:r>
          </w:p>
          <w:p w14:paraId="0F9AB0E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2）试样夹：U形夹子各一个，内框尺寸140*38mm以及120mm*38mm，配有调平装置或水平指示器。</w:t>
            </w:r>
          </w:p>
          <w:p w14:paraId="76A8FA6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3）点火器：内径为2±1mm的管子，火焰高度可用气阀调节，燃烧气体使用丙烷或丁烷气体，能从燃烧筒上方伸入以点燃试样，火焰高度为15-20mm。</w:t>
            </w:r>
          </w:p>
          <w:p w14:paraId="3AFCE6D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4）6mm、15mm、20mm、40mm量隙规。</w:t>
            </w:r>
          </w:p>
          <w:p w14:paraId="20A3BC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kern w:val="2"/>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lang w:val="en-US" w:eastAsia="zh-CN"/>
              </w:rPr>
              <w:t>一键智能控制氧浓度设置，步进值0.2%。</w:t>
            </w:r>
          </w:p>
          <w:p w14:paraId="429B5F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sz w:val="24"/>
                <w:szCs w:val="24"/>
                <w:highlight w:val="none"/>
                <w:lang w:val="en-US" w:eastAsia="zh-CN"/>
              </w:rPr>
              <w:t>显示屏能够精准控制并读数供气气压0.1~0.5MPa。</w:t>
            </w:r>
          </w:p>
          <w:p w14:paraId="0693350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气体控制装置:打开气体供给部分的阀门,并任意选择混合气体浓度,流量在10L/min左右,关闭出气和进气阀门,并记录氧气、氮气、混合气体的压力及流量。放置30min,再观察各压力计及流量计所示数值,与前记录值核对，如无变动,说明装置无漏气。</w:t>
            </w:r>
          </w:p>
          <w:p w14:paraId="585F3BE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试验氧浓度初步选择：当测试试样的氧指数值完全未知时，调节相应的氧浓度，获得试验所需氧指数；据此推定的氧浓度，从附录B中查出相应的氧流量和氮流量，变化氧浓度时设备的混合气体的总流量需要控制在10～11.4L/min之间。</w:t>
            </w:r>
          </w:p>
          <w:p w14:paraId="7352887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9）配备容量不低于40L纯度不低于98%的工业用氧气以及工业氮气，并提供有资质第三方报告。</w:t>
            </w:r>
          </w:p>
        </w:tc>
      </w:tr>
      <w:tr w14:paraId="0997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A26B87A">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5</w:t>
            </w:r>
          </w:p>
        </w:tc>
        <w:tc>
          <w:tcPr>
            <w:tcW w:w="2265" w:type="dxa"/>
            <w:vAlign w:val="center"/>
          </w:tcPr>
          <w:p w14:paraId="44094E88">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电线电缆燃烧试验机</w:t>
            </w:r>
          </w:p>
        </w:tc>
        <w:tc>
          <w:tcPr>
            <w:tcW w:w="5850" w:type="dxa"/>
            <w:vAlign w:val="center"/>
          </w:tcPr>
          <w:p w14:paraId="1A7A0F7C">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设备配置（换辅助设备、耗材等）</w:t>
            </w:r>
          </w:p>
          <w:p w14:paraId="4A559D9D">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主机2台。每台含电线电缆燃烧试验机，2个水平支架，配有满足标准要求的高度规，满足标准要求点火器；配有1kW火焰温度计时校准装置，满足标准要求温度校准的铜块热电偶；配有供气装置，流量计等。</w:t>
            </w:r>
          </w:p>
          <w:p w14:paraId="777F0568">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2）配套附件和备件：配备容量不低于40L，浓度超过95%的工业用丙烷气体，并提供有资质的第三方报告。配有5种不同负荷的砝码</w:t>
            </w:r>
          </w:p>
          <w:p w14:paraId="4CD7D153">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标准要求、设备性能、主要技术指标：</w:t>
            </w:r>
          </w:p>
          <w:p w14:paraId="55852A1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符合以下标准的最新标准</w:t>
            </w:r>
          </w:p>
          <w:p w14:paraId="131502D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18380.12-2022《电缆和光缆在火焰条件下的燃烧试验 第12部分：单根绝缘电线电缆火焰垂直蔓延试验1kW预混合型火焰试验方法》</w:t>
            </w:r>
          </w:p>
          <w:p w14:paraId="5A8335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18380.22-2008《电缆和光缆在火焰条件下的燃烧试验 第22部分：单根绝缘细电线电缆火焰垂直蔓延试验 扩散型火焰试验方法》</w:t>
            </w:r>
          </w:p>
          <w:p w14:paraId="7439948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当设备性能指标与依据标准有冲突时，设备最终以最新标准为验收依据。</w:t>
            </w:r>
          </w:p>
          <w:p w14:paraId="1ACF0986">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设备性能、主要技术：</w:t>
            </w:r>
          </w:p>
          <w:p w14:paraId="0DC235B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1）试验箱：全不锈钢箱体高度为1200mm，宽度300mm，深度为450mm。</w:t>
            </w:r>
          </w:p>
          <w:p w14:paraId="18562D2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2）喷灯：喷灯中心线应于试样中心线呈（45±2°）的夹角。</w:t>
            </w:r>
          </w:p>
          <w:p w14:paraId="5689217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3）可燃气体的流量以及空气流量能够在控制界面进行设置并精准控制。</w:t>
            </w:r>
          </w:p>
          <w:p w14:paraId="593F8E8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4）能够在操作界面进行燃烧时间设置。</w:t>
            </w:r>
          </w:p>
          <w:p w14:paraId="3A90641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5）具备通风系统，能在试验后进行通气排风。</w:t>
            </w:r>
          </w:p>
          <w:p w14:paraId="608DF7B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应配有喷管内径为12mm，喷嘴直径为7mm的喷灯以及喷管内径为9.5mm，喷嘴直径为8mm的喷灯；1kW标准火焰燃气和空气的流量宜为：在23℃、0.1MPa条件下，以（650±10）mL/min的流量供给纯度超过95%的工业丙烷气体；在23℃，0.1MPa条件下，以（10.0±0.3）mL/min的流量供给空气。</w:t>
            </w:r>
          </w:p>
          <w:p w14:paraId="276F400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7）应配备钢直尺，量程超过1000mm，最小刻度1mm。</w:t>
            </w:r>
          </w:p>
          <w:p w14:paraId="6F30CFD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8）支撑架应上下带有固定装置，方便固定样品。</w:t>
            </w:r>
          </w:p>
          <w:p w14:paraId="58329B2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9）应配备带有46,78,148,208mm的量隙规。</w:t>
            </w:r>
          </w:p>
          <w:p w14:paraId="7D59DDC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10）应配备容量不低于40L浓度超过95%的工业用丙烷气体，并提供有资质的第三方报告。</w:t>
            </w:r>
          </w:p>
          <w:p w14:paraId="50F4891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11）配备火焰的温度校准装置：满足GB/T 5169.14标准火焰装置要求：蓝色焰心高度为46~78mm，火焰总高度为148~208mm应适用于测量铜块由100℃士5℃加热到700℃士3℃的时间,所需的时间应为46s±6s,且时间测量容差为±0.5s等相关要求；并附有相关证明材料（校准证书等）。</w:t>
            </w:r>
          </w:p>
        </w:tc>
      </w:tr>
      <w:tr w14:paraId="1926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BA28D1F">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6</w:t>
            </w:r>
          </w:p>
        </w:tc>
        <w:tc>
          <w:tcPr>
            <w:tcW w:w="2265" w:type="dxa"/>
            <w:vAlign w:val="center"/>
          </w:tcPr>
          <w:p w14:paraId="34118B6D">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建筑材料烟密度测试仪</w:t>
            </w:r>
          </w:p>
        </w:tc>
        <w:tc>
          <w:tcPr>
            <w:tcW w:w="5850" w:type="dxa"/>
            <w:vAlign w:val="center"/>
          </w:tcPr>
          <w:p w14:paraId="1D74FBC5">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设备配置（换辅助设备、耗材等）</w:t>
            </w:r>
          </w:p>
          <w:p w14:paraId="49C432FA">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主机一台。含建筑材料烟密度测试仪，电脑，打印机，烟箱，样品支架，配有正方形石棉板；点火器，辅助燃烧器；具备光电池和温度补偿功能，灯丝密集型仪表灯泡；供气装置，计时装置，拥有2个量程的仪表，求积仪器等。</w:t>
            </w:r>
          </w:p>
          <w:p w14:paraId="08464967">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2）配套附件和备件：配备容量不低于40L浓度至少为85%的工作用丙烷气体，并提供有资质的第三方报告；仪器操作和维护必须的专用工具：满足标准要求的3块标准滤光片（光吸收率25%，50%，75%），完全不透光的遮光板；灭火盘，清洁剂，2个筛子，不锈钢收集盘。</w:t>
            </w:r>
          </w:p>
          <w:p w14:paraId="71103315">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标准要求、设备性能、主要技术指标：</w:t>
            </w:r>
          </w:p>
          <w:p w14:paraId="4BA709C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符合以下标准的最新标准</w:t>
            </w:r>
          </w:p>
          <w:p w14:paraId="422FF5F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GB/T8627-2007《建筑材料燃烧或分解的烟密度实验方法》</w:t>
            </w:r>
          </w:p>
          <w:p w14:paraId="0463A31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当设备性能指标与依据标准有冲突时，设备最终以最新标准为验收依据。</w:t>
            </w:r>
          </w:p>
          <w:p w14:paraId="7BF8DEE8">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设备性能、主要技术</w:t>
            </w:r>
            <w:r>
              <w:rPr>
                <w:rFonts w:hint="eastAsia" w:asciiTheme="minorEastAsia" w:hAnsiTheme="minorEastAsia" w:eastAsiaTheme="minorEastAsia" w:cstheme="minorEastAsia"/>
                <w:color w:val="auto"/>
                <w:sz w:val="24"/>
                <w:szCs w:val="24"/>
                <w:highlight w:val="none"/>
                <w:lang w:val="en-US" w:eastAsia="zh-CN"/>
              </w:rPr>
              <w:t>：</w:t>
            </w:r>
          </w:p>
          <w:p w14:paraId="0251B20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1）烟箱：烟箱尺寸为300*300*790mm；烟箱固定在350*400*57mm的基座上，基座上设有控制器；烟箱除了在底部四周有25*230mm的开口外其余部分应被密封；烟箱背部安装一块可更换的白色塑料板，尺寸为高 90mm，宽 150mm，有红色逃生标志"EXIT"字样；</w:t>
            </w:r>
          </w:p>
          <w:p w14:paraId="3F90985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2）样品支架：样品放在一个边长为64mm的正方形框槽上，正方形是由6*6*0.9mm的不锈钢网格构成，正方形支架位于底座上方220mm处并与烟箱各边等距离；</w:t>
            </w:r>
          </w:p>
          <w:p w14:paraId="76F3D18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3）点火系统：工作压力为276kPad 丙烷点火器；并配备相应的辅助燃烧器；燃气应与空气混合,当燃气从直径为 0.13 mm的孔通过时,利用丙烷文氏管的作用推动空气并一起通入点火器。点火器应按照GB8627标准中图 3所示的剖面图装配。点火器必须设计能提供足够的外部空气。</w:t>
            </w:r>
          </w:p>
          <w:p w14:paraId="4446CD2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气装置：至少配备2套供气系统，分别向主、辅燃烧器提供标准气源；至少配备2个精密气体稳压阀,输入范围覆盖：（0-0.6MPa），输出范围覆盖：（0-0.4MPa）及（0-1000ml/min）。至少配备2个压力表，2个可燃气体流量计，流量计量程覆盖100-1000mL/min，装置应能对气体流程进行调节，试验结束后可自动切断气源功能。</w:t>
            </w:r>
          </w:p>
          <w:p w14:paraId="1D1651C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5）光电系统：用光源、一个带屏障层的光电池和一个温度补偿计来测量光東穿过 300mm的烟气层后的百分比。光源为灯丝密集型仪表灯泡，工作电压为5.8V，光源是一个球形反射体，其电源由一个可调电压变压器提供，一个焦距为（60～65）mm的透镜将光束聚焦在仪器右臂的光电池上；另一个装有光度计的盒子安装在烟箱右边，带屏障层光电池应有标准光谱响应，光电池前面应设置圆形网格箱用来保护电池免受散光照射，网格暗黑抛光，并且开口深度至少为宽度的两倍，光电池感应产生的电流以光的吸收率显示在仪表上，光电池随着温度的增加线性减少，因此应做出补偿。光电池工作温度不高于50℃；仪表应该有两个量程。可通过切换仪表到它灵敏度的十分之一来改变量程。当烟累积到能吸收 90%的光束时,应快速转换使仪表的灵敏度降低到基本值。要达到这一点,仪表的刻度应是从90%到100%，而不是0到100%。</w:t>
            </w:r>
          </w:p>
          <w:p w14:paraId="2969B2C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6）计时装置：采用时间间隔为15s的钟表，计时器与点火器设备连接起来，当点火器移到试验位置时应开始计时；</w:t>
            </w:r>
          </w:p>
          <w:p w14:paraId="2760C4D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采用适合的求积仪或计算机软件等其他合适的方式来计算光吸收率曲线下方的面积。测试软件可对三组试样的SDR数值进行自动比较，若无法满足测试要求，则加测一组，可对4组试样中任意三项进行比较，并检测是否通过测试要求。</w:t>
            </w:r>
          </w:p>
          <w:p w14:paraId="10E6DA0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8）光吸收率为25%、50%、75%的滤光片，并提供相应校准证书。</w:t>
            </w:r>
          </w:p>
          <w:p w14:paraId="3FC310E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能输出光吸收率与时间的曲线图，并以PDF、WORD等格式文件输出，并能自动计算烟密度等级，格式可自定义，编辑符合原始记录要求：光电池的输出结果与时间的函数关系使用特定的图形记录器记录下来，采用高灵敏度的传感器等设备能够细分超过0.1%变化的烟密度，对每组三个样品每隔15s的光吸收数据求平均值,并将平均值与时间的关系绘制到网格纸上；以曲线的最高点作为最大烟密度；曲线与其下方坐标轴所围的面积为总的产烟量,烟密度等级代表了(0~4)min内的总产烟量测量曲线与时间轴所围面积,然后除以曲线图的总面积,即(0~4)min内,(0~100)%的光吸收总面积，再乘以 100,定义为试样的烟密度等级。</w:t>
            </w:r>
          </w:p>
          <w:p w14:paraId="44CDBE7A">
            <w:pPr>
              <w:keepNext w:val="0"/>
              <w:keepLines w:val="0"/>
              <w:pageBreakBefore w:val="0"/>
              <w:widowControl w:val="0"/>
              <w:kinsoku/>
              <w:wordWrap/>
              <w:overflowPunct/>
              <w:topLinePunct w:val="0"/>
              <w:autoSpaceDE/>
              <w:autoSpaceDN/>
              <w:bidi w:val="0"/>
              <w:adjustRightInd w:val="0"/>
              <w:spacing w:line="320" w:lineRule="exact"/>
              <w:ind w:firstLine="480" w:firstLineChars="200"/>
              <w:jc w:val="both"/>
              <w:textAlignment w:val="auto"/>
              <w:rPr>
                <w:rFonts w:hint="eastAsia" w:ascii="Times New Roman" w:hAnsi="Times New Roman" w:cs="Times New Roman"/>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w:t>
            </w:r>
            <w:bookmarkStart w:id="69" w:name="OLE_LINK2"/>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imes New Roman" w:hAnsi="Times New Roman" w:cs="Times New Roman"/>
                <w:b w:val="0"/>
                <w:bCs w:val="0"/>
                <w:color w:val="auto"/>
                <w:sz w:val="24"/>
                <w:szCs w:val="24"/>
                <w:highlight w:val="none"/>
                <w:lang w:val="en-US" w:eastAsia="zh-CN"/>
              </w:rPr>
              <w:t>工控机</w:t>
            </w:r>
          </w:p>
          <w:p w14:paraId="097A49C4">
            <w:pPr>
              <w:keepNext w:val="0"/>
              <w:keepLines w:val="0"/>
              <w:pageBreakBefore w:val="0"/>
              <w:widowControl w:val="0"/>
              <w:numPr>
                <w:ilvl w:val="0"/>
                <w:numId w:val="0"/>
              </w:numPr>
              <w:kinsoku/>
              <w:wordWrap/>
              <w:overflowPunct/>
              <w:topLinePunct w:val="0"/>
              <w:autoSpaceDE/>
              <w:autoSpaceDN/>
              <w:bidi w:val="0"/>
              <w:adjustRightInd w:val="0"/>
              <w:spacing w:line="320" w:lineRule="exact"/>
              <w:ind w:firstLine="480" w:firstLineChars="200"/>
              <w:jc w:val="both"/>
              <w:textAlignment w:val="auto"/>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处理器：</w:t>
            </w:r>
            <w:r>
              <w:rPr>
                <w:rFonts w:hint="eastAsia" w:ascii="Times New Roman" w:hAnsi="Times New Roman" w:cs="Times New Roman"/>
                <w:b w:val="0"/>
                <w:bCs w:val="0"/>
                <w:color w:val="auto"/>
                <w:kern w:val="2"/>
                <w:sz w:val="24"/>
                <w:szCs w:val="24"/>
                <w:highlight w:val="none"/>
                <w:lang w:val="en-US" w:eastAsia="zh-CN" w:bidi="ar-SA"/>
              </w:rPr>
              <w:t>英特尔酷睿</w:t>
            </w:r>
            <w:r>
              <w:rPr>
                <w:rFonts w:hint="default" w:ascii="Times New Roman" w:hAnsi="Times New Roman" w:eastAsia="宋体" w:cs="Times New Roman"/>
                <w:b w:val="0"/>
                <w:bCs w:val="0"/>
                <w:color w:val="auto"/>
                <w:kern w:val="2"/>
                <w:sz w:val="24"/>
                <w:szCs w:val="24"/>
                <w:highlight w:val="none"/>
                <w:lang w:val="en-US" w:eastAsia="zh-CN" w:bidi="ar-SA"/>
              </w:rPr>
              <w:t xml:space="preserve"> i</w:t>
            </w:r>
            <w:r>
              <w:rPr>
                <w:rFonts w:hint="eastAsia" w:ascii="Times New Roman" w:hAnsi="Times New Roman" w:cs="Times New Roman"/>
                <w:b w:val="0"/>
                <w:bCs w:val="0"/>
                <w:color w:val="auto"/>
                <w:kern w:val="2"/>
                <w:sz w:val="24"/>
                <w:szCs w:val="24"/>
                <w:highlight w:val="none"/>
                <w:lang w:val="en-US" w:eastAsia="zh-CN" w:bidi="ar-SA"/>
              </w:rPr>
              <w:t>7及以上。</w:t>
            </w:r>
          </w:p>
          <w:p w14:paraId="0F5339D4">
            <w:pPr>
              <w:keepNext w:val="0"/>
              <w:keepLines w:val="0"/>
              <w:pageBreakBefore w:val="0"/>
              <w:widowControl w:val="0"/>
              <w:numPr>
                <w:ilvl w:val="0"/>
                <w:numId w:val="0"/>
              </w:numPr>
              <w:kinsoku/>
              <w:wordWrap/>
              <w:overflowPunct/>
              <w:topLinePunct w:val="0"/>
              <w:autoSpaceDE/>
              <w:autoSpaceDN/>
              <w:bidi w:val="0"/>
              <w:adjustRightInd w:val="0"/>
              <w:spacing w:line="320" w:lineRule="exact"/>
              <w:ind w:firstLine="480" w:firstLineChars="200"/>
              <w:jc w:val="both"/>
              <w:textAlignment w:val="auto"/>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内存：</w:t>
            </w:r>
            <w:r>
              <w:rPr>
                <w:rStyle w:val="49"/>
                <w:rFonts w:hint="eastAsia" w:ascii="宋体" w:hAnsi="宋体" w:eastAsia="宋体" w:cs="宋体"/>
                <w:color w:val="auto"/>
                <w:kern w:val="2"/>
                <w:sz w:val="24"/>
                <w:szCs w:val="24"/>
                <w:highlight w:val="none"/>
                <w:lang w:val="en-US" w:eastAsia="zh-CN" w:bidi="ar-SA"/>
              </w:rPr>
              <w:t xml:space="preserve">≥ </w:t>
            </w:r>
            <w:r>
              <w:rPr>
                <w:rStyle w:val="49"/>
                <w:rFonts w:hint="eastAsia" w:ascii="Times New Roman" w:hAnsi="Times New Roman" w:cs="Times New Roman"/>
                <w:color w:val="auto"/>
                <w:kern w:val="2"/>
                <w:sz w:val="24"/>
                <w:szCs w:val="24"/>
                <w:highlight w:val="none"/>
                <w:lang w:val="en-US" w:eastAsia="zh-CN" w:bidi="ar-SA"/>
              </w:rPr>
              <w:t>16</w:t>
            </w:r>
            <w:r>
              <w:rPr>
                <w:rStyle w:val="49"/>
                <w:rFonts w:hint="default" w:ascii="Times New Roman" w:hAnsi="Times New Roman" w:eastAsia="宋体" w:cs="Times New Roman"/>
                <w:color w:val="auto"/>
                <w:kern w:val="2"/>
                <w:sz w:val="24"/>
                <w:szCs w:val="24"/>
                <w:highlight w:val="none"/>
                <w:lang w:val="en-US" w:eastAsia="zh-CN" w:bidi="ar-SA"/>
              </w:rPr>
              <w:t>GB</w:t>
            </w:r>
            <w:r>
              <w:rPr>
                <w:rStyle w:val="49"/>
                <w:rFonts w:hint="eastAsia" w:ascii="Times New Roman" w:hAnsi="Times New Roman" w:eastAsia="宋体" w:cs="Times New Roman"/>
                <w:color w:val="auto"/>
                <w:kern w:val="2"/>
                <w:sz w:val="24"/>
                <w:szCs w:val="24"/>
                <w:highlight w:val="none"/>
                <w:lang w:val="en-US" w:eastAsia="zh-CN" w:bidi="ar-SA"/>
              </w:rPr>
              <w:t>。</w:t>
            </w:r>
          </w:p>
          <w:p w14:paraId="32D852D9">
            <w:pPr>
              <w:keepNext w:val="0"/>
              <w:keepLines w:val="0"/>
              <w:pageBreakBefore w:val="0"/>
              <w:widowControl w:val="0"/>
              <w:numPr>
                <w:ilvl w:val="0"/>
                <w:numId w:val="0"/>
              </w:numPr>
              <w:kinsoku/>
              <w:wordWrap/>
              <w:overflowPunct/>
              <w:topLinePunct w:val="0"/>
              <w:autoSpaceDE/>
              <w:autoSpaceDN/>
              <w:bidi w:val="0"/>
              <w:adjustRightInd w:val="0"/>
              <w:spacing w:line="320" w:lineRule="exact"/>
              <w:ind w:firstLine="480" w:firstLineChars="200"/>
              <w:jc w:val="both"/>
              <w:textAlignment w:val="auto"/>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硬盘：</w:t>
            </w:r>
            <w:r>
              <w:rPr>
                <w:rStyle w:val="49"/>
                <w:rFonts w:hint="eastAsia" w:ascii="宋体" w:hAnsi="宋体" w:eastAsia="宋体" w:cs="宋体"/>
                <w:color w:val="auto"/>
                <w:kern w:val="2"/>
                <w:sz w:val="24"/>
                <w:szCs w:val="24"/>
                <w:highlight w:val="none"/>
                <w:lang w:val="en-US" w:eastAsia="zh-CN" w:bidi="ar-SA"/>
              </w:rPr>
              <w:t>≥</w:t>
            </w:r>
            <w:r>
              <w:rPr>
                <w:rStyle w:val="49"/>
                <w:rFonts w:hint="eastAsia" w:ascii="Times New Roman" w:hAnsi="Times New Roman" w:cs="Times New Roman"/>
                <w:color w:val="auto"/>
                <w:kern w:val="2"/>
                <w:sz w:val="24"/>
                <w:szCs w:val="24"/>
                <w:highlight w:val="none"/>
                <w:lang w:val="en-US" w:eastAsia="zh-CN" w:bidi="ar-SA"/>
              </w:rPr>
              <w:t>1T</w:t>
            </w:r>
            <w:r>
              <w:rPr>
                <w:rStyle w:val="49"/>
                <w:rFonts w:hint="default" w:ascii="Times New Roman" w:hAnsi="Times New Roman" w:eastAsia="宋体" w:cs="Times New Roman"/>
                <w:color w:val="auto"/>
                <w:kern w:val="2"/>
                <w:sz w:val="24"/>
                <w:szCs w:val="24"/>
                <w:highlight w:val="none"/>
                <w:lang w:val="en-US" w:eastAsia="zh-CN" w:bidi="ar-SA"/>
              </w:rPr>
              <w:t>B</w:t>
            </w:r>
            <w:r>
              <w:rPr>
                <w:rStyle w:val="49"/>
                <w:rFonts w:hint="eastAsia" w:ascii="Times New Roman" w:hAnsi="Times New Roman" w:eastAsia="宋体" w:cs="Times New Roman"/>
                <w:color w:val="auto"/>
                <w:kern w:val="2"/>
                <w:sz w:val="24"/>
                <w:szCs w:val="24"/>
                <w:highlight w:val="none"/>
                <w:lang w:val="en-US" w:eastAsia="zh-CN" w:bidi="ar-SA"/>
              </w:rPr>
              <w:t>。</w:t>
            </w:r>
          </w:p>
          <w:p w14:paraId="04EFD5A8">
            <w:pPr>
              <w:keepNext w:val="0"/>
              <w:keepLines w:val="0"/>
              <w:pageBreakBefore w:val="0"/>
              <w:widowControl w:val="0"/>
              <w:numPr>
                <w:ilvl w:val="0"/>
                <w:numId w:val="0"/>
              </w:numPr>
              <w:kinsoku/>
              <w:wordWrap/>
              <w:overflowPunct/>
              <w:topLinePunct w:val="0"/>
              <w:autoSpaceDE/>
              <w:autoSpaceDN/>
              <w:bidi w:val="0"/>
              <w:adjustRightInd w:val="0"/>
              <w:spacing w:line="320" w:lineRule="exact"/>
              <w:ind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屏幕：27英寸显示屏及以上。</w:t>
            </w:r>
          </w:p>
          <w:p w14:paraId="00563B99">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网络接口</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不少于2个采用Intel82583V</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10/100/1000Mbps接口，不少于4个RS232/RS485可选串口，接口至少包括：VGA/2GLAN/5USB/4COM/LPT/AUDIO。</w:t>
            </w:r>
          </w:p>
          <w:p w14:paraId="16431412">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标准操作软件一套、应能满足GB/T 8627-2007标准第7章的要求。控制及模块可控制各零位件动作并收集信号，数据可进行自动采集,计算,保存与输出。</w:t>
            </w:r>
          </w:p>
          <w:bookmarkEnd w:id="69"/>
          <w:p w14:paraId="7509324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11）浓度至少为85%的工作用丙烷气体，并提供有资质的第三方报告。</w:t>
            </w:r>
          </w:p>
        </w:tc>
      </w:tr>
      <w:tr w14:paraId="5C8C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20633D6">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7</w:t>
            </w:r>
          </w:p>
        </w:tc>
        <w:tc>
          <w:tcPr>
            <w:tcW w:w="2265" w:type="dxa"/>
            <w:vAlign w:val="center"/>
          </w:tcPr>
          <w:p w14:paraId="3273E79E">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恒温恒湿试验箱</w:t>
            </w:r>
          </w:p>
        </w:tc>
        <w:tc>
          <w:tcPr>
            <w:tcW w:w="5850" w:type="dxa"/>
            <w:vAlign w:val="center"/>
          </w:tcPr>
          <w:p w14:paraId="5B5C75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设备配置（换辅助设备、耗材等）</w:t>
            </w:r>
          </w:p>
          <w:p w14:paraId="3E7788E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1）4套恒温恒湿试验箱</w:t>
            </w:r>
          </w:p>
          <w:p w14:paraId="5320D9E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标准要求、设备性能、主要技术指标：</w:t>
            </w:r>
          </w:p>
          <w:p w14:paraId="4020E70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6529《纺织品 调湿和试验用标准大气》</w:t>
            </w:r>
          </w:p>
          <w:p w14:paraId="1F51A18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2918《塑料 试样状态调节和试验的标准环境》</w:t>
            </w:r>
          </w:p>
          <w:p w14:paraId="48F1E75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产品要求最终以最新标准为验收依据。</w:t>
            </w:r>
          </w:p>
          <w:p w14:paraId="4396581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设备性能、主要技术</w:t>
            </w:r>
            <w:r>
              <w:rPr>
                <w:rFonts w:hint="eastAsia" w:asciiTheme="minorEastAsia" w:hAnsiTheme="minorEastAsia" w:eastAsiaTheme="minorEastAsia" w:cstheme="minorEastAsia"/>
                <w:color w:val="auto"/>
                <w:sz w:val="24"/>
                <w:szCs w:val="24"/>
                <w:highlight w:val="none"/>
                <w:lang w:val="en-US" w:eastAsia="zh-CN"/>
              </w:rPr>
              <w:t>：</w:t>
            </w:r>
          </w:p>
          <w:p w14:paraId="56879050">
            <w:pPr>
              <w:pStyle w:val="326"/>
              <w:keepNext w:val="0"/>
              <w:keepLines w:val="0"/>
              <w:pageBreakBefore w:val="0"/>
              <w:widowControl/>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1）温度：0-70℃可调，精度要求±2℃；</w:t>
            </w:r>
          </w:p>
          <w:p w14:paraId="26CB1A57">
            <w:pPr>
              <w:pStyle w:val="326"/>
              <w:keepNext w:val="0"/>
              <w:keepLines w:val="0"/>
              <w:pageBreakBefore w:val="0"/>
              <w:widowControl/>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2）相对湿度：30-90%可调，精度要求±4%。</w:t>
            </w:r>
          </w:p>
          <w:p w14:paraId="326FC64A">
            <w:pPr>
              <w:pStyle w:val="326"/>
              <w:keepNext w:val="0"/>
              <w:keepLines w:val="0"/>
              <w:pageBreakBefore w:val="0"/>
              <w:widowControl/>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3）体积不少于30L。</w:t>
            </w:r>
          </w:p>
        </w:tc>
      </w:tr>
      <w:tr w14:paraId="7634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8DBAC28">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8</w:t>
            </w:r>
          </w:p>
        </w:tc>
        <w:tc>
          <w:tcPr>
            <w:tcW w:w="2265" w:type="dxa"/>
            <w:vAlign w:val="center"/>
          </w:tcPr>
          <w:p w14:paraId="39AAC940">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通风柜</w:t>
            </w:r>
          </w:p>
        </w:tc>
        <w:tc>
          <w:tcPr>
            <w:tcW w:w="5850" w:type="dxa"/>
            <w:vAlign w:val="center"/>
          </w:tcPr>
          <w:p w14:paraId="5B5BDD6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设备配置（换辅助设备、耗材等）</w:t>
            </w:r>
          </w:p>
          <w:p w14:paraId="7E15701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1）9套</w:t>
            </w:r>
            <w:r>
              <w:rPr>
                <w:rFonts w:hint="eastAsia" w:ascii="Times New Roman" w:hAnsi="Times New Roman" w:cs="Times New Roman"/>
                <w:color w:val="auto"/>
                <w:sz w:val="24"/>
                <w:szCs w:val="24"/>
                <w:highlight w:val="none"/>
                <w:lang w:val="en-US" w:eastAsia="zh-CN"/>
              </w:rPr>
              <w:t>通风柜</w:t>
            </w:r>
          </w:p>
          <w:p w14:paraId="7F315E5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标准要求、设备性能、主要技术指标：</w:t>
            </w:r>
          </w:p>
          <w:p w14:paraId="5E0A4A1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3325-2024《金属家具通用技术条件》</w:t>
            </w:r>
          </w:p>
          <w:p w14:paraId="623F60B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产品要求最终以最新标准为验收依据。</w:t>
            </w:r>
          </w:p>
          <w:p w14:paraId="794ECA4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2"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设备性能、主要技术</w:t>
            </w:r>
            <w:r>
              <w:rPr>
                <w:rFonts w:hint="eastAsia" w:asciiTheme="minorEastAsia" w:hAnsiTheme="minorEastAsia" w:eastAsiaTheme="minorEastAsia" w:cstheme="minorEastAsia"/>
                <w:color w:val="auto"/>
                <w:sz w:val="24"/>
                <w:szCs w:val="24"/>
                <w:highlight w:val="none"/>
                <w:lang w:val="en-US" w:eastAsia="zh-CN"/>
              </w:rPr>
              <w:t>：</w:t>
            </w:r>
          </w:p>
          <w:p w14:paraId="67B61042">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本次采购的通风柜是提供水平垂直燃烧试验机，汽车内饰垂直燃烧测试仪，纺织品垂直燃烧试验机，智能型氧指数测试仪，电线电缆燃烧试验机</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2台</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，建筑材料烟密度测试仪以及</w:t>
            </w:r>
            <w:r>
              <w:rPr>
                <w:rFonts w:hint="eastAsia" w:asciiTheme="minorEastAsia" w:hAnsiTheme="minorEastAsia" w:eastAsiaTheme="minorEastAsia" w:cstheme="minorEastAsia"/>
                <w:color w:val="auto"/>
                <w:sz w:val="24"/>
                <w:szCs w:val="24"/>
                <w:highlight w:val="none"/>
                <w:lang w:val="en-US" w:eastAsia="zh-CN"/>
              </w:rPr>
              <w:t>已有2套设备</w:t>
            </w:r>
            <w:r>
              <w:rPr>
                <w:rFonts w:hint="eastAsia" w:asciiTheme="minorEastAsia" w:hAnsiTheme="minorEastAsia" w:eastAsiaTheme="minorEastAsia" w:cstheme="minorEastAsia"/>
                <w:color w:val="auto"/>
                <w:kern w:val="0"/>
                <w:sz w:val="24"/>
                <w:szCs w:val="24"/>
                <w:highlight w:val="none"/>
                <w:lang w:bidi="ar"/>
              </w:rPr>
              <w:t>使用，要求通风柜</w:t>
            </w:r>
            <w:r>
              <w:rPr>
                <w:rFonts w:hint="eastAsia" w:asciiTheme="minorEastAsia" w:hAnsiTheme="minorEastAsia" w:eastAsiaTheme="minorEastAsia" w:cstheme="minorEastAsia"/>
                <w:color w:val="auto"/>
                <w:kern w:val="0"/>
                <w:sz w:val="24"/>
                <w:szCs w:val="24"/>
                <w:highlight w:val="none"/>
                <w:lang w:val="en-US" w:eastAsia="zh-CN" w:bidi="ar"/>
              </w:rPr>
              <w:t>尺寸</w:t>
            </w:r>
            <w:r>
              <w:rPr>
                <w:rFonts w:hint="eastAsia" w:asciiTheme="minorEastAsia" w:hAnsiTheme="minorEastAsia" w:eastAsiaTheme="minorEastAsia" w:cstheme="minorEastAsia"/>
                <w:color w:val="auto"/>
                <w:kern w:val="0"/>
                <w:sz w:val="24"/>
                <w:szCs w:val="24"/>
                <w:highlight w:val="none"/>
                <w:lang w:bidi="ar"/>
              </w:rPr>
              <w:t>满足上述仪器设备安装要求，</w:t>
            </w:r>
            <w:r>
              <w:rPr>
                <w:rFonts w:hint="eastAsia" w:asciiTheme="minorEastAsia" w:hAnsiTheme="minorEastAsia" w:eastAsiaTheme="minorEastAsia" w:cstheme="minorEastAsia"/>
                <w:color w:val="auto"/>
                <w:kern w:val="0"/>
                <w:sz w:val="24"/>
                <w:szCs w:val="24"/>
                <w:highlight w:val="none"/>
                <w:lang w:val="en-US" w:eastAsia="zh-CN" w:bidi="ar"/>
              </w:rPr>
              <w:t>试验室整体布置要求美观大方。</w:t>
            </w:r>
            <w:r>
              <w:rPr>
                <w:rFonts w:hint="eastAsia" w:asciiTheme="minorEastAsia" w:hAnsiTheme="minorEastAsia" w:eastAsiaTheme="minorEastAsia" w:cstheme="minorEastAsia"/>
                <w:color w:val="auto"/>
                <w:kern w:val="0"/>
                <w:sz w:val="24"/>
                <w:szCs w:val="24"/>
                <w:highlight w:val="none"/>
                <w:lang w:bidi="ar"/>
              </w:rPr>
              <w:t>并且中标人应做好线路及各接口的配合工作。如通风柜安装后不能满足上述仪器仪器设备安装要求的，则将取消合同，并退货，同时采购人将要求通风柜中标人赔偿损失。请投标人注意风险。</w:t>
            </w:r>
          </w:p>
          <w:p w14:paraId="3F79B4A8">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b/>
                <w:bCs/>
                <w:color w:val="auto"/>
                <w:kern w:val="0"/>
                <w:sz w:val="24"/>
                <w:szCs w:val="24"/>
                <w:highlight w:val="none"/>
                <w:lang w:val="en-US" w:eastAsia="zh-CN" w:bidi="ar"/>
              </w:rPr>
              <w:t>1）</w:t>
            </w:r>
            <w:r>
              <w:rPr>
                <w:rFonts w:hint="eastAsia" w:asciiTheme="minorEastAsia" w:hAnsiTheme="minorEastAsia" w:eastAsiaTheme="minorEastAsia" w:cstheme="minorEastAsia"/>
                <w:b/>
                <w:bCs/>
                <w:color w:val="auto"/>
                <w:kern w:val="0"/>
                <w:sz w:val="24"/>
                <w:szCs w:val="24"/>
                <w:highlight w:val="none"/>
                <w:lang w:bidi="ar"/>
              </w:rPr>
              <w:t>通风橱结构配置</w:t>
            </w:r>
          </w:p>
          <w:p w14:paraId="7D3100FE">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①采用上下分体式结构；独立的内胆；</w:t>
            </w:r>
          </w:p>
          <w:p w14:paraId="6A48CA61">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②移动滑门采用框架结构，内嵌钢化玻璃，门可自由升降，无级停留；</w:t>
            </w:r>
          </w:p>
          <w:p w14:paraId="5F476841">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③通风柜</w:t>
            </w:r>
            <w:r>
              <w:rPr>
                <w:rFonts w:hint="eastAsia" w:asciiTheme="minorEastAsia" w:hAnsiTheme="minorEastAsia" w:eastAsiaTheme="minorEastAsia" w:cstheme="minorEastAsia"/>
                <w:color w:val="auto"/>
                <w:kern w:val="0"/>
                <w:sz w:val="24"/>
                <w:szCs w:val="24"/>
                <w:highlight w:val="none"/>
                <w:lang w:val="en-US" w:eastAsia="zh-CN" w:bidi="ar"/>
              </w:rPr>
              <w:t>自带</w:t>
            </w:r>
            <w:r>
              <w:rPr>
                <w:rFonts w:hint="eastAsia" w:asciiTheme="minorEastAsia" w:hAnsiTheme="minorEastAsia" w:eastAsiaTheme="minorEastAsia" w:cstheme="minorEastAsia"/>
                <w:color w:val="auto"/>
                <w:kern w:val="0"/>
                <w:sz w:val="24"/>
                <w:szCs w:val="24"/>
                <w:highlight w:val="none"/>
                <w:lang w:bidi="ar"/>
              </w:rPr>
              <w:t>散热系统；</w:t>
            </w:r>
          </w:p>
          <w:p w14:paraId="75343281">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④配置至少3只250V10A多功能防溅插座；</w:t>
            </w:r>
          </w:p>
          <w:p w14:paraId="2BCD0434">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⑤日光灯需带防护罩，并且可以通过触摸控制面板来控制风机风阀和照明。</w:t>
            </w:r>
          </w:p>
          <w:p w14:paraId="64DCD6C8">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b/>
                <w:bCs/>
                <w:color w:val="auto"/>
                <w:kern w:val="0"/>
                <w:sz w:val="24"/>
                <w:szCs w:val="24"/>
                <w:highlight w:val="none"/>
                <w:lang w:val="en-US" w:eastAsia="zh-CN" w:bidi="ar"/>
              </w:rPr>
              <w:t>2）</w:t>
            </w:r>
            <w:r>
              <w:rPr>
                <w:rFonts w:hint="eastAsia" w:asciiTheme="minorEastAsia" w:hAnsiTheme="minorEastAsia" w:eastAsiaTheme="minorEastAsia" w:cstheme="minorEastAsia"/>
                <w:b/>
                <w:bCs/>
                <w:color w:val="auto"/>
                <w:kern w:val="0"/>
                <w:sz w:val="24"/>
                <w:szCs w:val="24"/>
                <w:highlight w:val="none"/>
                <w:lang w:bidi="ar"/>
              </w:rPr>
              <w:t>结构特征：</w:t>
            </w:r>
          </w:p>
          <w:p w14:paraId="6B161C72">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①外壳：采用 304 或更高等级不锈钢材料作为主要材质；</w:t>
            </w:r>
          </w:p>
          <w:p w14:paraId="2B422232">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②内壳：通风橱至少配有2个维修孔位方便拆卸； </w:t>
            </w:r>
          </w:p>
          <w:p w14:paraId="10FBE661">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③导流板：采用抗腐蚀等级为 C3或更高等级材质；</w:t>
            </w:r>
          </w:p>
          <w:p w14:paraId="237F6EE9">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④控制开关：触摸式开关，可以集中控制整个电路系统；</w:t>
            </w:r>
          </w:p>
          <w:p w14:paraId="55CFEE92">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⑤橱内空间：不小于W780mm×D500mm×H900mm。</w:t>
            </w:r>
          </w:p>
          <w:p w14:paraId="79F94228">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b/>
                <w:bCs/>
                <w:color w:val="auto"/>
                <w:kern w:val="0"/>
                <w:sz w:val="24"/>
                <w:szCs w:val="24"/>
                <w:highlight w:val="none"/>
                <w:lang w:val="en-US" w:eastAsia="zh-CN" w:bidi="ar"/>
              </w:rPr>
              <w:t>3）</w:t>
            </w:r>
            <w:r>
              <w:rPr>
                <w:rFonts w:hint="eastAsia" w:asciiTheme="minorEastAsia" w:hAnsiTheme="minorEastAsia" w:eastAsiaTheme="minorEastAsia" w:cstheme="minorEastAsia"/>
                <w:b/>
                <w:bCs/>
                <w:color w:val="auto"/>
                <w:kern w:val="0"/>
                <w:sz w:val="24"/>
                <w:szCs w:val="24"/>
                <w:highlight w:val="none"/>
                <w:lang w:bidi="ar"/>
              </w:rPr>
              <w:t>性能指标：</w:t>
            </w:r>
          </w:p>
          <w:p w14:paraId="69FF8034">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①▲排烟风量≥700m³/h；</w:t>
            </w:r>
          </w:p>
          <w:p w14:paraId="2D44362F">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②面风速：在移动门开启高度发生变化时,平均面风速≤0.5 m/s；</w:t>
            </w:r>
          </w:p>
          <w:p w14:paraId="77573E3F">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③面风速匀度：通风柜在移门开启高度,平均面风速保持0.5 m/s情况下,于移动门开口截面,上下左右每隔0.3m(以内)量测各自中心点所测得的面风速,其最大值,最小值与算术平均值(平均面风速)的偏差小于20%；</w:t>
            </w:r>
          </w:p>
          <w:p w14:paraId="339D124E">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④通风柜阻力，通风柜移动门开启最高情况下，平均面风速0.5m/s时，通风柜阻力应（压损）小于70Pa；</w:t>
            </w:r>
          </w:p>
          <w:p w14:paraId="5A418A85">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b/>
                <w:bCs/>
                <w:color w:val="auto"/>
                <w:kern w:val="0"/>
                <w:sz w:val="24"/>
                <w:szCs w:val="24"/>
                <w:highlight w:val="none"/>
                <w:lang w:val="en-US" w:eastAsia="zh-CN" w:bidi="ar"/>
              </w:rPr>
              <w:t>4）</w:t>
            </w:r>
            <w:r>
              <w:rPr>
                <w:rFonts w:hint="eastAsia" w:asciiTheme="minorEastAsia" w:hAnsiTheme="minorEastAsia" w:eastAsiaTheme="minorEastAsia" w:cstheme="minorEastAsia"/>
                <w:b/>
                <w:bCs/>
                <w:color w:val="auto"/>
                <w:kern w:val="0"/>
                <w:sz w:val="24"/>
                <w:szCs w:val="24"/>
                <w:highlight w:val="none"/>
                <w:lang w:bidi="ar"/>
              </w:rPr>
              <w:t>废气处理设备</w:t>
            </w:r>
          </w:p>
          <w:p w14:paraId="1B8E2A24">
            <w:pPr>
              <w:keepNext w:val="0"/>
              <w:keepLines w:val="0"/>
              <w:pageBreakBefore w:val="0"/>
              <w:kinsoku/>
              <w:wordWrap/>
              <w:overflowPunct/>
              <w:topLinePunct w:val="0"/>
              <w:bidi w:val="0"/>
              <w:adjustRightInd w:val="0"/>
              <w:snapToGrid w:val="0"/>
              <w:spacing w:line="24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废气处理设备主要对本项目涉及的设备产生的废气、黑烟、有毒气体、颗粒物等进行除烟、除尘、除味的无害化处理后排放，针对于</w:t>
            </w:r>
            <w:r>
              <w:rPr>
                <w:rFonts w:hint="eastAsia" w:asciiTheme="minorEastAsia" w:hAnsiTheme="minorEastAsia" w:eastAsiaTheme="minorEastAsia" w:cstheme="minorEastAsia"/>
                <w:color w:val="auto"/>
                <w:kern w:val="0"/>
                <w:sz w:val="24"/>
                <w:szCs w:val="24"/>
                <w:highlight w:val="none"/>
                <w:lang w:val="en-US" w:eastAsia="zh-CN"/>
              </w:rPr>
              <w:t>纺织品</w:t>
            </w:r>
            <w:r>
              <w:rPr>
                <w:rFonts w:hint="eastAsia" w:asciiTheme="minorEastAsia" w:hAnsiTheme="minorEastAsia" w:eastAsiaTheme="minorEastAsia" w:cstheme="minorEastAsia"/>
                <w:color w:val="auto"/>
                <w:kern w:val="0"/>
                <w:sz w:val="24"/>
                <w:szCs w:val="24"/>
                <w:highlight w:val="none"/>
              </w:rPr>
              <w:t>燃烧试验</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汽车内饰件燃烧试验</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非金属材料燃烧试验、</w:t>
            </w:r>
            <w:r>
              <w:rPr>
                <w:rFonts w:hint="eastAsia" w:asciiTheme="minorEastAsia" w:hAnsiTheme="minorEastAsia" w:eastAsiaTheme="minorEastAsia" w:cstheme="minorEastAsia"/>
                <w:color w:val="auto"/>
                <w:kern w:val="0"/>
                <w:sz w:val="24"/>
                <w:szCs w:val="24"/>
                <w:highlight w:val="none"/>
              </w:rPr>
              <w:t>烟密度试验、氧指数测试</w:t>
            </w:r>
            <w:r>
              <w:rPr>
                <w:rFonts w:hint="eastAsia" w:asciiTheme="minorEastAsia" w:hAnsiTheme="minorEastAsia" w:eastAsiaTheme="minorEastAsia" w:cstheme="minorEastAsia"/>
                <w:color w:val="auto"/>
                <w:kern w:val="0"/>
                <w:sz w:val="24"/>
                <w:szCs w:val="24"/>
                <w:highlight w:val="none"/>
                <w:lang w:val="en-US" w:eastAsia="zh-CN"/>
              </w:rPr>
              <w:t>等</w:t>
            </w:r>
            <w:r>
              <w:rPr>
                <w:rFonts w:hint="eastAsia" w:asciiTheme="minorEastAsia" w:hAnsiTheme="minorEastAsia" w:eastAsiaTheme="minorEastAsia" w:cstheme="minorEastAsia"/>
                <w:color w:val="auto"/>
                <w:kern w:val="0"/>
                <w:sz w:val="24"/>
                <w:szCs w:val="24"/>
                <w:highlight w:val="none"/>
              </w:rPr>
              <w:t>所产生的废气。</w:t>
            </w:r>
          </w:p>
          <w:p w14:paraId="0D82ABD3">
            <w:pPr>
              <w:pStyle w:val="326"/>
              <w:keepNext w:val="0"/>
              <w:keepLines w:val="0"/>
              <w:pageBreakBefore w:val="0"/>
              <w:widowControl/>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本项目为“交钥匙”工程，中标方须负责废气处理系统设计、制造、系统及管道安装调试、验收、维护等为满足本项目而进行的工作。主体工程包括本项目涉及的实验废气处理管路连接、烟囱安装等。</w:t>
            </w:r>
          </w:p>
        </w:tc>
      </w:tr>
      <w:tr w14:paraId="196F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7FB82FD">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9</w:t>
            </w:r>
          </w:p>
        </w:tc>
        <w:tc>
          <w:tcPr>
            <w:tcW w:w="2265" w:type="dxa"/>
            <w:vAlign w:val="center"/>
          </w:tcPr>
          <w:p w14:paraId="6A8A8691">
            <w:pPr>
              <w:spacing w:line="460" w:lineRule="exact"/>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4"/>
                <w:szCs w:val="24"/>
                <w:highlight w:val="none"/>
                <w:lang w:val="en-US" w:eastAsia="zh-CN"/>
              </w:rPr>
              <w:t>供气系统</w:t>
            </w:r>
          </w:p>
        </w:tc>
        <w:tc>
          <w:tcPr>
            <w:tcW w:w="5850" w:type="dxa"/>
            <w:vAlign w:val="center"/>
          </w:tcPr>
          <w:p w14:paraId="030C4961">
            <w:pPr>
              <w:pStyle w:val="326"/>
              <w:keepNext w:val="0"/>
              <w:keepLines w:val="0"/>
              <w:pageBreakBefore w:val="0"/>
              <w:widowControl/>
              <w:kinsoku/>
              <w:wordWrap/>
              <w:overflowPunct/>
              <w:topLinePunct w:val="0"/>
              <w:bidi w:val="0"/>
              <w:adjustRightInd w:val="0"/>
              <w:snapToGrid w:val="0"/>
              <w:spacing w:line="24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投标人需提供满足本项目</w:t>
            </w:r>
            <w:r>
              <w:rPr>
                <w:rFonts w:hint="eastAsia" w:asciiTheme="minorEastAsia" w:hAnsiTheme="minorEastAsia" w:eastAsiaTheme="minorEastAsia" w:cstheme="minorEastAsia"/>
                <w:color w:val="auto"/>
                <w:kern w:val="0"/>
                <w:sz w:val="24"/>
                <w:szCs w:val="24"/>
                <w:highlight w:val="none"/>
                <w:lang w:val="en-US" w:eastAsia="zh-CN"/>
              </w:rPr>
              <w:t>和已有2台设备</w:t>
            </w:r>
            <w:r>
              <w:rPr>
                <w:rFonts w:hint="eastAsia" w:asciiTheme="minorEastAsia" w:hAnsiTheme="minorEastAsia" w:eastAsiaTheme="minorEastAsia" w:cstheme="minorEastAsia"/>
                <w:color w:val="auto"/>
                <w:kern w:val="0"/>
                <w:sz w:val="24"/>
                <w:szCs w:val="24"/>
                <w:highlight w:val="none"/>
              </w:rPr>
              <w:t>正常运行的空气压缩机、储气罐、冷冻式干燥机、</w:t>
            </w:r>
            <w:r>
              <w:rPr>
                <w:rFonts w:hint="eastAsia" w:asciiTheme="minorEastAsia" w:hAnsiTheme="minorEastAsia" w:eastAsiaTheme="minorEastAsia" w:cstheme="minorEastAsia"/>
                <w:color w:val="auto"/>
                <w:kern w:val="0"/>
                <w:sz w:val="24"/>
                <w:szCs w:val="24"/>
                <w:highlight w:val="none"/>
                <w:lang w:bidi="ar"/>
              </w:rPr>
              <w:t>空气减压阀、</w:t>
            </w:r>
            <w:r>
              <w:rPr>
                <w:rFonts w:hint="eastAsia" w:asciiTheme="minorEastAsia" w:hAnsiTheme="minorEastAsia" w:eastAsiaTheme="minorEastAsia" w:cstheme="minorEastAsia"/>
                <w:color w:val="auto"/>
                <w:kern w:val="0"/>
                <w:sz w:val="24"/>
                <w:szCs w:val="24"/>
                <w:highlight w:val="none"/>
              </w:rPr>
              <w:t>气体管道</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不锈钢材质，具备耐腐蚀要求</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、燃烧气体（相关气体需提供证书）、</w:t>
            </w:r>
            <w:r>
              <w:rPr>
                <w:rFonts w:hint="eastAsia" w:asciiTheme="minorEastAsia" w:hAnsiTheme="minorEastAsia" w:eastAsiaTheme="minorEastAsia" w:cstheme="minorEastAsia"/>
                <w:color w:val="auto"/>
                <w:kern w:val="0"/>
                <w:sz w:val="24"/>
                <w:szCs w:val="24"/>
                <w:highlight w:val="none"/>
                <w:lang w:bidi="ar"/>
              </w:rPr>
              <w:t>防爆气瓶柜、</w:t>
            </w:r>
            <w:r>
              <w:rPr>
                <w:rFonts w:hint="eastAsia" w:asciiTheme="minorEastAsia" w:hAnsiTheme="minorEastAsia" w:eastAsiaTheme="minorEastAsia" w:cstheme="minorEastAsia"/>
                <w:color w:val="auto"/>
                <w:kern w:val="0"/>
                <w:sz w:val="24"/>
                <w:szCs w:val="24"/>
                <w:highlight w:val="none"/>
              </w:rPr>
              <w:t>气体报警器</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防爆装置</w:t>
            </w:r>
            <w:r>
              <w:rPr>
                <w:rFonts w:hint="eastAsia" w:asciiTheme="minorEastAsia" w:hAnsiTheme="minorEastAsia" w:eastAsiaTheme="minorEastAsia" w:cstheme="minorEastAsia"/>
                <w:color w:val="auto"/>
                <w:kern w:val="0"/>
                <w:sz w:val="24"/>
                <w:szCs w:val="24"/>
                <w:highlight w:val="none"/>
              </w:rPr>
              <w:t>等以上设备和配件</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套</w:t>
            </w:r>
            <w:r>
              <w:rPr>
                <w:rFonts w:hint="eastAsia" w:asciiTheme="minorEastAsia" w:hAnsiTheme="minorEastAsia" w:eastAsiaTheme="minorEastAsia" w:cstheme="minorEastAsia"/>
                <w:color w:val="auto"/>
                <w:kern w:val="0"/>
                <w:sz w:val="24"/>
                <w:szCs w:val="24"/>
                <w:highlight w:val="none"/>
                <w:lang w:eastAsia="zh-CN"/>
              </w:rPr>
              <w:t>。</w:t>
            </w:r>
          </w:p>
        </w:tc>
      </w:tr>
    </w:tbl>
    <w:p w14:paraId="48C6C0BD">
      <w:pPr>
        <w:spacing w:line="360" w:lineRule="auto"/>
        <w:rPr>
          <w:rFonts w:hint="eastAsia" w:ascii="Times New Roman" w:hAnsi="Times New Roman" w:eastAsia="宋体"/>
          <w:b/>
          <w:color w:val="auto"/>
          <w:kern w:val="0"/>
          <w:sz w:val="24"/>
          <w:szCs w:val="24"/>
          <w:highlight w:val="none"/>
          <w:lang w:eastAsia="zh-CN" w:bidi="en-US"/>
        </w:rPr>
      </w:pPr>
      <w:r>
        <w:rPr>
          <w:rFonts w:hint="eastAsia" w:ascii="Times New Roman" w:hAnsi="Times New Roman"/>
          <w:b/>
          <w:color w:val="auto"/>
          <w:kern w:val="0"/>
          <w:sz w:val="24"/>
          <w:szCs w:val="24"/>
          <w:highlight w:val="none"/>
          <w:lang w:eastAsia="zh-CN" w:bidi="en-US"/>
        </w:rPr>
        <w:t>注：加“★”的核心参数需要在投标文件中提供本次投标产品同型号或同系列设备的使用说明、校准/检定证书、检测报告（可以三选一）等证明材料，未提供将视为负偏离。</w:t>
      </w:r>
    </w:p>
    <w:p w14:paraId="7381856E">
      <w:pPr>
        <w:numPr>
          <w:ilvl w:val="0"/>
          <w:numId w:val="10"/>
        </w:numPr>
        <w:spacing w:line="360" w:lineRule="auto"/>
        <w:ind w:left="0" w:leftChars="0" w:firstLine="0" w:firstLineChars="0"/>
        <w:rPr>
          <w:rFonts w:ascii="Times New Roman" w:hAnsi="Times New Roman"/>
          <w:b/>
          <w:color w:val="auto"/>
          <w:kern w:val="0"/>
          <w:sz w:val="24"/>
          <w:szCs w:val="24"/>
          <w:highlight w:val="none"/>
          <w:lang w:bidi="en-US"/>
        </w:rPr>
      </w:pPr>
      <w:r>
        <w:rPr>
          <w:rFonts w:ascii="Times New Roman" w:hAnsi="Times New Roman"/>
          <w:b/>
          <w:color w:val="auto"/>
          <w:kern w:val="0"/>
          <w:sz w:val="24"/>
          <w:szCs w:val="24"/>
          <w:highlight w:val="none"/>
          <w:lang w:bidi="en-US"/>
        </w:rPr>
        <w:t>、货物质量要求</w:t>
      </w:r>
    </w:p>
    <w:p w14:paraId="104656F7">
      <w:pPr>
        <w:numPr>
          <w:ilvl w:val="0"/>
          <w:numId w:val="0"/>
        </w:numPr>
        <w:ind w:firstLine="480" w:firstLineChars="200"/>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本设备质量标准为招标技术要求、厂家出厂标准，国家相关检定、校准或检验的规程、标准。</w:t>
      </w:r>
    </w:p>
    <w:p w14:paraId="0AC56AA6">
      <w:pPr>
        <w:numPr>
          <w:ilvl w:val="0"/>
          <w:numId w:val="0"/>
        </w:numPr>
        <w:ind w:firstLine="480" w:firstLineChars="200"/>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投标人</w:t>
      </w:r>
      <w:r>
        <w:rPr>
          <w:rFonts w:hint="eastAsia" w:ascii="宋体" w:hAnsi="宋体" w:cs="宋体"/>
          <w:color w:val="auto"/>
          <w:kern w:val="0"/>
          <w:sz w:val="24"/>
          <w:szCs w:val="24"/>
          <w:highlight w:val="none"/>
        </w:rPr>
        <w:t>应按招标文件规定的货物性能、技术要求、质量标准向甲方提供202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年以后生产的未经使用的全新原装正品。乙方应确保提供的</w:t>
      </w:r>
      <w:r>
        <w:rPr>
          <w:rFonts w:hint="eastAsia" w:ascii="宋体" w:hAnsi="宋体" w:cs="宋体"/>
          <w:color w:val="auto"/>
          <w:kern w:val="0"/>
          <w:sz w:val="24"/>
          <w:szCs w:val="24"/>
          <w:highlight w:val="none"/>
          <w:lang w:bidi="en-US"/>
        </w:rPr>
        <w:t>货物名称、型号规格、品牌等表明产品的信息在相关资料上（包括但不限于产品铭牌、说明书、合格证、计量证书、发票等）保持完全一致。</w:t>
      </w:r>
    </w:p>
    <w:p w14:paraId="292D2D4B">
      <w:pPr>
        <w:numPr>
          <w:ilvl w:val="0"/>
          <w:numId w:val="0"/>
        </w:numPr>
        <w:ind w:firstLine="480" w:firstLineChars="200"/>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投标人应在满足技术要求的基础上提供验收技术方案，当有国家相关检定、校准或检验的规程、标准时，应依据相关规程、标准执行。当没有上述的规程或标准时，投标人应提供验收技术方案，经招标人认可确认后，开展验收。投标人没有或无法提供招标人认可的验收方案或证明技术指标合格的科学、合理、可验证的证据时，验收作不合格处理。</w:t>
      </w:r>
    </w:p>
    <w:p w14:paraId="5A7A7A79">
      <w:pPr>
        <w:numPr>
          <w:ilvl w:val="0"/>
          <w:numId w:val="0"/>
        </w:numPr>
        <w:spacing w:line="360" w:lineRule="auto"/>
        <w:ind w:leftChars="0"/>
        <w:rPr>
          <w:rFonts w:ascii="Times New Roman" w:hAnsi="Times New Roman"/>
          <w:b/>
          <w:color w:val="auto"/>
          <w:kern w:val="0"/>
          <w:sz w:val="24"/>
          <w:szCs w:val="24"/>
          <w:highlight w:val="none"/>
          <w:lang w:bidi="en-US"/>
        </w:rPr>
      </w:pPr>
    </w:p>
    <w:p w14:paraId="530E23F8">
      <w:pPr>
        <w:tabs>
          <w:tab w:val="left" w:pos="8280"/>
        </w:tabs>
        <w:autoSpaceDE w:val="0"/>
        <w:autoSpaceDN w:val="0"/>
        <w:adjustRightInd w:val="0"/>
        <w:spacing w:line="360" w:lineRule="auto"/>
        <w:ind w:right="25"/>
        <w:rPr>
          <w:rFonts w:ascii="Times New Roman" w:hAnsi="Times New Roman"/>
          <w:b/>
          <w:color w:val="auto"/>
          <w:sz w:val="28"/>
          <w:szCs w:val="28"/>
          <w:highlight w:val="none"/>
        </w:rPr>
      </w:pPr>
      <w:r>
        <w:rPr>
          <w:rFonts w:hint="eastAsia" w:ascii="Times New Roman" w:hAnsi="Times New Roman"/>
          <w:b/>
          <w:color w:val="auto"/>
          <w:sz w:val="28"/>
          <w:szCs w:val="28"/>
          <w:highlight w:val="none"/>
          <w:lang w:eastAsia="zh-CN"/>
        </w:rPr>
        <w:t>四</w:t>
      </w:r>
      <w:r>
        <w:rPr>
          <w:rFonts w:ascii="Times New Roman" w:hAnsi="Times New Roman"/>
          <w:b/>
          <w:color w:val="auto"/>
          <w:sz w:val="28"/>
          <w:szCs w:val="28"/>
          <w:highlight w:val="none"/>
        </w:rPr>
        <w:t>、商务需求</w:t>
      </w:r>
      <w:bookmarkEnd w:id="67"/>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867"/>
        <w:gridCol w:w="7167"/>
      </w:tblGrid>
      <w:tr w14:paraId="43EC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0A71EF64">
            <w:pPr>
              <w:spacing w:line="360" w:lineRule="auto"/>
              <w:jc w:val="center"/>
              <w:rPr>
                <w:rFonts w:hint="eastAsia" w:ascii="Times New Roman" w:hAnsi="Times New Roman" w:eastAsia="宋体" w:cs="Times New Roman"/>
                <w:b/>
                <w:bCs/>
                <w:color w:val="auto"/>
                <w:kern w:val="0"/>
                <w:sz w:val="24"/>
                <w:szCs w:val="24"/>
                <w:highlight w:val="none"/>
                <w:lang w:eastAsia="zh-CN" w:bidi="en-US"/>
              </w:rPr>
            </w:pPr>
            <w:r>
              <w:rPr>
                <w:rFonts w:hint="eastAsia" w:ascii="Times New Roman" w:hAnsi="Times New Roman" w:eastAsia="宋体" w:cs="Times New Roman"/>
                <w:b/>
                <w:bCs/>
                <w:color w:val="auto"/>
                <w:kern w:val="0"/>
                <w:sz w:val="24"/>
                <w:szCs w:val="24"/>
                <w:highlight w:val="none"/>
                <w:lang w:eastAsia="zh-CN" w:bidi="en-US"/>
              </w:rPr>
              <w:t>序号</w:t>
            </w:r>
          </w:p>
        </w:tc>
        <w:tc>
          <w:tcPr>
            <w:tcW w:w="1867" w:type="dxa"/>
            <w:vAlign w:val="center"/>
          </w:tcPr>
          <w:p w14:paraId="6430A42C">
            <w:pPr>
              <w:spacing w:line="360" w:lineRule="auto"/>
              <w:ind w:firstLine="482" w:firstLineChars="200"/>
              <w:jc w:val="center"/>
              <w:rPr>
                <w:rFonts w:ascii="Times New Roman" w:hAnsi="Times New Roman" w:eastAsia="宋体" w:cs="Times New Roman"/>
                <w:b/>
                <w:bCs/>
                <w:color w:val="auto"/>
                <w:kern w:val="0"/>
                <w:sz w:val="24"/>
                <w:szCs w:val="24"/>
                <w:highlight w:val="none"/>
                <w:lang w:bidi="en-US"/>
              </w:rPr>
            </w:pPr>
            <w:r>
              <w:rPr>
                <w:rFonts w:hint="eastAsia" w:ascii="Times New Roman" w:hAnsi="Times New Roman" w:eastAsia="宋体" w:cs="Times New Roman"/>
                <w:b/>
                <w:bCs/>
                <w:color w:val="auto"/>
                <w:kern w:val="0"/>
                <w:sz w:val="24"/>
                <w:szCs w:val="24"/>
                <w:highlight w:val="none"/>
                <w:lang w:bidi="en-US"/>
              </w:rPr>
              <w:t>内容</w:t>
            </w:r>
          </w:p>
        </w:tc>
        <w:tc>
          <w:tcPr>
            <w:tcW w:w="7167" w:type="dxa"/>
            <w:vAlign w:val="center"/>
          </w:tcPr>
          <w:p w14:paraId="2E39BFF8">
            <w:pPr>
              <w:spacing w:line="360" w:lineRule="auto"/>
              <w:ind w:firstLine="482" w:firstLineChars="200"/>
              <w:jc w:val="center"/>
              <w:rPr>
                <w:rFonts w:ascii="Times New Roman" w:hAnsi="Times New Roman" w:eastAsia="宋体" w:cs="Times New Roman"/>
                <w:b/>
                <w:bCs/>
                <w:color w:val="auto"/>
                <w:kern w:val="0"/>
                <w:sz w:val="24"/>
                <w:szCs w:val="24"/>
                <w:highlight w:val="none"/>
                <w:lang w:bidi="en-US"/>
              </w:rPr>
            </w:pPr>
            <w:r>
              <w:rPr>
                <w:rFonts w:hint="eastAsia" w:ascii="Times New Roman" w:hAnsi="Times New Roman" w:eastAsia="宋体" w:cs="Times New Roman"/>
                <w:b/>
                <w:bCs/>
                <w:color w:val="auto"/>
                <w:kern w:val="0"/>
                <w:sz w:val="24"/>
                <w:szCs w:val="24"/>
                <w:highlight w:val="none"/>
                <w:lang w:bidi="en-US"/>
              </w:rPr>
              <w:t>具体要求</w:t>
            </w:r>
          </w:p>
        </w:tc>
      </w:tr>
      <w:tr w14:paraId="7B39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20" w:type="dxa"/>
            <w:vAlign w:val="center"/>
          </w:tcPr>
          <w:p w14:paraId="65F00263">
            <w:pPr>
              <w:spacing w:line="360" w:lineRule="auto"/>
              <w:jc w:val="center"/>
              <w:rPr>
                <w:rFonts w:hint="eastAsia" w:ascii="Times New Roman" w:hAnsi="Times New Roman" w:eastAsia="宋体" w:cs="Times New Roman"/>
                <w:color w:val="auto"/>
                <w:kern w:val="0"/>
                <w:sz w:val="24"/>
                <w:szCs w:val="24"/>
                <w:highlight w:val="none"/>
                <w:lang w:val="en-US" w:eastAsia="zh-CN" w:bidi="en-US"/>
              </w:rPr>
            </w:pPr>
            <w:r>
              <w:rPr>
                <w:rFonts w:hint="eastAsia" w:ascii="Times New Roman" w:hAnsi="Times New Roman" w:eastAsia="宋体" w:cs="Times New Roman"/>
                <w:color w:val="auto"/>
                <w:kern w:val="0"/>
                <w:sz w:val="24"/>
                <w:szCs w:val="24"/>
                <w:highlight w:val="none"/>
                <w:lang w:val="en-US" w:eastAsia="zh-CN" w:bidi="en-US"/>
              </w:rPr>
              <w:t>1</w:t>
            </w:r>
          </w:p>
        </w:tc>
        <w:tc>
          <w:tcPr>
            <w:tcW w:w="1867" w:type="dxa"/>
            <w:vAlign w:val="center"/>
          </w:tcPr>
          <w:p w14:paraId="01FC7A38">
            <w:pPr>
              <w:spacing w:line="340" w:lineRule="exact"/>
              <w:contextualSpacing/>
              <w:jc w:val="center"/>
              <w:textAlignment w:val="baseline"/>
              <w:rPr>
                <w:rFonts w:ascii="Times New Roman" w:hAnsi="Times New Roman" w:eastAsia="宋体" w:cs="Times New Roman"/>
                <w:color w:val="auto"/>
                <w:kern w:val="0"/>
                <w:sz w:val="24"/>
                <w:szCs w:val="24"/>
                <w:highlight w:val="none"/>
                <w:lang w:bidi="en-US"/>
              </w:rPr>
            </w:pPr>
            <w:r>
              <w:rPr>
                <w:rFonts w:hint="eastAsia" w:ascii="Times New Roman" w:hAnsi="Times New Roman" w:cs="宋体"/>
                <w:color w:val="auto"/>
                <w:sz w:val="24"/>
                <w:szCs w:val="24"/>
                <w:highlight w:val="none"/>
              </w:rPr>
              <w:t>履约保证金</w:t>
            </w:r>
          </w:p>
        </w:tc>
        <w:tc>
          <w:tcPr>
            <w:tcW w:w="7167" w:type="dxa"/>
            <w:vAlign w:val="center"/>
          </w:tcPr>
          <w:p w14:paraId="13B8C295">
            <w:pPr>
              <w:spacing w:line="340" w:lineRule="exact"/>
              <w:contextualSpacing/>
              <w:textAlignment w:val="baseline"/>
              <w:rPr>
                <w:rFonts w:ascii="Times New Roman" w:hAnsi="Times New Roman" w:eastAsia="宋体" w:cs="Times New Roman"/>
                <w:color w:val="auto"/>
                <w:kern w:val="0"/>
                <w:sz w:val="24"/>
                <w:szCs w:val="24"/>
                <w:highlight w:val="none"/>
                <w:lang w:bidi="en-US"/>
              </w:rPr>
            </w:pPr>
            <w:r>
              <w:rPr>
                <w:rFonts w:hint="eastAsia" w:ascii="Times New Roman" w:hAnsi="Times New Roman" w:eastAsia="宋体" w:cs="Times New Roman"/>
                <w:color w:val="auto"/>
                <w:kern w:val="0"/>
                <w:sz w:val="24"/>
                <w:szCs w:val="24"/>
                <w:highlight w:val="none"/>
                <w:lang w:bidi="en-US"/>
              </w:rPr>
              <w:t>合同签订前，中标供应商应先缴纳合同总金额1%的履约保证金，项目最终验收通过后按双方规定退还。（但如中标供应商未能履行合同规定的任何义务，采购人有权从履约保证金中得到补偿）</w:t>
            </w:r>
          </w:p>
        </w:tc>
      </w:tr>
      <w:tr w14:paraId="5B80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10F38A5A">
            <w:pPr>
              <w:spacing w:line="360" w:lineRule="auto"/>
              <w:jc w:val="center"/>
              <w:rPr>
                <w:rFonts w:hint="default" w:ascii="Times New Roman" w:hAnsi="Times New Roman" w:eastAsia="宋体" w:cs="Times New Roman"/>
                <w:color w:val="auto"/>
                <w:kern w:val="0"/>
                <w:sz w:val="24"/>
                <w:szCs w:val="24"/>
                <w:highlight w:val="none"/>
                <w:lang w:val="en-US" w:eastAsia="zh-CN" w:bidi="en-US"/>
              </w:rPr>
            </w:pPr>
            <w:r>
              <w:rPr>
                <w:rFonts w:hint="eastAsia" w:ascii="Times New Roman" w:hAnsi="Times New Roman" w:cs="Times New Roman"/>
                <w:color w:val="auto"/>
                <w:kern w:val="0"/>
                <w:sz w:val="24"/>
                <w:szCs w:val="24"/>
                <w:highlight w:val="none"/>
                <w:lang w:val="en-US" w:eastAsia="zh-CN" w:bidi="en-US"/>
              </w:rPr>
              <w:t>2</w:t>
            </w:r>
          </w:p>
        </w:tc>
        <w:tc>
          <w:tcPr>
            <w:tcW w:w="1867" w:type="dxa"/>
            <w:vAlign w:val="center"/>
          </w:tcPr>
          <w:p w14:paraId="6B7347CA">
            <w:pPr>
              <w:spacing w:line="340" w:lineRule="exact"/>
              <w:contextualSpacing/>
              <w:jc w:val="center"/>
              <w:textAlignment w:val="baseline"/>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交货期</w:t>
            </w:r>
          </w:p>
        </w:tc>
        <w:tc>
          <w:tcPr>
            <w:tcW w:w="7167" w:type="dxa"/>
            <w:vAlign w:val="center"/>
          </w:tcPr>
          <w:p w14:paraId="15E48D90">
            <w:pPr>
              <w:spacing w:line="340" w:lineRule="exact"/>
              <w:contextualSpacing/>
              <w:rPr>
                <w:rFonts w:hint="default" w:ascii="Times New Roman" w:hAnsi="Times New Roman" w:eastAsia="宋体" w:cs="宋体"/>
                <w:color w:val="auto"/>
                <w:sz w:val="24"/>
                <w:szCs w:val="24"/>
                <w:highlight w:val="none"/>
                <w:lang w:val="en-US" w:eastAsia="zh-CN"/>
              </w:rPr>
            </w:pPr>
            <w:r>
              <w:rPr>
                <w:rFonts w:hint="default" w:ascii="Times New Roman" w:hAnsi="Times New Roman" w:eastAsia="宋体" w:cs="宋体"/>
                <w:color w:val="auto"/>
                <w:sz w:val="24"/>
                <w:szCs w:val="24"/>
                <w:highlight w:val="none"/>
                <w:lang w:val="en-US" w:eastAsia="zh-CN"/>
              </w:rPr>
              <w:t>合同签订之日起30日历天内</w:t>
            </w:r>
            <w:r>
              <w:rPr>
                <w:rFonts w:hint="eastAsia" w:ascii="宋体" w:hAnsi="宋体" w:cs="宋体"/>
                <w:bCs/>
                <w:color w:val="auto"/>
                <w:sz w:val="24"/>
                <w:szCs w:val="24"/>
                <w:highlight w:val="none"/>
                <w:lang w:val="en-US" w:eastAsia="zh-CN"/>
              </w:rPr>
              <w:t>完成场地基础改造、供货、安装以及调试。</w:t>
            </w:r>
          </w:p>
        </w:tc>
      </w:tr>
      <w:tr w14:paraId="6921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67B5E609">
            <w:pPr>
              <w:spacing w:line="360" w:lineRule="auto"/>
              <w:jc w:val="center"/>
              <w:rPr>
                <w:rFonts w:hint="eastAsia" w:ascii="Times New Roman" w:hAnsi="Times New Roman" w:eastAsia="宋体" w:cs="Times New Roman"/>
                <w:color w:val="auto"/>
                <w:kern w:val="0"/>
                <w:sz w:val="24"/>
                <w:szCs w:val="24"/>
                <w:highlight w:val="none"/>
                <w:lang w:val="en-US" w:eastAsia="zh-CN" w:bidi="en-US"/>
              </w:rPr>
            </w:pPr>
            <w:r>
              <w:rPr>
                <w:rFonts w:hint="eastAsia" w:ascii="Times New Roman" w:hAnsi="Times New Roman" w:cs="Times New Roman"/>
                <w:color w:val="auto"/>
                <w:kern w:val="0"/>
                <w:sz w:val="24"/>
                <w:szCs w:val="24"/>
                <w:highlight w:val="none"/>
                <w:lang w:val="en-US" w:eastAsia="zh-CN" w:bidi="en-US"/>
              </w:rPr>
              <w:t>3</w:t>
            </w:r>
          </w:p>
        </w:tc>
        <w:tc>
          <w:tcPr>
            <w:tcW w:w="1867" w:type="dxa"/>
            <w:vAlign w:val="center"/>
          </w:tcPr>
          <w:p w14:paraId="433A95AF">
            <w:pPr>
              <w:spacing w:line="340" w:lineRule="exact"/>
              <w:contextualSpacing/>
              <w:jc w:val="center"/>
              <w:textAlignment w:val="baseline"/>
              <w:rPr>
                <w:rFonts w:ascii="Times New Roman" w:hAnsi="Times New Roman" w:eastAsia="宋体" w:cs="Times New Roman"/>
                <w:color w:val="auto"/>
                <w:kern w:val="0"/>
                <w:sz w:val="24"/>
                <w:szCs w:val="24"/>
                <w:highlight w:val="none"/>
                <w:lang w:bidi="en-US"/>
              </w:rPr>
            </w:pPr>
            <w:r>
              <w:rPr>
                <w:rFonts w:hint="eastAsia" w:ascii="Times New Roman" w:hAnsi="Times New Roman" w:cs="宋体"/>
                <w:color w:val="auto"/>
                <w:sz w:val="24"/>
                <w:szCs w:val="24"/>
                <w:highlight w:val="none"/>
              </w:rPr>
              <w:t>项目实施地点</w:t>
            </w:r>
          </w:p>
        </w:tc>
        <w:tc>
          <w:tcPr>
            <w:tcW w:w="7167" w:type="dxa"/>
            <w:vAlign w:val="center"/>
          </w:tcPr>
          <w:p w14:paraId="64BA16AE">
            <w:pPr>
              <w:spacing w:line="340" w:lineRule="exact"/>
              <w:contextualSpacing/>
              <w:rPr>
                <w:rFonts w:ascii="Times New Roman" w:hAnsi="Times New Roman" w:eastAsia="宋体" w:cs="Times New Roman"/>
                <w:color w:val="auto"/>
                <w:kern w:val="0"/>
                <w:sz w:val="24"/>
                <w:szCs w:val="24"/>
                <w:highlight w:val="none"/>
                <w:lang w:bidi="en-US"/>
              </w:rPr>
            </w:pPr>
            <w:r>
              <w:rPr>
                <w:rFonts w:hint="eastAsia" w:ascii="宋体" w:hAnsi="宋体" w:cs="宋体"/>
                <w:color w:val="auto"/>
                <w:kern w:val="0"/>
                <w:sz w:val="24"/>
                <w:szCs w:val="24"/>
                <w:highlight w:val="none"/>
                <w:lang w:eastAsia="zh-CN"/>
              </w:rPr>
              <w:t>台州市产品质量安全检测研究院</w:t>
            </w:r>
          </w:p>
        </w:tc>
      </w:tr>
      <w:tr w14:paraId="1B8A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6CEFBFD7">
            <w:pPr>
              <w:spacing w:line="360" w:lineRule="auto"/>
              <w:jc w:val="center"/>
              <w:rPr>
                <w:rFonts w:hint="eastAsia" w:ascii="Times New Roman" w:hAnsi="Times New Roman" w:eastAsia="宋体" w:cs="Times New Roman"/>
                <w:color w:val="auto"/>
                <w:kern w:val="0"/>
                <w:sz w:val="24"/>
                <w:szCs w:val="24"/>
                <w:highlight w:val="none"/>
                <w:lang w:val="en-US" w:eastAsia="zh-CN" w:bidi="en-US"/>
              </w:rPr>
            </w:pPr>
            <w:r>
              <w:rPr>
                <w:rFonts w:hint="eastAsia" w:ascii="Times New Roman" w:hAnsi="Times New Roman" w:cs="Times New Roman"/>
                <w:color w:val="auto"/>
                <w:kern w:val="0"/>
                <w:sz w:val="24"/>
                <w:szCs w:val="24"/>
                <w:highlight w:val="none"/>
                <w:lang w:val="en-US" w:eastAsia="zh-CN" w:bidi="en-US"/>
              </w:rPr>
              <w:t>4</w:t>
            </w:r>
          </w:p>
        </w:tc>
        <w:tc>
          <w:tcPr>
            <w:tcW w:w="1867" w:type="dxa"/>
            <w:vAlign w:val="center"/>
          </w:tcPr>
          <w:p w14:paraId="4C7CD877">
            <w:pPr>
              <w:spacing w:line="360" w:lineRule="auto"/>
              <w:ind w:firstLine="480" w:firstLineChars="200"/>
              <w:jc w:val="center"/>
              <w:rPr>
                <w:rFonts w:ascii="Times New Roman" w:hAnsi="Times New Roman" w:eastAsia="宋体" w:cs="Times New Roman"/>
                <w:color w:val="auto"/>
                <w:kern w:val="0"/>
                <w:sz w:val="24"/>
                <w:szCs w:val="24"/>
                <w:highlight w:val="none"/>
                <w:lang w:bidi="en-US"/>
              </w:rPr>
            </w:pPr>
            <w:r>
              <w:rPr>
                <w:rFonts w:hint="eastAsia" w:ascii="Times New Roman" w:hAnsi="Times New Roman" w:eastAsia="宋体" w:cs="Times New Roman"/>
                <w:color w:val="auto"/>
                <w:kern w:val="0"/>
                <w:sz w:val="24"/>
                <w:szCs w:val="24"/>
                <w:highlight w:val="none"/>
                <w:lang w:bidi="en-US"/>
              </w:rPr>
              <w:t>付款条件</w:t>
            </w:r>
          </w:p>
        </w:tc>
        <w:tc>
          <w:tcPr>
            <w:tcW w:w="7167" w:type="dxa"/>
            <w:vAlign w:val="center"/>
          </w:tcPr>
          <w:p w14:paraId="4EC477AE">
            <w:pPr>
              <w:spacing w:line="360" w:lineRule="auto"/>
              <w:jc w:val="both"/>
              <w:rPr>
                <w:rFonts w:hint="eastAsia" w:ascii="Times New Roman" w:hAnsi="Times New Roman" w:eastAsia="宋体" w:cs="Times New Roman"/>
                <w:color w:val="auto"/>
                <w:kern w:val="0"/>
                <w:sz w:val="24"/>
                <w:szCs w:val="24"/>
                <w:highlight w:val="none"/>
                <w:lang w:bidi="en-US"/>
              </w:rPr>
            </w:pPr>
            <w:r>
              <w:rPr>
                <w:rFonts w:hint="eastAsia" w:ascii="Times New Roman" w:hAnsi="Times New Roman" w:eastAsia="宋体" w:cs="Times New Roman"/>
                <w:color w:val="auto"/>
                <w:kern w:val="0"/>
                <w:sz w:val="24"/>
                <w:szCs w:val="24"/>
                <w:highlight w:val="none"/>
                <w:lang w:bidi="en-US"/>
              </w:rPr>
              <w:t>1.付款方式：合同签订后7个工作日内支付合同价的60%；货到现场并安装完成，经采购人验收合格并获得发票后7个工作日内支付合同价的40%。支付尾款前，中标供应商需开具正式增值税专用发票，否则采购人有权拒绝支付货款，且中标供应商仍应按时供货、安装、调试直至完成验收。</w:t>
            </w:r>
          </w:p>
          <w:p w14:paraId="414E77B0">
            <w:pPr>
              <w:spacing w:line="360" w:lineRule="auto"/>
              <w:jc w:val="both"/>
              <w:rPr>
                <w:rFonts w:ascii="Times New Roman" w:hAnsi="Times New Roman" w:eastAsia="宋体" w:cs="Times New Roman"/>
                <w:color w:val="auto"/>
                <w:kern w:val="0"/>
                <w:sz w:val="24"/>
                <w:szCs w:val="24"/>
                <w:highlight w:val="none"/>
                <w:lang w:bidi="en-US"/>
              </w:rPr>
            </w:pPr>
            <w:r>
              <w:rPr>
                <w:rFonts w:hint="eastAsia" w:ascii="Times New Roman" w:hAnsi="Times New Roman" w:eastAsia="宋体" w:cs="Times New Roman"/>
                <w:color w:val="auto"/>
                <w:kern w:val="0"/>
                <w:sz w:val="24"/>
                <w:szCs w:val="24"/>
                <w:highlight w:val="none"/>
                <w:lang w:bidi="en-US"/>
              </w:rPr>
              <w:t>2.当采购数量与实际使用数量不一致时，乙方应根据实际使用量供货，合同的最终结算金额按实际使用量乘以成交单价进行计算。</w:t>
            </w:r>
          </w:p>
        </w:tc>
      </w:tr>
      <w:tr w14:paraId="60B1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5E3CC38B">
            <w:pPr>
              <w:spacing w:line="360" w:lineRule="auto"/>
              <w:jc w:val="center"/>
              <w:rPr>
                <w:rFonts w:hint="eastAsia" w:ascii="Times New Roman" w:hAnsi="Times New Roman" w:eastAsia="宋体" w:cs="Times New Roman"/>
                <w:color w:val="auto"/>
                <w:kern w:val="0"/>
                <w:sz w:val="24"/>
                <w:szCs w:val="24"/>
                <w:highlight w:val="none"/>
                <w:lang w:val="en-US" w:eastAsia="zh-CN" w:bidi="en-US"/>
              </w:rPr>
            </w:pPr>
            <w:r>
              <w:rPr>
                <w:rFonts w:hint="eastAsia" w:ascii="Times New Roman" w:hAnsi="Times New Roman" w:cs="Times New Roman"/>
                <w:color w:val="auto"/>
                <w:kern w:val="0"/>
                <w:sz w:val="24"/>
                <w:szCs w:val="24"/>
                <w:highlight w:val="none"/>
                <w:lang w:val="en-US" w:eastAsia="zh-CN" w:bidi="en-US"/>
              </w:rPr>
              <w:t>5</w:t>
            </w:r>
          </w:p>
        </w:tc>
        <w:tc>
          <w:tcPr>
            <w:tcW w:w="1867" w:type="dxa"/>
            <w:vAlign w:val="center"/>
          </w:tcPr>
          <w:p w14:paraId="4D027110">
            <w:pPr>
              <w:spacing w:line="340" w:lineRule="exact"/>
              <w:contextualSpacing/>
              <w:jc w:val="center"/>
              <w:textAlignment w:val="baseline"/>
              <w:rPr>
                <w:rFonts w:ascii="Times New Roman" w:hAnsi="Times New Roman" w:eastAsia="宋体" w:cs="Times New Roman"/>
                <w:color w:val="auto"/>
                <w:kern w:val="0"/>
                <w:sz w:val="24"/>
                <w:szCs w:val="24"/>
                <w:highlight w:val="none"/>
                <w:lang w:bidi="en-US"/>
              </w:rPr>
            </w:pPr>
            <w:r>
              <w:rPr>
                <w:rFonts w:hint="eastAsia" w:ascii="Times New Roman" w:hAnsi="Times New Roman" w:cs="Times New Roman"/>
                <w:b/>
                <w:bCs/>
                <w:color w:val="auto"/>
                <w:sz w:val="24"/>
                <w:szCs w:val="24"/>
                <w:highlight w:val="none"/>
                <w:lang w:val="en-US" w:eastAsia="zh-CN"/>
              </w:rPr>
              <w:t>技术服务要求</w:t>
            </w:r>
          </w:p>
        </w:tc>
        <w:tc>
          <w:tcPr>
            <w:tcW w:w="7167" w:type="dxa"/>
            <w:vAlign w:val="center"/>
          </w:tcPr>
          <w:p w14:paraId="1153C490">
            <w:pPr>
              <w:numPr>
                <w:ilvl w:val="0"/>
                <w:numId w:val="0"/>
              </w:numPr>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1.资料提交：</w:t>
            </w:r>
          </w:p>
          <w:p w14:paraId="0DE9DEC0">
            <w:pPr>
              <w:numPr>
                <w:ilvl w:val="0"/>
                <w:numId w:val="0"/>
              </w:numPr>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提供设备手册正本一套，提供中文操作说明书一份。提供仪器设备的维修保养手册；列出主要零配件、易损件、耗材的价格。</w:t>
            </w:r>
          </w:p>
          <w:p w14:paraId="41CBDABD">
            <w:pPr>
              <w:numPr>
                <w:ilvl w:val="0"/>
                <w:numId w:val="0"/>
              </w:numPr>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2.安装、调试、验收：</w:t>
            </w:r>
          </w:p>
          <w:p w14:paraId="7941DE81">
            <w:pPr>
              <w:numPr>
                <w:ilvl w:val="0"/>
                <w:numId w:val="0"/>
              </w:numPr>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由仪器制商授权的技术人员进行现场安装、调试，并按照技术要求确定的验收方案实施验收，并在收到第三方计量检定校准机构的合格校准报告后，最终确认是否验收合格。</w:t>
            </w:r>
          </w:p>
          <w:p w14:paraId="64DE2068">
            <w:pPr>
              <w:numPr>
                <w:ilvl w:val="0"/>
                <w:numId w:val="11"/>
              </w:numPr>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保修（质保期）：</w:t>
            </w:r>
          </w:p>
          <w:p w14:paraId="7E26AC32">
            <w:pPr>
              <w:numPr>
                <w:ilvl w:val="0"/>
                <w:numId w:val="0"/>
              </w:numPr>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要求由仪器制造厂提供三年免费质保服务，终身维护维修服务。仪器在质保期内如出现2次以上严重质量问题，供应商应当予以更换重要零部件，并进行全面检修，重新验收，并再延长一年质保。应有专门负责的经验丰富的维修工程师和专门的技术应用支持工程师。应当及时（24小时内）提供所有的服务包括上门维修，备零件及消耗品更换。</w:t>
            </w:r>
          </w:p>
          <w:p w14:paraId="57080904">
            <w:pPr>
              <w:numPr>
                <w:ilvl w:val="0"/>
                <w:numId w:val="11"/>
              </w:numPr>
              <w:ind w:left="0" w:leftChars="0" w:firstLine="0" w:firstLineChars="0"/>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维修维护：</w:t>
            </w:r>
          </w:p>
          <w:p w14:paraId="2BB158BE">
            <w:pPr>
              <w:numPr>
                <w:ilvl w:val="0"/>
                <w:numId w:val="0"/>
              </w:numPr>
              <w:ind w:leftChars="0"/>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质保期内，每年对仪器免费上门进行维护保养不少于1次。质保期后2年内维修只收材料费，免收维修费和上门费。质保期后，各种零配件、易损件、耗材供应享受最优惠折扣（9折）。</w:t>
            </w:r>
          </w:p>
          <w:p w14:paraId="259D50C9">
            <w:pPr>
              <w:numPr>
                <w:ilvl w:val="0"/>
                <w:numId w:val="11"/>
              </w:numPr>
              <w:ind w:left="0" w:leftChars="0" w:firstLine="0" w:firstLineChars="0"/>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培训：</w:t>
            </w:r>
          </w:p>
          <w:p w14:paraId="21B54A9C">
            <w:pPr>
              <w:numPr>
                <w:ilvl w:val="0"/>
                <w:numId w:val="0"/>
              </w:numPr>
              <w:rPr>
                <w:rFonts w:ascii="Times New Roman" w:hAnsi="Times New Roman" w:eastAsia="宋体" w:cs="Times New Roman"/>
                <w:color w:val="auto"/>
                <w:kern w:val="0"/>
                <w:sz w:val="24"/>
                <w:szCs w:val="24"/>
                <w:highlight w:val="none"/>
                <w:lang w:bidi="en-US"/>
              </w:rPr>
            </w:pPr>
            <w:r>
              <w:rPr>
                <w:rFonts w:hint="eastAsia" w:ascii="Times New Roman" w:hAnsi="Times New Roman" w:cs="Times New Roman"/>
                <w:b w:val="0"/>
                <w:bCs w:val="0"/>
                <w:color w:val="auto"/>
                <w:sz w:val="24"/>
                <w:szCs w:val="24"/>
                <w:highlight w:val="none"/>
                <w:lang w:val="en-US" w:eastAsia="zh-CN"/>
              </w:rPr>
              <w:t>在用户实验室免费对技术人员进行现场安装调试、使用及维护培训，直至能完全独立操作。中标后签订合同前，提供全部售后技术服务由生产厂商提供的书面承诺。</w:t>
            </w:r>
          </w:p>
        </w:tc>
      </w:tr>
      <w:tr w14:paraId="444E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 w:type="dxa"/>
            <w:vAlign w:val="center"/>
          </w:tcPr>
          <w:p w14:paraId="0D37E752">
            <w:pPr>
              <w:spacing w:line="360" w:lineRule="auto"/>
              <w:jc w:val="center"/>
              <w:rPr>
                <w:rFonts w:hint="eastAsia" w:ascii="Times New Roman" w:hAnsi="Times New Roman" w:eastAsia="宋体" w:cs="Times New Roman"/>
                <w:color w:val="auto"/>
                <w:kern w:val="0"/>
                <w:sz w:val="24"/>
                <w:szCs w:val="24"/>
                <w:highlight w:val="none"/>
                <w:lang w:val="en-US" w:eastAsia="zh-CN" w:bidi="en-US"/>
              </w:rPr>
            </w:pPr>
            <w:r>
              <w:rPr>
                <w:rFonts w:hint="eastAsia" w:ascii="Times New Roman" w:hAnsi="Times New Roman" w:cs="Times New Roman"/>
                <w:color w:val="auto"/>
                <w:kern w:val="0"/>
                <w:sz w:val="24"/>
                <w:szCs w:val="24"/>
                <w:highlight w:val="none"/>
                <w:lang w:val="en-US" w:eastAsia="zh-CN" w:bidi="en-US"/>
              </w:rPr>
              <w:t>6</w:t>
            </w:r>
          </w:p>
        </w:tc>
        <w:tc>
          <w:tcPr>
            <w:tcW w:w="1867" w:type="dxa"/>
            <w:vAlign w:val="center"/>
          </w:tcPr>
          <w:p w14:paraId="5BCF2D98">
            <w:pPr>
              <w:spacing w:line="340" w:lineRule="exact"/>
              <w:contextualSpacing/>
              <w:jc w:val="center"/>
              <w:rPr>
                <w:rFonts w:hint="eastAsia" w:ascii="Times New Roman" w:hAnsi="Times New Roman" w:eastAsia="宋体" w:cs="Times New Roman"/>
                <w:color w:val="auto"/>
                <w:kern w:val="0"/>
                <w:sz w:val="24"/>
                <w:szCs w:val="24"/>
                <w:highlight w:val="none"/>
                <w:lang w:eastAsia="zh-CN" w:bidi="en-US"/>
              </w:rPr>
            </w:pPr>
            <w:r>
              <w:rPr>
                <w:rFonts w:hint="eastAsia" w:ascii="Times New Roman" w:hAnsi="Times New Roman" w:cs="宋体"/>
                <w:color w:val="auto"/>
                <w:sz w:val="24"/>
                <w:szCs w:val="24"/>
                <w:highlight w:val="none"/>
              </w:rPr>
              <w:t>其他要求</w:t>
            </w:r>
          </w:p>
        </w:tc>
        <w:tc>
          <w:tcPr>
            <w:tcW w:w="7167" w:type="dxa"/>
            <w:vAlign w:val="center"/>
          </w:tcPr>
          <w:p w14:paraId="5D61E554">
            <w:pPr>
              <w:tabs>
                <w:tab w:val="left" w:pos="884"/>
              </w:tabs>
              <w:spacing w:line="340" w:lineRule="exact"/>
              <w:contextualSpacing/>
              <w:jc w:val="left"/>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lang w:val="en-US" w:eastAsia="zh-CN"/>
              </w:rPr>
              <w:t>1.</w:t>
            </w:r>
            <w:r>
              <w:rPr>
                <w:rFonts w:hint="eastAsia" w:ascii="Times New Roman" w:hAnsi="Times New Roman" w:cs="宋体"/>
                <w:color w:val="auto"/>
                <w:sz w:val="24"/>
                <w:szCs w:val="24"/>
                <w:highlight w:val="none"/>
              </w:rPr>
              <w:t>中标人如不遵守</w:t>
            </w:r>
            <w:r>
              <w:rPr>
                <w:rFonts w:hint="eastAsia" w:ascii="Times New Roman" w:hAnsi="Times New Roman" w:cs="宋体"/>
                <w:color w:val="auto"/>
                <w:sz w:val="24"/>
                <w:szCs w:val="24"/>
                <w:highlight w:val="none"/>
                <w:lang w:eastAsia="zh-CN"/>
              </w:rPr>
              <w:t>采购</w:t>
            </w:r>
            <w:r>
              <w:rPr>
                <w:rFonts w:hint="eastAsia" w:ascii="Times New Roman" w:hAnsi="Times New Roman" w:cs="宋体"/>
                <w:color w:val="auto"/>
                <w:sz w:val="24"/>
                <w:szCs w:val="24"/>
                <w:highlight w:val="none"/>
              </w:rPr>
              <w:t>文件或投标文件各项条款的邀约与要约，或在接到中标通知书后借故拖延，拒签合同的，采购人将按《浙江省政府采购供应商注册及诚信管理暂行办法》的规定上报诚信状况。给采购人造成的损失的还应当予以赔偿。</w:t>
            </w:r>
          </w:p>
          <w:p w14:paraId="79DDC0FB">
            <w:pPr>
              <w:tabs>
                <w:tab w:val="left" w:pos="884"/>
              </w:tabs>
              <w:spacing w:line="340" w:lineRule="exact"/>
              <w:contextualSpacing/>
              <w:jc w:val="left"/>
              <w:rPr>
                <w:rFonts w:ascii="Times New Roman" w:hAnsi="Times New Roman" w:eastAsia="宋体" w:cs="Times New Roman"/>
                <w:color w:val="auto"/>
                <w:kern w:val="0"/>
                <w:sz w:val="24"/>
                <w:szCs w:val="24"/>
                <w:highlight w:val="none"/>
                <w:lang w:bidi="en-US"/>
              </w:rPr>
            </w:pPr>
            <w:r>
              <w:rPr>
                <w:rFonts w:hint="eastAsia" w:ascii="Times New Roman" w:hAnsi="Times New Roman" w:cs="宋体"/>
                <w:color w:val="auto"/>
                <w:sz w:val="24"/>
                <w:szCs w:val="24"/>
                <w:highlight w:val="none"/>
                <w:lang w:val="en-US" w:eastAsia="zh-CN"/>
              </w:rPr>
              <w:t>2.</w:t>
            </w:r>
            <w:r>
              <w:rPr>
                <w:rFonts w:hint="eastAsia" w:ascii="Times New Roman" w:hAnsi="Times New Roman" w:cs="宋体"/>
                <w:color w:val="auto"/>
                <w:sz w:val="24"/>
                <w:szCs w:val="24"/>
                <w:highlight w:val="none"/>
              </w:rPr>
              <w:t>中标人必须负责将产品运输至采购人指定的地点，运输费及保险费等一切费用由中标人承担。产品在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tc>
      </w:tr>
    </w:tbl>
    <w:p w14:paraId="57C617C2">
      <w:pPr>
        <w:pageBreakBefore/>
        <w:snapToGrid w:val="0"/>
        <w:spacing w:line="360" w:lineRule="auto"/>
        <w:jc w:val="center"/>
        <w:outlineLvl w:val="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第六部分 拟签订的合同文本</w:t>
      </w:r>
      <w:bookmarkEnd w:id="65"/>
    </w:p>
    <w:p w14:paraId="60C79883">
      <w:pPr>
        <w:pStyle w:val="26"/>
        <w:snapToGrid w:val="0"/>
        <w:spacing w:line="360" w:lineRule="auto"/>
        <w:ind w:firstLine="422" w:firstLineChars="200"/>
        <w:jc w:val="center"/>
        <w:rPr>
          <w:rFonts w:asciiTheme="minorEastAsia" w:hAnsiTheme="minorEastAsia" w:eastAsiaTheme="minorEastAsia"/>
          <w:b/>
          <w:snapToGrid w:val="0"/>
          <w:color w:val="auto"/>
          <w:highlight w:val="none"/>
        </w:rPr>
      </w:pPr>
      <w:r>
        <w:rPr>
          <w:rFonts w:hint="eastAsia" w:asciiTheme="minorEastAsia" w:hAnsiTheme="minorEastAsia" w:eastAsiaTheme="minorEastAsia"/>
          <w:b/>
          <w:snapToGrid w:val="0"/>
          <w:color w:val="auto"/>
          <w:highlight w:val="none"/>
        </w:rPr>
        <w:t>（本合同为参考，具体结合采购需求及中标人投标承诺，以实际签署为准）</w:t>
      </w:r>
    </w:p>
    <w:p w14:paraId="47CBD21F">
      <w:pPr>
        <w:widowControl/>
        <w:jc w:val="center"/>
        <w:rPr>
          <w:rFonts w:hint="eastAsia" w:asciiTheme="majorEastAsia" w:hAnsiTheme="majorEastAsia" w:eastAsiaTheme="majorEastAsia" w:cstheme="majorEastAsia"/>
          <w:color w:val="auto"/>
          <w:kern w:val="0"/>
          <w:sz w:val="24"/>
          <w:szCs w:val="24"/>
          <w:highlight w:val="none"/>
          <w:lang w:bidi="ar"/>
        </w:rPr>
      </w:pPr>
    </w:p>
    <w:bookmarkEnd w:id="66"/>
    <w:p w14:paraId="6B227741">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Cs/>
          <w:color w:val="auto"/>
          <w:kern w:val="0"/>
          <w:sz w:val="24"/>
          <w:szCs w:val="24"/>
          <w:highlight w:val="none"/>
          <w:lang w:eastAsia="zh-CN"/>
        </w:rPr>
      </w:pPr>
      <w:bookmarkStart w:id="70" w:name="_Toc5920"/>
      <w:bookmarkStart w:id="71" w:name="_Toc29514"/>
      <w:bookmarkStart w:id="72" w:name="_Toc29060"/>
      <w:r>
        <w:rPr>
          <w:rFonts w:hint="eastAsia" w:ascii="宋体" w:hAnsi="宋体" w:cs="宋体"/>
          <w:bCs/>
          <w:color w:val="auto"/>
          <w:kern w:val="0"/>
          <w:sz w:val="24"/>
          <w:szCs w:val="24"/>
          <w:highlight w:val="none"/>
        </w:rPr>
        <w:t>项目名称：</w:t>
      </w:r>
      <w:r>
        <w:rPr>
          <w:rFonts w:hint="eastAsia" w:ascii="宋体" w:hAnsi="宋体" w:cs="宋体"/>
          <w:bCs/>
          <w:color w:val="auto"/>
          <w:kern w:val="0"/>
          <w:sz w:val="24"/>
          <w:szCs w:val="24"/>
          <w:highlight w:val="none"/>
          <w:lang w:val="en-US" w:eastAsia="zh-CN"/>
        </w:rPr>
        <w:t xml:space="preserve">                           </w:t>
      </w:r>
      <w:r>
        <w:rPr>
          <w:rFonts w:hint="eastAsia" w:ascii="宋体" w:hAnsi="宋体" w:cs="宋体"/>
          <w:bCs/>
          <w:color w:val="auto"/>
          <w:kern w:val="0"/>
          <w:sz w:val="24"/>
          <w:szCs w:val="24"/>
          <w:highlight w:val="none"/>
        </w:rPr>
        <w:t>项目编号：</w:t>
      </w:r>
      <w:r>
        <w:rPr>
          <w:rFonts w:hint="eastAsia" w:ascii="宋体" w:hAnsi="宋体" w:cs="宋体"/>
          <w:bCs/>
          <w:color w:val="auto"/>
          <w:kern w:val="0"/>
          <w:sz w:val="24"/>
          <w:szCs w:val="24"/>
          <w:highlight w:val="none"/>
          <w:lang w:val="en-US" w:eastAsia="zh-CN"/>
        </w:rPr>
        <w:t xml:space="preserve">                    </w:t>
      </w:r>
      <w:r>
        <w:rPr>
          <w:rFonts w:hint="eastAsia" w:ascii="宋体" w:hAnsi="宋体" w:cs="宋体"/>
          <w:bCs/>
          <w:color w:val="auto"/>
          <w:kern w:val="0"/>
          <w:sz w:val="24"/>
          <w:szCs w:val="24"/>
          <w:highlight w:val="none"/>
        </w:rPr>
        <w:t>标项信息：</w:t>
      </w:r>
    </w:p>
    <w:p w14:paraId="14F8E165">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bCs/>
          <w:color w:val="auto"/>
          <w:kern w:val="0"/>
          <w:sz w:val="24"/>
          <w:szCs w:val="24"/>
          <w:highlight w:val="none"/>
        </w:rPr>
      </w:pPr>
      <w:r>
        <w:rPr>
          <w:rFonts w:hint="eastAsia" w:ascii="宋体" w:hAnsi="宋体" w:cs="宋体"/>
          <w:bCs/>
          <w:color w:val="auto"/>
          <w:sz w:val="24"/>
          <w:szCs w:val="24"/>
          <w:highlight w:val="none"/>
        </w:rPr>
        <w:t>甲方</w:t>
      </w:r>
      <w:r>
        <w:rPr>
          <w:rFonts w:hint="eastAsia" w:ascii="宋体" w:hAnsi="宋体" w:cs="宋体"/>
          <w:bCs/>
          <w:color w:val="auto"/>
          <w:kern w:val="0"/>
          <w:sz w:val="24"/>
          <w:szCs w:val="24"/>
          <w:highlight w:val="none"/>
        </w:rPr>
        <w:t>：（采购人）</w:t>
      </w:r>
      <w:r>
        <w:rPr>
          <w:rFonts w:hint="eastAsia" w:ascii="宋体" w:hAnsi="宋体" w:cs="宋体"/>
          <w:bCs/>
          <w:color w:val="auto"/>
          <w:kern w:val="0"/>
          <w:sz w:val="24"/>
          <w:szCs w:val="24"/>
          <w:highlight w:val="none"/>
          <w:lang w:val="en-US" w:eastAsia="zh-CN"/>
        </w:rPr>
        <w:t xml:space="preserve">                              </w:t>
      </w:r>
      <w:r>
        <w:rPr>
          <w:rFonts w:hint="eastAsia" w:ascii="宋体" w:hAnsi="宋体" w:cs="宋体"/>
          <w:bCs/>
          <w:color w:val="auto"/>
          <w:sz w:val="24"/>
          <w:szCs w:val="24"/>
          <w:highlight w:val="none"/>
        </w:rPr>
        <w:t>所在地</w:t>
      </w:r>
      <w:r>
        <w:rPr>
          <w:rFonts w:hint="eastAsia" w:ascii="宋体" w:hAnsi="宋体" w:cs="宋体"/>
          <w:bCs/>
          <w:color w:val="auto"/>
          <w:kern w:val="0"/>
          <w:sz w:val="24"/>
          <w:szCs w:val="24"/>
          <w:highlight w:val="none"/>
        </w:rPr>
        <w:t>：</w:t>
      </w:r>
    </w:p>
    <w:p w14:paraId="134BDEB9">
      <w:pPr>
        <w:keepNext w:val="0"/>
        <w:keepLines w:val="0"/>
        <w:pageBreakBefore w:val="0"/>
        <w:kinsoku/>
        <w:wordWrap/>
        <w:overflowPunct/>
        <w:topLinePunct w:val="0"/>
        <w:autoSpaceDE/>
        <w:autoSpaceDN/>
        <w:bidi w:val="0"/>
        <w:adjustRightInd/>
        <w:spacing w:line="440" w:lineRule="exac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乙方：（中</w:t>
      </w:r>
      <w:r>
        <w:rPr>
          <w:rFonts w:hint="eastAsia" w:ascii="宋体" w:hAnsi="宋体" w:eastAsia="宋体" w:cs="宋体"/>
          <w:bCs/>
          <w:color w:val="auto"/>
          <w:kern w:val="0"/>
          <w:sz w:val="24"/>
          <w:szCs w:val="24"/>
          <w:highlight w:val="none"/>
        </w:rPr>
        <w:t xml:space="preserve">标供应商）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所在地：</w:t>
      </w:r>
    </w:p>
    <w:p w14:paraId="6C04FA66">
      <w:pPr>
        <w:keepNext w:val="0"/>
        <w:keepLines w:val="0"/>
        <w:pageBreakBefore w:val="0"/>
        <w:widowControl/>
        <w:kinsoku/>
        <w:wordWrap/>
        <w:overflowPunct/>
        <w:topLinePunct w:val="0"/>
        <w:autoSpaceDE/>
        <w:autoSpaceDN/>
        <w:bidi w:val="0"/>
        <w:adjustRightInd/>
        <w:spacing w:line="440" w:lineRule="exact"/>
        <w:ind w:firstLine="480" w:firstLineChars="200"/>
        <w:contextualSpacing/>
        <w:jc w:val="left"/>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甲、乙双方根据台州市产品质量安全检测研究院关于</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sz w:val="24"/>
          <w:szCs w:val="24"/>
          <w:highlight w:val="none"/>
          <w:u w:val="single"/>
        </w:rPr>
        <w:t>项目</w:t>
      </w:r>
      <w:r>
        <w:rPr>
          <w:rFonts w:hint="eastAsia" w:ascii="宋体" w:hAnsi="宋体" w:cs="宋体"/>
          <w:color w:val="auto"/>
          <w:kern w:val="0"/>
          <w:sz w:val="24"/>
          <w:szCs w:val="24"/>
          <w:highlight w:val="none"/>
        </w:rPr>
        <w:t>公开招标的结果，签署本合同。</w:t>
      </w:r>
    </w:p>
    <w:p w14:paraId="3005D34D">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Style w:val="89"/>
          <w:rFonts w:ascii="宋体" w:hAnsi="宋体" w:eastAsia="宋体" w:cs="宋体"/>
          <w:b w:val="0"/>
          <w:bCs w:val="0"/>
          <w:color w:val="auto"/>
          <w:sz w:val="24"/>
          <w:szCs w:val="24"/>
          <w:highlight w:val="none"/>
          <w:lang w:val="zh-CN"/>
        </w:rPr>
      </w:pPr>
      <w:r>
        <w:rPr>
          <w:rStyle w:val="89"/>
          <w:rFonts w:hint="eastAsia" w:ascii="宋体" w:hAnsi="宋体" w:eastAsia="宋体" w:cs="宋体"/>
          <w:b/>
          <w:bCs/>
          <w:color w:val="auto"/>
          <w:sz w:val="24"/>
          <w:szCs w:val="24"/>
          <w:highlight w:val="none"/>
        </w:rPr>
        <w:t>一、</w:t>
      </w:r>
      <w:r>
        <w:rPr>
          <w:rStyle w:val="89"/>
          <w:rFonts w:hint="eastAsia" w:ascii="宋体" w:hAnsi="宋体" w:eastAsia="宋体" w:cs="宋体"/>
          <w:b/>
          <w:bCs/>
          <w:color w:val="auto"/>
          <w:sz w:val="24"/>
          <w:szCs w:val="24"/>
          <w:highlight w:val="none"/>
          <w:lang w:val="zh-CN"/>
        </w:rPr>
        <w:t>合同文件：</w:t>
      </w:r>
      <w:r>
        <w:rPr>
          <w:rStyle w:val="89"/>
          <w:rFonts w:hint="eastAsia" w:ascii="宋体" w:hAnsi="宋体" w:eastAsia="宋体" w:cs="宋体"/>
          <w:b w:val="0"/>
          <w:bCs w:val="0"/>
          <w:color w:val="auto"/>
          <w:sz w:val="24"/>
          <w:szCs w:val="24"/>
          <w:highlight w:val="none"/>
          <w:lang w:val="zh-CN"/>
        </w:rPr>
        <w:t xml:space="preserve"> </w:t>
      </w:r>
    </w:p>
    <w:p w14:paraId="377AD338">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1.合同条款。</w:t>
      </w:r>
    </w:p>
    <w:p w14:paraId="2D38BD87">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2.中标通知书。</w:t>
      </w:r>
    </w:p>
    <w:p w14:paraId="538D275E">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3.更正补充文件。</w:t>
      </w:r>
    </w:p>
    <w:p w14:paraId="5E21EAF0">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4.采购文件。</w:t>
      </w:r>
    </w:p>
    <w:p w14:paraId="3BA6E765">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5.中标供应商投标文件。</w:t>
      </w:r>
    </w:p>
    <w:p w14:paraId="16603D0F">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leftChars="200"/>
        <w:jc w:val="left"/>
        <w:textAlignment w:val="auto"/>
        <w:rPr>
          <w:rFonts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6.其他。</w:t>
      </w:r>
    </w:p>
    <w:p w14:paraId="1CF1895D">
      <w:pPr>
        <w:pStyle w:val="44"/>
        <w:keepNext w:val="0"/>
        <w:keepLines w:val="0"/>
        <w:pageBreakBefore w:val="0"/>
        <w:numPr>
          <w:ilvl w:val="0"/>
          <w:numId w:val="0"/>
        </w:numPr>
        <w:kinsoku/>
        <w:wordWrap/>
        <w:overflowPunct/>
        <w:topLinePunct w:val="0"/>
        <w:autoSpaceDE/>
        <w:autoSpaceDN/>
        <w:bidi w:val="0"/>
        <w:adjustRightInd/>
        <w:spacing w:before="0" w:after="0" w:line="440" w:lineRule="exact"/>
        <w:ind w:firstLine="480" w:firstLineChars="200"/>
        <w:jc w:val="left"/>
        <w:textAlignment w:val="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上述所指合同文件应认为是互相补充和解释的，但是有模棱两可或互相矛盾之处，以其所列内容顺序为准。</w:t>
      </w:r>
    </w:p>
    <w:p w14:paraId="589BBC11">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b/>
          <w:bCs/>
          <w:strike/>
          <w:color w:val="auto"/>
          <w:kern w:val="0"/>
          <w:sz w:val="24"/>
          <w:szCs w:val="24"/>
          <w:highlight w:val="none"/>
        </w:rPr>
      </w:pPr>
      <w:r>
        <w:rPr>
          <w:rStyle w:val="89"/>
          <w:rFonts w:hint="eastAsia" w:ascii="宋体" w:hAnsi="宋体" w:eastAsia="宋体" w:cs="宋体"/>
          <w:b/>
          <w:bCs/>
          <w:color w:val="auto"/>
          <w:sz w:val="24"/>
          <w:szCs w:val="24"/>
          <w:highlight w:val="none"/>
        </w:rPr>
        <w:t>二、货物内容及合同价格</w:t>
      </w:r>
    </w:p>
    <w:tbl>
      <w:tblPr>
        <w:tblStyle w:val="47"/>
        <w:tblW w:w="53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19"/>
        <w:gridCol w:w="2079"/>
        <w:gridCol w:w="1282"/>
        <w:gridCol w:w="1281"/>
        <w:gridCol w:w="574"/>
        <w:gridCol w:w="546"/>
        <w:gridCol w:w="1282"/>
        <w:gridCol w:w="1282"/>
      </w:tblGrid>
      <w:tr w14:paraId="0AE6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48" w:type="dxa"/>
            <w:vAlign w:val="center"/>
          </w:tcPr>
          <w:p w14:paraId="566FA6BF">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1484" w:type="dxa"/>
            <w:vAlign w:val="center"/>
          </w:tcPr>
          <w:p w14:paraId="0AE92613">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货物名称</w:t>
            </w:r>
          </w:p>
        </w:tc>
        <w:tc>
          <w:tcPr>
            <w:tcW w:w="2032" w:type="dxa"/>
            <w:vAlign w:val="center"/>
          </w:tcPr>
          <w:p w14:paraId="0639642D">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对应采购文件的设备名称</w:t>
            </w:r>
          </w:p>
        </w:tc>
        <w:tc>
          <w:tcPr>
            <w:tcW w:w="1253" w:type="dxa"/>
            <w:vAlign w:val="center"/>
          </w:tcPr>
          <w:p w14:paraId="7A744277">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品牌、产地</w:t>
            </w:r>
          </w:p>
        </w:tc>
        <w:tc>
          <w:tcPr>
            <w:tcW w:w="1252" w:type="dxa"/>
            <w:vAlign w:val="center"/>
          </w:tcPr>
          <w:p w14:paraId="4513A1A5">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型号规格</w:t>
            </w:r>
          </w:p>
        </w:tc>
        <w:tc>
          <w:tcPr>
            <w:tcW w:w="561" w:type="dxa"/>
            <w:vAlign w:val="center"/>
          </w:tcPr>
          <w:p w14:paraId="1E1E6E4A">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数量</w:t>
            </w:r>
          </w:p>
        </w:tc>
        <w:tc>
          <w:tcPr>
            <w:tcW w:w="534" w:type="dxa"/>
            <w:vAlign w:val="center"/>
          </w:tcPr>
          <w:p w14:paraId="6CF0E5B8">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单位</w:t>
            </w:r>
          </w:p>
        </w:tc>
        <w:tc>
          <w:tcPr>
            <w:tcW w:w="1253" w:type="dxa"/>
            <w:vAlign w:val="center"/>
          </w:tcPr>
          <w:p w14:paraId="3E6ABD5A">
            <w:pPr>
              <w:keepNext w:val="0"/>
              <w:keepLines w:val="0"/>
              <w:pageBreakBefore w:val="0"/>
              <w:kinsoku/>
              <w:wordWrap/>
              <w:overflowPunct/>
              <w:topLinePunct w:val="0"/>
              <w:autoSpaceDE/>
              <w:autoSpaceDN/>
              <w:bidi w:val="0"/>
              <w:adjustRightInd/>
              <w:snapToGrid w:val="0"/>
              <w:spacing w:line="440" w:lineRule="exact"/>
              <w:jc w:val="center"/>
              <w:textAlignment w:val="auto"/>
              <w:rPr>
                <w:rFonts w:ascii="宋体" w:hAnsi="宋体" w:cs="宋体"/>
                <w:bCs/>
                <w:color w:val="auto"/>
                <w:kern w:val="0"/>
                <w:sz w:val="24"/>
                <w:szCs w:val="24"/>
                <w:highlight w:val="none"/>
              </w:rPr>
            </w:pPr>
            <w:r>
              <w:rPr>
                <w:rFonts w:hint="eastAsia" w:ascii="宋体" w:hAnsi="宋体" w:cs="宋体"/>
                <w:color w:val="auto"/>
                <w:sz w:val="24"/>
                <w:szCs w:val="24"/>
                <w:highlight w:val="none"/>
              </w:rPr>
              <w:t>单价（元）</w:t>
            </w:r>
          </w:p>
        </w:tc>
        <w:tc>
          <w:tcPr>
            <w:tcW w:w="1253" w:type="dxa"/>
            <w:vAlign w:val="center"/>
          </w:tcPr>
          <w:p w14:paraId="59D73D4E">
            <w:pPr>
              <w:keepNext w:val="0"/>
              <w:keepLines w:val="0"/>
              <w:pageBreakBefore w:val="0"/>
              <w:kinsoku/>
              <w:wordWrap/>
              <w:overflowPunct/>
              <w:topLinePunct w:val="0"/>
              <w:autoSpaceDE/>
              <w:autoSpaceDN/>
              <w:bidi w:val="0"/>
              <w:adjustRightInd/>
              <w:snapToGrid w:val="0"/>
              <w:spacing w:line="440" w:lineRule="exact"/>
              <w:jc w:val="center"/>
              <w:textAlignment w:val="auto"/>
              <w:rPr>
                <w:rFonts w:ascii="宋体" w:hAnsi="宋体" w:cs="宋体"/>
                <w:bCs/>
                <w:color w:val="auto"/>
                <w:kern w:val="0"/>
                <w:sz w:val="24"/>
                <w:szCs w:val="24"/>
                <w:highlight w:val="none"/>
              </w:rPr>
            </w:pPr>
            <w:r>
              <w:rPr>
                <w:rFonts w:hint="eastAsia" w:ascii="宋体" w:hAnsi="宋体" w:cs="宋体"/>
                <w:color w:val="auto"/>
                <w:sz w:val="24"/>
                <w:szCs w:val="24"/>
                <w:highlight w:val="none"/>
              </w:rPr>
              <w:t>总价（元）</w:t>
            </w:r>
          </w:p>
        </w:tc>
      </w:tr>
      <w:tr w14:paraId="6802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48" w:type="dxa"/>
            <w:vAlign w:val="center"/>
          </w:tcPr>
          <w:p w14:paraId="221C77FD">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hint="eastAsia" w:ascii="宋体" w:hAnsi="宋体" w:eastAsia="宋体" w:cs="宋体"/>
                <w:bCs/>
                <w:color w:val="auto"/>
                <w:kern w:val="0"/>
                <w:sz w:val="24"/>
                <w:szCs w:val="24"/>
                <w:highlight w:val="none"/>
                <w:lang w:val="en-US" w:eastAsia="zh-CN"/>
              </w:rPr>
            </w:pPr>
          </w:p>
        </w:tc>
        <w:tc>
          <w:tcPr>
            <w:tcW w:w="1484" w:type="dxa"/>
            <w:vAlign w:val="center"/>
          </w:tcPr>
          <w:p w14:paraId="7418115C">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hint="eastAsia" w:ascii="宋体" w:hAnsi="宋体" w:cs="宋体"/>
                <w:bCs/>
                <w:color w:val="auto"/>
                <w:kern w:val="0"/>
                <w:sz w:val="24"/>
                <w:szCs w:val="24"/>
                <w:highlight w:val="none"/>
              </w:rPr>
            </w:pPr>
          </w:p>
        </w:tc>
        <w:tc>
          <w:tcPr>
            <w:tcW w:w="2032" w:type="dxa"/>
            <w:vAlign w:val="center"/>
          </w:tcPr>
          <w:p w14:paraId="696ABB7F">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hint="eastAsia" w:ascii="宋体" w:hAnsi="宋体" w:cs="宋体"/>
                <w:bCs/>
                <w:color w:val="auto"/>
                <w:kern w:val="0"/>
                <w:sz w:val="24"/>
                <w:szCs w:val="24"/>
                <w:highlight w:val="none"/>
              </w:rPr>
            </w:pPr>
          </w:p>
        </w:tc>
        <w:tc>
          <w:tcPr>
            <w:tcW w:w="1253" w:type="dxa"/>
            <w:vAlign w:val="center"/>
          </w:tcPr>
          <w:p w14:paraId="293C48D5">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hint="eastAsia" w:ascii="宋体" w:hAnsi="宋体" w:cs="宋体"/>
                <w:bCs/>
                <w:color w:val="auto"/>
                <w:kern w:val="0"/>
                <w:sz w:val="24"/>
                <w:szCs w:val="24"/>
                <w:highlight w:val="none"/>
              </w:rPr>
            </w:pPr>
          </w:p>
        </w:tc>
        <w:tc>
          <w:tcPr>
            <w:tcW w:w="1252" w:type="dxa"/>
            <w:vAlign w:val="center"/>
          </w:tcPr>
          <w:p w14:paraId="4C323FD6">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hint="default" w:ascii="宋体" w:hAnsi="宋体" w:eastAsia="宋体" w:cs="宋体"/>
                <w:bCs/>
                <w:color w:val="auto"/>
                <w:kern w:val="0"/>
                <w:sz w:val="24"/>
                <w:szCs w:val="24"/>
                <w:highlight w:val="none"/>
                <w:lang w:val="en-US" w:eastAsia="zh-CN"/>
              </w:rPr>
            </w:pPr>
          </w:p>
        </w:tc>
        <w:tc>
          <w:tcPr>
            <w:tcW w:w="561" w:type="dxa"/>
            <w:vAlign w:val="center"/>
          </w:tcPr>
          <w:p w14:paraId="6C5BB6AC">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hint="eastAsia" w:ascii="宋体" w:hAnsi="宋体" w:eastAsia="宋体" w:cs="宋体"/>
                <w:bCs/>
                <w:color w:val="auto"/>
                <w:kern w:val="0"/>
                <w:sz w:val="24"/>
                <w:szCs w:val="24"/>
                <w:highlight w:val="none"/>
                <w:lang w:val="en-US" w:eastAsia="zh-CN"/>
              </w:rPr>
            </w:pPr>
          </w:p>
        </w:tc>
        <w:tc>
          <w:tcPr>
            <w:tcW w:w="534" w:type="dxa"/>
            <w:vAlign w:val="center"/>
          </w:tcPr>
          <w:p w14:paraId="48B76D20">
            <w:pPr>
              <w:keepNext w:val="0"/>
              <w:keepLines w:val="0"/>
              <w:pageBreakBefore w:val="0"/>
              <w:tabs>
                <w:tab w:val="left" w:pos="180"/>
              </w:tabs>
              <w:kinsoku/>
              <w:wordWrap/>
              <w:overflowPunct/>
              <w:topLinePunct w:val="0"/>
              <w:autoSpaceDE/>
              <w:autoSpaceDN/>
              <w:bidi w:val="0"/>
              <w:adjustRightInd/>
              <w:spacing w:line="440" w:lineRule="exact"/>
              <w:jc w:val="center"/>
              <w:textAlignment w:val="auto"/>
              <w:rPr>
                <w:rFonts w:hint="eastAsia" w:ascii="宋体" w:hAnsi="宋体" w:eastAsia="宋体" w:cs="宋体"/>
                <w:bCs/>
                <w:color w:val="auto"/>
                <w:kern w:val="0"/>
                <w:sz w:val="24"/>
                <w:szCs w:val="24"/>
                <w:highlight w:val="none"/>
                <w:lang w:eastAsia="zh-CN"/>
              </w:rPr>
            </w:pPr>
          </w:p>
        </w:tc>
        <w:tc>
          <w:tcPr>
            <w:tcW w:w="1253" w:type="dxa"/>
            <w:vAlign w:val="center"/>
          </w:tcPr>
          <w:p w14:paraId="7FE052BC">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highlight w:val="none"/>
                <w:lang w:val="en-US" w:eastAsia="zh-CN"/>
              </w:rPr>
            </w:pPr>
          </w:p>
        </w:tc>
        <w:tc>
          <w:tcPr>
            <w:tcW w:w="1253" w:type="dxa"/>
            <w:vAlign w:val="center"/>
          </w:tcPr>
          <w:p w14:paraId="0C71A0A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highlight w:val="none"/>
                <w:lang w:val="en-US" w:eastAsia="zh-CN"/>
              </w:rPr>
            </w:pPr>
          </w:p>
        </w:tc>
      </w:tr>
      <w:tr w14:paraId="3532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70" w:type="dxa"/>
            <w:gridSpan w:val="9"/>
            <w:vAlign w:val="center"/>
          </w:tcPr>
          <w:p w14:paraId="0F5D5E53">
            <w:pPr>
              <w:keepNext w:val="0"/>
              <w:keepLines w:val="0"/>
              <w:pageBreakBefore w:val="0"/>
              <w:tabs>
                <w:tab w:val="left" w:pos="180"/>
              </w:tabs>
              <w:kinsoku/>
              <w:wordWrap/>
              <w:overflowPunct/>
              <w:topLinePunct w:val="0"/>
              <w:autoSpaceDE/>
              <w:autoSpaceDN/>
              <w:bidi w:val="0"/>
              <w:adjustRightInd/>
              <w:spacing w:line="44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合计：</w:t>
            </w:r>
            <w:r>
              <w:rPr>
                <w:rFonts w:hint="eastAsia" w:ascii="宋体" w:hAnsi="宋体" w:cs="宋体"/>
                <w:color w:val="auto"/>
                <w:kern w:val="0"/>
                <w:sz w:val="24"/>
                <w:szCs w:val="24"/>
                <w:highlight w:val="none"/>
                <w:lang w:val="en-US" w:eastAsia="zh-CN"/>
              </w:rPr>
              <w:t>元</w:t>
            </w:r>
          </w:p>
        </w:tc>
      </w:tr>
      <w:tr w14:paraId="6D52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70" w:type="dxa"/>
            <w:gridSpan w:val="9"/>
            <w:vAlign w:val="center"/>
          </w:tcPr>
          <w:p w14:paraId="4E65207E">
            <w:pPr>
              <w:keepNext w:val="0"/>
              <w:keepLines w:val="0"/>
              <w:pageBreakBefore w:val="0"/>
              <w:tabs>
                <w:tab w:val="left" w:pos="180"/>
              </w:tabs>
              <w:kinsoku/>
              <w:wordWrap/>
              <w:overflowPunct/>
              <w:topLinePunct w:val="0"/>
              <w:autoSpaceDE/>
              <w:autoSpaceDN/>
              <w:bidi w:val="0"/>
              <w:adjustRightInd/>
              <w:spacing w:line="440" w:lineRule="exac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合同总价（人民币大写）：</w:t>
            </w:r>
          </w:p>
        </w:tc>
      </w:tr>
    </w:tbl>
    <w:p w14:paraId="21E2DF00">
      <w:pPr>
        <w:keepNext w:val="0"/>
        <w:keepLines w:val="0"/>
        <w:pageBreakBefore w:val="0"/>
        <w:kinsoku/>
        <w:wordWrap/>
        <w:overflowPunct/>
        <w:topLinePunct w:val="0"/>
        <w:autoSpaceDE/>
        <w:autoSpaceDN/>
        <w:bidi w:val="0"/>
        <w:adjustRightInd/>
        <w:spacing w:line="44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注：1.以上货物内容不清楚的详见</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或附件清单。</w:t>
      </w:r>
    </w:p>
    <w:p w14:paraId="23C30F3B">
      <w:pPr>
        <w:spacing w:line="360" w:lineRule="auto"/>
        <w:ind w:firstLine="480" w:firstLineChars="200"/>
        <w:rPr>
          <w:rFonts w:ascii="Times New Roman" w:hAnsi="Times New Roman"/>
          <w:b/>
          <w:color w:val="auto"/>
          <w:sz w:val="24"/>
          <w:szCs w:val="24"/>
          <w:highlight w:val="none"/>
        </w:rPr>
      </w:pPr>
      <w:r>
        <w:rPr>
          <w:rFonts w:hint="eastAsia" w:ascii="宋体" w:hAnsi="宋体" w:cs="宋体"/>
          <w:color w:val="auto"/>
          <w:sz w:val="24"/>
          <w:szCs w:val="24"/>
          <w:highlight w:val="none"/>
        </w:rPr>
        <w:t>2.以上合同总价包括</w:t>
      </w:r>
      <w:r>
        <w:rPr>
          <w:rFonts w:ascii="Times New Roman" w:hAnsi="Times New Roman"/>
          <w:color w:val="auto"/>
          <w:kern w:val="0"/>
          <w:sz w:val="24"/>
          <w:szCs w:val="24"/>
          <w:highlight w:val="none"/>
          <w:lang w:bidi="en-US"/>
        </w:rPr>
        <w:t>完成本项目所有内容的一切费用</w:t>
      </w:r>
      <w:r>
        <w:rPr>
          <w:rFonts w:hint="eastAsia" w:ascii="Times New Roman" w:hAnsi="Times New Roman"/>
          <w:color w:val="auto"/>
          <w:kern w:val="0"/>
          <w:sz w:val="24"/>
          <w:szCs w:val="24"/>
          <w:highlight w:val="none"/>
          <w:lang w:eastAsia="zh-CN" w:bidi="en-US"/>
        </w:rPr>
        <w:t>，包括</w:t>
      </w:r>
      <w:r>
        <w:rPr>
          <w:rFonts w:hint="eastAsia" w:ascii="宋体" w:hAnsi="宋体" w:cs="宋体"/>
          <w:bCs/>
          <w:color w:val="auto"/>
          <w:sz w:val="24"/>
          <w:szCs w:val="24"/>
          <w:highlight w:val="none"/>
          <w:lang w:val="en-US" w:eastAsia="zh-CN"/>
        </w:rPr>
        <w:t>场地基础改造、</w:t>
      </w:r>
      <w:r>
        <w:rPr>
          <w:rFonts w:hint="eastAsia" w:ascii="Times New Roman" w:hAnsi="Times New Roman"/>
          <w:color w:val="auto"/>
          <w:kern w:val="0"/>
          <w:sz w:val="24"/>
          <w:szCs w:val="24"/>
          <w:highlight w:val="none"/>
          <w:lang w:eastAsia="zh-CN" w:bidi="en-US"/>
        </w:rPr>
        <w:t>设备仪器与配件价格标准附件、备品备件、人工费、专用工具、包装、运输、装卸、保险、税金、货到就位以及接地施工、安装、调试、检测试验、第三方验收、检定校准、培训及相关证书获取、售后服务及质保期内的设备更换、保养、维护、合同包含的所有风险责任等各项费用及不可预见费等所需的全部费用。</w:t>
      </w:r>
    </w:p>
    <w:p w14:paraId="4D59C8E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货物名称、型号规格、品牌等表明产品的信息在相关资料上（包括但不限于产品铭牌、说明书、合格证、计量证书、发票等）需保持完全一致。</w:t>
      </w:r>
    </w:p>
    <w:p w14:paraId="6225CF7D">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三、技术资料</w:t>
      </w:r>
    </w:p>
    <w:p w14:paraId="4FE2EBA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1.乙方应按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规定的时间向甲方提供使用货物的有关技术资料。</w:t>
      </w:r>
    </w:p>
    <w:p w14:paraId="03C589C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F50F44">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四、知识产权</w:t>
      </w:r>
    </w:p>
    <w:p w14:paraId="79A40EA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乙方应保证所提供的货物或其任何一部分均不会侵犯任何第三方的知识产权。否则</w:t>
      </w:r>
      <w:r>
        <w:rPr>
          <w:rFonts w:hint="eastAsia" w:ascii="宋体" w:hAnsi="宋体" w:cs="宋体"/>
          <w:color w:val="auto"/>
          <w:kern w:val="0"/>
          <w:sz w:val="24"/>
          <w:szCs w:val="24"/>
          <w:highlight w:val="none"/>
          <w:lang w:val="en-US" w:eastAsia="zh-CN"/>
        </w:rPr>
        <w:t>属于违约</w:t>
      </w:r>
      <w:r>
        <w:rPr>
          <w:rFonts w:hint="eastAsia" w:ascii="宋体" w:hAnsi="宋体" w:cs="宋体"/>
          <w:color w:val="auto"/>
          <w:kern w:val="0"/>
          <w:sz w:val="24"/>
          <w:szCs w:val="24"/>
          <w:highlight w:val="none"/>
        </w:rPr>
        <w:t>，乙方无权要求返还履约保证金；如果任何第三方向甲方提起侵权索赔，乙方应负责与之进行交涉，造成甲方损失的后果均由乙方承担。</w:t>
      </w:r>
    </w:p>
    <w:p w14:paraId="5ACDB66B">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五、产权担保</w:t>
      </w:r>
    </w:p>
    <w:p w14:paraId="3AB6931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乙方保证所交付的货物的所有权完全属于乙方且无任何抵押、查封等权利瑕疵，否则</w:t>
      </w:r>
      <w:r>
        <w:rPr>
          <w:rFonts w:hint="eastAsia" w:ascii="宋体" w:hAnsi="宋体" w:cs="宋体"/>
          <w:color w:val="auto"/>
          <w:kern w:val="0"/>
          <w:sz w:val="24"/>
          <w:szCs w:val="24"/>
          <w:highlight w:val="none"/>
          <w:lang w:val="en-US" w:eastAsia="zh-CN"/>
        </w:rPr>
        <w:t>属于违约，</w:t>
      </w:r>
      <w:r>
        <w:rPr>
          <w:rFonts w:hint="eastAsia" w:ascii="宋体" w:hAnsi="宋体" w:cs="宋体"/>
          <w:color w:val="auto"/>
          <w:sz w:val="24"/>
          <w:szCs w:val="24"/>
          <w:highlight w:val="none"/>
        </w:rPr>
        <w:t>由乙方承担全部责任。</w:t>
      </w:r>
    </w:p>
    <w:p w14:paraId="0747DF28">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六、履约保证金</w:t>
      </w:r>
    </w:p>
    <w:p w14:paraId="6693252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合同签订前，乙方应先缴纳合同总金额1%的履约保证金，项目最终验收通过后按双方规定退还（但如乙方未能履行合同规定的任何义务，甲方有权从履约保证金中得到补偿）。</w:t>
      </w:r>
    </w:p>
    <w:p w14:paraId="7242B21F">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七、转包或分包</w:t>
      </w:r>
    </w:p>
    <w:p w14:paraId="1E6ABFC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1.本合同范围的货物，应由乙方直接供应，不得转让他人供应；</w:t>
      </w:r>
    </w:p>
    <w:p w14:paraId="1D2D9EB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2.除非得到甲方的书面同意，乙方不得将本合同范围的货物全部或部分分包给他人供应；</w:t>
      </w:r>
    </w:p>
    <w:p w14:paraId="78EE23D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3.如有转让和未经甲方同意的分包行为，甲方有权解除合同，不予退还履约保证金并追究乙方的违约责任。</w:t>
      </w:r>
    </w:p>
    <w:p w14:paraId="77DD696C">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八、质保期</w:t>
      </w:r>
    </w:p>
    <w:p w14:paraId="2219068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设备质保期为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年，系统软件终身免费升级。</w:t>
      </w:r>
      <w:r>
        <w:rPr>
          <w:rFonts w:hint="eastAsia" w:ascii="Times New Roman" w:hAnsi="Times New Roman" w:cs="Times New Roman"/>
          <w:b w:val="0"/>
          <w:bCs w:val="0"/>
          <w:color w:val="auto"/>
          <w:sz w:val="24"/>
          <w:szCs w:val="24"/>
          <w:highlight w:val="none"/>
          <w:lang w:val="en-US" w:eastAsia="zh-CN"/>
        </w:rPr>
        <w:t>仪器在质保期内如出现2次以上严重质量问题，供应商应当予以更换重要零部件，并进行全面检修，重新验收，并再延长一年质保期。质保期均</w:t>
      </w:r>
      <w:r>
        <w:rPr>
          <w:rFonts w:hint="eastAsia" w:ascii="宋体" w:hAnsi="宋体" w:cs="宋体"/>
          <w:color w:val="auto"/>
          <w:kern w:val="0"/>
          <w:sz w:val="24"/>
          <w:szCs w:val="24"/>
          <w:highlight w:val="none"/>
        </w:rPr>
        <w:t>自项目通过甲方验收合格且交付使用之日起计算。</w:t>
      </w:r>
    </w:p>
    <w:p w14:paraId="0F2D6974">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九、交货时间、交货方式及交货地点</w:t>
      </w:r>
    </w:p>
    <w:p w14:paraId="1B3AF6D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rPr>
        <w:t>1.交货时间：</w:t>
      </w:r>
      <w:r>
        <w:rPr>
          <w:rFonts w:hint="eastAsia" w:ascii="宋体" w:hAnsi="宋体" w:cs="宋体"/>
          <w:color w:val="auto"/>
          <w:sz w:val="24"/>
          <w:szCs w:val="24"/>
          <w:highlight w:val="none"/>
          <w:lang w:val="en-US" w:eastAsia="zh-CN"/>
        </w:rPr>
        <w:t>除非因甲方原因导致延期，否则</w:t>
      </w:r>
      <w:r>
        <w:rPr>
          <w:rFonts w:hint="eastAsia" w:ascii="宋体" w:hAnsi="宋体" w:eastAsia="宋体" w:cs="宋体"/>
          <w:color w:val="auto"/>
          <w:sz w:val="24"/>
          <w:szCs w:val="24"/>
          <w:highlight w:val="none"/>
          <w:lang w:val="zh-CN"/>
        </w:rPr>
        <w:t>乙方应于</w:t>
      </w:r>
      <w:r>
        <w:rPr>
          <w:rFonts w:hint="eastAsia" w:ascii="宋体" w:hAnsi="宋体" w:cs="宋体"/>
          <w:bCs/>
          <w:color w:val="auto"/>
          <w:sz w:val="24"/>
          <w:szCs w:val="24"/>
          <w:highlight w:val="none"/>
        </w:rPr>
        <w:t>合同签订之日起</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lang w:val="en-US" w:eastAsia="zh-CN"/>
        </w:rPr>
        <w:t xml:space="preserve"> 日历天内完成场地基础改造、供货、安装以及调试完成，并于调试完成后10日历天内</w:t>
      </w:r>
      <w:r>
        <w:rPr>
          <w:rFonts w:hint="eastAsia" w:ascii="宋体" w:hAnsi="宋体" w:eastAsia="宋体" w:cs="宋体"/>
          <w:color w:val="auto"/>
          <w:sz w:val="24"/>
          <w:szCs w:val="24"/>
          <w:highlight w:val="none"/>
          <w:lang w:val="zh-CN"/>
        </w:rPr>
        <w:t>校准</w:t>
      </w:r>
      <w:r>
        <w:rPr>
          <w:rFonts w:hint="eastAsia" w:ascii="宋体" w:hAnsi="宋体" w:cs="宋体"/>
          <w:color w:val="auto"/>
          <w:sz w:val="24"/>
          <w:szCs w:val="24"/>
          <w:highlight w:val="none"/>
          <w:lang w:val="zh-CN"/>
        </w:rPr>
        <w:t>、</w:t>
      </w:r>
      <w:r>
        <w:rPr>
          <w:rFonts w:hint="eastAsia" w:ascii="宋体" w:hAnsi="宋体" w:cs="宋体"/>
          <w:bCs/>
          <w:color w:val="auto"/>
          <w:sz w:val="24"/>
          <w:szCs w:val="24"/>
          <w:highlight w:val="none"/>
          <w:lang w:val="en-US" w:eastAsia="zh-CN"/>
        </w:rPr>
        <w:t>初步验收。</w:t>
      </w:r>
      <w:r>
        <w:rPr>
          <w:rFonts w:hint="eastAsia" w:ascii="宋体" w:hAnsi="宋体" w:eastAsia="宋体" w:cs="宋体"/>
          <w:color w:val="auto"/>
          <w:sz w:val="24"/>
          <w:szCs w:val="24"/>
          <w:highlight w:val="none"/>
          <w:lang w:val="zh-CN"/>
        </w:rPr>
        <w:t>场地改造完工前</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日，乙方妥善安排货物运送事宜，确保货物于场地改造完工后2日内到达甲方指定地点。</w:t>
      </w:r>
    </w:p>
    <w:p w14:paraId="1231319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2.交货方式：现场交货，运费、装卸费由乙方负责；</w:t>
      </w:r>
    </w:p>
    <w:p w14:paraId="4411706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3.交货地点：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76DF250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4.最终验收以甲方安排的时间为准。</w:t>
      </w:r>
    </w:p>
    <w:p w14:paraId="61C64BC4">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十、货款支付</w:t>
      </w:r>
    </w:p>
    <w:p w14:paraId="43FC24A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1.付款方式：合同签订后7个工作日内支付合同价的60%；货到现场并安装完成，经采购人验收合格并获得发票后7个工作日内支付合同价的40%。支付</w:t>
      </w:r>
      <w:r>
        <w:rPr>
          <w:rFonts w:hint="eastAsia" w:ascii="宋体" w:hAnsi="宋体" w:cs="宋体"/>
          <w:color w:val="auto"/>
          <w:kern w:val="0"/>
          <w:sz w:val="24"/>
          <w:szCs w:val="24"/>
          <w:highlight w:val="none"/>
          <w:lang w:val="en-US" w:eastAsia="zh-CN"/>
        </w:rPr>
        <w:t>尾款</w:t>
      </w:r>
      <w:r>
        <w:rPr>
          <w:rFonts w:hint="eastAsia" w:ascii="宋体" w:hAnsi="宋体" w:cs="宋体"/>
          <w:color w:val="auto"/>
          <w:kern w:val="0"/>
          <w:sz w:val="24"/>
          <w:szCs w:val="24"/>
          <w:highlight w:val="none"/>
        </w:rPr>
        <w:t>前，中标供应商需开具正式增值税专用发票，否则采购人有权拒绝支付货款，且中标供应商仍应按时供货、安装、调试直至完成验收。</w:t>
      </w:r>
    </w:p>
    <w:p w14:paraId="4FAFED6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2.当采购数量与实际使用数量不一致时，乙方应根据实际使用量供货，合同的最终结算金额按实际使用量乘以成交单价进行计算。</w:t>
      </w:r>
    </w:p>
    <w:p w14:paraId="3927B6D7">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十一、税费</w:t>
      </w:r>
    </w:p>
    <w:p w14:paraId="44C3A65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本合同执行中相关的一切税费均由乙方负担。</w:t>
      </w:r>
    </w:p>
    <w:p w14:paraId="11345D4D">
      <w:pPr>
        <w:keepNext w:val="0"/>
        <w:keepLines w:val="0"/>
        <w:pageBreakBefore w:val="0"/>
        <w:numPr>
          <w:ilvl w:val="0"/>
          <w:numId w:val="12"/>
        </w:numPr>
        <w:kinsoku/>
        <w:wordWrap/>
        <w:overflowPunct/>
        <w:topLinePunct w:val="0"/>
        <w:autoSpaceDE/>
        <w:autoSpaceDN/>
        <w:bidi w:val="0"/>
        <w:adjustRightInd/>
        <w:spacing w:line="440" w:lineRule="exac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场地基础改造</w:t>
      </w:r>
    </w:p>
    <w:p w14:paraId="42687375">
      <w:pPr>
        <w:pStyle w:val="2"/>
        <w:spacing w:line="440" w:lineRule="exact"/>
        <w:ind w:firstLine="48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zh-CN"/>
        </w:rPr>
        <w:t>本合同签订</w:t>
      </w:r>
      <w:r>
        <w:rPr>
          <w:rFonts w:hint="default" w:ascii="Times New Roman" w:hAnsi="Times New Roman" w:cs="Times New Roman"/>
          <w:color w:val="auto"/>
          <w:sz w:val="24"/>
          <w:szCs w:val="24"/>
          <w:highlight w:val="none"/>
        </w:rPr>
        <w:t>10</w:t>
      </w:r>
      <w:r>
        <w:rPr>
          <w:rFonts w:hint="default" w:ascii="Times New Roman" w:hAnsi="Times New Roman" w:cs="Times New Roman"/>
          <w:color w:val="auto"/>
          <w:sz w:val="24"/>
          <w:szCs w:val="24"/>
          <w:highlight w:val="none"/>
          <w:lang w:val="en-US" w:eastAsia="zh-Hans"/>
        </w:rPr>
        <w:t>个工作</w:t>
      </w:r>
      <w:r>
        <w:rPr>
          <w:rFonts w:hint="default" w:ascii="Times New Roman" w:hAnsi="Times New Roman" w:cs="Times New Roman"/>
          <w:color w:val="auto"/>
          <w:sz w:val="24"/>
          <w:szCs w:val="24"/>
          <w:highlight w:val="none"/>
          <w:lang w:val="zh-CN"/>
        </w:rPr>
        <w:t>日内，乙方应当向甲方提供</w:t>
      </w:r>
      <w:r>
        <w:rPr>
          <w:rFonts w:hint="default" w:ascii="Times New Roman" w:hAnsi="Times New Roman" w:cs="Times New Roman"/>
          <w:color w:val="auto"/>
          <w:sz w:val="24"/>
          <w:szCs w:val="24"/>
          <w:highlight w:val="none"/>
          <w:lang w:val="en-US" w:eastAsia="zh-CN"/>
        </w:rPr>
        <w:t>场地</w:t>
      </w:r>
      <w:r>
        <w:rPr>
          <w:rFonts w:hint="default" w:ascii="Times New Roman" w:hAnsi="Times New Roman" w:cs="Times New Roman"/>
          <w:color w:val="auto"/>
          <w:sz w:val="24"/>
          <w:szCs w:val="24"/>
          <w:highlight w:val="none"/>
          <w:lang w:val="en-US" w:eastAsia="zh-Hans"/>
        </w:rPr>
        <w:t>改造方案（包含基础工程及环境工程），并提供</w:t>
      </w:r>
      <w:r>
        <w:rPr>
          <w:rFonts w:hint="default" w:ascii="Times New Roman" w:hAnsi="Times New Roman" w:cs="Times New Roman"/>
          <w:color w:val="auto"/>
          <w:sz w:val="24"/>
          <w:szCs w:val="24"/>
          <w:highlight w:val="none"/>
          <w:lang w:val="zh-CN"/>
        </w:rPr>
        <w:t>场地改造施工图纸（包括但不限于设计平面布置图、土建施工图等）、施工材料和工具清单、预算书、工期说明以及其他涉及项目施工的所有材料和文件。施工方案必须符合</w:t>
      </w:r>
      <w:r>
        <w:rPr>
          <w:rFonts w:hint="eastAsia" w:ascii="Times New Roman" w:hAnsi="Times New Roman" w:cs="Times New Roman"/>
          <w:color w:val="auto"/>
          <w:sz w:val="24"/>
          <w:szCs w:val="24"/>
          <w:highlight w:val="none"/>
          <w:lang w:val="en-US" w:eastAsia="zh-CN"/>
        </w:rPr>
        <w:t>本项目</w:t>
      </w:r>
      <w:r>
        <w:rPr>
          <w:rFonts w:hint="default" w:ascii="Times New Roman" w:hAnsi="Times New Roman" w:cs="Times New Roman"/>
          <w:color w:val="auto"/>
          <w:sz w:val="24"/>
          <w:szCs w:val="24"/>
          <w:highlight w:val="none"/>
          <w:lang w:val="zh-CN"/>
        </w:rPr>
        <w:t>各项技术参数要求和本项目所指的电动自行车检验检测设备的安装要求。</w:t>
      </w:r>
    </w:p>
    <w:p w14:paraId="643444CA">
      <w:pPr>
        <w:pStyle w:val="2"/>
        <w:spacing w:line="440" w:lineRule="exact"/>
        <w:ind w:firstLine="48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zh-CN"/>
        </w:rPr>
        <w:t>施工材料和工具由</w:t>
      </w:r>
      <w:r>
        <w:rPr>
          <w:rFonts w:hint="default" w:ascii="Times New Roman" w:hAnsi="Times New Roman" w:cs="Times New Roman"/>
          <w:color w:val="auto"/>
          <w:sz w:val="24"/>
          <w:szCs w:val="24"/>
          <w:highlight w:val="none"/>
          <w:u w:val="single"/>
          <w:lang w:val="en-US" w:eastAsia="zh-Hans"/>
        </w:rPr>
        <w:t>乙方</w:t>
      </w:r>
      <w:r>
        <w:rPr>
          <w:rFonts w:hint="default" w:ascii="Times New Roman" w:hAnsi="Times New Roman" w:cs="Times New Roman"/>
          <w:color w:val="auto"/>
          <w:sz w:val="24"/>
          <w:szCs w:val="24"/>
          <w:highlight w:val="none"/>
          <w:lang w:val="zh-CN"/>
        </w:rPr>
        <w:t>负责采购。</w:t>
      </w:r>
    </w:p>
    <w:p w14:paraId="36D59E53">
      <w:pPr>
        <w:pStyle w:val="2"/>
        <w:spacing w:line="440" w:lineRule="exact"/>
        <w:ind w:firstLine="48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zh-CN"/>
        </w:rPr>
        <w:t>乙方应当指派工程师提供现场指导，与现场施工人员进行技术交底，明确施工要求和施工工作量，</w:t>
      </w:r>
      <w:r>
        <w:rPr>
          <w:rFonts w:hint="default" w:ascii="Times New Roman" w:hAnsi="Times New Roman" w:cs="Times New Roman"/>
          <w:color w:val="auto"/>
          <w:sz w:val="24"/>
          <w:szCs w:val="24"/>
          <w:highlight w:val="none"/>
          <w:lang w:val="en-US" w:eastAsia="zh-Hans"/>
        </w:rPr>
        <w:t>全程监控并提供技术指导，</w:t>
      </w:r>
      <w:r>
        <w:rPr>
          <w:rFonts w:hint="default" w:ascii="Times New Roman" w:hAnsi="Times New Roman" w:cs="Times New Roman"/>
          <w:color w:val="auto"/>
          <w:sz w:val="24"/>
          <w:szCs w:val="24"/>
          <w:highlight w:val="none"/>
          <w:lang w:val="zh-CN"/>
        </w:rPr>
        <w:t>积极解决施工过程中出现的任何问题。</w:t>
      </w:r>
    </w:p>
    <w:p w14:paraId="2CA7F1DF">
      <w:pPr>
        <w:pStyle w:val="2"/>
        <w:keepNext w:val="0"/>
        <w:keepLines w:val="0"/>
        <w:pageBreakBefore w:val="0"/>
        <w:kinsoku/>
        <w:wordWrap/>
        <w:overflowPunct/>
        <w:topLinePunct w:val="0"/>
        <w:autoSpaceDE/>
        <w:autoSpaceDN/>
        <w:bidi w:val="0"/>
        <w:adjustRightInd/>
        <w:spacing w:line="440" w:lineRule="exact"/>
        <w:ind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zh-CN"/>
        </w:rPr>
        <w:t>场地基础改造应于指定工期内完工，至迟不得超过</w:t>
      </w:r>
      <w:r>
        <w:rPr>
          <w:rFonts w:hint="default" w:ascii="Times New Roman" w:hAnsi="Times New Roman" w:cs="Times New Roman"/>
          <w:color w:val="auto"/>
          <w:sz w:val="24"/>
          <w:szCs w:val="24"/>
          <w:highlight w:val="none"/>
          <w:u w:val="single"/>
          <w:lang w:val="zh-CN"/>
        </w:rPr>
        <w:t xml:space="preserve">    </w:t>
      </w:r>
      <w:r>
        <w:rPr>
          <w:rFonts w:hint="default" w:ascii="Times New Roman" w:hAnsi="Times New Roman" w:cs="Times New Roman"/>
          <w:color w:val="auto"/>
          <w:sz w:val="24"/>
          <w:szCs w:val="24"/>
          <w:highlight w:val="none"/>
          <w:lang w:val="zh-CN"/>
        </w:rPr>
        <w:t>日。</w:t>
      </w:r>
      <w:r>
        <w:rPr>
          <w:rFonts w:hint="default" w:ascii="Times New Roman" w:hAnsi="Times New Roman" w:cs="Times New Roman"/>
          <w:color w:val="auto"/>
          <w:sz w:val="24"/>
          <w:szCs w:val="24"/>
          <w:highlight w:val="none"/>
          <w:lang w:val="en-US" w:eastAsia="zh-Hans"/>
        </w:rPr>
        <w:t>特殊情况确因甲方原因无法完工的，经甲方通知可另行确定完工期限。</w:t>
      </w:r>
    </w:p>
    <w:p w14:paraId="7A2A1F70">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、质量保证及售后服务</w:t>
      </w:r>
    </w:p>
    <w:p w14:paraId="7ADE98A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lang w:bidi="en-US"/>
        </w:rPr>
      </w:pPr>
      <w:r>
        <w:rPr>
          <w:rFonts w:hint="eastAsia" w:ascii="宋体" w:hAnsi="宋体" w:cs="宋体"/>
          <w:color w:val="auto"/>
          <w:kern w:val="0"/>
          <w:sz w:val="24"/>
          <w:szCs w:val="24"/>
          <w:highlight w:val="none"/>
        </w:rPr>
        <w:t>1.乙方应按</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规定的货物性能、技术要求、质量标准向甲方提供2024年以后生产的未经使用的全新原装正品。乙方应确保提供的</w:t>
      </w:r>
      <w:r>
        <w:rPr>
          <w:rFonts w:hint="eastAsia" w:ascii="宋体" w:hAnsi="宋体" w:cs="宋体"/>
          <w:color w:val="auto"/>
          <w:kern w:val="0"/>
          <w:sz w:val="24"/>
          <w:szCs w:val="24"/>
          <w:highlight w:val="none"/>
          <w:lang w:bidi="en-US"/>
        </w:rPr>
        <w:t>货物名称、型号规格、品牌等表明产品的信息在相关资料上（包括但不限于产品铭牌、说明书、合格证、计量证书、发票等）保持完全一致。</w:t>
      </w:r>
    </w:p>
    <w:p w14:paraId="2B45695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2.乙方提供的货物在质保期内非因人为原因发生故障，乙方应负责免费更换。对达不到技术要求者，根据实际情况，甲方有权按以下任意一种办法处理：</w:t>
      </w:r>
    </w:p>
    <w:p w14:paraId="27FFDD6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⑴更换：由乙方承担所发生的全部费用。</w:t>
      </w:r>
    </w:p>
    <w:p w14:paraId="2F01E42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⑵贬值处理：由甲乙双方合议定价。</w:t>
      </w:r>
    </w:p>
    <w:p w14:paraId="028ECF5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⑶退货处理：乙方应退还甲方支付的合同款，同时应承担该货物的直接费用（运输、保险、检验、货款利息及银行手续费等）和场地基础改造的全部费用。</w:t>
      </w:r>
    </w:p>
    <w:p w14:paraId="3D516B4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3.质保期内如在使用过程中发生质量问题，乙方在接到甲方通知后</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小时内给与答复，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小时内派员赶赴现场予以解决。否则，应按每次500元支付甲方违约金。</w:t>
      </w:r>
      <w:r>
        <w:rPr>
          <w:rFonts w:hint="eastAsia" w:ascii="宋体" w:hAnsi="宋体" w:cs="宋体"/>
          <w:color w:val="auto"/>
          <w:kern w:val="0"/>
          <w:sz w:val="24"/>
          <w:szCs w:val="24"/>
          <w:highlight w:val="none"/>
          <w:lang w:bidi="en-US"/>
        </w:rPr>
        <w:t>若质保期内两次更换重要部件仍无法排除故障的，</w:t>
      </w:r>
      <w:r>
        <w:rPr>
          <w:rFonts w:hint="eastAsia" w:ascii="宋体" w:hAnsi="宋体" w:cs="宋体"/>
          <w:color w:val="auto"/>
          <w:kern w:val="0"/>
          <w:sz w:val="24"/>
          <w:szCs w:val="24"/>
          <w:highlight w:val="none"/>
          <w:lang w:val="en-US" w:eastAsia="zh-CN" w:bidi="en-US"/>
        </w:rPr>
        <w:t>属于违约；</w:t>
      </w:r>
      <w:r>
        <w:rPr>
          <w:rFonts w:hint="eastAsia" w:ascii="宋体" w:hAnsi="宋体" w:cs="宋体"/>
          <w:color w:val="auto"/>
          <w:kern w:val="0"/>
          <w:sz w:val="24"/>
          <w:szCs w:val="24"/>
          <w:highlight w:val="none"/>
          <w:lang w:bidi="en-US"/>
        </w:rPr>
        <w:t>甲方有权要求退货并更换全新设备</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bidi="en-US"/>
        </w:rPr>
        <w:t>主张违约金、</w:t>
      </w:r>
      <w:r>
        <w:rPr>
          <w:rFonts w:hint="eastAsia" w:ascii="宋体" w:hAnsi="宋体" w:cs="宋体"/>
          <w:color w:val="auto"/>
          <w:kern w:val="0"/>
          <w:sz w:val="24"/>
          <w:szCs w:val="24"/>
          <w:highlight w:val="none"/>
        </w:rPr>
        <w:t>不返还履约保证金，甲方因此支出的全部费用由乙方承担，并且不返还履约保证金。质保期外，乙方应在</w:t>
      </w:r>
      <w:r>
        <w:rPr>
          <w:rFonts w:hint="eastAsia" w:ascii="宋体" w:hAnsi="宋体" w:cs="宋体"/>
          <w:color w:val="auto"/>
          <w:kern w:val="0"/>
          <w:sz w:val="24"/>
          <w:szCs w:val="24"/>
          <w:highlight w:val="none"/>
          <w:u w:val="single"/>
        </w:rPr>
        <w:t>4</w:t>
      </w:r>
      <w:r>
        <w:rPr>
          <w:rFonts w:hint="eastAsia" w:ascii="宋体" w:hAnsi="宋体" w:cs="宋体"/>
          <w:color w:val="auto"/>
          <w:kern w:val="0"/>
          <w:sz w:val="24"/>
          <w:szCs w:val="24"/>
          <w:highlight w:val="none"/>
        </w:rPr>
        <w:t>小时内作出响应，</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个工作日内到达甲方现场维修，一般故障应在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小时内修复，重大故障应在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小时内修复。</w:t>
      </w:r>
    </w:p>
    <w:p w14:paraId="45265F3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4.在质保期内，乙方应对货物出现的质量及安全问题负责处理解决并承担一切费用及责任。质保期过后，乙方提供终身维修服务，</w:t>
      </w:r>
      <w:r>
        <w:rPr>
          <w:rFonts w:hint="eastAsia" w:ascii="宋体" w:hAnsi="宋体" w:cs="宋体"/>
          <w:color w:val="auto"/>
          <w:kern w:val="0"/>
          <w:sz w:val="24"/>
          <w:szCs w:val="24"/>
          <w:highlight w:val="none"/>
          <w:lang w:bidi="en-US"/>
        </w:rPr>
        <w:t>终身免费</w:t>
      </w:r>
      <w:r>
        <w:rPr>
          <w:rFonts w:hint="eastAsia" w:ascii="宋体" w:hAnsi="宋体" w:cs="宋体"/>
          <w:color w:val="auto"/>
          <w:kern w:val="0"/>
          <w:sz w:val="24"/>
          <w:szCs w:val="24"/>
          <w:highlight w:val="none"/>
        </w:rPr>
        <w:t>提供广泛、即时的技术服务和咨询，并提供质量上乘、价格合理的各种配件</w:t>
      </w:r>
      <w:r>
        <w:rPr>
          <w:rFonts w:hint="eastAsia" w:ascii="宋体" w:hAnsi="宋体" w:cs="宋体"/>
          <w:color w:val="auto"/>
          <w:kern w:val="0"/>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质保期后2年内维修只收材料费，免收维修费和上门费。质保期后，各种零配件、易损件、耗材供应享受最优惠折扣（9折）。</w:t>
      </w:r>
    </w:p>
    <w:p w14:paraId="546194F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5.乙方终身免费提供应用咨询及技术帮助，质保期内，易损件和外购件根据原厂家质保期和国家质保标准保修，因人为因素出现的故障酌情收取材料费；质保期外实行有偿服务，具体详见附件（质保期后主要零</w:t>
      </w:r>
      <w:r>
        <w:rPr>
          <w:rFonts w:hint="eastAsia" w:ascii="宋体" w:hAnsi="宋体" w:cs="宋体"/>
          <w:color w:val="auto"/>
          <w:kern w:val="0"/>
          <w:sz w:val="24"/>
          <w:szCs w:val="24"/>
          <w:highlight w:val="none"/>
          <w:lang w:val="en-US" w:eastAsia="zh-CN"/>
        </w:rPr>
        <w:t>配</w:t>
      </w:r>
      <w:r>
        <w:rPr>
          <w:rFonts w:hint="eastAsia" w:ascii="宋体" w:hAnsi="宋体" w:cs="宋体"/>
          <w:color w:val="auto"/>
          <w:kern w:val="0"/>
          <w:sz w:val="24"/>
          <w:szCs w:val="24"/>
          <w:highlight w:val="none"/>
        </w:rPr>
        <w:t>件</w:t>
      </w:r>
      <w:r>
        <w:rPr>
          <w:rFonts w:hint="eastAsia" w:ascii="Times New Roman" w:hAnsi="Times New Roman" w:cs="Times New Roman"/>
          <w:b w:val="0"/>
          <w:bCs w:val="0"/>
          <w:color w:val="auto"/>
          <w:sz w:val="24"/>
          <w:szCs w:val="24"/>
          <w:highlight w:val="none"/>
          <w:lang w:val="en-US" w:eastAsia="zh-CN"/>
        </w:rPr>
        <w:t>、易损件、耗材</w:t>
      </w:r>
      <w:r>
        <w:rPr>
          <w:rFonts w:hint="eastAsia" w:ascii="宋体" w:hAnsi="宋体" w:cs="宋体"/>
          <w:color w:val="auto"/>
          <w:kern w:val="0"/>
          <w:sz w:val="24"/>
          <w:szCs w:val="24"/>
          <w:highlight w:val="none"/>
        </w:rPr>
        <w:t>的成本价供应价格表）。</w:t>
      </w:r>
    </w:p>
    <w:p w14:paraId="5FDB90FE">
      <w:pPr>
        <w:pStyle w:val="2"/>
        <w:keepNext w:val="0"/>
        <w:keepLines w:val="0"/>
        <w:pageBreakBefore w:val="0"/>
        <w:kinsoku/>
        <w:wordWrap/>
        <w:overflowPunct/>
        <w:topLinePunct w:val="0"/>
        <w:autoSpaceDE/>
        <w:autoSpaceDN/>
        <w:bidi w:val="0"/>
        <w:adjustRightInd/>
        <w:spacing w:line="440" w:lineRule="exac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6.若后期甲方因场地原因需进行设备搬迁，乙方应提供免费的现场技术指导、设备拆装并调试，确保设备能够正常运行。</w:t>
      </w:r>
    </w:p>
    <w:p w14:paraId="326557C3">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、调试和验收</w:t>
      </w:r>
    </w:p>
    <w:p w14:paraId="41A3743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1.甲方对乙方提交的货物依据</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上的技术规格要求和国家有关质量标准进行现场初步验收，外观、说明书符合</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技术要求的，给予签收，初步验收不合格的不予签收。</w:t>
      </w:r>
    </w:p>
    <w:p w14:paraId="78225B5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781597A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3.乙方对安装设备的实验室工作条件应提出具体要求，并在安装前予以确认。</w:t>
      </w:r>
    </w:p>
    <w:p w14:paraId="3197537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4.货物到达甲方指定交货地点后，根据甲方的时间安排，乙方在接到甲方通知后</w:t>
      </w:r>
      <w:r>
        <w:rPr>
          <w:rFonts w:hint="eastAsia" w:ascii="宋体" w:hAnsi="宋体" w:cs="宋体"/>
          <w:color w:val="auto"/>
          <w:kern w:val="0"/>
          <w:sz w:val="24"/>
          <w:szCs w:val="24"/>
          <w:highlight w:val="none"/>
          <w:u w:val="single"/>
        </w:rPr>
        <w:t xml:space="preserve">  2  </w:t>
      </w:r>
      <w:r>
        <w:rPr>
          <w:rFonts w:hint="eastAsia" w:ascii="宋体" w:hAnsi="宋体" w:cs="宋体"/>
          <w:color w:val="auto"/>
          <w:kern w:val="0"/>
          <w:sz w:val="24"/>
          <w:szCs w:val="24"/>
          <w:highlight w:val="none"/>
        </w:rPr>
        <w:t>天内指派高水平技术人员进行安装调试，直到符合技术要求，甲方才做最终验收。安装调试合格后，乙方负责对甲方技术人员（至少2人）进行免费现场培训，培训内容包括仪器的性能、原理、操作、保养和维护等，培训日程视实际情况另定。</w:t>
      </w:r>
    </w:p>
    <w:p w14:paraId="2ADBD9A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货物完成安装调试后，由甲乙双方组成验收小组对货物的技术性能和测试功能进行详细而全面的检验并签署验收报告。验收时乙方必须在现场，验收完毕后作出验收结果报告；验收费用（含专家费）由乙方负责。如乙方拒不到场，视为其同意甲方之验收结果并不得</w:t>
      </w:r>
      <w:r>
        <w:rPr>
          <w:rFonts w:hint="eastAsia" w:ascii="宋体" w:hAnsi="宋体" w:cs="宋体"/>
          <w:color w:val="auto"/>
          <w:kern w:val="0"/>
          <w:sz w:val="24"/>
          <w:szCs w:val="24"/>
          <w:highlight w:val="none"/>
          <w:lang w:val="en-US" w:eastAsia="zh-CN"/>
        </w:rPr>
        <w:t>有</w:t>
      </w:r>
      <w:r>
        <w:rPr>
          <w:rFonts w:hint="eastAsia" w:ascii="宋体" w:hAnsi="宋体" w:cs="宋体"/>
          <w:color w:val="auto"/>
          <w:kern w:val="0"/>
          <w:sz w:val="24"/>
          <w:szCs w:val="24"/>
          <w:highlight w:val="none"/>
        </w:rPr>
        <w:t>异议。</w:t>
      </w:r>
    </w:p>
    <w:p w14:paraId="2897E843">
      <w:pPr>
        <w:pStyle w:val="2"/>
        <w:keepNext w:val="0"/>
        <w:keepLines w:val="0"/>
        <w:pageBreakBefore w:val="0"/>
        <w:kinsoku/>
        <w:wordWrap/>
        <w:overflowPunct/>
        <w:topLinePunct w:val="0"/>
        <w:autoSpaceDE/>
        <w:autoSpaceDN/>
        <w:bidi w:val="0"/>
        <w:adjustRightInd/>
        <w:spacing w:line="440" w:lineRule="exac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6.甲方初步验收合格后，由乙方负责邀请有资质的并经甲方认可的第三方检测机构按照相关标准对货物的技术指标进行检定</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校准，出具检定</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校准证书，检定</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校准范围应为设备的全量程。功能验收报告和检定</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校准证书一同作为货物验收依据。相关费用包含在总的报价内，由乙方承担。</w:t>
      </w:r>
    </w:p>
    <w:p w14:paraId="40567E0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7.合同履行过程中造成</w:t>
      </w:r>
      <w:r>
        <w:rPr>
          <w:rFonts w:hint="eastAsia" w:ascii="宋体" w:hAnsi="宋体" w:cs="宋体"/>
          <w:color w:val="auto"/>
          <w:kern w:val="0"/>
          <w:sz w:val="24"/>
          <w:szCs w:val="24"/>
          <w:highlight w:val="none"/>
          <w:lang w:eastAsia="zh-CN"/>
        </w:rPr>
        <w:t>双方及工作人员</w:t>
      </w:r>
      <w:r>
        <w:rPr>
          <w:rFonts w:hint="eastAsia" w:ascii="宋体" w:hAnsi="宋体" w:cs="宋体"/>
          <w:color w:val="auto"/>
          <w:kern w:val="0"/>
          <w:sz w:val="24"/>
          <w:szCs w:val="24"/>
          <w:highlight w:val="none"/>
        </w:rPr>
        <w:t>或</w:t>
      </w:r>
      <w:r>
        <w:rPr>
          <w:rFonts w:hint="eastAsia" w:ascii="宋体" w:hAnsi="宋体" w:cs="宋体"/>
          <w:color w:val="auto"/>
          <w:kern w:val="0"/>
          <w:sz w:val="24"/>
          <w:szCs w:val="24"/>
          <w:highlight w:val="none"/>
          <w:lang w:eastAsia="zh-CN"/>
        </w:rPr>
        <w:t>任何第三方的</w:t>
      </w:r>
      <w:r>
        <w:rPr>
          <w:rFonts w:hint="eastAsia" w:ascii="宋体" w:hAnsi="宋体" w:cs="宋体"/>
          <w:color w:val="auto"/>
          <w:kern w:val="0"/>
          <w:sz w:val="24"/>
          <w:szCs w:val="24"/>
          <w:highlight w:val="none"/>
        </w:rPr>
        <w:t>人身或财产损害，由乙方承担全部责任。</w:t>
      </w:r>
    </w:p>
    <w:p w14:paraId="28CC0FED">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、货物包装、发运及运输</w:t>
      </w:r>
    </w:p>
    <w:p w14:paraId="165FFC2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1.乙方应在货物发运前对其进行满足运输距离、防潮、防震、防锈和防破损装卸等要求包装，以保证货物安全运达甲方指定地点。</w:t>
      </w:r>
    </w:p>
    <w:p w14:paraId="3F88675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2.使用说明书、质量检验证明书、随配附件和工具以及清单一并附于货物内。</w:t>
      </w:r>
    </w:p>
    <w:p w14:paraId="354811E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3.乙方在货物发运手续办理完毕后24小时内或货到甲方48</w:t>
      </w:r>
      <w:r>
        <w:rPr>
          <w:rFonts w:hint="eastAsia" w:ascii="宋体" w:hAnsi="宋体" w:cs="宋体"/>
          <w:color w:val="auto"/>
          <w:sz w:val="24"/>
          <w:szCs w:val="24"/>
          <w:highlight w:val="none"/>
        </w:rPr>
        <w:t>小时前通知甲方</w:t>
      </w:r>
      <w:r>
        <w:rPr>
          <w:rFonts w:hint="eastAsia" w:ascii="宋体" w:hAnsi="宋体" w:cs="宋体"/>
          <w:color w:val="auto"/>
          <w:kern w:val="0"/>
          <w:sz w:val="24"/>
          <w:szCs w:val="24"/>
          <w:highlight w:val="none"/>
        </w:rPr>
        <w:t>，以准备接货。</w:t>
      </w:r>
    </w:p>
    <w:p w14:paraId="105D3EB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4.货物在交付甲方前发生的风险均由乙方负责。</w:t>
      </w:r>
    </w:p>
    <w:p w14:paraId="0121CFC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5.货物在规定的交付期限内由乙方送达甲方指定的地点，乙方同时需通知甲方货物已送达，并与甲方工作人员办理交接手续，否则视为未交付。</w:t>
      </w:r>
    </w:p>
    <w:p w14:paraId="27C585EA">
      <w:pPr>
        <w:pStyle w:val="2"/>
        <w:keepNext w:val="0"/>
        <w:keepLines w:val="0"/>
        <w:pageBreakBefore w:val="0"/>
        <w:kinsoku/>
        <w:wordWrap/>
        <w:overflowPunct/>
        <w:topLinePunct w:val="0"/>
        <w:autoSpaceDE/>
        <w:autoSpaceDN/>
        <w:bidi w:val="0"/>
        <w:adjustRightInd/>
        <w:spacing w:line="440" w:lineRule="exac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6.设备搬运可能涉及吊装，乙方需委托有相关资质的工程队进行作业，并提供工程队相应书面证明。</w:t>
      </w:r>
    </w:p>
    <w:p w14:paraId="7D3FE5B6">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、违约责任</w:t>
      </w:r>
    </w:p>
    <w:p w14:paraId="593E1F6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1.甲方无正当理由拒收货物的，甲方向乙方偿付拒收货款总值的百分之五违约金。</w:t>
      </w:r>
    </w:p>
    <w:p w14:paraId="49F7411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2.甲方无故逾期验收和办理货款支付手续的,甲方应按逾期付款总额每日万分之五向乙方支付违约金。</w:t>
      </w:r>
    </w:p>
    <w:p w14:paraId="101A7A9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3.乙方</w:t>
      </w:r>
      <w:r>
        <w:rPr>
          <w:rFonts w:hint="eastAsia" w:ascii="宋体" w:hAnsi="宋体" w:cs="宋体"/>
          <w:color w:val="auto"/>
          <w:kern w:val="0"/>
          <w:sz w:val="24"/>
          <w:szCs w:val="24"/>
          <w:highlight w:val="none"/>
          <w:lang w:val="en-US" w:eastAsia="zh-CN"/>
        </w:rPr>
        <w:t>存在</w:t>
      </w:r>
      <w:r>
        <w:rPr>
          <w:rFonts w:hint="eastAsia" w:ascii="宋体" w:hAnsi="宋体" w:cs="宋体"/>
          <w:color w:val="auto"/>
          <w:kern w:val="0"/>
          <w:sz w:val="24"/>
          <w:szCs w:val="24"/>
          <w:highlight w:val="none"/>
        </w:rPr>
        <w:t>逾期交付</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逾期安装调试等逾期情形</w:t>
      </w:r>
      <w:r>
        <w:rPr>
          <w:rFonts w:hint="eastAsia" w:ascii="宋体" w:hAnsi="宋体" w:cs="宋体"/>
          <w:color w:val="auto"/>
          <w:kern w:val="0"/>
          <w:sz w:val="24"/>
          <w:szCs w:val="24"/>
          <w:highlight w:val="none"/>
        </w:rPr>
        <w:t>的，乙方应按</w:t>
      </w:r>
      <w:r>
        <w:rPr>
          <w:rFonts w:hint="eastAsia" w:ascii="宋体" w:hAnsi="宋体" w:cs="宋体"/>
          <w:color w:val="auto"/>
          <w:kern w:val="0"/>
          <w:sz w:val="24"/>
          <w:szCs w:val="24"/>
          <w:highlight w:val="none"/>
          <w:lang w:val="en-US" w:eastAsia="zh-CN"/>
        </w:rPr>
        <w:t>合同总价</w:t>
      </w:r>
      <w:r>
        <w:rPr>
          <w:rFonts w:hint="eastAsia" w:ascii="宋体" w:hAnsi="宋体" w:cs="宋体"/>
          <w:color w:val="auto"/>
          <w:kern w:val="0"/>
          <w:sz w:val="24"/>
          <w:szCs w:val="24"/>
          <w:highlight w:val="none"/>
        </w:rPr>
        <w:t>每日千分之六向甲方支付违约金，甲方可直接从待付货款中扣除。乙方逾期超过约定日期10个工作日的，应向甲方支付合同总价20%的违约金，</w:t>
      </w:r>
      <w:r>
        <w:rPr>
          <w:rFonts w:hint="eastAsia" w:ascii="宋体" w:hAnsi="宋体" w:cs="宋体"/>
          <w:color w:val="auto"/>
          <w:kern w:val="0"/>
          <w:sz w:val="24"/>
          <w:szCs w:val="24"/>
          <w:highlight w:val="none"/>
          <w:lang w:val="en-US" w:eastAsia="zh-CN"/>
        </w:rPr>
        <w:t>且</w:t>
      </w:r>
      <w:r>
        <w:rPr>
          <w:rFonts w:hint="eastAsia" w:ascii="宋体" w:hAnsi="宋体" w:cs="宋体"/>
          <w:color w:val="auto"/>
          <w:kern w:val="0"/>
          <w:sz w:val="24"/>
          <w:szCs w:val="24"/>
          <w:highlight w:val="none"/>
        </w:rPr>
        <w:t>甲方有权解除合同，预付款返还甲方，履约保证金不予返还</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如造成甲方损失超过违约金的，超出部分由乙方继续承担赔偿责任。</w:t>
      </w:r>
    </w:p>
    <w:p w14:paraId="50C5FD9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4.乙方所交的货物品种、型号、规格、技术参数、质量不符合合同规定及</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规定标准的，甲方有权拒收该货物，乙方愿意更换货物但逾期交货的，按乙方逾期交货处理。乙方拒绝更换货物的，甲方可单方面解除合同，预付款返还甲方，履约保证金不予返还，并向甲方支付合同总价20%的违约金，如造成甲方的损失超过违约金的，乙方理应继续承担赔偿责任。</w:t>
      </w:r>
    </w:p>
    <w:p w14:paraId="21DF8AF3">
      <w:pPr>
        <w:pStyle w:val="2"/>
        <w:keepNext w:val="0"/>
        <w:keepLines w:val="0"/>
        <w:pageBreakBefore w:val="0"/>
        <w:kinsoku/>
        <w:wordWrap/>
        <w:overflowPunct/>
        <w:topLinePunct w:val="0"/>
        <w:autoSpaceDE/>
        <w:autoSpaceDN/>
        <w:bidi w:val="0"/>
        <w:adjustRightInd/>
        <w:spacing w:line="440" w:lineRule="exac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若乙方不派专人到场或乙方人员到场后不履行自身义务或乙方提供的资料有重大缺陷（按乙方提供的实施方案无法完成场地改造或完成的场地改造不适用本项目）或因乙方原因导致场地改造超期的任何情形，由此产生的责任由乙方承担，甲方有权解除合同并要求乙方返还合同价款、承担场地基础改造全部费用和以合同总价为基数50%的违约金。</w:t>
      </w:r>
    </w:p>
    <w:p w14:paraId="1F35E218">
      <w:pPr>
        <w:pStyle w:val="2"/>
        <w:keepNext w:val="0"/>
        <w:keepLines w:val="0"/>
        <w:pageBreakBefore w:val="0"/>
        <w:kinsoku/>
        <w:wordWrap/>
        <w:overflowPunct/>
        <w:topLinePunct w:val="0"/>
        <w:autoSpaceDE/>
        <w:autoSpaceDN/>
        <w:bidi w:val="0"/>
        <w:adjustRightInd/>
        <w:spacing w:line="440" w:lineRule="exac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6.任意一方存在违反本合同约定的其他违约行为的，以合同价款为基数30%向另一方支付违约金。</w:t>
      </w:r>
    </w:p>
    <w:p w14:paraId="1FB5039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7.若发生纠纷，由违约方赔偿守约方因纠纷所支付的费用（包括但不限于律师费、差旅费、诉讼费、保全</w:t>
      </w:r>
      <w:r>
        <w:rPr>
          <w:rFonts w:hint="eastAsia" w:ascii="宋体" w:hAnsi="宋体" w:cs="宋体"/>
          <w:color w:val="auto"/>
          <w:kern w:val="0"/>
          <w:sz w:val="24"/>
          <w:szCs w:val="24"/>
          <w:highlight w:val="none"/>
          <w:lang w:val="en-US" w:eastAsia="zh-CN"/>
        </w:rPr>
        <w:t>保险</w:t>
      </w:r>
      <w:r>
        <w:rPr>
          <w:rFonts w:hint="eastAsia" w:ascii="宋体" w:hAnsi="宋体" w:cs="宋体"/>
          <w:color w:val="auto"/>
          <w:kern w:val="0"/>
          <w:sz w:val="24"/>
          <w:szCs w:val="24"/>
          <w:highlight w:val="none"/>
        </w:rPr>
        <w:t>费、鉴定费、评估费等）。</w:t>
      </w:r>
    </w:p>
    <w:p w14:paraId="7CA0F60B">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、不可抗力</w:t>
      </w:r>
    </w:p>
    <w:p w14:paraId="1B82D09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1.在合同有效期内，任何一方因不可抗力事件导致不能履行合同，则合同履行期可延长，其延长期与不可抗力影响期相同。</w:t>
      </w:r>
    </w:p>
    <w:p w14:paraId="458CF34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2.不可抗力事件发生后，应立即通知对方，并寄送有关权威机构出具的证明。</w:t>
      </w:r>
    </w:p>
    <w:p w14:paraId="4761191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3.不可抗力事件延续60天以上，双方应通过友好协商，确定是否继续履行合同。</w:t>
      </w:r>
    </w:p>
    <w:p w14:paraId="293EAF44">
      <w:pPr>
        <w:keepNext w:val="0"/>
        <w:keepLines w:val="0"/>
        <w:pageBreakBefore w:val="0"/>
        <w:kinsoku/>
        <w:wordWrap/>
        <w:overflowPunct/>
        <w:topLinePunct w:val="0"/>
        <w:autoSpaceDE/>
        <w:autoSpaceDN/>
        <w:bidi w:val="0"/>
        <w:adjustRightInd/>
        <w:spacing w:line="440" w:lineRule="exac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十</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、通知与送达</w:t>
      </w:r>
    </w:p>
    <w:p w14:paraId="298D35C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1.双方有关重要或正式的通知、申请等必须以书面形式进行，否则视为无效。</w:t>
      </w:r>
    </w:p>
    <w:p w14:paraId="7752EC0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2.双方指定工作联系人。</w:t>
      </w:r>
    </w:p>
    <w:p w14:paraId="3B19023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甲方：联系人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14:paraId="70A518A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乙方：联系人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w:t>
      </w:r>
    </w:p>
    <w:p w14:paraId="061692B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3.一方变更指定工作联系人的，应当立即通知另一方，并向另一方出具加盖单位印章的授权委托书及受托人的身份证复印件等授权材料。若另一方未收到授权材料的，视为未变更指定工作联系人。</w:t>
      </w:r>
    </w:p>
    <w:p w14:paraId="501D8A0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企业信用信息网登记信息载明的双方通讯地址可作为送达函件、文书的地址，函件、文书被拒收的，或因载明的地址有误或未及时告知变更后的地址导致相关函件、文书未能实际被接收或邮寄送达的，相关函件、文书退回之日即视为送达之日。</w:t>
      </w:r>
    </w:p>
    <w:p w14:paraId="74EFFBF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5.双方一致确认本合同约定的手机号码为有效送达方式。微信文字、微信语音短讯、短信送达的，送达人设备显示发送完成时为送达日。</w:t>
      </w:r>
    </w:p>
    <w:p w14:paraId="775E379C">
      <w:pPr>
        <w:pStyle w:val="2"/>
        <w:keepNext w:val="0"/>
        <w:keepLines w:val="0"/>
        <w:pageBreakBefore w:val="0"/>
        <w:kinsoku/>
        <w:wordWrap/>
        <w:overflowPunct/>
        <w:topLinePunct w:val="0"/>
        <w:autoSpaceDE/>
        <w:autoSpaceDN/>
        <w:bidi w:val="0"/>
        <w:adjustRightInd/>
        <w:spacing w:line="44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6.送达方式如有变更应及时通知，变更的送达方式自以前述方式送达后生效。</w:t>
      </w:r>
    </w:p>
    <w:p w14:paraId="184B296D">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、解决合同纠纷方式</w:t>
      </w:r>
    </w:p>
    <w:p w14:paraId="211B4AF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双方在执行合同中所发生的一切争议，应通过协商解决。如协商不成，依法向甲方所在地人民法院提起诉讼。</w:t>
      </w:r>
    </w:p>
    <w:p w14:paraId="32E5F898">
      <w:pPr>
        <w:pStyle w:val="44"/>
        <w:keepNext w:val="0"/>
        <w:keepLines w:val="0"/>
        <w:pageBreakBefore w:val="0"/>
        <w:numPr>
          <w:ilvl w:val="0"/>
          <w:numId w:val="0"/>
        </w:numPr>
        <w:kinsoku/>
        <w:wordWrap/>
        <w:overflowPunct/>
        <w:topLinePunct w:val="0"/>
        <w:autoSpaceDE/>
        <w:autoSpaceDN/>
        <w:bidi w:val="0"/>
        <w:adjustRightInd/>
        <w:spacing w:before="0" w:after="0" w:line="440" w:lineRule="exact"/>
        <w:jc w:val="left"/>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二十</w:t>
      </w:r>
      <w:r>
        <w:rPr>
          <w:rFonts w:hint="eastAsia" w:ascii="宋体" w:hAnsi="宋体" w:eastAsia="宋体" w:cs="宋体"/>
          <w:color w:val="auto"/>
          <w:sz w:val="24"/>
          <w:szCs w:val="24"/>
          <w:highlight w:val="none"/>
        </w:rPr>
        <w:t>、合同生效及其它</w:t>
      </w:r>
    </w:p>
    <w:p w14:paraId="1E8836D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1.合同经双方法定代表人或授权代表签字并加盖单位公章后生效。</w:t>
      </w:r>
    </w:p>
    <w:p w14:paraId="291B7D2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2.本合同未尽事宜，遵照《民法典》及有关规定执行。</w:t>
      </w:r>
    </w:p>
    <w:p w14:paraId="623275F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3.本合同一式柒份，甲方执伍份、乙方执贰份。本项目未尽事宜以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、投标文件及澄清文件等为准。</w:t>
      </w:r>
    </w:p>
    <w:p w14:paraId="66A859BA">
      <w:pPr>
        <w:keepNext w:val="0"/>
        <w:keepLines w:val="0"/>
        <w:pageBreakBefore w:val="0"/>
        <w:widowControl/>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szCs w:val="24"/>
          <w:highlight w:val="none"/>
        </w:rPr>
      </w:pPr>
    </w:p>
    <w:p w14:paraId="20226647">
      <w:pPr>
        <w:keepNext w:val="0"/>
        <w:keepLines w:val="0"/>
        <w:pageBreakBefore w:val="0"/>
        <w:widowControl/>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szCs w:val="24"/>
          <w:highlight w:val="none"/>
        </w:rPr>
      </w:pPr>
    </w:p>
    <w:p w14:paraId="06BA1CBD">
      <w:pPr>
        <w:keepNext w:val="0"/>
        <w:keepLines w:val="0"/>
        <w:pageBreakBefore w:val="0"/>
        <w:kinsoku/>
        <w:wordWrap/>
        <w:overflowPunct/>
        <w:topLinePunct w:val="0"/>
        <w:autoSpaceDE/>
        <w:autoSpaceDN/>
        <w:bidi w:val="0"/>
        <w:adjustRightInd/>
        <w:spacing w:line="440" w:lineRule="exact"/>
        <w:ind w:left="5880" w:hanging="5880" w:hangingChars="245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甲方（公章）台州市产品质量安全检测研究院 乙方（公章）</w:t>
      </w:r>
    </w:p>
    <w:p w14:paraId="194DA7A1">
      <w:pPr>
        <w:keepNext w:val="0"/>
        <w:keepLines w:val="0"/>
        <w:pageBreakBefore w:val="0"/>
        <w:kinsoku/>
        <w:wordWrap/>
        <w:overflowPunct/>
        <w:topLinePunct w:val="0"/>
        <w:autoSpaceDE/>
        <w:autoSpaceDN/>
        <w:bidi w:val="0"/>
        <w:adjustRightInd/>
        <w:spacing w:line="44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法定代表人：</w:t>
      </w:r>
    </w:p>
    <w:p w14:paraId="69A4576F">
      <w:pPr>
        <w:keepNext w:val="0"/>
        <w:keepLines w:val="0"/>
        <w:pageBreakBefore w:val="0"/>
        <w:kinsoku/>
        <w:wordWrap/>
        <w:overflowPunct/>
        <w:topLinePunct w:val="0"/>
        <w:autoSpaceDE/>
        <w:autoSpaceDN/>
        <w:bidi w:val="0"/>
        <w:adjustRightInd/>
        <w:spacing w:line="44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委托代理人：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委托代理人：</w:t>
      </w:r>
    </w:p>
    <w:p w14:paraId="2ECA0A6D">
      <w:pPr>
        <w:keepNext w:val="0"/>
        <w:keepLines w:val="0"/>
        <w:pageBreakBefore w:val="0"/>
        <w:kinsoku/>
        <w:wordWrap/>
        <w:overflowPunct/>
        <w:topLinePunct w:val="0"/>
        <w:autoSpaceDE/>
        <w:autoSpaceDN/>
        <w:bidi w:val="0"/>
        <w:adjustRightInd/>
        <w:spacing w:line="44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联系电话：</w:t>
      </w:r>
    </w:p>
    <w:p w14:paraId="64502AED">
      <w:pPr>
        <w:keepNext w:val="0"/>
        <w:keepLines w:val="0"/>
        <w:pageBreakBefore w:val="0"/>
        <w:kinsoku/>
        <w:wordWrap/>
        <w:overflowPunct/>
        <w:topLinePunct w:val="0"/>
        <w:autoSpaceDE/>
        <w:autoSpaceDN/>
        <w:bidi w:val="0"/>
        <w:adjustRightInd/>
        <w:spacing w:line="44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开户银行：农行浙江省台州市分行营业中心   开户银行： </w:t>
      </w:r>
    </w:p>
    <w:p w14:paraId="78E31433">
      <w:pPr>
        <w:keepNext w:val="0"/>
        <w:keepLines w:val="0"/>
        <w:pageBreakBefore w:val="0"/>
        <w:kinsoku/>
        <w:wordWrap/>
        <w:overflowPunct/>
        <w:topLinePunct w:val="0"/>
        <w:autoSpaceDE/>
        <w:autoSpaceDN/>
        <w:bidi w:val="0"/>
        <w:adjustRightInd/>
        <w:spacing w:line="44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账号：19900001040008368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账号：</w:t>
      </w:r>
    </w:p>
    <w:p w14:paraId="03701454">
      <w:pPr>
        <w:keepNext w:val="0"/>
        <w:keepLines w:val="0"/>
        <w:pageBreakBefore w:val="0"/>
        <w:kinsoku/>
        <w:wordWrap/>
        <w:overflowPunct/>
        <w:topLinePunct w:val="0"/>
        <w:autoSpaceDE/>
        <w:autoSpaceDN/>
        <w:bidi w:val="0"/>
        <w:adjustRightInd/>
        <w:spacing w:line="440" w:lineRule="exact"/>
        <w:ind w:left="3800" w:hanging="3800" w:hangingChars="1900"/>
        <w:textAlignment w:val="auto"/>
        <w:rPr>
          <w:rFonts w:ascii="宋体" w:hAnsi="宋体" w:cs="宋体"/>
          <w:color w:val="auto"/>
          <w:sz w:val="24"/>
          <w:szCs w:val="24"/>
          <w:highlight w:val="none"/>
        </w:rPr>
      </w:pPr>
      <w:r>
        <w:rPr>
          <w:rFonts w:hint="eastAsia" w:ascii="宋体" w:hAnsi="宋体" w:cs="宋体"/>
          <w:color w:val="auto"/>
          <w:spacing w:val="-20"/>
          <w:sz w:val="24"/>
          <w:szCs w:val="24"/>
          <w:highlight w:val="none"/>
        </w:rPr>
        <w:t xml:space="preserve">地址：台州市开发大道东段788号                     </w:t>
      </w:r>
      <w:r>
        <w:rPr>
          <w:rFonts w:hint="eastAsia" w:ascii="宋体" w:hAnsi="宋体" w:cs="宋体"/>
          <w:color w:val="auto"/>
          <w:spacing w:val="-20"/>
          <w:sz w:val="24"/>
          <w:szCs w:val="24"/>
          <w:highlight w:val="none"/>
          <w:lang w:val="en-US" w:eastAsia="zh-CN"/>
        </w:rPr>
        <w:t xml:space="preserve">   </w:t>
      </w:r>
      <w:r>
        <w:rPr>
          <w:rFonts w:hint="eastAsia" w:ascii="宋体" w:hAnsi="宋体" w:eastAsia="宋体" w:cs="宋体"/>
          <w:color w:val="auto"/>
          <w:sz w:val="24"/>
          <w:szCs w:val="24"/>
          <w:highlight w:val="none"/>
        </w:rPr>
        <w:t>地址：</w:t>
      </w:r>
    </w:p>
    <w:p w14:paraId="742AFCD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highlight w:val="none"/>
        </w:rPr>
      </w:pPr>
    </w:p>
    <w:p w14:paraId="050DD149">
      <w:pPr>
        <w:keepNext w:val="0"/>
        <w:keepLines w:val="0"/>
        <w:pageBreakBefore w:val="0"/>
        <w:kinsoku/>
        <w:wordWrap/>
        <w:overflowPunct/>
        <w:topLinePunct w:val="0"/>
        <w:autoSpaceDE/>
        <w:autoSpaceDN/>
        <w:bidi w:val="0"/>
        <w:adjustRightInd/>
        <w:spacing w:line="440" w:lineRule="exact"/>
        <w:ind w:firstLine="480" w:firstLineChars="200"/>
        <w:jc w:val="right"/>
        <w:textAlignment w:val="auto"/>
        <w:rPr>
          <w:rFonts w:ascii="宋体" w:hAnsi="宋体" w:cs="宋体"/>
          <w:color w:val="auto"/>
          <w:sz w:val="24"/>
          <w:szCs w:val="24"/>
          <w:highlight w:val="none"/>
        </w:rPr>
      </w:pPr>
    </w:p>
    <w:p w14:paraId="79D7D0AD">
      <w:pPr>
        <w:pStyle w:val="324"/>
        <w:keepNext w:val="0"/>
        <w:keepLines w:val="0"/>
        <w:pageBreakBefore w:val="0"/>
        <w:kinsoku/>
        <w:wordWrap/>
        <w:overflowPunct/>
        <w:topLinePunct w:val="0"/>
        <w:autoSpaceDE/>
        <w:autoSpaceDN/>
        <w:bidi w:val="0"/>
        <w:adjustRightInd/>
        <w:spacing w:line="440" w:lineRule="exact"/>
        <w:jc w:val="right"/>
        <w:textAlignment w:val="auto"/>
        <w:rPr>
          <w:rFonts w:hint="eastAsia" w:cs="宋体"/>
          <w:color w:val="auto"/>
          <w:sz w:val="24"/>
          <w:szCs w:val="24"/>
          <w:highlight w:val="none"/>
        </w:rPr>
      </w:pPr>
      <w:r>
        <w:rPr>
          <w:rFonts w:hint="eastAsia" w:cs="宋体"/>
          <w:color w:val="auto"/>
          <w:sz w:val="24"/>
          <w:szCs w:val="24"/>
          <w:highlight w:val="none"/>
        </w:rPr>
        <w:t>签订时间： 20</w:t>
      </w:r>
      <w:r>
        <w:rPr>
          <w:rFonts w:hint="eastAsia" w:cs="宋体"/>
          <w:color w:val="auto"/>
          <w:sz w:val="24"/>
          <w:szCs w:val="24"/>
          <w:highlight w:val="none"/>
          <w:lang w:val="en-US" w:eastAsia="zh-CN"/>
        </w:rPr>
        <w:t>25</w:t>
      </w:r>
      <w:r>
        <w:rPr>
          <w:rFonts w:hint="eastAsia" w:cs="宋体"/>
          <w:color w:val="auto"/>
          <w:sz w:val="24"/>
          <w:szCs w:val="24"/>
          <w:highlight w:val="none"/>
        </w:rPr>
        <w:t>年    月    日</w:t>
      </w:r>
    </w:p>
    <w:p w14:paraId="21E7A91F">
      <w:pPr>
        <w:rPr>
          <w:rFonts w:hint="eastAsia" w:cs="宋体"/>
          <w:color w:val="auto"/>
          <w:szCs w:val="24"/>
          <w:highlight w:val="none"/>
          <w:lang w:eastAsia="zh-CN"/>
        </w:rPr>
      </w:pPr>
      <w:r>
        <w:rPr>
          <w:rFonts w:hint="eastAsia" w:cs="宋体"/>
          <w:color w:val="auto"/>
          <w:szCs w:val="24"/>
          <w:highlight w:val="none"/>
          <w:lang w:eastAsia="zh-CN"/>
        </w:rPr>
        <w:br w:type="page"/>
      </w:r>
    </w:p>
    <w:p w14:paraId="6578C519">
      <w:pPr>
        <w:pageBreakBefore/>
        <w:spacing w:line="520" w:lineRule="exact"/>
        <w:jc w:val="center"/>
        <w:outlineLvl w:val="0"/>
        <w:rPr>
          <w:rFonts w:cs="宋体" w:asciiTheme="minorEastAsia" w:hAnsiTheme="minorEastAsia" w:eastAsiaTheme="minorEastAsia"/>
          <w:b/>
          <w:bCs/>
          <w:color w:val="auto"/>
          <w:sz w:val="32"/>
          <w:szCs w:val="32"/>
          <w:highlight w:val="none"/>
        </w:rPr>
      </w:pPr>
      <w:r>
        <w:rPr>
          <w:rFonts w:hint="eastAsia" w:asciiTheme="minorEastAsia" w:hAnsiTheme="minorEastAsia" w:eastAsiaTheme="minorEastAsia"/>
          <w:b/>
          <w:color w:val="auto"/>
          <w:sz w:val="32"/>
          <w:szCs w:val="32"/>
          <w:highlight w:val="none"/>
        </w:rPr>
        <w:t xml:space="preserve">第七部分   </w:t>
      </w:r>
      <w:r>
        <w:rPr>
          <w:rFonts w:hint="eastAsia" w:cs="宋体" w:asciiTheme="minorEastAsia" w:hAnsiTheme="minorEastAsia" w:eastAsiaTheme="minorEastAsia"/>
          <w:b/>
          <w:bCs/>
          <w:color w:val="auto"/>
          <w:sz w:val="32"/>
          <w:szCs w:val="32"/>
          <w:highlight w:val="none"/>
        </w:rPr>
        <w:t>格式与表格</w:t>
      </w:r>
      <w:bookmarkEnd w:id="70"/>
      <w:bookmarkEnd w:id="71"/>
      <w:bookmarkEnd w:id="72"/>
    </w:p>
    <w:p w14:paraId="4A450616">
      <w:pPr>
        <w:pStyle w:val="19"/>
        <w:rPr>
          <w:rFonts w:asciiTheme="minorEastAsia" w:hAnsiTheme="minorEastAsia" w:eastAsiaTheme="minorEastAsia"/>
          <w:color w:val="auto"/>
          <w:highlight w:val="none"/>
        </w:rPr>
      </w:pPr>
    </w:p>
    <w:p w14:paraId="1ACB5CCC">
      <w:pPr>
        <w:shd w:val="clear" w:color="auto" w:fill="FFFFFF"/>
        <w:snapToGrid w:val="0"/>
        <w:spacing w:line="360" w:lineRule="auto"/>
        <w:jc w:val="center"/>
        <w:rPr>
          <w:rFonts w:cs="宋体" w:asciiTheme="minorEastAsia" w:hAnsiTheme="minorEastAsia" w:eastAsiaTheme="minorEastAsia"/>
          <w:b/>
          <w:bCs/>
          <w:color w:val="auto"/>
          <w:szCs w:val="21"/>
          <w:highlight w:val="none"/>
        </w:rPr>
      </w:pPr>
      <w:bookmarkStart w:id="73" w:name="_Toc2172"/>
      <w:bookmarkStart w:id="74" w:name="_Toc22871"/>
      <w:r>
        <w:rPr>
          <w:rFonts w:hint="eastAsia" w:asciiTheme="minorEastAsia" w:hAnsiTheme="minorEastAsia" w:eastAsiaTheme="minorEastAsia"/>
          <w:color w:val="auto"/>
          <w:sz w:val="52"/>
          <w:szCs w:val="52"/>
          <w:highlight w:val="none"/>
        </w:rPr>
        <w:t>项目名称</w:t>
      </w:r>
      <w:bookmarkEnd w:id="73"/>
      <w:bookmarkEnd w:id="74"/>
    </w:p>
    <w:p w14:paraId="661E4220">
      <w:pPr>
        <w:spacing w:line="360" w:lineRule="auto"/>
        <w:ind w:firstLine="1807" w:firstLineChars="500"/>
        <w:jc w:val="left"/>
        <w:rPr>
          <w:rFonts w:hint="eastAsia" w:asciiTheme="minorEastAsia" w:hAnsiTheme="minorEastAsia" w:eastAsiaTheme="minorEastAsia"/>
          <w:color w:val="auto"/>
          <w:sz w:val="30"/>
          <w:szCs w:val="30"/>
          <w:highlight w:val="none"/>
          <w:lang w:eastAsia="zh-CN"/>
        </w:rPr>
      </w:pPr>
      <w:r>
        <w:rPr>
          <w:rFonts w:hint="eastAsia" w:asciiTheme="minorEastAsia" w:hAnsiTheme="minorEastAsia" w:eastAsiaTheme="minorEastAsia"/>
          <w:b/>
          <w:color w:val="auto"/>
          <w:sz w:val="36"/>
          <w:szCs w:val="36"/>
          <w:highlight w:val="none"/>
        </w:rPr>
        <w:t>项目编号：</w:t>
      </w:r>
      <w:r>
        <w:rPr>
          <w:rFonts w:hint="eastAsia" w:asciiTheme="minorEastAsia" w:hAnsiTheme="minorEastAsia" w:eastAsiaTheme="minorEastAsia"/>
          <w:b/>
          <w:color w:val="auto"/>
          <w:sz w:val="36"/>
          <w:szCs w:val="36"/>
          <w:highlight w:val="none"/>
          <w:lang w:val="en-US" w:eastAsia="zh-CN"/>
        </w:rPr>
        <w:t xml:space="preserve">        </w:t>
      </w:r>
      <w:r>
        <w:rPr>
          <w:rFonts w:hint="eastAsia" w:asciiTheme="minorEastAsia" w:hAnsiTheme="minorEastAsia" w:eastAsiaTheme="minorEastAsia"/>
          <w:color w:val="auto"/>
          <w:sz w:val="36"/>
          <w:szCs w:val="36"/>
          <w:highlight w:val="none"/>
        </w:rPr>
        <w:t xml:space="preserve"> </w:t>
      </w:r>
      <w:r>
        <w:rPr>
          <w:rFonts w:hint="eastAsia" w:asciiTheme="minorEastAsia" w:hAnsiTheme="minorEastAsia" w:eastAsiaTheme="minorEastAsia"/>
          <w:b/>
          <w:bCs/>
          <w:color w:val="auto"/>
          <w:sz w:val="36"/>
          <w:szCs w:val="36"/>
          <w:highlight w:val="none"/>
          <w:lang w:eastAsia="zh-CN"/>
        </w:rPr>
        <w:t>标项号：</w:t>
      </w:r>
      <w:r>
        <w:rPr>
          <w:rFonts w:hint="eastAsia" w:asciiTheme="minorEastAsia" w:hAnsiTheme="minorEastAsia" w:eastAsiaTheme="minorEastAsia"/>
          <w:b/>
          <w:color w:val="auto"/>
          <w:sz w:val="36"/>
          <w:szCs w:val="36"/>
          <w:highlight w:val="none"/>
          <w:lang w:val="en-US" w:eastAsia="zh-CN"/>
        </w:rPr>
        <w:t xml:space="preserve">    </w:t>
      </w:r>
    </w:p>
    <w:p w14:paraId="2DCEDB80">
      <w:pPr>
        <w:spacing w:line="360" w:lineRule="auto"/>
        <w:jc w:val="center"/>
        <w:rPr>
          <w:rFonts w:asciiTheme="minorEastAsia" w:hAnsiTheme="minorEastAsia" w:eastAsiaTheme="minorEastAsia"/>
          <w:color w:val="auto"/>
          <w:sz w:val="84"/>
          <w:szCs w:val="84"/>
          <w:highlight w:val="none"/>
        </w:rPr>
      </w:pPr>
      <w:r>
        <w:rPr>
          <w:rFonts w:hint="eastAsia" w:asciiTheme="minorEastAsia" w:hAnsiTheme="minorEastAsia" w:eastAsiaTheme="minorEastAsia"/>
          <w:color w:val="auto"/>
          <w:sz w:val="84"/>
          <w:szCs w:val="84"/>
          <w:highlight w:val="none"/>
        </w:rPr>
        <w:t>投</w:t>
      </w:r>
    </w:p>
    <w:p w14:paraId="1FF3F984">
      <w:pPr>
        <w:spacing w:line="360" w:lineRule="auto"/>
        <w:jc w:val="center"/>
        <w:rPr>
          <w:rFonts w:asciiTheme="minorEastAsia" w:hAnsiTheme="minorEastAsia" w:eastAsiaTheme="minorEastAsia"/>
          <w:color w:val="auto"/>
          <w:sz w:val="84"/>
          <w:szCs w:val="84"/>
          <w:highlight w:val="none"/>
        </w:rPr>
      </w:pPr>
      <w:r>
        <w:rPr>
          <w:rFonts w:hint="eastAsia" w:asciiTheme="minorEastAsia" w:hAnsiTheme="minorEastAsia" w:eastAsiaTheme="minorEastAsia"/>
          <w:color w:val="auto"/>
          <w:sz w:val="84"/>
          <w:szCs w:val="84"/>
          <w:highlight w:val="none"/>
        </w:rPr>
        <w:t>标</w:t>
      </w:r>
    </w:p>
    <w:p w14:paraId="6C679FAB">
      <w:pPr>
        <w:spacing w:line="360" w:lineRule="auto"/>
        <w:jc w:val="center"/>
        <w:rPr>
          <w:rFonts w:asciiTheme="minorEastAsia" w:hAnsiTheme="minorEastAsia" w:eastAsiaTheme="minorEastAsia"/>
          <w:color w:val="auto"/>
          <w:sz w:val="84"/>
          <w:szCs w:val="84"/>
          <w:highlight w:val="none"/>
        </w:rPr>
      </w:pPr>
      <w:r>
        <w:rPr>
          <w:rFonts w:hint="eastAsia" w:asciiTheme="minorEastAsia" w:hAnsiTheme="minorEastAsia" w:eastAsiaTheme="minorEastAsia"/>
          <w:color w:val="auto"/>
          <w:sz w:val="84"/>
          <w:szCs w:val="84"/>
          <w:highlight w:val="none"/>
        </w:rPr>
        <w:t>文</w:t>
      </w:r>
    </w:p>
    <w:p w14:paraId="2A6C4AF4">
      <w:pPr>
        <w:spacing w:line="360" w:lineRule="auto"/>
        <w:jc w:val="center"/>
        <w:rPr>
          <w:rFonts w:asciiTheme="minorEastAsia" w:hAnsiTheme="minorEastAsia" w:eastAsiaTheme="minorEastAsia"/>
          <w:color w:val="auto"/>
          <w:sz w:val="84"/>
          <w:szCs w:val="84"/>
          <w:highlight w:val="none"/>
        </w:rPr>
      </w:pPr>
      <w:r>
        <w:rPr>
          <w:rFonts w:hint="eastAsia" w:asciiTheme="minorEastAsia" w:hAnsiTheme="minorEastAsia" w:eastAsiaTheme="minorEastAsia"/>
          <w:color w:val="auto"/>
          <w:sz w:val="84"/>
          <w:szCs w:val="84"/>
          <w:highlight w:val="none"/>
        </w:rPr>
        <w:t>件</w:t>
      </w:r>
    </w:p>
    <w:p w14:paraId="6308497E">
      <w:pPr>
        <w:spacing w:line="360" w:lineRule="auto"/>
        <w:jc w:val="center"/>
        <w:rPr>
          <w:rFonts w:asciiTheme="minorEastAsia" w:hAnsiTheme="minorEastAsia" w:eastAsiaTheme="minorEastAsia"/>
          <w:color w:val="auto"/>
          <w:sz w:val="28"/>
          <w:szCs w:val="28"/>
          <w:highlight w:val="none"/>
        </w:rPr>
      </w:pPr>
    </w:p>
    <w:p w14:paraId="2548FA5A">
      <w:pPr>
        <w:spacing w:line="360" w:lineRule="auto"/>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（资格证明文件）</w:t>
      </w:r>
    </w:p>
    <w:p w14:paraId="32A46480">
      <w:pPr>
        <w:spacing w:line="360" w:lineRule="auto"/>
        <w:jc w:val="center"/>
        <w:rPr>
          <w:rFonts w:asciiTheme="minorEastAsia" w:hAnsiTheme="minorEastAsia" w:eastAsiaTheme="minorEastAsia"/>
          <w:color w:val="auto"/>
          <w:sz w:val="32"/>
          <w:szCs w:val="32"/>
          <w:highlight w:val="none"/>
        </w:rPr>
      </w:pPr>
    </w:p>
    <w:p w14:paraId="2D11B2CF">
      <w:pPr>
        <w:spacing w:line="360" w:lineRule="auto"/>
        <w:jc w:val="center"/>
        <w:rPr>
          <w:rFonts w:asciiTheme="minorEastAsia" w:hAnsiTheme="minorEastAsia" w:eastAsiaTheme="minorEastAsia"/>
          <w:color w:val="auto"/>
          <w:sz w:val="32"/>
          <w:szCs w:val="32"/>
          <w:highlight w:val="none"/>
        </w:rPr>
      </w:pPr>
    </w:p>
    <w:p w14:paraId="2AC6DF12">
      <w:pPr>
        <w:pStyle w:val="27"/>
        <w:ind w:left="0" w:leftChars="0" w:firstLine="1260" w:firstLineChars="35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投标人名称（公章）：</w:t>
      </w:r>
    </w:p>
    <w:p w14:paraId="0E61056D">
      <w:pPr>
        <w:pStyle w:val="27"/>
        <w:ind w:left="0" w:leftChars="0" w:firstLine="1260" w:firstLineChars="35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投标人地址：</w:t>
      </w:r>
    </w:p>
    <w:p w14:paraId="2D353656">
      <w:pPr>
        <w:pStyle w:val="27"/>
        <w:ind w:left="0" w:leftChars="0" w:firstLine="1440" w:firstLineChars="400"/>
        <w:rPr>
          <w:rFonts w:asciiTheme="minorEastAsia" w:hAnsiTheme="minorEastAsia" w:eastAsiaTheme="minorEastAsia"/>
          <w:color w:val="auto"/>
          <w:highlight w:val="none"/>
        </w:rPr>
      </w:pPr>
      <w:r>
        <w:rPr>
          <w:rFonts w:hint="eastAsia" w:asciiTheme="minorEastAsia" w:hAnsiTheme="minorEastAsia" w:eastAsiaTheme="minorEastAsia"/>
          <w:color w:val="auto"/>
          <w:sz w:val="36"/>
          <w:szCs w:val="36"/>
          <w:highlight w:val="none"/>
        </w:rPr>
        <w:t>时</w:t>
      </w:r>
      <w:r>
        <w:rPr>
          <w:rFonts w:asciiTheme="minorEastAsia" w:hAnsiTheme="minorEastAsia" w:eastAsiaTheme="minorEastAsia"/>
          <w:color w:val="auto"/>
          <w:sz w:val="36"/>
          <w:szCs w:val="36"/>
          <w:highlight w:val="none"/>
        </w:rPr>
        <w:t xml:space="preserve">    间：</w:t>
      </w:r>
    </w:p>
    <w:p w14:paraId="1F64C034">
      <w:pPr>
        <w:rPr>
          <w:rFonts w:asciiTheme="minorEastAsia" w:hAnsiTheme="minorEastAsia" w:eastAsiaTheme="minorEastAsia"/>
          <w:color w:val="auto"/>
          <w:highlight w:val="none"/>
        </w:rPr>
      </w:pPr>
    </w:p>
    <w:p w14:paraId="350C9002">
      <w:pPr>
        <w:pStyle w:val="19"/>
        <w:rPr>
          <w:rFonts w:asciiTheme="minorEastAsia" w:hAnsiTheme="minorEastAsia" w:eastAsiaTheme="minorEastAsia"/>
          <w:color w:val="auto"/>
          <w:highlight w:val="none"/>
        </w:rPr>
      </w:pPr>
    </w:p>
    <w:p w14:paraId="03B46634">
      <w:pPr>
        <w:spacing w:line="360" w:lineRule="auto"/>
        <w:jc w:val="center"/>
        <w:rPr>
          <w:rFonts w:asciiTheme="minorEastAsia" w:hAnsiTheme="minorEastAsia" w:eastAsiaTheme="minorEastAsia"/>
          <w:b/>
          <w:color w:val="auto"/>
          <w:sz w:val="44"/>
          <w:szCs w:val="44"/>
          <w:highlight w:val="none"/>
        </w:rPr>
      </w:pPr>
    </w:p>
    <w:p w14:paraId="5DDBCB38">
      <w:pPr>
        <w:pStyle w:val="21"/>
        <w:rPr>
          <w:color w:val="auto"/>
          <w:highlight w:val="none"/>
        </w:rPr>
      </w:pPr>
    </w:p>
    <w:p w14:paraId="513E3D4B">
      <w:pPr>
        <w:spacing w:line="360" w:lineRule="auto"/>
        <w:jc w:val="center"/>
        <w:rPr>
          <w:rFonts w:asciiTheme="minorEastAsia" w:hAnsiTheme="minorEastAsia" w:eastAsiaTheme="minorEastAsia"/>
          <w:b/>
          <w:color w:val="auto"/>
          <w:sz w:val="44"/>
          <w:szCs w:val="44"/>
          <w:highlight w:val="none"/>
        </w:rPr>
      </w:pPr>
      <w:r>
        <w:rPr>
          <w:rFonts w:asciiTheme="minorEastAsia" w:hAnsiTheme="minorEastAsia" w:eastAsiaTheme="minorEastAsia"/>
          <w:b/>
          <w:color w:val="auto"/>
          <w:sz w:val="44"/>
          <w:szCs w:val="44"/>
          <w:highlight w:val="none"/>
        </w:rPr>
        <w:t>资格证明文件</w:t>
      </w:r>
    </w:p>
    <w:p w14:paraId="40AC80F5">
      <w:pPr>
        <w:spacing w:line="360" w:lineRule="auto"/>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目录</w:t>
      </w:r>
    </w:p>
    <w:p w14:paraId="02D63D43">
      <w:pPr>
        <w:spacing w:line="600" w:lineRule="auto"/>
        <w:jc w:val="left"/>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1、资格条件自查表</w:t>
      </w:r>
      <w:r>
        <w:rPr>
          <w:rFonts w:hint="eastAsia" w:cs="Times New Roman" w:asciiTheme="minorEastAsia" w:hAnsiTheme="minorEastAsia" w:eastAsiaTheme="minorEastAsia"/>
          <w:color w:val="auto"/>
          <w:sz w:val="24"/>
          <w:highlight w:val="none"/>
        </w:rPr>
        <w:t>…………………………………………………………………………（页码）</w:t>
      </w:r>
    </w:p>
    <w:p w14:paraId="4C3F6812">
      <w:pPr>
        <w:spacing w:line="600" w:lineRule="auto"/>
        <w:jc w:val="left"/>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2、</w:t>
      </w:r>
      <w:r>
        <w:rPr>
          <w:rFonts w:hint="eastAsia" w:cs="Times New Roman" w:asciiTheme="minorEastAsia" w:hAnsiTheme="minorEastAsia" w:eastAsiaTheme="minorEastAsia"/>
          <w:color w:val="auto"/>
          <w:sz w:val="24"/>
          <w:highlight w:val="none"/>
        </w:rPr>
        <w:t>有效的企业法人营业执照（或事业法人登记证）、其他组织（个体工商户）的营业执照或者民办非企业单位登记证书</w:t>
      </w:r>
      <w:r>
        <w:rPr>
          <w:rFonts w:hint="eastAsia" w:cs="Times New Roman" w:asciiTheme="minorEastAsia" w:hAnsiTheme="minorEastAsia" w:eastAsiaTheme="minorEastAsia"/>
          <w:color w:val="auto"/>
          <w:sz w:val="24"/>
          <w:highlight w:val="none"/>
          <w:lang w:eastAsia="zh-CN"/>
        </w:rPr>
        <w:t>扫描</w:t>
      </w:r>
      <w:r>
        <w:rPr>
          <w:rFonts w:hint="eastAsia" w:cs="Times New Roman" w:asciiTheme="minorEastAsia" w:hAnsiTheme="minorEastAsia" w:eastAsiaTheme="minorEastAsia"/>
          <w:color w:val="auto"/>
          <w:sz w:val="24"/>
          <w:highlight w:val="none"/>
        </w:rPr>
        <w:t>件…………………………………………………………（页码）</w:t>
      </w:r>
    </w:p>
    <w:p w14:paraId="235F317A">
      <w:pPr>
        <w:spacing w:line="600" w:lineRule="auto"/>
        <w:jc w:val="left"/>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w:t>
      </w:r>
      <w:r>
        <w:rPr>
          <w:rFonts w:hint="eastAsia" w:cs="Times New Roman" w:asciiTheme="minorEastAsia" w:hAnsiTheme="minorEastAsia" w:eastAsiaTheme="minorEastAsia"/>
          <w:color w:val="auto"/>
          <w:sz w:val="24"/>
          <w:highlight w:val="none"/>
        </w:rPr>
        <w:t>、关于资格的承诺函…………………………………………………………………………（页码）</w:t>
      </w:r>
    </w:p>
    <w:p w14:paraId="06EC78F5">
      <w:pPr>
        <w:spacing w:line="600" w:lineRule="auto"/>
        <w:jc w:val="left"/>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4、</w:t>
      </w:r>
      <w:r>
        <w:rPr>
          <w:rFonts w:hint="eastAsia" w:cs="Times New Roman" w:asciiTheme="minorEastAsia" w:hAnsiTheme="minorEastAsia" w:eastAsiaTheme="minorEastAsia"/>
          <w:color w:val="auto"/>
          <w:sz w:val="24"/>
          <w:highlight w:val="none"/>
          <w:lang w:eastAsia="zh-CN"/>
        </w:rPr>
        <w:t>中小企业声明函、监狱企业、残疾人福利性单位及其他相关的充分的证明材料</w:t>
      </w:r>
      <w:r>
        <w:rPr>
          <w:rFonts w:hint="eastAsia" w:cs="Times New Roman" w:asciiTheme="minorEastAsia" w:hAnsiTheme="minorEastAsia" w:eastAsiaTheme="minorEastAsia"/>
          <w:color w:val="auto"/>
          <w:sz w:val="24"/>
          <w:highlight w:val="none"/>
        </w:rPr>
        <w:t>…（页码）</w:t>
      </w:r>
    </w:p>
    <w:p w14:paraId="4EC1EA77">
      <w:pPr>
        <w:spacing w:line="600" w:lineRule="auto"/>
        <w:jc w:val="left"/>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5</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eastAsia="zh-CN"/>
        </w:rPr>
        <w:t>投标人</w:t>
      </w:r>
      <w:r>
        <w:rPr>
          <w:rFonts w:hint="eastAsia" w:cs="Times New Roman" w:asciiTheme="minorEastAsia" w:hAnsiTheme="minorEastAsia" w:eastAsiaTheme="minorEastAsia"/>
          <w:color w:val="auto"/>
          <w:sz w:val="24"/>
          <w:highlight w:val="none"/>
        </w:rPr>
        <w:t>认为有必要提供的其他资格证明资料……………………………………………（页码）</w:t>
      </w:r>
    </w:p>
    <w:p w14:paraId="3B86E405">
      <w:pPr>
        <w:spacing w:line="600" w:lineRule="auto"/>
        <w:jc w:val="left"/>
        <w:rPr>
          <w:rFonts w:cs="Times New Roman" w:asciiTheme="minorEastAsia" w:hAnsiTheme="minorEastAsia" w:eastAsiaTheme="minorEastAsia"/>
          <w:color w:val="auto"/>
          <w:sz w:val="24"/>
          <w:highlight w:val="none"/>
        </w:rPr>
      </w:pPr>
      <w:r>
        <w:rPr>
          <w:rFonts w:cs="Times New Roman" w:asciiTheme="minorEastAsia" w:hAnsiTheme="minorEastAsia" w:eastAsiaTheme="minorEastAsia"/>
          <w:color w:val="auto"/>
          <w:sz w:val="24"/>
          <w:highlight w:val="none"/>
        </w:rPr>
        <w:t>………( 目录自行扩展)</w:t>
      </w:r>
    </w:p>
    <w:p w14:paraId="04A1B504">
      <w:pPr>
        <w:spacing w:line="600" w:lineRule="auto"/>
        <w:rPr>
          <w:rFonts w:asciiTheme="minorEastAsia" w:hAnsiTheme="minorEastAsia" w:eastAsiaTheme="minorEastAsia"/>
          <w:color w:val="auto"/>
          <w:highlight w:val="none"/>
        </w:rPr>
      </w:pPr>
    </w:p>
    <w:p w14:paraId="684A0B83">
      <w:pPr>
        <w:pStyle w:val="19"/>
        <w:rPr>
          <w:rFonts w:asciiTheme="minorEastAsia" w:hAnsiTheme="minorEastAsia" w:eastAsiaTheme="minorEastAsia"/>
          <w:color w:val="auto"/>
          <w:highlight w:val="none"/>
        </w:rPr>
      </w:pPr>
    </w:p>
    <w:p w14:paraId="275D93FD">
      <w:pPr>
        <w:pStyle w:val="38"/>
        <w:rPr>
          <w:rFonts w:asciiTheme="minorEastAsia" w:hAnsiTheme="minorEastAsia" w:eastAsiaTheme="minorEastAsia"/>
          <w:color w:val="auto"/>
          <w:highlight w:val="none"/>
        </w:rPr>
      </w:pPr>
    </w:p>
    <w:p w14:paraId="20B7D481">
      <w:pPr>
        <w:rPr>
          <w:rFonts w:asciiTheme="minorEastAsia" w:hAnsiTheme="minorEastAsia" w:eastAsiaTheme="minorEastAsia"/>
          <w:color w:val="auto"/>
          <w:highlight w:val="none"/>
        </w:rPr>
      </w:pPr>
    </w:p>
    <w:p w14:paraId="6E8B0C77">
      <w:pPr>
        <w:spacing w:after="100" w:afterAutospacing="1"/>
        <w:jc w:val="center"/>
        <w:rPr>
          <w:rFonts w:asciiTheme="minorEastAsia" w:hAnsiTheme="minorEastAsia" w:eastAsiaTheme="minorEastAsia"/>
          <w:b/>
          <w:color w:val="auto"/>
          <w:sz w:val="32"/>
          <w:szCs w:val="32"/>
          <w:highlight w:val="none"/>
        </w:rPr>
        <w:sectPr>
          <w:footerReference r:id="rId7"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33FC52D">
      <w:pPr>
        <w:spacing w:after="100" w:afterAutospacing="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一、资格条件自查表</w:t>
      </w:r>
    </w:p>
    <w:tbl>
      <w:tblPr>
        <w:tblStyle w:val="47"/>
        <w:tblW w:w="95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961"/>
        <w:gridCol w:w="1287"/>
        <w:gridCol w:w="2511"/>
      </w:tblGrid>
      <w:tr w14:paraId="0F07B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787" w:type="dxa"/>
            <w:noWrap w:val="0"/>
            <w:vAlign w:val="center"/>
          </w:tcPr>
          <w:p w14:paraId="5B0F3B22">
            <w:pPr>
              <w:widowControl/>
              <w:adjustRightInd w:val="0"/>
              <w:spacing w:line="320" w:lineRule="exact"/>
              <w:contextualSpacing/>
              <w:jc w:val="center"/>
              <w:rPr>
                <w:rFonts w:hint="eastAsia"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评审内容</w:t>
            </w:r>
          </w:p>
        </w:tc>
        <w:tc>
          <w:tcPr>
            <w:tcW w:w="4961" w:type="dxa"/>
            <w:noWrap w:val="0"/>
            <w:vAlign w:val="center"/>
          </w:tcPr>
          <w:p w14:paraId="09828768">
            <w:pPr>
              <w:widowControl/>
              <w:adjustRightInd w:val="0"/>
              <w:spacing w:line="320" w:lineRule="exact"/>
              <w:contextualSpacing/>
              <w:jc w:val="center"/>
              <w:rPr>
                <w:rFonts w:hint="eastAsia"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lang w:eastAsia="zh-CN"/>
              </w:rPr>
              <w:t>采购文件</w:t>
            </w:r>
            <w:r>
              <w:rPr>
                <w:rStyle w:val="50"/>
                <w:rFonts w:hint="eastAsia" w:ascii="Times New Roman" w:hAnsi="Times New Roman" w:cs="宋体"/>
                <w:color w:val="auto"/>
                <w:sz w:val="24"/>
                <w:szCs w:val="24"/>
                <w:highlight w:val="none"/>
              </w:rPr>
              <w:t>要求</w:t>
            </w:r>
          </w:p>
        </w:tc>
        <w:tc>
          <w:tcPr>
            <w:tcW w:w="1287" w:type="dxa"/>
            <w:noWrap w:val="0"/>
            <w:vAlign w:val="center"/>
          </w:tcPr>
          <w:p w14:paraId="484ABD0C">
            <w:pPr>
              <w:widowControl/>
              <w:adjustRightInd w:val="0"/>
              <w:spacing w:line="320" w:lineRule="exact"/>
              <w:contextualSpacing/>
              <w:jc w:val="center"/>
              <w:rPr>
                <w:rFonts w:hint="eastAsia"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自查结论</w:t>
            </w:r>
          </w:p>
        </w:tc>
        <w:tc>
          <w:tcPr>
            <w:tcW w:w="2511" w:type="dxa"/>
            <w:noWrap w:val="0"/>
            <w:vAlign w:val="center"/>
          </w:tcPr>
          <w:p w14:paraId="4852F72E">
            <w:pPr>
              <w:widowControl/>
              <w:adjustRightInd w:val="0"/>
              <w:spacing w:line="320" w:lineRule="exact"/>
              <w:contextualSpacing/>
              <w:jc w:val="center"/>
              <w:rPr>
                <w:rFonts w:hint="eastAsia"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证明资料页码</w:t>
            </w:r>
          </w:p>
        </w:tc>
      </w:tr>
      <w:tr w14:paraId="2507E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7" w:type="dxa"/>
            <w:vMerge w:val="restart"/>
            <w:noWrap w:val="0"/>
            <w:vAlign w:val="center"/>
          </w:tcPr>
          <w:p w14:paraId="41A37408">
            <w:pPr>
              <w:pStyle w:val="323"/>
              <w:adjustRightInd w:val="0"/>
              <w:spacing w:before="0" w:beforeAutospacing="0" w:after="0" w:afterAutospacing="0" w:line="320" w:lineRule="exact"/>
              <w:contextualSpacing/>
              <w:jc w:val="center"/>
              <w:rPr>
                <w:rFonts w:hint="eastAsia"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资</w:t>
            </w:r>
          </w:p>
          <w:p w14:paraId="1AC9C8EF">
            <w:pPr>
              <w:pStyle w:val="323"/>
              <w:adjustRightInd w:val="0"/>
              <w:spacing w:before="0" w:beforeAutospacing="0" w:after="0" w:afterAutospacing="0" w:line="320" w:lineRule="exact"/>
              <w:contextualSpacing/>
              <w:jc w:val="center"/>
              <w:rPr>
                <w:rFonts w:hint="eastAsia"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格</w:t>
            </w:r>
          </w:p>
          <w:p w14:paraId="520B9D3B">
            <w:pPr>
              <w:pStyle w:val="323"/>
              <w:adjustRightInd w:val="0"/>
              <w:spacing w:before="0" w:beforeAutospacing="0" w:after="0" w:afterAutospacing="0" w:line="320" w:lineRule="exact"/>
              <w:contextualSpacing/>
              <w:jc w:val="center"/>
              <w:rPr>
                <w:rFonts w:hint="eastAsia"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性</w:t>
            </w:r>
          </w:p>
          <w:p w14:paraId="6037E0B1">
            <w:pPr>
              <w:pStyle w:val="323"/>
              <w:adjustRightInd w:val="0"/>
              <w:spacing w:before="0" w:beforeAutospacing="0" w:after="0" w:afterAutospacing="0" w:line="320" w:lineRule="exact"/>
              <w:contextualSpacing/>
              <w:jc w:val="center"/>
              <w:rPr>
                <w:rFonts w:hint="eastAsia"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审</w:t>
            </w:r>
          </w:p>
          <w:p w14:paraId="1ECA932C">
            <w:pPr>
              <w:widowControl/>
              <w:adjustRightInd w:val="0"/>
              <w:spacing w:line="320" w:lineRule="exact"/>
              <w:contextualSpacing/>
              <w:jc w:val="center"/>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查</w:t>
            </w:r>
          </w:p>
        </w:tc>
        <w:tc>
          <w:tcPr>
            <w:tcW w:w="4961" w:type="dxa"/>
            <w:noWrap w:val="0"/>
            <w:vAlign w:val="center"/>
          </w:tcPr>
          <w:p w14:paraId="63712826">
            <w:pPr>
              <w:widowControl/>
              <w:adjustRightInd w:val="0"/>
              <w:spacing w:line="320" w:lineRule="exact"/>
              <w:contextualSpacing/>
              <w:rPr>
                <w:rFonts w:hint="eastAsia" w:ascii="Times New Roman" w:hAnsi="Times New Roman" w:cs="宋体"/>
                <w:b/>
                <w:color w:val="auto"/>
                <w:sz w:val="24"/>
                <w:szCs w:val="24"/>
                <w:highlight w:val="none"/>
              </w:rPr>
            </w:pPr>
            <w:r>
              <w:rPr>
                <w:rFonts w:hint="eastAsia" w:ascii="Times New Roman" w:hAnsi="Times New Roman" w:cs="宋体"/>
                <w:color w:val="auto"/>
                <w:sz w:val="24"/>
                <w:szCs w:val="24"/>
                <w:highlight w:val="none"/>
              </w:rPr>
              <w:t>一、投标人具备《中华人民共和国政府采购法》第二十二条所规定的条件：</w:t>
            </w:r>
          </w:p>
        </w:tc>
        <w:tc>
          <w:tcPr>
            <w:tcW w:w="1287" w:type="dxa"/>
            <w:vMerge w:val="restart"/>
            <w:noWrap w:val="0"/>
            <w:vAlign w:val="center"/>
          </w:tcPr>
          <w:p w14:paraId="03896880">
            <w:pPr>
              <w:widowControl/>
              <w:adjustRightInd w:val="0"/>
              <w:spacing w:line="320" w:lineRule="exact"/>
              <w:contextualSpacing/>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3C3A55C4">
            <w:pPr>
              <w:widowControl/>
              <w:adjustRightInd w:val="0"/>
              <w:spacing w:line="320" w:lineRule="exact"/>
              <w:contextualSpacing/>
              <w:rPr>
                <w:rFonts w:hint="eastAsia" w:ascii="Times New Roman" w:hAnsi="Times New Roman" w:cs="宋体"/>
                <w:b/>
                <w:color w:val="auto"/>
                <w:sz w:val="24"/>
                <w:szCs w:val="24"/>
                <w:highlight w:val="none"/>
              </w:rPr>
            </w:pPr>
            <w:r>
              <w:rPr>
                <w:rFonts w:hint="eastAsia" w:ascii="Times New Roman" w:hAnsi="Times New Roman" w:cs="宋体"/>
                <w:color w:val="auto"/>
                <w:sz w:val="24"/>
                <w:szCs w:val="24"/>
                <w:highlight w:val="none"/>
              </w:rPr>
              <w:t>□不通过</w:t>
            </w:r>
          </w:p>
        </w:tc>
        <w:tc>
          <w:tcPr>
            <w:tcW w:w="2511" w:type="dxa"/>
            <w:noWrap w:val="0"/>
            <w:vAlign w:val="center"/>
          </w:tcPr>
          <w:p w14:paraId="760C0E1A">
            <w:pPr>
              <w:widowControl/>
              <w:adjustRightInd w:val="0"/>
              <w:spacing w:line="320" w:lineRule="exact"/>
              <w:contextualSpacing/>
              <w:jc w:val="center"/>
              <w:rPr>
                <w:rFonts w:hint="eastAsia" w:ascii="Times New Roman" w:hAnsi="Times New Roman" w:cs="宋体"/>
                <w:b/>
                <w:color w:val="auto"/>
                <w:sz w:val="24"/>
                <w:szCs w:val="24"/>
                <w:highlight w:val="none"/>
              </w:rPr>
            </w:pPr>
            <w:r>
              <w:rPr>
                <w:rFonts w:hint="eastAsia" w:ascii="Times New Roman" w:hAnsi="Times New Roman" w:cs="宋体"/>
                <w:color w:val="auto"/>
                <w:sz w:val="24"/>
                <w:szCs w:val="24"/>
                <w:highlight w:val="none"/>
              </w:rPr>
              <w:t>/</w:t>
            </w:r>
          </w:p>
        </w:tc>
      </w:tr>
      <w:tr w14:paraId="12600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87" w:type="dxa"/>
            <w:vMerge w:val="continue"/>
            <w:noWrap w:val="0"/>
            <w:vAlign w:val="top"/>
          </w:tcPr>
          <w:p w14:paraId="5FBEED52">
            <w:pPr>
              <w:widowControl/>
              <w:adjustRightInd w:val="0"/>
              <w:spacing w:line="320" w:lineRule="exact"/>
              <w:contextualSpacing/>
              <w:rPr>
                <w:rFonts w:hint="eastAsia" w:ascii="Times New Roman" w:hAnsi="Times New Roman" w:cs="宋体"/>
                <w:b/>
                <w:color w:val="auto"/>
                <w:sz w:val="24"/>
                <w:szCs w:val="24"/>
                <w:highlight w:val="none"/>
              </w:rPr>
            </w:pPr>
          </w:p>
        </w:tc>
        <w:tc>
          <w:tcPr>
            <w:tcW w:w="4961" w:type="dxa"/>
            <w:noWrap w:val="0"/>
            <w:vAlign w:val="center"/>
          </w:tcPr>
          <w:p w14:paraId="67B95B92">
            <w:pPr>
              <w:widowControl/>
              <w:adjustRightInd w:val="0"/>
              <w:spacing w:line="320" w:lineRule="exact"/>
              <w:contextualSpacing/>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1.关于资格的承诺函（格式见附件）</w:t>
            </w:r>
          </w:p>
        </w:tc>
        <w:tc>
          <w:tcPr>
            <w:tcW w:w="1287" w:type="dxa"/>
            <w:vMerge w:val="continue"/>
            <w:noWrap w:val="0"/>
            <w:vAlign w:val="top"/>
          </w:tcPr>
          <w:p w14:paraId="305C285F">
            <w:pPr>
              <w:widowControl/>
              <w:adjustRightInd w:val="0"/>
              <w:spacing w:line="320" w:lineRule="exact"/>
              <w:contextualSpacing/>
              <w:rPr>
                <w:rFonts w:hint="eastAsia" w:ascii="Times New Roman" w:hAnsi="Times New Roman" w:cs="宋体"/>
                <w:b/>
                <w:color w:val="auto"/>
                <w:sz w:val="24"/>
                <w:szCs w:val="24"/>
                <w:highlight w:val="none"/>
              </w:rPr>
            </w:pPr>
          </w:p>
        </w:tc>
        <w:tc>
          <w:tcPr>
            <w:tcW w:w="2511" w:type="dxa"/>
            <w:noWrap w:val="0"/>
            <w:vAlign w:val="center"/>
          </w:tcPr>
          <w:p w14:paraId="5F508D1C">
            <w:pPr>
              <w:widowControl/>
              <w:adjustRightInd w:val="0"/>
              <w:spacing w:line="320" w:lineRule="exact"/>
              <w:contextualSpacing/>
              <w:jc w:val="center"/>
              <w:rPr>
                <w:rFonts w:hint="eastAsia" w:ascii="Times New Roman" w:hAnsi="Times New Roman" w:cs="宋体"/>
                <w:b/>
                <w:color w:val="auto"/>
                <w:sz w:val="24"/>
                <w:szCs w:val="24"/>
                <w:highlight w:val="none"/>
              </w:rPr>
            </w:pPr>
            <w:r>
              <w:rPr>
                <w:rFonts w:hint="eastAsia" w:ascii="Times New Roman" w:hAnsi="Times New Roman" w:cs="宋体"/>
                <w:color w:val="auto"/>
                <w:sz w:val="24"/>
                <w:szCs w:val="24"/>
                <w:highlight w:val="none"/>
              </w:rPr>
              <w:t>第（ ）页-（  ）页</w:t>
            </w:r>
          </w:p>
        </w:tc>
      </w:tr>
      <w:tr w14:paraId="07561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87" w:type="dxa"/>
            <w:vMerge w:val="continue"/>
            <w:noWrap w:val="0"/>
            <w:vAlign w:val="top"/>
          </w:tcPr>
          <w:p w14:paraId="0237461C">
            <w:pPr>
              <w:widowControl/>
              <w:adjustRightInd w:val="0"/>
              <w:spacing w:line="320" w:lineRule="exact"/>
              <w:contextualSpacing/>
              <w:rPr>
                <w:rFonts w:hint="eastAsia" w:ascii="Times New Roman" w:hAnsi="Times New Roman" w:cs="宋体"/>
                <w:bCs/>
                <w:color w:val="auto"/>
                <w:sz w:val="24"/>
                <w:szCs w:val="24"/>
                <w:highlight w:val="none"/>
              </w:rPr>
            </w:pPr>
          </w:p>
        </w:tc>
        <w:tc>
          <w:tcPr>
            <w:tcW w:w="4961" w:type="dxa"/>
            <w:noWrap w:val="0"/>
            <w:vAlign w:val="center"/>
          </w:tcPr>
          <w:p w14:paraId="502F675B">
            <w:pPr>
              <w:widowControl/>
              <w:adjustRightInd w:val="0"/>
              <w:spacing w:line="320" w:lineRule="exact"/>
              <w:contextualSpacing/>
              <w:rPr>
                <w:rFonts w:hint="eastAsia" w:ascii="Times New Roman" w:hAnsi="Times New Roman" w:cs="宋体"/>
                <w:color w:val="auto"/>
                <w:sz w:val="24"/>
                <w:szCs w:val="24"/>
                <w:highlight w:val="none"/>
              </w:rPr>
            </w:pPr>
            <w:r>
              <w:rPr>
                <w:rFonts w:hint="eastAsia" w:ascii="Times New Roman" w:hAnsi="Times New Roman" w:cs="宋体"/>
                <w:bCs/>
                <w:color w:val="auto"/>
                <w:sz w:val="24"/>
                <w:szCs w:val="24"/>
                <w:highlight w:val="none"/>
              </w:rPr>
              <w:t>2.有效的企业法人营业执照（或事业法人登记证）、其他组织（个体工商户）的营业执照或者民办非企业单位登记证书</w:t>
            </w:r>
            <w:r>
              <w:rPr>
                <w:rFonts w:hint="eastAsia" w:ascii="Times New Roman" w:hAnsi="Times New Roman" w:cs="宋体"/>
                <w:bCs/>
                <w:color w:val="auto"/>
                <w:sz w:val="24"/>
                <w:szCs w:val="24"/>
                <w:highlight w:val="none"/>
                <w:lang w:eastAsia="zh-CN"/>
              </w:rPr>
              <w:t>扫描件</w:t>
            </w:r>
            <w:r>
              <w:rPr>
                <w:rFonts w:hint="eastAsia" w:ascii="Times New Roman" w:hAnsi="Times New Roman" w:cs="宋体"/>
                <w:color w:val="auto"/>
                <w:sz w:val="24"/>
                <w:szCs w:val="24"/>
                <w:highlight w:val="none"/>
              </w:rPr>
              <w:t>。</w:t>
            </w:r>
          </w:p>
          <w:p w14:paraId="29DF72C4">
            <w:pPr>
              <w:adjustRightInd w:val="0"/>
              <w:spacing w:line="320" w:lineRule="exact"/>
              <w:contextualSpacing/>
              <w:rPr>
                <w:rFonts w:hint="eastAsia"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（投标人如果有名称变更的，应提供由行政主管部门出具的变更证明文件。）</w:t>
            </w:r>
          </w:p>
        </w:tc>
        <w:tc>
          <w:tcPr>
            <w:tcW w:w="1287" w:type="dxa"/>
            <w:vMerge w:val="continue"/>
            <w:noWrap w:val="0"/>
            <w:vAlign w:val="top"/>
          </w:tcPr>
          <w:p w14:paraId="0E41B7D1">
            <w:pPr>
              <w:widowControl/>
              <w:adjustRightInd w:val="0"/>
              <w:spacing w:line="320" w:lineRule="exact"/>
              <w:contextualSpacing/>
              <w:rPr>
                <w:rFonts w:hint="eastAsia" w:ascii="Times New Roman" w:hAnsi="Times New Roman" w:cs="宋体"/>
                <w:bCs/>
                <w:color w:val="auto"/>
                <w:sz w:val="24"/>
                <w:szCs w:val="24"/>
                <w:highlight w:val="none"/>
              </w:rPr>
            </w:pPr>
          </w:p>
        </w:tc>
        <w:tc>
          <w:tcPr>
            <w:tcW w:w="2511" w:type="dxa"/>
            <w:noWrap w:val="0"/>
            <w:vAlign w:val="center"/>
          </w:tcPr>
          <w:p w14:paraId="10E9F4BE">
            <w:pPr>
              <w:widowControl/>
              <w:adjustRightInd w:val="0"/>
              <w:spacing w:line="320" w:lineRule="exact"/>
              <w:contextualSpacing/>
              <w:jc w:val="center"/>
              <w:rPr>
                <w:rFonts w:hint="eastAsia"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第（ ）页-（  ）页</w:t>
            </w:r>
          </w:p>
        </w:tc>
      </w:tr>
      <w:tr w14:paraId="28A62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787" w:type="dxa"/>
            <w:vMerge w:val="continue"/>
            <w:noWrap w:val="0"/>
            <w:vAlign w:val="top"/>
          </w:tcPr>
          <w:p w14:paraId="299305DA">
            <w:pPr>
              <w:widowControl/>
              <w:adjustRightInd w:val="0"/>
              <w:spacing w:line="320" w:lineRule="exact"/>
              <w:contextualSpacing/>
              <w:rPr>
                <w:rFonts w:hint="eastAsia" w:ascii="Times New Roman" w:hAnsi="Times New Roman" w:cs="宋体"/>
                <w:bCs/>
                <w:color w:val="auto"/>
                <w:sz w:val="24"/>
                <w:szCs w:val="24"/>
                <w:highlight w:val="none"/>
              </w:rPr>
            </w:pPr>
          </w:p>
        </w:tc>
        <w:tc>
          <w:tcPr>
            <w:tcW w:w="4961" w:type="dxa"/>
            <w:noWrap w:val="0"/>
            <w:vAlign w:val="center"/>
          </w:tcPr>
          <w:p w14:paraId="1DDC062F">
            <w:pPr>
              <w:widowControl/>
              <w:adjustRightInd w:val="0"/>
              <w:spacing w:line="320" w:lineRule="exact"/>
              <w:contextualSpacing/>
              <w:rPr>
                <w:rFonts w:hint="eastAsia"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二、</w:t>
            </w:r>
            <w:r>
              <w:rPr>
                <w:rFonts w:hint="eastAsia" w:ascii="Times New Roman" w:hAnsi="Times New Roman" w:cs="宋体"/>
                <w:color w:val="auto"/>
                <w:sz w:val="24"/>
                <w:szCs w:val="24"/>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287" w:type="dxa"/>
            <w:noWrap w:val="0"/>
            <w:vAlign w:val="center"/>
          </w:tcPr>
          <w:p w14:paraId="7D86F709">
            <w:pPr>
              <w:widowControl/>
              <w:adjustRightInd w:val="0"/>
              <w:spacing w:line="320" w:lineRule="exact"/>
              <w:contextualSpacing/>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7E1A1197">
            <w:pPr>
              <w:widowControl/>
              <w:adjustRightInd w:val="0"/>
              <w:spacing w:line="320" w:lineRule="exact"/>
              <w:contextualSpacing/>
              <w:rPr>
                <w:rFonts w:hint="eastAsia"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□不通过</w:t>
            </w:r>
          </w:p>
        </w:tc>
        <w:tc>
          <w:tcPr>
            <w:tcW w:w="2511" w:type="dxa"/>
            <w:noWrap w:val="0"/>
            <w:vAlign w:val="center"/>
          </w:tcPr>
          <w:p w14:paraId="3E221024">
            <w:pPr>
              <w:widowControl/>
              <w:adjustRightInd w:val="0"/>
              <w:spacing w:line="320" w:lineRule="exact"/>
              <w:contextualSpacing/>
              <w:jc w:val="center"/>
              <w:rPr>
                <w:rFonts w:hint="eastAsia" w:ascii="Times New Roman" w:hAnsi="Times New Roman" w:cs="宋体"/>
                <w:bCs/>
                <w:color w:val="auto"/>
                <w:sz w:val="24"/>
                <w:szCs w:val="24"/>
                <w:highlight w:val="none"/>
                <w:u w:val="single"/>
              </w:rPr>
            </w:pPr>
            <w:r>
              <w:rPr>
                <w:rFonts w:hint="eastAsia" w:ascii="Times New Roman" w:hAnsi="Times New Roman" w:cs="宋体"/>
                <w:bCs/>
                <w:color w:val="auto"/>
                <w:sz w:val="24"/>
                <w:szCs w:val="24"/>
                <w:highlight w:val="none"/>
              </w:rPr>
              <w:t xml:space="preserve">信用记录 </w:t>
            </w:r>
            <w:r>
              <w:rPr>
                <w:rFonts w:hint="eastAsia" w:ascii="Times New Roman" w:hAnsi="Times New Roman" w:cs="宋体"/>
                <w:bCs/>
                <w:color w:val="auto"/>
                <w:sz w:val="24"/>
                <w:szCs w:val="24"/>
                <w:highlight w:val="none"/>
                <w:u w:val="single"/>
              </w:rPr>
              <w:t>是/否</w:t>
            </w:r>
            <w:r>
              <w:rPr>
                <w:rFonts w:hint="eastAsia" w:ascii="Times New Roman" w:hAnsi="Times New Roman" w:cs="宋体"/>
                <w:bCs/>
                <w:color w:val="auto"/>
                <w:sz w:val="24"/>
                <w:szCs w:val="24"/>
                <w:highlight w:val="none"/>
              </w:rPr>
              <w:t xml:space="preserve"> 已失效，如失效，证明材料详见</w:t>
            </w:r>
            <w:r>
              <w:rPr>
                <w:rFonts w:hint="eastAsia" w:ascii="Times New Roman" w:hAnsi="Times New Roman" w:cs="宋体"/>
                <w:color w:val="auto"/>
                <w:sz w:val="24"/>
                <w:szCs w:val="24"/>
                <w:highlight w:val="none"/>
              </w:rPr>
              <w:t>第（ ）页-（  ）页</w:t>
            </w:r>
          </w:p>
        </w:tc>
      </w:tr>
      <w:tr w14:paraId="55F5A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87" w:type="dxa"/>
            <w:vMerge w:val="continue"/>
            <w:noWrap w:val="0"/>
            <w:vAlign w:val="top"/>
          </w:tcPr>
          <w:p w14:paraId="7D5142D4">
            <w:pPr>
              <w:widowControl/>
              <w:adjustRightInd w:val="0"/>
              <w:spacing w:line="320" w:lineRule="exact"/>
              <w:contextualSpacing/>
              <w:rPr>
                <w:rFonts w:hint="eastAsia" w:ascii="Times New Roman" w:hAnsi="Times New Roman" w:cs="宋体"/>
                <w:bCs/>
                <w:color w:val="auto"/>
                <w:sz w:val="24"/>
                <w:szCs w:val="24"/>
                <w:highlight w:val="none"/>
              </w:rPr>
            </w:pPr>
          </w:p>
        </w:tc>
        <w:tc>
          <w:tcPr>
            <w:tcW w:w="4961" w:type="dxa"/>
            <w:noWrap w:val="0"/>
            <w:vAlign w:val="center"/>
          </w:tcPr>
          <w:p w14:paraId="38B52881">
            <w:pPr>
              <w:widowControl/>
              <w:spacing w:line="380" w:lineRule="exact"/>
              <w:contextualSpacing/>
              <w:rPr>
                <w:rFonts w:hint="eastAsia" w:cs="宋体" w:asciiTheme="minorEastAsia" w:hAnsiTheme="minorEastAsia" w:eastAsiaTheme="minorEastAsia"/>
                <w:b/>
                <w:bCs/>
                <w:color w:val="auto"/>
                <w:sz w:val="24"/>
                <w:szCs w:val="24"/>
                <w:highlight w:val="none"/>
                <w:lang w:eastAsia="zh-CN"/>
              </w:rPr>
            </w:pPr>
            <w:r>
              <w:rPr>
                <w:rFonts w:hint="eastAsia" w:ascii="Times New Roman" w:hAnsi="Times New Roman" w:cs="宋体"/>
                <w:bCs/>
                <w:color w:val="auto"/>
                <w:sz w:val="24"/>
                <w:szCs w:val="24"/>
                <w:highlight w:val="none"/>
                <w:lang w:eastAsia="zh-CN"/>
              </w:rPr>
              <w:t>三、</w:t>
            </w:r>
            <w:r>
              <w:rPr>
                <w:rFonts w:hint="eastAsia" w:cs="宋体" w:asciiTheme="minorEastAsia" w:hAnsiTheme="minorEastAsia" w:eastAsiaTheme="minorEastAsia"/>
                <w:color w:val="auto"/>
                <w:sz w:val="24"/>
                <w:szCs w:val="24"/>
                <w:highlight w:val="none"/>
              </w:rPr>
              <w:t>落实政府采购政策需满足的资格要求：</w:t>
            </w:r>
            <w:r>
              <w:rPr>
                <w:rFonts w:hint="eastAsia" w:cs="宋体" w:asciiTheme="minorEastAsia" w:hAnsiTheme="minorEastAsia" w:eastAsiaTheme="minorEastAsia"/>
                <w:b/>
                <w:bCs/>
                <w:color w:val="auto"/>
                <w:sz w:val="24"/>
                <w:szCs w:val="24"/>
                <w:highlight w:val="none"/>
                <w:lang w:eastAsia="zh-CN"/>
              </w:rPr>
              <w:t>本项目标项一、标项二均专门面向中小企业采购，货物及相关服务全部由符合政策要求的中小企业承接，提供中小企业声明函（残疾人福利性企业、监狱企业视同小微企业）。</w:t>
            </w:r>
          </w:p>
          <w:p w14:paraId="53CCE03E">
            <w:pPr>
              <w:widowControl/>
              <w:adjustRightInd w:val="0"/>
              <w:spacing w:line="320" w:lineRule="exact"/>
              <w:contextualSpacing/>
              <w:rPr>
                <w:rFonts w:hint="eastAsia" w:ascii="Times New Roman" w:hAnsi="Times New Roman" w:eastAsia="宋体" w:cs="宋体"/>
                <w:bCs/>
                <w:color w:val="auto"/>
                <w:sz w:val="24"/>
                <w:szCs w:val="24"/>
                <w:highlight w:val="none"/>
                <w:lang w:eastAsia="zh-CN"/>
              </w:rPr>
            </w:pPr>
          </w:p>
        </w:tc>
        <w:tc>
          <w:tcPr>
            <w:tcW w:w="1287" w:type="dxa"/>
            <w:noWrap w:val="0"/>
            <w:vAlign w:val="center"/>
          </w:tcPr>
          <w:p w14:paraId="1DB39E89">
            <w:pPr>
              <w:widowControl/>
              <w:adjustRightInd w:val="0"/>
              <w:spacing w:line="320" w:lineRule="exact"/>
              <w:contextualSpacing/>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776D88C5">
            <w:pPr>
              <w:widowControl/>
              <w:adjustRightInd w:val="0"/>
              <w:spacing w:line="320" w:lineRule="exact"/>
              <w:contextualSpacing/>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511" w:type="dxa"/>
            <w:noWrap w:val="0"/>
            <w:vAlign w:val="center"/>
          </w:tcPr>
          <w:p w14:paraId="02B9F264">
            <w:pPr>
              <w:widowControl/>
              <w:adjustRightInd w:val="0"/>
              <w:spacing w:line="320" w:lineRule="exact"/>
              <w:contextualSpacing/>
              <w:jc w:val="center"/>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第（ ）页-（  ）页</w:t>
            </w:r>
          </w:p>
        </w:tc>
      </w:tr>
      <w:tr w14:paraId="5C111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87" w:type="dxa"/>
            <w:vMerge w:val="continue"/>
            <w:noWrap w:val="0"/>
            <w:vAlign w:val="top"/>
          </w:tcPr>
          <w:p w14:paraId="5B2AC4B0">
            <w:pPr>
              <w:widowControl/>
              <w:adjustRightInd w:val="0"/>
              <w:spacing w:line="320" w:lineRule="exact"/>
              <w:contextualSpacing/>
              <w:rPr>
                <w:rFonts w:hint="eastAsia" w:ascii="Times New Roman" w:hAnsi="Times New Roman" w:cs="宋体"/>
                <w:bCs/>
                <w:color w:val="auto"/>
                <w:sz w:val="24"/>
                <w:szCs w:val="24"/>
                <w:highlight w:val="none"/>
              </w:rPr>
            </w:pPr>
          </w:p>
        </w:tc>
        <w:tc>
          <w:tcPr>
            <w:tcW w:w="4961" w:type="dxa"/>
            <w:noWrap w:val="0"/>
            <w:vAlign w:val="center"/>
          </w:tcPr>
          <w:p w14:paraId="5D89920B">
            <w:pPr>
              <w:widowControl/>
              <w:adjustRightInd w:val="0"/>
              <w:spacing w:line="320" w:lineRule="exact"/>
              <w:contextualSpacing/>
              <w:rPr>
                <w:rFonts w:hint="eastAsia"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lang w:eastAsia="zh-CN"/>
              </w:rPr>
              <w:t>四</w:t>
            </w:r>
            <w:r>
              <w:rPr>
                <w:rFonts w:hint="eastAsia" w:ascii="Times New Roman" w:hAnsi="Times New Roman" w:cs="宋体"/>
                <w:bCs/>
                <w:color w:val="auto"/>
                <w:sz w:val="24"/>
                <w:szCs w:val="24"/>
                <w:highlight w:val="none"/>
              </w:rPr>
              <w:t>、</w:t>
            </w:r>
            <w:r>
              <w:rPr>
                <w:rFonts w:hint="eastAsia" w:ascii="Times New Roman" w:hAnsi="Times New Roman" w:cs="宋体"/>
                <w:color w:val="auto"/>
                <w:sz w:val="24"/>
                <w:szCs w:val="24"/>
                <w:highlight w:val="none"/>
              </w:rPr>
              <w:t>本项目不接受联合体投标。</w:t>
            </w:r>
          </w:p>
        </w:tc>
        <w:tc>
          <w:tcPr>
            <w:tcW w:w="1287" w:type="dxa"/>
            <w:noWrap w:val="0"/>
            <w:vAlign w:val="center"/>
          </w:tcPr>
          <w:p w14:paraId="7517C5A3">
            <w:pPr>
              <w:widowControl/>
              <w:adjustRightInd w:val="0"/>
              <w:spacing w:line="320" w:lineRule="exact"/>
              <w:contextualSpacing/>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38212952">
            <w:pPr>
              <w:widowControl/>
              <w:adjustRightInd w:val="0"/>
              <w:spacing w:line="320" w:lineRule="exact"/>
              <w:contextualSpacing/>
              <w:rPr>
                <w:rFonts w:hint="eastAsia"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□不通过</w:t>
            </w:r>
          </w:p>
        </w:tc>
        <w:tc>
          <w:tcPr>
            <w:tcW w:w="2511" w:type="dxa"/>
            <w:noWrap w:val="0"/>
            <w:vAlign w:val="center"/>
          </w:tcPr>
          <w:p w14:paraId="49EE0C65">
            <w:pPr>
              <w:widowControl/>
              <w:adjustRightInd w:val="0"/>
              <w:spacing w:line="320" w:lineRule="exact"/>
              <w:contextualSpacing/>
              <w:jc w:val="center"/>
              <w:rPr>
                <w:rFonts w:hint="eastAsia"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w:t>
            </w:r>
          </w:p>
        </w:tc>
      </w:tr>
      <w:tr w14:paraId="0822D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87" w:type="dxa"/>
            <w:vMerge w:val="continue"/>
            <w:noWrap w:val="0"/>
            <w:vAlign w:val="top"/>
          </w:tcPr>
          <w:p w14:paraId="15930389">
            <w:pPr>
              <w:widowControl/>
              <w:adjustRightInd w:val="0"/>
              <w:spacing w:line="320" w:lineRule="exact"/>
              <w:contextualSpacing/>
              <w:rPr>
                <w:rFonts w:hint="eastAsia" w:ascii="Times New Roman" w:hAnsi="Times New Roman" w:cs="宋体"/>
                <w:bCs/>
                <w:color w:val="auto"/>
                <w:sz w:val="24"/>
                <w:szCs w:val="24"/>
                <w:highlight w:val="none"/>
              </w:rPr>
            </w:pPr>
          </w:p>
        </w:tc>
        <w:tc>
          <w:tcPr>
            <w:tcW w:w="4961" w:type="dxa"/>
            <w:noWrap w:val="0"/>
            <w:vAlign w:val="center"/>
          </w:tcPr>
          <w:p w14:paraId="736BE04E">
            <w:pPr>
              <w:widowControl/>
              <w:adjustRightInd w:val="0"/>
              <w:spacing w:line="320" w:lineRule="exact"/>
              <w:contextualSpacing/>
              <w:rPr>
                <w:rFonts w:hint="eastAsia" w:ascii="Times New Roman" w:hAnsi="Times New Roman" w:cs="宋体"/>
                <w:bCs/>
                <w:color w:val="auto"/>
                <w:sz w:val="24"/>
                <w:szCs w:val="24"/>
                <w:highlight w:val="none"/>
                <w:lang w:eastAsia="zh-CN"/>
              </w:rPr>
            </w:pPr>
            <w:r>
              <w:rPr>
                <w:rFonts w:hint="eastAsia" w:ascii="Times New Roman" w:hAnsi="Times New Roman" w:cs="宋体"/>
                <w:bCs/>
                <w:color w:val="auto"/>
                <w:sz w:val="24"/>
                <w:szCs w:val="24"/>
                <w:highlight w:val="none"/>
                <w:lang w:eastAsia="zh-CN"/>
              </w:rPr>
              <w:t>五</w:t>
            </w:r>
            <w:r>
              <w:rPr>
                <w:rFonts w:hint="eastAsia" w:ascii="Times New Roman" w:hAnsi="Times New Roman" w:cs="宋体"/>
                <w:bCs/>
                <w:color w:val="auto"/>
                <w:sz w:val="24"/>
                <w:szCs w:val="24"/>
                <w:highlight w:val="none"/>
              </w:rPr>
              <w:t>、</w:t>
            </w:r>
            <w:r>
              <w:rPr>
                <w:rFonts w:hint="eastAsia" w:ascii="Times New Roman" w:hAnsi="Times New Roman" w:cs="宋体"/>
                <w:color w:val="auto"/>
                <w:sz w:val="24"/>
                <w:szCs w:val="24"/>
                <w:highlight w:val="none"/>
              </w:rPr>
              <w:t>本项目不</w:t>
            </w:r>
            <w:r>
              <w:rPr>
                <w:rFonts w:hint="eastAsia" w:ascii="Times New Roman" w:hAnsi="Times New Roman" w:cs="宋体"/>
                <w:color w:val="auto"/>
                <w:sz w:val="24"/>
                <w:szCs w:val="24"/>
                <w:highlight w:val="none"/>
                <w:lang w:eastAsia="zh-CN"/>
              </w:rPr>
              <w:t>允许分包</w:t>
            </w:r>
            <w:r>
              <w:rPr>
                <w:rFonts w:hint="eastAsia" w:ascii="Times New Roman" w:hAnsi="Times New Roman" w:cs="宋体"/>
                <w:color w:val="auto"/>
                <w:sz w:val="24"/>
                <w:szCs w:val="24"/>
                <w:highlight w:val="none"/>
              </w:rPr>
              <w:t>。</w:t>
            </w:r>
          </w:p>
        </w:tc>
        <w:tc>
          <w:tcPr>
            <w:tcW w:w="1287" w:type="dxa"/>
            <w:noWrap w:val="0"/>
            <w:vAlign w:val="center"/>
          </w:tcPr>
          <w:p w14:paraId="7B65C5FB">
            <w:pPr>
              <w:widowControl/>
              <w:adjustRightInd w:val="0"/>
              <w:spacing w:line="320" w:lineRule="exact"/>
              <w:contextualSpacing/>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606ADEEF">
            <w:pPr>
              <w:widowControl/>
              <w:adjustRightInd w:val="0"/>
              <w:spacing w:line="320" w:lineRule="exact"/>
              <w:contextualSpacing/>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511" w:type="dxa"/>
            <w:noWrap w:val="0"/>
            <w:vAlign w:val="center"/>
          </w:tcPr>
          <w:p w14:paraId="2AD61E88">
            <w:pPr>
              <w:widowControl/>
              <w:adjustRightInd w:val="0"/>
              <w:spacing w:line="320" w:lineRule="exact"/>
              <w:contextualSpacing/>
              <w:jc w:val="center"/>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bl>
    <w:p w14:paraId="618EE7B4">
      <w:pPr>
        <w:pStyle w:val="21"/>
        <w:tabs>
          <w:tab w:val="left" w:pos="4185"/>
        </w:tabs>
        <w:spacing w:line="360" w:lineRule="auto"/>
        <w:ind w:firstLine="0"/>
        <w:contextualSpacing/>
        <w:rPr>
          <w:rFonts w:hint="eastAsia" w:eastAsia="宋体"/>
          <w:color w:val="auto"/>
          <w:szCs w:val="24"/>
          <w:highlight w:val="none"/>
        </w:rPr>
      </w:pPr>
    </w:p>
    <w:p w14:paraId="52BDD059">
      <w:pPr>
        <w:keepNext w:val="0"/>
        <w:keepLines w:val="0"/>
        <w:pageBreakBefore/>
        <w:widowControl w:val="0"/>
        <w:kinsoku/>
        <w:wordWrap/>
        <w:overflowPunct/>
        <w:topLinePunct w:val="0"/>
        <w:autoSpaceDE/>
        <w:autoSpaceDN/>
        <w:bidi w:val="0"/>
        <w:adjustRightInd/>
        <w:snapToGrid/>
        <w:spacing w:after="100" w:afterAutospacing="1"/>
        <w:jc w:val="center"/>
        <w:textAlignment w:val="auto"/>
        <w:rPr>
          <w:rFonts w:hint="eastAsia" w:ascii="宋体" w:hAnsi="宋体" w:eastAsia="宋体" w:cs="宋体"/>
          <w:b/>
          <w:color w:val="auto"/>
          <w:sz w:val="32"/>
          <w:szCs w:val="32"/>
          <w:highlight w:val="none"/>
        </w:rPr>
      </w:pPr>
      <w:bookmarkStart w:id="75" w:name="_Toc26664"/>
      <w:bookmarkStart w:id="76" w:name="_Toc20893"/>
      <w:r>
        <w:rPr>
          <w:rFonts w:hint="eastAsia" w:ascii="宋体" w:hAnsi="宋体" w:eastAsia="宋体" w:cs="宋体"/>
          <w:b/>
          <w:color w:val="auto"/>
          <w:sz w:val="32"/>
          <w:szCs w:val="32"/>
          <w:highlight w:val="none"/>
          <w:lang w:eastAsia="zh-CN"/>
        </w:rPr>
        <w:t>二、</w:t>
      </w:r>
      <w:r>
        <w:rPr>
          <w:rFonts w:hint="eastAsia" w:ascii="宋体" w:hAnsi="宋体" w:eastAsia="宋体" w:cs="宋体"/>
          <w:b/>
          <w:color w:val="auto"/>
          <w:sz w:val="32"/>
          <w:szCs w:val="32"/>
          <w:highlight w:val="none"/>
        </w:rPr>
        <w:t>关于资格的承诺函</w:t>
      </w:r>
      <w:bookmarkEnd w:id="75"/>
      <w:bookmarkEnd w:id="76"/>
    </w:p>
    <w:p w14:paraId="0551E35B">
      <w:pPr>
        <w:spacing w:line="360" w:lineRule="auto"/>
        <w:contextualSpacing/>
        <w:rPr>
          <w:rFonts w:hint="eastAsia" w:cs="宋体"/>
          <w:b/>
          <w:color w:val="auto"/>
          <w:szCs w:val="21"/>
          <w:highlight w:val="none"/>
        </w:rPr>
      </w:pPr>
    </w:p>
    <w:p w14:paraId="7C747544">
      <w:pPr>
        <w:spacing w:line="360" w:lineRule="auto"/>
        <w:contextualSpacing/>
        <w:rPr>
          <w:rFonts w:hint="eastAsia" w:cs="宋体"/>
          <w:b/>
          <w:color w:val="auto"/>
          <w:sz w:val="24"/>
          <w:szCs w:val="24"/>
          <w:highlight w:val="none"/>
        </w:rPr>
      </w:pPr>
      <w:r>
        <w:rPr>
          <w:rFonts w:hint="eastAsia" w:cs="宋体"/>
          <w:b/>
          <w:color w:val="auto"/>
          <w:sz w:val="24"/>
          <w:szCs w:val="24"/>
          <w:highlight w:val="none"/>
        </w:rPr>
        <w:t>致：中冠工程管理咨询有限公司</w:t>
      </w:r>
    </w:p>
    <w:p w14:paraId="0794CBA2">
      <w:pPr>
        <w:snapToGrid w:val="0"/>
        <w:spacing w:before="120" w:beforeLines="50" w:line="360" w:lineRule="auto"/>
        <w:ind w:firstLine="484" w:firstLineChars="202"/>
        <w:rPr>
          <w:rFonts w:hint="eastAsia"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u w:val="single"/>
        </w:rPr>
        <w:t xml:space="preserve">                       </w:t>
      </w:r>
      <w:r>
        <w:rPr>
          <w:rFonts w:hint="eastAsia" w:cs="宋体"/>
          <w:color w:val="auto"/>
          <w:sz w:val="24"/>
          <w:szCs w:val="24"/>
          <w:highlight w:val="none"/>
        </w:rPr>
        <w:t>项目（项目编号：</w:t>
      </w:r>
      <w:r>
        <w:rPr>
          <w:rFonts w:hint="eastAsia" w:cs="宋体"/>
          <w:color w:val="auto"/>
          <w:sz w:val="24"/>
          <w:szCs w:val="24"/>
          <w:highlight w:val="none"/>
          <w:u w:val="single"/>
        </w:rPr>
        <w:t>　　　</w:t>
      </w:r>
      <w:r>
        <w:rPr>
          <w:rFonts w:hint="eastAsia" w:cs="宋体"/>
          <w:color w:val="auto"/>
          <w:sz w:val="24"/>
          <w:szCs w:val="24"/>
          <w:highlight w:val="none"/>
        </w:rPr>
        <w:t>）</w:t>
      </w:r>
      <w:r>
        <w:rPr>
          <w:rFonts w:hint="eastAsia" w:cs="宋体"/>
          <w:color w:val="auto"/>
          <w:sz w:val="24"/>
          <w:szCs w:val="24"/>
          <w:highlight w:val="none"/>
          <w:lang w:eastAsia="zh-CN"/>
        </w:rPr>
        <w:t>（标项号：</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eastAsia="zh-CN"/>
        </w:rPr>
        <w:t>）</w:t>
      </w:r>
      <w:r>
        <w:rPr>
          <w:rFonts w:hint="eastAsia" w:cs="宋体"/>
          <w:color w:val="auto"/>
          <w:sz w:val="24"/>
          <w:szCs w:val="24"/>
          <w:highlight w:val="none"/>
          <w:lang w:val="en-US" w:eastAsia="zh-CN"/>
        </w:rPr>
        <w:t xml:space="preserve"> </w:t>
      </w:r>
      <w:r>
        <w:rPr>
          <w:rFonts w:hint="eastAsia" w:cs="宋体"/>
          <w:color w:val="auto"/>
          <w:sz w:val="24"/>
          <w:szCs w:val="24"/>
          <w:highlight w:val="none"/>
        </w:rPr>
        <w:t>，我方愿意参加投标，并声明：</w:t>
      </w:r>
    </w:p>
    <w:p w14:paraId="71F09FFA">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1、我方具备《中华人民共和国政府采购法》第二十二条规定资格条件：</w:t>
      </w:r>
    </w:p>
    <w:p w14:paraId="2DAF4D9B">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44615980">
      <w:pPr>
        <w:snapToGrid w:val="0"/>
        <w:spacing w:line="360" w:lineRule="auto"/>
        <w:ind w:firstLine="480" w:firstLineChars="200"/>
        <w:rPr>
          <w:rFonts w:hint="eastAsia" w:cs="宋体"/>
          <w:color w:val="auto"/>
          <w:sz w:val="24"/>
          <w:szCs w:val="24"/>
          <w:highlight w:val="none"/>
        </w:rPr>
      </w:pPr>
      <w:r>
        <w:rPr>
          <w:rFonts w:hint="eastAsia" w:cs="宋体"/>
          <w:color w:val="auto"/>
          <w:sz w:val="24"/>
          <w:szCs w:val="24"/>
          <w:highlight w:val="none"/>
        </w:rPr>
        <w:t>2、我方的单位负责人与所参投的本采购项目的其他投标人的单位负责人不为同一人且与其他投标人之间不存在直接控股、管理关系。</w:t>
      </w:r>
    </w:p>
    <w:p w14:paraId="78D5B0C0">
      <w:pPr>
        <w:snapToGrid w:val="0"/>
        <w:spacing w:line="360" w:lineRule="auto"/>
        <w:ind w:firstLine="480" w:firstLineChars="200"/>
        <w:rPr>
          <w:rFonts w:hint="eastAsia" w:cs="宋体"/>
          <w:color w:val="auto"/>
          <w:sz w:val="24"/>
          <w:szCs w:val="24"/>
          <w:highlight w:val="none"/>
        </w:rPr>
      </w:pPr>
      <w:r>
        <w:rPr>
          <w:rFonts w:hint="eastAsia" w:cs="宋体"/>
          <w:color w:val="auto"/>
          <w:sz w:val="24"/>
          <w:szCs w:val="24"/>
          <w:highlight w:val="none"/>
        </w:rPr>
        <w:t>3、我方不是本采购项目提供整体设计、规范编制或者项目管理、监理、检测等服务的供应商。</w:t>
      </w:r>
    </w:p>
    <w:p w14:paraId="6ACD29E4">
      <w:pPr>
        <w:snapToGrid w:val="0"/>
        <w:spacing w:line="360" w:lineRule="auto"/>
        <w:ind w:firstLine="480" w:firstLineChars="200"/>
        <w:rPr>
          <w:rFonts w:hint="eastAsia" w:cs="宋体"/>
          <w:bCs/>
          <w:color w:val="auto"/>
          <w:sz w:val="24"/>
          <w:szCs w:val="24"/>
          <w:highlight w:val="none"/>
        </w:rPr>
      </w:pPr>
      <w:r>
        <w:rPr>
          <w:rFonts w:hint="eastAsia" w:cs="宋体"/>
          <w:color w:val="auto"/>
          <w:sz w:val="24"/>
          <w:szCs w:val="24"/>
          <w:highlight w:val="none"/>
        </w:rPr>
        <w:t>4、我方</w:t>
      </w:r>
      <w:r>
        <w:rPr>
          <w:rFonts w:hint="eastAsia" w:cs="宋体"/>
          <w:bCs/>
          <w:color w:val="auto"/>
          <w:sz w:val="24"/>
          <w:szCs w:val="24"/>
          <w:highlight w:val="none"/>
        </w:rPr>
        <w:t>未被“信用中国”（www.creditchina.gov.cn)、中国政府采购网（www.ccgp.gov.cn）列入失信被执行人、重大税收违法失信主体、政府采购严重违法失信行为记录名单。</w:t>
      </w:r>
    </w:p>
    <w:p w14:paraId="4E546AEF">
      <w:pPr>
        <w:snapToGrid w:val="0"/>
        <w:spacing w:line="360" w:lineRule="auto"/>
        <w:ind w:firstLine="480" w:firstLineChars="200"/>
        <w:rPr>
          <w:rFonts w:hint="eastAsia" w:cs="宋体"/>
          <w:color w:val="auto"/>
          <w:sz w:val="24"/>
          <w:szCs w:val="24"/>
          <w:highlight w:val="none"/>
        </w:rPr>
      </w:pPr>
      <w:r>
        <w:rPr>
          <w:rFonts w:hint="eastAsia" w:cs="宋体"/>
          <w:bCs/>
          <w:color w:val="auto"/>
          <w:sz w:val="24"/>
          <w:szCs w:val="24"/>
          <w:highlight w:val="none"/>
        </w:rPr>
        <w:t>我方对上述声明的真实性负责。</w:t>
      </w:r>
      <w:r>
        <w:rPr>
          <w:rFonts w:hint="eastAsia" w:cs="宋体"/>
          <w:color w:val="auto"/>
          <w:sz w:val="24"/>
          <w:szCs w:val="24"/>
          <w:highlight w:val="none"/>
        </w:rPr>
        <w:t>本次招标采购活动中，如有违法、违规、弄虚作假行为，所造成的损失、不良后果及法律责任，一律由我方承担。</w:t>
      </w:r>
    </w:p>
    <w:p w14:paraId="6D29AA2C">
      <w:pPr>
        <w:spacing w:line="360" w:lineRule="auto"/>
        <w:rPr>
          <w:rFonts w:hint="eastAsia" w:cs="宋体"/>
          <w:b/>
          <w:color w:val="auto"/>
          <w:sz w:val="24"/>
          <w:szCs w:val="24"/>
          <w:highlight w:val="none"/>
        </w:rPr>
      </w:pPr>
    </w:p>
    <w:p w14:paraId="7319E1B4">
      <w:pPr>
        <w:spacing w:line="360" w:lineRule="auto"/>
        <w:ind w:firstLine="420"/>
        <w:rPr>
          <w:rFonts w:hint="eastAsia" w:cs="宋体"/>
          <w:b/>
          <w:color w:val="auto"/>
          <w:sz w:val="24"/>
          <w:szCs w:val="24"/>
          <w:highlight w:val="none"/>
        </w:rPr>
      </w:pPr>
      <w:r>
        <w:rPr>
          <w:rFonts w:hint="eastAsia" w:cs="宋体"/>
          <w:b/>
          <w:color w:val="auto"/>
          <w:sz w:val="24"/>
          <w:szCs w:val="24"/>
          <w:highlight w:val="none"/>
        </w:rPr>
        <w:t>特此声明！</w:t>
      </w:r>
    </w:p>
    <w:p w14:paraId="0B70FA15">
      <w:pPr>
        <w:spacing w:line="360" w:lineRule="auto"/>
        <w:outlineLvl w:val="1"/>
        <w:rPr>
          <w:rFonts w:hint="eastAsia" w:cs="宋体"/>
          <w:b/>
          <w:color w:val="auto"/>
          <w:sz w:val="24"/>
          <w:szCs w:val="24"/>
          <w:highlight w:val="none"/>
        </w:rPr>
      </w:pPr>
    </w:p>
    <w:p w14:paraId="1295EB83">
      <w:pPr>
        <w:spacing w:line="360" w:lineRule="auto"/>
        <w:contextualSpacing/>
        <w:outlineLvl w:val="1"/>
        <w:rPr>
          <w:rFonts w:hint="eastAsia"/>
          <w:b/>
          <w:bCs/>
          <w:color w:val="auto"/>
          <w:sz w:val="24"/>
          <w:szCs w:val="24"/>
          <w:highlight w:val="none"/>
        </w:rPr>
      </w:pPr>
    </w:p>
    <w:p w14:paraId="45B6A69C">
      <w:pPr>
        <w:spacing w:line="360" w:lineRule="auto"/>
        <w:contextualSpacing/>
        <w:jc w:val="right"/>
        <w:outlineLvl w:val="1"/>
        <w:rPr>
          <w:rFonts w:hint="eastAsia"/>
          <w:color w:val="auto"/>
          <w:sz w:val="24"/>
          <w:szCs w:val="24"/>
          <w:highlight w:val="none"/>
        </w:rPr>
      </w:pPr>
    </w:p>
    <w:p w14:paraId="7880AD79">
      <w:pPr>
        <w:spacing w:line="360" w:lineRule="auto"/>
        <w:contextualSpacing/>
        <w:jc w:val="right"/>
        <w:outlineLvl w:val="1"/>
        <w:rPr>
          <w:rFonts w:hint="eastAsia"/>
          <w:color w:val="auto"/>
          <w:sz w:val="24"/>
          <w:szCs w:val="24"/>
          <w:highlight w:val="none"/>
        </w:rPr>
      </w:pPr>
      <w:bookmarkStart w:id="77" w:name="_Toc14340"/>
      <w:bookmarkStart w:id="78" w:name="_Toc6803"/>
      <w:r>
        <w:rPr>
          <w:rFonts w:hint="eastAsia"/>
          <w:color w:val="auto"/>
          <w:sz w:val="24"/>
          <w:szCs w:val="24"/>
          <w:highlight w:val="none"/>
        </w:rPr>
        <w:t>投标人（盖章）：</w:t>
      </w:r>
      <w:bookmarkEnd w:id="77"/>
      <w:bookmarkEnd w:id="78"/>
    </w:p>
    <w:p w14:paraId="235EFC91">
      <w:pPr>
        <w:spacing w:line="360" w:lineRule="auto"/>
        <w:contextualSpacing/>
        <w:jc w:val="right"/>
        <w:outlineLvl w:val="1"/>
        <w:rPr>
          <w:rFonts w:hint="eastAsia"/>
          <w:color w:val="auto"/>
          <w:sz w:val="24"/>
          <w:szCs w:val="24"/>
          <w:highlight w:val="none"/>
        </w:rPr>
      </w:pPr>
      <w:bookmarkStart w:id="79" w:name="_Toc29343"/>
      <w:bookmarkStart w:id="80" w:name="_Toc29794"/>
    </w:p>
    <w:p w14:paraId="24D46984">
      <w:pPr>
        <w:spacing w:line="360" w:lineRule="auto"/>
        <w:contextualSpacing/>
        <w:jc w:val="right"/>
        <w:outlineLvl w:val="1"/>
        <w:rPr>
          <w:color w:val="auto"/>
          <w:sz w:val="24"/>
          <w:szCs w:val="24"/>
          <w:highlight w:val="none"/>
        </w:rPr>
      </w:pPr>
      <w:r>
        <w:rPr>
          <w:rFonts w:hint="eastAsia"/>
          <w:color w:val="auto"/>
          <w:sz w:val="24"/>
          <w:szCs w:val="24"/>
          <w:highlight w:val="none"/>
        </w:rPr>
        <w:t>日期：</w:t>
      </w:r>
      <w:bookmarkEnd w:id="79"/>
      <w:bookmarkEnd w:id="80"/>
    </w:p>
    <w:p w14:paraId="057EB247">
      <w:pPr>
        <w:spacing w:after="100" w:afterAutospacing="1" w:line="480" w:lineRule="auto"/>
        <w:jc w:val="right"/>
        <w:rPr>
          <w:rFonts w:hint="eastAsia" w:ascii="宋体" w:hAnsi="宋体" w:eastAsia="宋体" w:cs="宋体"/>
          <w:color w:val="auto"/>
          <w:kern w:val="0"/>
          <w:sz w:val="24"/>
          <w:szCs w:val="24"/>
          <w:highlight w:val="none"/>
          <w:lang w:val="zh-CN"/>
        </w:rPr>
      </w:pPr>
      <w:r>
        <w:rPr>
          <w:rFonts w:ascii="Times New Roman" w:hAnsi="Times New Roman" w:eastAsia="宋体"/>
          <w:color w:val="auto"/>
          <w:sz w:val="24"/>
          <w:szCs w:val="24"/>
          <w:highlight w:val="none"/>
        </w:rPr>
        <w:br w:type="page"/>
      </w:r>
    </w:p>
    <w:p w14:paraId="50221F44">
      <w:pPr>
        <w:spacing w:after="100" w:afterAutospacing="1"/>
        <w:jc w:val="center"/>
        <w:rPr>
          <w:rFonts w:asciiTheme="minorEastAsia" w:hAnsiTheme="minorEastAsia" w:eastAsiaTheme="minorEastAsia"/>
          <w:b/>
          <w:color w:val="auto"/>
          <w:sz w:val="24"/>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1E70F95">
      <w:pPr>
        <w:spacing w:after="100" w:afterAutospacing="1"/>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三、有效的企业法人营业执照（或事业法人登记证）、其他组织（个体工商户）的营业执照或者民办非企业单位登记证书扫描件。</w:t>
      </w:r>
    </w:p>
    <w:p w14:paraId="149B19FC">
      <w:pPr>
        <w:spacing w:after="100" w:afterAutospacing="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（投标人如果有名称变更的，应提供由行政主管部门出具的变更证明文件）</w:t>
      </w:r>
    </w:p>
    <w:p w14:paraId="40506A50">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四</w:t>
      </w:r>
      <w:r>
        <w:rPr>
          <w:rFonts w:hint="eastAsia" w:cs="宋体" w:asciiTheme="minorEastAsia" w:hAnsiTheme="minorEastAsia" w:eastAsiaTheme="minorEastAsia"/>
          <w:b/>
          <w:bCs/>
          <w:color w:val="auto"/>
          <w:kern w:val="0"/>
          <w:sz w:val="32"/>
          <w:szCs w:val="32"/>
          <w:highlight w:val="none"/>
        </w:rPr>
        <w:t>-1、</w:t>
      </w:r>
      <w:r>
        <w:rPr>
          <w:rFonts w:cs="宋体" w:asciiTheme="minorEastAsia" w:hAnsiTheme="minorEastAsia" w:eastAsiaTheme="minorEastAsia"/>
          <w:b/>
          <w:bCs/>
          <w:color w:val="auto"/>
          <w:kern w:val="0"/>
          <w:sz w:val="32"/>
          <w:szCs w:val="32"/>
          <w:highlight w:val="none"/>
        </w:rPr>
        <w:t>中小企业声明函</w:t>
      </w:r>
    </w:p>
    <w:p w14:paraId="3C8F6BF3">
      <w:pPr>
        <w:pStyle w:val="2"/>
        <w:spacing w:line="360" w:lineRule="auto"/>
        <w:ind w:left="420" w:firstLine="643"/>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eastAsia="zh-CN"/>
        </w:rPr>
        <w:t>标项一：</w:t>
      </w:r>
      <w:r>
        <w:rPr>
          <w:rFonts w:hint="eastAsia" w:ascii="宋体" w:hAnsi="宋体" w:cs="宋体"/>
          <w:b/>
          <w:color w:val="auto"/>
          <w:sz w:val="32"/>
          <w:szCs w:val="32"/>
          <w:highlight w:val="none"/>
        </w:rPr>
        <w:t>中小企业声明函（货物）</w:t>
      </w:r>
    </w:p>
    <w:p w14:paraId="6BDFC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16DC36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卫星导航信号模拟器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6BD4B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RNSS转发器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590A87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外场标准基准点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0E1FCA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屏蔽室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663E81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测试评估软件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38205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蜂窝信号转发器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108894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其他配套附件及服务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1F8529DD">
      <w:pPr>
        <w:spacing w:line="360" w:lineRule="auto"/>
        <w:ind w:firstLine="480" w:firstLineChars="200"/>
        <w:rPr>
          <w:rFonts w:hint="eastAsia" w:ascii="宋体" w:hAnsi="宋体" w:cs="宋体"/>
          <w:color w:val="auto"/>
          <w:sz w:val="24"/>
          <w:highlight w:val="none"/>
        </w:rPr>
      </w:pPr>
    </w:p>
    <w:p w14:paraId="49C862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2007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0233317">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B9DF7EC">
      <w:pPr>
        <w:numPr>
          <w:ilvl w:val="0"/>
          <w:numId w:val="13"/>
        </w:numPr>
        <w:spacing w:line="360" w:lineRule="auto"/>
        <w:ind w:left="435"/>
        <w:rPr>
          <w:rFonts w:ascii="宋体" w:hAnsi="宋体"/>
          <w:color w:val="auto"/>
          <w:szCs w:val="21"/>
          <w:highlight w:val="none"/>
        </w:rPr>
      </w:pPr>
      <w:r>
        <w:rPr>
          <w:rFonts w:hint="eastAsia" w:ascii="宋体" w:hAnsi="宋体"/>
          <w:color w:val="auto"/>
          <w:szCs w:val="21"/>
          <w:highlight w:val="none"/>
        </w:rPr>
        <w:t>如响应产品由小微企业生产，则需提供中小企业声明函。</w:t>
      </w:r>
    </w:p>
    <w:p w14:paraId="3A7EAF2B">
      <w:pPr>
        <w:numPr>
          <w:ilvl w:val="0"/>
          <w:numId w:val="13"/>
        </w:numPr>
        <w:spacing w:line="360" w:lineRule="auto"/>
        <w:ind w:left="435"/>
        <w:rPr>
          <w:rFonts w:ascii="宋体" w:hAnsi="宋体"/>
          <w:color w:val="auto"/>
          <w:szCs w:val="21"/>
          <w:highlight w:val="none"/>
        </w:rPr>
      </w:pPr>
      <w:r>
        <w:rPr>
          <w:rFonts w:hint="eastAsia" w:ascii="宋体" w:hAnsi="宋体"/>
          <w:color w:val="auto"/>
          <w:szCs w:val="21"/>
          <w:highlight w:val="none"/>
        </w:rPr>
        <w:t>小微企业提供的货物既有中小企业制造货物，也有大型企业制造货物的，不享受中小企业扶持政策。</w:t>
      </w:r>
    </w:p>
    <w:p w14:paraId="2966E942">
      <w:pPr>
        <w:numPr>
          <w:ilvl w:val="0"/>
          <w:numId w:val="13"/>
        </w:numPr>
        <w:spacing w:line="360" w:lineRule="auto"/>
        <w:ind w:left="435"/>
        <w:rPr>
          <w:rFonts w:ascii="宋体" w:hAnsi="宋体"/>
          <w:color w:val="auto"/>
          <w:szCs w:val="21"/>
          <w:highlight w:val="none"/>
        </w:rPr>
      </w:pPr>
      <w:r>
        <w:rPr>
          <w:rFonts w:hint="eastAsia" w:ascii="宋体" w:hAnsi="宋体"/>
          <w:color w:val="auto"/>
          <w:szCs w:val="21"/>
          <w:highlight w:val="none"/>
        </w:rPr>
        <w:t>如成交人声明为小微企业，本声明函将随成交结果同时公告，接受社会监督。</w:t>
      </w:r>
    </w:p>
    <w:p w14:paraId="3610D4F8">
      <w:pPr>
        <w:wordWrap w:val="0"/>
        <w:spacing w:line="360" w:lineRule="auto"/>
        <w:rPr>
          <w:rFonts w:ascii="宋体" w:hAnsi="宋体" w:cs="宋体"/>
          <w:color w:val="auto"/>
          <w:sz w:val="24"/>
          <w:highlight w:val="none"/>
        </w:rPr>
      </w:pPr>
    </w:p>
    <w:p w14:paraId="12560D63">
      <w:pPr>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企业名称（盖章）：        </w:t>
      </w:r>
    </w:p>
    <w:p w14:paraId="023D2365">
      <w:pPr>
        <w:wordWrap w:val="0"/>
        <w:spacing w:line="360" w:lineRule="auto"/>
        <w:ind w:firstLine="480" w:firstLineChars="200"/>
        <w:jc w:val="right"/>
        <w:rPr>
          <w:rFonts w:ascii="宋体" w:hAnsi="宋体" w:cs="宋体"/>
          <w:color w:val="auto"/>
          <w:sz w:val="24"/>
          <w:highlight w:val="none"/>
        </w:rPr>
      </w:pPr>
    </w:p>
    <w:p w14:paraId="6188BBF6">
      <w:pPr>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日 期：                  </w:t>
      </w:r>
    </w:p>
    <w:p w14:paraId="090A68C0">
      <w:pPr>
        <w:spacing w:line="360" w:lineRule="auto"/>
        <w:rPr>
          <w:rFonts w:ascii="宋体" w:hAnsi="宋体" w:cs="宋体"/>
          <w:color w:val="auto"/>
          <w:sz w:val="24"/>
          <w:highlight w:val="none"/>
        </w:rPr>
      </w:pPr>
    </w:p>
    <w:p w14:paraId="2EA3C7D1">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6"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15875">
                          <a:solidFill>
                            <a:srgbClr val="000000"/>
                          </a:solidFill>
                          <a:miter lim="800000"/>
                        </a:ln>
                        <a:effectLst/>
                      </wps:spPr>
                      <wps:bodyPr/>
                    </wps:wsp>
                  </a:graphicData>
                </a:graphic>
              </wp:anchor>
            </w:drawing>
          </mc:Choice>
          <mc:Fallback>
            <w:pict>
              <v:line id="直接连接符 3" o:spid="_x0000_s1026" o:spt="20" style="position:absolute;left:0pt;margin-left:0.4pt;margin-top:16.5pt;height:0pt;width:235pt;z-index:25166950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PKdzunwAQAAxwMAAA4AAABkcnMvZTJvRG9jLnhtbK1TS44TMRDd&#10;I3EHy3vSSSBDaKUzi0TDZoBIMxyg4nanLWyXZTvp5BJcAIkdrFiy5zYzcwzKzocwbGZBL6y2q+r5&#10;vVflyeXWaLaRPii0FR/0+pxJK7BWdlXxj7dXL8achQi2Bo1WVnwnA7+cPn826Vwph9iirqVnBGJD&#10;2bmKtzG6siiCaKWB0EMnLQUb9AYibf2qqD10hG50Mez3L4oOfe08ChkCnc73QX5A9E8BxKZRQs5R&#10;rI20cY/qpYZIkkKrXODTzLZppIgfmibIyHTFSWnMK11C/8u0FtMJlCsPrlXiQAGeQuGRJgPK0qUn&#10;qDlEYGuv/oEySngM2MSeQFPshWRHSMWg/8ibmxaczFrI6uBOpof/ByvebxaeqZom4YIzC4Y6fv/l&#10;593nbw+/vtJ6/+M7e5lc6lwoKXlmFz7pFFt7465RfArM4qwFu5KZ7e3OEcIgVRR/laRNcHTXsnuH&#10;NeXAOmK2bNt4kyDJDLbNndmdOiO3kQk6HL4Zvxr1qWniGCugPBY6H+JbiYaln4prZZNpUMLmOsRE&#10;BMpjSjq2eKW0zo3XlnXEdjR+PcoVAbWqUzTlBb9azrRnG0izk78siyLnaUZFeg9amYqPz5O0TSAy&#10;z+CBx9GDvZtLrHcLfzSK+puZHmYxDdD5Ptv55/1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FKqV0wAAAAYBAAAPAAAAAAAAAAEAIAAAACIAAABkcnMvZG93bnJldi54bWxQSwECFAAUAAAACACH&#10;TuJA8p3O6fABAADHAwAADgAAAAAAAAABACAAAAAiAQAAZHJzL2Uyb0RvYy54bWxQSwUGAAAAAAYA&#10;BgBZAQAAhAUAAAAA&#10;">
                <v:fill on="f" focussize="0,0"/>
                <v:stroke weight="1.25pt" color="#000000" miterlimit="8" joinstyle="miter"/>
                <v:imagedata o:title=""/>
                <o:lock v:ext="edit" aspectratio="f"/>
              </v:line>
            </w:pict>
          </mc:Fallback>
        </mc:AlternateContent>
      </w:r>
    </w:p>
    <w:p w14:paraId="1732D3BE">
      <w:pPr>
        <w:kinsoku/>
        <w:overflowPunct/>
        <w:topLinePunct w:val="0"/>
        <w:bidi w:val="0"/>
        <w:spacing w:beforeAutospacing="0" w:afterAutospacing="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5A8B6555">
      <w:pPr>
        <w:kinsoku/>
        <w:overflowPunct/>
        <w:topLinePunct w:val="0"/>
        <w:bidi w:val="0"/>
        <w:spacing w:beforeAutospacing="0" w:afterAutospacing="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1.填写要求：①“标的名称”、“采购文件中明确的所属行业”依据</w:t>
      </w:r>
      <w:r>
        <w:rPr>
          <w:rFonts w:hint="eastAsia" w:ascii="宋体" w:hAnsi="宋体" w:cs="宋体"/>
          <w:b/>
          <w:color w:val="auto"/>
          <w:sz w:val="24"/>
          <w:szCs w:val="24"/>
          <w:highlight w:val="none"/>
          <w:lang w:eastAsia="zh-CN"/>
        </w:rPr>
        <w:t>采购文件</w:t>
      </w:r>
      <w:r>
        <w:rPr>
          <w:rFonts w:hint="eastAsia" w:ascii="宋体" w:hAnsi="宋体" w:eastAsia="宋体" w:cs="宋体"/>
          <w:b/>
          <w:color w:val="auto"/>
          <w:sz w:val="24"/>
          <w:szCs w:val="24"/>
          <w:highlight w:val="none"/>
        </w:rPr>
        <w:t>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eastAsia="宋体" w:cs="宋体"/>
          <w:color w:val="auto"/>
          <w:sz w:val="24"/>
          <w:szCs w:val="24"/>
          <w:highlight w:val="none"/>
        </w:rPr>
        <w:t>如国家颁布新的企业划型标准，则按最新标准执行。</w:t>
      </w:r>
      <w:r>
        <w:rPr>
          <w:rFonts w:hint="eastAsia" w:ascii="宋体" w:hAnsi="宋体" w:eastAsia="宋体" w:cs="宋体"/>
          <w:b/>
          <w:color w:val="auto"/>
          <w:sz w:val="24"/>
          <w:szCs w:val="24"/>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3B4AE802">
      <w:pPr>
        <w:pStyle w:val="2"/>
        <w:keepNext w:val="0"/>
        <w:keepLines w:val="0"/>
        <w:pageBreakBefore/>
        <w:widowControl w:val="0"/>
        <w:kinsoku/>
        <w:wordWrap/>
        <w:overflowPunct/>
        <w:topLinePunct w:val="0"/>
        <w:autoSpaceDE/>
        <w:autoSpaceDN/>
        <w:bidi w:val="0"/>
        <w:adjustRightInd/>
        <w:snapToGrid/>
        <w:spacing w:line="360" w:lineRule="auto"/>
        <w:ind w:left="420" w:firstLine="643"/>
        <w:jc w:val="center"/>
        <w:textAlignment w:val="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eastAsia="zh-CN"/>
        </w:rPr>
        <w:t>标项二：</w:t>
      </w:r>
      <w:r>
        <w:rPr>
          <w:rFonts w:hint="eastAsia" w:ascii="宋体" w:hAnsi="宋体" w:cs="宋体"/>
          <w:b/>
          <w:color w:val="auto"/>
          <w:sz w:val="32"/>
          <w:szCs w:val="32"/>
          <w:highlight w:val="none"/>
        </w:rPr>
        <w:t>中小企业声明函（货物）</w:t>
      </w:r>
    </w:p>
    <w:p w14:paraId="1B74DC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AA26A0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水平垂直燃烧试验机</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D4D8A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汽车内饰垂直燃烧测试仪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7CCD7E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纺织品垂直燃烧试验机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04D6D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智能型氧指数测试仪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443311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电线电缆燃烧试验机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505DAB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建筑材料烟密度测试仪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492290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u w:val="single"/>
        </w:rPr>
        <w:t xml:space="preserve"> 恒温恒湿试验箱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77A7C1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通风柜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536646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供气系统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1F16EFDB">
      <w:pPr>
        <w:spacing w:line="360" w:lineRule="auto"/>
        <w:ind w:firstLine="480" w:firstLineChars="200"/>
        <w:rPr>
          <w:rFonts w:ascii="宋体" w:hAnsi="宋体" w:cs="宋体"/>
          <w:color w:val="auto"/>
          <w:sz w:val="24"/>
          <w:highlight w:val="none"/>
        </w:rPr>
      </w:pPr>
    </w:p>
    <w:p w14:paraId="0D2FB0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DAC74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BD24374">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44DC788C">
      <w:pPr>
        <w:numPr>
          <w:ilvl w:val="0"/>
          <w:numId w:val="13"/>
        </w:numPr>
        <w:spacing w:line="360" w:lineRule="auto"/>
        <w:ind w:left="435"/>
        <w:rPr>
          <w:rFonts w:ascii="宋体" w:hAnsi="宋体"/>
          <w:color w:val="auto"/>
          <w:szCs w:val="21"/>
          <w:highlight w:val="none"/>
        </w:rPr>
      </w:pPr>
      <w:r>
        <w:rPr>
          <w:rFonts w:hint="eastAsia" w:ascii="宋体" w:hAnsi="宋体"/>
          <w:color w:val="auto"/>
          <w:szCs w:val="21"/>
          <w:highlight w:val="none"/>
        </w:rPr>
        <w:t>如响应产品由小微企业生产，则需提供中小企业声明函。</w:t>
      </w:r>
    </w:p>
    <w:p w14:paraId="1D806C72">
      <w:pPr>
        <w:numPr>
          <w:ilvl w:val="0"/>
          <w:numId w:val="13"/>
        </w:numPr>
        <w:spacing w:line="360" w:lineRule="auto"/>
        <w:ind w:left="435"/>
        <w:rPr>
          <w:rFonts w:ascii="宋体" w:hAnsi="宋体"/>
          <w:color w:val="auto"/>
          <w:szCs w:val="21"/>
          <w:highlight w:val="none"/>
        </w:rPr>
      </w:pPr>
      <w:r>
        <w:rPr>
          <w:rFonts w:hint="eastAsia" w:ascii="宋体" w:hAnsi="宋体"/>
          <w:color w:val="auto"/>
          <w:szCs w:val="21"/>
          <w:highlight w:val="none"/>
        </w:rPr>
        <w:t>小微企业提供的货物既有中小企业制造货物，也有大型企业制造货物的，不享受中小企业扶持政策。</w:t>
      </w:r>
    </w:p>
    <w:p w14:paraId="4B3FA289">
      <w:pPr>
        <w:numPr>
          <w:ilvl w:val="0"/>
          <w:numId w:val="13"/>
        </w:numPr>
        <w:spacing w:line="360" w:lineRule="auto"/>
        <w:ind w:left="435"/>
        <w:rPr>
          <w:rFonts w:ascii="宋体" w:hAnsi="宋体"/>
          <w:color w:val="auto"/>
          <w:szCs w:val="21"/>
          <w:highlight w:val="none"/>
        </w:rPr>
      </w:pPr>
      <w:r>
        <w:rPr>
          <w:rFonts w:hint="eastAsia" w:ascii="宋体" w:hAnsi="宋体"/>
          <w:color w:val="auto"/>
          <w:szCs w:val="21"/>
          <w:highlight w:val="none"/>
        </w:rPr>
        <w:t>如成交人声明为小微企业，本声明函将随成交结果同时公告，接受社会监督。</w:t>
      </w:r>
    </w:p>
    <w:p w14:paraId="68011FB5">
      <w:pPr>
        <w:wordWrap w:val="0"/>
        <w:spacing w:line="360" w:lineRule="auto"/>
        <w:rPr>
          <w:rFonts w:ascii="宋体" w:hAnsi="宋体" w:cs="宋体"/>
          <w:color w:val="auto"/>
          <w:sz w:val="24"/>
          <w:highlight w:val="none"/>
        </w:rPr>
      </w:pPr>
    </w:p>
    <w:p w14:paraId="7E822CBC">
      <w:pPr>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企业名称（盖章）：        </w:t>
      </w:r>
    </w:p>
    <w:p w14:paraId="4CA9A97D">
      <w:pPr>
        <w:wordWrap w:val="0"/>
        <w:spacing w:line="360" w:lineRule="auto"/>
        <w:ind w:firstLine="480" w:firstLineChars="200"/>
        <w:jc w:val="right"/>
        <w:rPr>
          <w:rFonts w:ascii="宋体" w:hAnsi="宋体" w:cs="宋体"/>
          <w:color w:val="auto"/>
          <w:sz w:val="24"/>
          <w:highlight w:val="none"/>
        </w:rPr>
      </w:pPr>
    </w:p>
    <w:p w14:paraId="06E22F07">
      <w:pPr>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日 期：                  </w:t>
      </w:r>
    </w:p>
    <w:p w14:paraId="1258387C">
      <w:pPr>
        <w:spacing w:line="360" w:lineRule="auto"/>
        <w:rPr>
          <w:rFonts w:ascii="宋体" w:hAnsi="宋体" w:cs="宋体"/>
          <w:color w:val="auto"/>
          <w:sz w:val="24"/>
          <w:highlight w:val="none"/>
        </w:rPr>
      </w:pPr>
    </w:p>
    <w:p w14:paraId="41A905B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7"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15875">
                          <a:solidFill>
                            <a:srgbClr val="000000"/>
                          </a:solidFill>
                          <a:miter lim="800000"/>
                        </a:ln>
                        <a:effectLst/>
                      </wps:spPr>
                      <wps:bodyPr/>
                    </wps:wsp>
                  </a:graphicData>
                </a:graphic>
              </wp:anchor>
            </w:drawing>
          </mc:Choice>
          <mc:Fallback>
            <w:pict>
              <v:line id="直接连接符 3" o:spid="_x0000_s1026" o:spt="20" style="position:absolute;left:0pt;margin-left:0.4pt;margin-top:16.5pt;height:0pt;width:235pt;z-index:25167052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LhmltLwAQAAxwMAAA4AAABkcnMvZTJvRG9jLnhtbK1TS44TMRDd&#10;I3EHy3vSSSBMaKUzi0TDZoBIMxzAcbvTFrbLcjnp5BJcAIkdrFiy5zYzcwzKzocwbGZBL6y2q+r5&#10;vVflyeXWGrZRATW4ig96fc6Uk1Brt6r4x9urF2POMApXCwNOVXynkF9Onz+bdL5UQ2jB1CowAnFY&#10;dr7ibYy+LAqUrbICe+CVo2ADwYpI27Aq6iA6QremGPb7r4sOQu0DSIVIp/N9kB8Qw1MAoWm0VHOQ&#10;a6tc3KMGZUQkSdhqj3ya2TaNkvFD06CKzFSclMa80iX0v0xrMZ2IchWEb7U8UBBPofBIkxXa0aUn&#10;qLmIgq2D/gfKahkAoYk9CbbYC8mOkIpB/5E3N63wKmshq9GfTMf/ByvfbxaB6Zom4YIzJyx1/P7L&#10;z7vP3x5+faX1/sd39jK51HksKXnmFiHplFt3469BfkLmYNYKt1KZ7e3OE8IgVRR/laQNerpr2b2D&#10;mnLEOkK2bNsEmyDJDLbNndmdOqO2kUk6HL4Zvxr1qWnyGCtEeSz0AeNbBZaln4ob7ZJpohSba4yJ&#10;iCiPKenYwZU2JjfeONYR29H4YpQrEIyuUzTlYVgtZyawjUizk78siyLnaVZHeg9G24qPz5OMSyAq&#10;z+CBx9GDvZtLqHeLcDSK+puZHmYxDdD5Ptv55/1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FKqV0wAAAAYBAAAPAAAAAAAAAAEAIAAAACIAAABkcnMvZG93bnJldi54bWxQSwECFAAUAAAACACH&#10;TuJAuGaW0vABAADHAwAADgAAAAAAAAABACAAAAAiAQAAZHJzL2Uyb0RvYy54bWxQSwUGAAAAAAYA&#10;BgBZAQAAhAUAAAAA&#10;">
                <v:fill on="f" focussize="0,0"/>
                <v:stroke weight="1.25pt" color="#000000" miterlimit="8" joinstyle="miter"/>
                <v:imagedata o:title=""/>
                <o:lock v:ext="edit" aspectratio="f"/>
              </v:line>
            </w:pict>
          </mc:Fallback>
        </mc:AlternateContent>
      </w:r>
    </w:p>
    <w:p w14:paraId="499819DB">
      <w:pPr>
        <w:kinsoku/>
        <w:overflowPunct/>
        <w:topLinePunct w:val="0"/>
        <w:bidi w:val="0"/>
        <w:spacing w:beforeAutospacing="0" w:afterAutospacing="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5890C87F">
      <w:pPr>
        <w:kinsoku/>
        <w:overflowPunct/>
        <w:topLinePunct w:val="0"/>
        <w:bidi w:val="0"/>
        <w:spacing w:beforeAutospacing="0" w:afterAutospacing="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1.填写要求：①“标的名称”、“采购文件中明确的所属行业”依据</w:t>
      </w:r>
      <w:r>
        <w:rPr>
          <w:rFonts w:hint="eastAsia" w:ascii="宋体" w:hAnsi="宋体" w:cs="宋体"/>
          <w:b/>
          <w:color w:val="auto"/>
          <w:sz w:val="24"/>
          <w:szCs w:val="24"/>
          <w:highlight w:val="none"/>
          <w:lang w:eastAsia="zh-CN"/>
        </w:rPr>
        <w:t>采购文件</w:t>
      </w:r>
      <w:r>
        <w:rPr>
          <w:rFonts w:hint="eastAsia" w:ascii="宋体" w:hAnsi="宋体" w:eastAsia="宋体" w:cs="宋体"/>
          <w:b/>
          <w:color w:val="auto"/>
          <w:sz w:val="24"/>
          <w:szCs w:val="24"/>
          <w:highlight w:val="none"/>
        </w:rPr>
        <w:t>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eastAsia="宋体" w:cs="宋体"/>
          <w:color w:val="auto"/>
          <w:sz w:val="24"/>
          <w:szCs w:val="24"/>
          <w:highlight w:val="none"/>
        </w:rPr>
        <w:t>如国家颁布新的企业划型标准，则按最新标准执行。</w:t>
      </w:r>
      <w:r>
        <w:rPr>
          <w:rFonts w:hint="eastAsia" w:ascii="宋体" w:hAnsi="宋体" w:eastAsia="宋体" w:cs="宋体"/>
          <w:b/>
          <w:color w:val="auto"/>
          <w:sz w:val="24"/>
          <w:szCs w:val="24"/>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4AD51355">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四</w:t>
      </w:r>
      <w:r>
        <w:rPr>
          <w:rFonts w:hint="eastAsia" w:cs="宋体" w:asciiTheme="minorEastAsia" w:hAnsiTheme="minorEastAsia" w:eastAsiaTheme="minorEastAsia"/>
          <w:b/>
          <w:bCs/>
          <w:color w:val="auto"/>
          <w:kern w:val="0"/>
          <w:sz w:val="32"/>
          <w:szCs w:val="32"/>
          <w:highlight w:val="none"/>
        </w:rPr>
        <w:t>-2、</w:t>
      </w:r>
      <w:r>
        <w:rPr>
          <w:rFonts w:cs="宋体" w:asciiTheme="minorEastAsia" w:hAnsiTheme="minorEastAsia" w:eastAsiaTheme="minorEastAsia"/>
          <w:b/>
          <w:bCs/>
          <w:color w:val="auto"/>
          <w:kern w:val="0"/>
          <w:sz w:val="32"/>
          <w:szCs w:val="32"/>
          <w:highlight w:val="none"/>
        </w:rPr>
        <w:t>残疾人福利性单位声明函</w:t>
      </w:r>
    </w:p>
    <w:p w14:paraId="6318883D">
      <w:pPr>
        <w:snapToGrid w:val="0"/>
        <w:ind w:firstLine="641"/>
        <w:jc w:val="center"/>
        <w:rPr>
          <w:rFonts w:asciiTheme="minorEastAsia" w:hAnsiTheme="minorEastAsia" w:eastAsiaTheme="minorEastAsia"/>
          <w:b/>
          <w:bCs/>
          <w:color w:val="auto"/>
          <w:sz w:val="24"/>
          <w:highlight w:val="none"/>
        </w:rPr>
      </w:pPr>
    </w:p>
    <w:p w14:paraId="04943E6B">
      <w:pPr>
        <w:adjustRightInd w:val="0"/>
        <w:snapToGrid w:val="0"/>
        <w:spacing w:line="600" w:lineRule="auto"/>
        <w:ind w:firstLine="504"/>
        <w:rPr>
          <w:rFonts w:asciiTheme="minorEastAsia" w:hAnsiTheme="minorEastAsia" w:eastAsiaTheme="minorEastAsia"/>
          <w:color w:val="auto"/>
          <w:spacing w:val="6"/>
          <w:sz w:val="24"/>
          <w:highlight w:val="none"/>
        </w:rPr>
      </w:pPr>
      <w:r>
        <w:rPr>
          <w:rFonts w:asciiTheme="minorEastAsia" w:hAnsiTheme="minorEastAsia" w:eastAsiaTheme="minorEastAsia"/>
          <w:color w:val="auto"/>
          <w:spacing w:val="6"/>
          <w:sz w:val="24"/>
          <w:highlight w:val="none"/>
        </w:rPr>
        <w:t>本单位郑重声明，根据《财政部民政部中国残疾人联合会关于促进残疾人就业政府采购政策的通知》（财库</w:t>
      </w:r>
      <w:r>
        <w:rPr>
          <w:rFonts w:asciiTheme="minorEastAsia" w:hAnsiTheme="minorEastAsia" w:eastAsiaTheme="minorEastAsia"/>
          <w:color w:val="auto"/>
          <w:sz w:val="24"/>
          <w:highlight w:val="none"/>
        </w:rPr>
        <w:t>〔2017〕141</w:t>
      </w:r>
      <w:r>
        <w:rPr>
          <w:rFonts w:asciiTheme="minorEastAsia" w:hAnsiTheme="minorEastAsia" w:eastAsiaTheme="minorEastAsia"/>
          <w:color w:val="auto"/>
          <w:spacing w:val="6"/>
          <w:sz w:val="24"/>
          <w:highlight w:val="none"/>
        </w:rPr>
        <w:t>号）的规定，本单位为符合条件的残疾人福利性单位，且本单位参加</w:t>
      </w:r>
      <w:r>
        <w:rPr>
          <w:rFonts w:asciiTheme="minorEastAsia" w:hAnsiTheme="minorEastAsia" w:eastAsiaTheme="minorEastAsia"/>
          <w:color w:val="auto"/>
          <w:spacing w:val="6"/>
          <w:sz w:val="24"/>
          <w:highlight w:val="none"/>
          <w:u w:val="single"/>
        </w:rPr>
        <w:t>（采购人名称）</w:t>
      </w:r>
      <w:r>
        <w:rPr>
          <w:rFonts w:asciiTheme="minorEastAsia" w:hAnsiTheme="minorEastAsia" w:eastAsiaTheme="minorEastAsia"/>
          <w:color w:val="auto"/>
          <w:spacing w:val="6"/>
          <w:sz w:val="24"/>
          <w:highlight w:val="none"/>
        </w:rPr>
        <w:t>单位的</w:t>
      </w:r>
      <w:r>
        <w:rPr>
          <w:rFonts w:asciiTheme="minorEastAsia" w:hAnsiTheme="minorEastAsia" w:eastAsiaTheme="minorEastAsia"/>
          <w:color w:val="auto"/>
          <w:spacing w:val="6"/>
          <w:sz w:val="24"/>
          <w:highlight w:val="none"/>
          <w:u w:val="single"/>
        </w:rPr>
        <w:t>（项目名称）</w:t>
      </w:r>
      <w:r>
        <w:rPr>
          <w:rFonts w:asciiTheme="minorEastAsia" w:hAnsiTheme="minorEastAsia" w:eastAsiaTheme="minorEastAsia"/>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F2C18D6">
      <w:pPr>
        <w:adjustRightInd w:val="0"/>
        <w:snapToGrid w:val="0"/>
        <w:spacing w:line="600" w:lineRule="auto"/>
        <w:ind w:firstLine="504"/>
        <w:rPr>
          <w:rFonts w:asciiTheme="minorEastAsia" w:hAnsiTheme="minorEastAsia" w:eastAsiaTheme="minorEastAsia"/>
          <w:color w:val="auto"/>
          <w:spacing w:val="6"/>
          <w:sz w:val="24"/>
          <w:highlight w:val="none"/>
        </w:rPr>
      </w:pPr>
      <w:r>
        <w:rPr>
          <w:rFonts w:asciiTheme="minorEastAsia" w:hAnsiTheme="minorEastAsia" w:eastAsiaTheme="minorEastAsia"/>
          <w:color w:val="auto"/>
          <w:spacing w:val="6"/>
          <w:sz w:val="24"/>
          <w:highlight w:val="none"/>
        </w:rPr>
        <w:t>本单位对上述声明的真实性负责。如有虚假，将依法承担相应责任。</w:t>
      </w:r>
    </w:p>
    <w:p w14:paraId="15C5B06A">
      <w:pPr>
        <w:snapToGrid w:val="0"/>
        <w:spacing w:line="600" w:lineRule="auto"/>
        <w:ind w:firstLine="504"/>
        <w:rPr>
          <w:rFonts w:asciiTheme="minorEastAsia" w:hAnsiTheme="minorEastAsia" w:eastAsiaTheme="minorEastAsia"/>
          <w:color w:val="auto"/>
          <w:spacing w:val="6"/>
          <w:sz w:val="24"/>
          <w:highlight w:val="none"/>
        </w:rPr>
      </w:pPr>
    </w:p>
    <w:p w14:paraId="379214DC">
      <w:pPr>
        <w:snapToGrid w:val="0"/>
        <w:spacing w:line="600" w:lineRule="auto"/>
        <w:ind w:firstLine="504"/>
        <w:jc w:val="right"/>
        <w:rPr>
          <w:rFonts w:asciiTheme="minorEastAsia" w:hAnsiTheme="minorEastAsia" w:eastAsiaTheme="minorEastAsia"/>
          <w:color w:val="auto"/>
          <w:spacing w:val="6"/>
          <w:sz w:val="24"/>
          <w:highlight w:val="none"/>
        </w:rPr>
      </w:pPr>
    </w:p>
    <w:p w14:paraId="002BCDD5">
      <w:pPr>
        <w:adjustRightInd w:val="0"/>
        <w:snapToGrid w:val="0"/>
        <w:spacing w:line="600" w:lineRule="auto"/>
        <w:ind w:firstLine="480"/>
        <w:jc w:val="right"/>
        <w:rPr>
          <w:rFonts w:asciiTheme="minorEastAsia" w:hAnsiTheme="minorEastAsia" w:eastAsiaTheme="minorEastAsia"/>
          <w:color w:val="auto"/>
          <w:kern w:val="0"/>
          <w:sz w:val="24"/>
          <w:highlight w:val="none"/>
          <w:u w:val="single"/>
        </w:rPr>
      </w:pPr>
      <w:r>
        <w:rPr>
          <w:rFonts w:asciiTheme="minorEastAsia" w:hAnsiTheme="minorEastAsia" w:eastAsiaTheme="minorEastAsia"/>
          <w:color w:val="auto"/>
          <w:kern w:val="0"/>
          <w:sz w:val="24"/>
          <w:highlight w:val="none"/>
        </w:rPr>
        <w:t>投标人名称（盖章）：</w:t>
      </w:r>
    </w:p>
    <w:p w14:paraId="01FE4722">
      <w:pPr>
        <w:pStyle w:val="95"/>
        <w:spacing w:line="600" w:lineRule="auto"/>
        <w:ind w:firstLine="480"/>
        <w:jc w:val="righ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日期：20</w:t>
      </w:r>
      <w:r>
        <w:rPr>
          <w:rFonts w:hint="eastAsia" w:asciiTheme="minorEastAsia" w:hAnsiTheme="minorEastAsia"/>
          <w:color w:val="auto"/>
          <w:sz w:val="24"/>
          <w:szCs w:val="24"/>
          <w:highlight w:val="none"/>
        </w:rPr>
        <w:t>2</w:t>
      </w:r>
      <w:r>
        <w:rPr>
          <w:rFonts w:hint="eastAsia" w:asciiTheme="minorEastAsia" w:hAnsiTheme="minorEastAsia"/>
          <w:color w:val="auto"/>
          <w:sz w:val="24"/>
          <w:szCs w:val="24"/>
          <w:highlight w:val="none"/>
          <w:lang w:val="en-US" w:eastAsia="zh-CN"/>
        </w:rPr>
        <w:t>5</w:t>
      </w:r>
      <w:r>
        <w:rPr>
          <w:rFonts w:hint="eastAsia" w:asciiTheme="minorEastAsia" w:hAnsiTheme="minorEastAsia"/>
          <w:color w:val="auto"/>
          <w:sz w:val="24"/>
          <w:szCs w:val="24"/>
          <w:highlight w:val="none"/>
        </w:rPr>
        <w:t>年</w:t>
      </w:r>
      <w:r>
        <w:rPr>
          <w:rFonts w:hint="eastAsia" w:asciiTheme="minorEastAsia" w:hAnsiTheme="minorEastAsia"/>
          <w:color w:val="auto"/>
          <w:sz w:val="24"/>
          <w:szCs w:val="24"/>
          <w:highlight w:val="none"/>
          <w:lang w:val="en-US" w:eastAsia="zh-CN"/>
        </w:rPr>
        <w:t xml:space="preserve">   </w:t>
      </w:r>
      <w:r>
        <w:rPr>
          <w:rFonts w:hint="eastAsia" w:asciiTheme="minorEastAsia" w:hAnsiTheme="minorEastAsia"/>
          <w:color w:val="auto"/>
          <w:sz w:val="24"/>
          <w:szCs w:val="24"/>
          <w:highlight w:val="none"/>
        </w:rPr>
        <w:t>月</w:t>
      </w:r>
      <w:r>
        <w:rPr>
          <w:rFonts w:hint="eastAsia" w:asciiTheme="minorEastAsia" w:hAnsiTheme="minorEastAsia"/>
          <w:color w:val="auto"/>
          <w:sz w:val="24"/>
          <w:szCs w:val="24"/>
          <w:highlight w:val="none"/>
          <w:lang w:val="en-US" w:eastAsia="zh-CN"/>
        </w:rPr>
        <w:t xml:space="preserve">   </w:t>
      </w:r>
      <w:r>
        <w:rPr>
          <w:rFonts w:hint="eastAsia" w:asciiTheme="minorEastAsia" w:hAnsiTheme="minorEastAsia"/>
          <w:color w:val="auto"/>
          <w:sz w:val="24"/>
          <w:szCs w:val="24"/>
          <w:highlight w:val="none"/>
        </w:rPr>
        <w:t>日</w:t>
      </w:r>
    </w:p>
    <w:p w14:paraId="6FE3B31B">
      <w:pPr>
        <w:rPr>
          <w:rFonts w:hint="eastAsia" w:asciiTheme="minorEastAsia" w:hAnsiTheme="minorEastAsia"/>
          <w:color w:val="auto"/>
          <w:sz w:val="24"/>
          <w:szCs w:val="24"/>
          <w:highlight w:val="none"/>
        </w:rPr>
      </w:pPr>
    </w:p>
    <w:p w14:paraId="138D0AFD">
      <w:pPr>
        <w:pStyle w:val="95"/>
        <w:spacing w:line="600" w:lineRule="auto"/>
        <w:ind w:firstLine="480"/>
        <w:jc w:val="right"/>
        <w:rPr>
          <w:rFonts w:hint="eastAsia" w:asciiTheme="minorEastAsia" w:hAnsiTheme="minorEastAsia"/>
          <w:color w:val="auto"/>
          <w:sz w:val="24"/>
          <w:szCs w:val="24"/>
          <w:highlight w:val="none"/>
        </w:rPr>
      </w:pPr>
    </w:p>
    <w:p w14:paraId="460B958F">
      <w:pPr>
        <w:pageBreakBefore/>
        <w:spacing w:line="360" w:lineRule="auto"/>
        <w:ind w:right="-108"/>
        <w:jc w:val="center"/>
        <w:outlineLvl w:val="0"/>
        <w:rPr>
          <w:rFonts w:asciiTheme="minorEastAsia" w:hAnsiTheme="minorEastAsia" w:eastAsiaTheme="minorEastAsia"/>
          <w:color w:val="auto"/>
          <w:spacing w:val="40"/>
          <w:sz w:val="52"/>
          <w:szCs w:val="52"/>
          <w:highlight w:val="none"/>
        </w:rPr>
      </w:pPr>
      <w:bookmarkStart w:id="81" w:name="_Toc29941"/>
      <w:bookmarkStart w:id="82" w:name="_Toc24755"/>
      <w:bookmarkStart w:id="83" w:name="_Toc12630"/>
      <w:bookmarkStart w:id="84" w:name="_Toc4606"/>
      <w:bookmarkStart w:id="85" w:name="_Toc11790"/>
      <w:bookmarkStart w:id="86" w:name="_Toc30629"/>
      <w:bookmarkStart w:id="87" w:name="_Toc23725"/>
      <w:bookmarkStart w:id="88" w:name="_Toc17190"/>
      <w:r>
        <w:rPr>
          <w:rFonts w:hint="eastAsia" w:asciiTheme="minorEastAsia" w:hAnsiTheme="minorEastAsia" w:eastAsiaTheme="minorEastAsia"/>
          <w:color w:val="auto"/>
          <w:spacing w:val="40"/>
          <w:sz w:val="52"/>
          <w:szCs w:val="52"/>
          <w:highlight w:val="none"/>
        </w:rPr>
        <w:t>项目名称</w:t>
      </w:r>
      <w:bookmarkEnd w:id="81"/>
      <w:bookmarkEnd w:id="82"/>
      <w:bookmarkEnd w:id="83"/>
      <w:bookmarkEnd w:id="84"/>
      <w:bookmarkEnd w:id="85"/>
      <w:bookmarkEnd w:id="86"/>
      <w:bookmarkEnd w:id="87"/>
      <w:bookmarkEnd w:id="88"/>
    </w:p>
    <w:p w14:paraId="6104A35D">
      <w:pPr>
        <w:spacing w:beforeLines="100" w:line="360" w:lineRule="auto"/>
        <w:ind w:right="-108"/>
        <w:jc w:val="center"/>
        <w:rPr>
          <w:rFonts w:hint="eastAsia" w:asciiTheme="minorEastAsia" w:hAnsiTheme="minorEastAsia" w:eastAsiaTheme="minorEastAsia"/>
          <w:color w:val="auto"/>
          <w:sz w:val="36"/>
          <w:szCs w:val="36"/>
          <w:highlight w:val="none"/>
          <w:lang w:eastAsia="zh-CN"/>
        </w:rPr>
      </w:pPr>
      <w:r>
        <w:rPr>
          <w:rFonts w:hint="eastAsia" w:asciiTheme="minorEastAsia" w:hAnsiTheme="minorEastAsia" w:eastAsiaTheme="minorEastAsia"/>
          <w:color w:val="auto"/>
          <w:sz w:val="36"/>
          <w:szCs w:val="36"/>
          <w:highlight w:val="none"/>
        </w:rPr>
        <w:t xml:space="preserve">项目编号：   </w:t>
      </w:r>
      <w:r>
        <w:rPr>
          <w:rFonts w:hint="eastAsia" w:asciiTheme="minorEastAsia" w:hAnsiTheme="minorEastAsia" w:eastAsiaTheme="minorEastAsia"/>
          <w:color w:val="auto"/>
          <w:sz w:val="36"/>
          <w:szCs w:val="36"/>
          <w:highlight w:val="none"/>
          <w:lang w:eastAsia="zh-CN"/>
        </w:rPr>
        <w:t>标项号：</w:t>
      </w:r>
    </w:p>
    <w:p w14:paraId="44C6AA0C">
      <w:pPr>
        <w:spacing w:beforeLines="100" w:line="360" w:lineRule="auto"/>
        <w:ind w:right="-108"/>
        <w:jc w:val="center"/>
        <w:rPr>
          <w:rFonts w:cs="宋体" w:asciiTheme="minorEastAsia" w:hAnsiTheme="minorEastAsia" w:eastAsiaTheme="minorEastAsia"/>
          <w:color w:val="auto"/>
          <w:sz w:val="84"/>
          <w:szCs w:val="84"/>
          <w:highlight w:val="none"/>
          <w:lang w:val="zh-CN"/>
        </w:rPr>
      </w:pPr>
      <w:r>
        <w:rPr>
          <w:rFonts w:hint="eastAsia" w:cs="宋体" w:asciiTheme="minorEastAsia" w:hAnsiTheme="minorEastAsia" w:eastAsiaTheme="minorEastAsia"/>
          <w:color w:val="auto"/>
          <w:sz w:val="84"/>
          <w:szCs w:val="84"/>
          <w:highlight w:val="none"/>
          <w:lang w:val="zh-CN"/>
        </w:rPr>
        <w:t>投</w:t>
      </w:r>
    </w:p>
    <w:p w14:paraId="02C9751B">
      <w:pPr>
        <w:autoSpaceDE w:val="0"/>
        <w:autoSpaceDN w:val="0"/>
        <w:adjustRightInd w:val="0"/>
        <w:spacing w:line="360" w:lineRule="auto"/>
        <w:jc w:val="center"/>
        <w:rPr>
          <w:rFonts w:cs="宋体" w:asciiTheme="minorEastAsia" w:hAnsiTheme="minorEastAsia" w:eastAsiaTheme="minorEastAsia"/>
          <w:color w:val="auto"/>
          <w:sz w:val="84"/>
          <w:szCs w:val="84"/>
          <w:highlight w:val="none"/>
          <w:lang w:val="zh-CN"/>
        </w:rPr>
      </w:pPr>
      <w:r>
        <w:rPr>
          <w:rFonts w:hint="eastAsia" w:cs="宋体" w:asciiTheme="minorEastAsia" w:hAnsiTheme="minorEastAsia" w:eastAsiaTheme="minorEastAsia"/>
          <w:color w:val="auto"/>
          <w:sz w:val="84"/>
          <w:szCs w:val="84"/>
          <w:highlight w:val="none"/>
          <w:lang w:val="zh-CN"/>
        </w:rPr>
        <w:t>标</w:t>
      </w:r>
    </w:p>
    <w:p w14:paraId="68680C52">
      <w:pPr>
        <w:autoSpaceDE w:val="0"/>
        <w:autoSpaceDN w:val="0"/>
        <w:adjustRightInd w:val="0"/>
        <w:spacing w:line="360" w:lineRule="auto"/>
        <w:jc w:val="center"/>
        <w:rPr>
          <w:rFonts w:asciiTheme="minorEastAsia" w:hAnsiTheme="minorEastAsia" w:eastAsiaTheme="minorEastAsia"/>
          <w:color w:val="auto"/>
          <w:sz w:val="84"/>
          <w:szCs w:val="84"/>
          <w:highlight w:val="none"/>
        </w:rPr>
      </w:pPr>
      <w:r>
        <w:rPr>
          <w:rFonts w:hint="eastAsia" w:cs="宋体" w:asciiTheme="minorEastAsia" w:hAnsiTheme="minorEastAsia" w:eastAsiaTheme="minorEastAsia"/>
          <w:color w:val="auto"/>
          <w:sz w:val="84"/>
          <w:szCs w:val="84"/>
          <w:highlight w:val="none"/>
          <w:lang w:val="zh-CN"/>
        </w:rPr>
        <w:t>文</w:t>
      </w:r>
    </w:p>
    <w:p w14:paraId="4BA2693C">
      <w:pPr>
        <w:spacing w:after="100" w:afterAutospacing="1" w:line="360" w:lineRule="auto"/>
        <w:ind w:right="-108"/>
        <w:jc w:val="center"/>
        <w:rPr>
          <w:rFonts w:cs="宋体" w:asciiTheme="minorEastAsia" w:hAnsiTheme="minorEastAsia" w:eastAsiaTheme="minorEastAsia"/>
          <w:color w:val="auto"/>
          <w:sz w:val="84"/>
          <w:szCs w:val="84"/>
          <w:highlight w:val="none"/>
          <w:lang w:val="zh-CN"/>
        </w:rPr>
      </w:pPr>
      <w:r>
        <w:rPr>
          <w:rFonts w:hint="eastAsia" w:cs="宋体" w:asciiTheme="minorEastAsia" w:hAnsiTheme="minorEastAsia" w:eastAsiaTheme="minorEastAsia"/>
          <w:color w:val="auto"/>
          <w:sz w:val="84"/>
          <w:szCs w:val="84"/>
          <w:highlight w:val="none"/>
          <w:lang w:val="zh-CN"/>
        </w:rPr>
        <w:t>件</w:t>
      </w:r>
    </w:p>
    <w:p w14:paraId="5FB41E9C">
      <w:pPr>
        <w:spacing w:after="100" w:afterAutospacing="1" w:line="360" w:lineRule="auto"/>
        <w:ind w:right="-108"/>
        <w:jc w:val="center"/>
        <w:rPr>
          <w:rFonts w:asciiTheme="minorEastAsia" w:hAnsiTheme="minorEastAsia" w:eastAsiaTheme="minorEastAsia"/>
          <w:b/>
          <w:color w:val="auto"/>
          <w:spacing w:val="40"/>
          <w:sz w:val="28"/>
          <w:szCs w:val="28"/>
          <w:highlight w:val="none"/>
        </w:rPr>
      </w:pPr>
      <w:r>
        <w:rPr>
          <w:rFonts w:hint="eastAsia" w:cs="宋体" w:asciiTheme="minorEastAsia" w:hAnsiTheme="minorEastAsia" w:eastAsiaTheme="minorEastAsia"/>
          <w:color w:val="auto"/>
          <w:sz w:val="28"/>
          <w:szCs w:val="28"/>
          <w:highlight w:val="none"/>
          <w:lang w:val="zh-CN"/>
        </w:rPr>
        <w:t>（</w:t>
      </w:r>
      <w:r>
        <w:rPr>
          <w:rFonts w:hint="eastAsia" w:asciiTheme="minorEastAsia" w:hAnsiTheme="minorEastAsia" w:eastAsiaTheme="minorEastAsia"/>
          <w:bCs/>
          <w:color w:val="auto"/>
          <w:sz w:val="24"/>
          <w:highlight w:val="none"/>
          <w:lang w:val="zh-CN"/>
        </w:rPr>
        <w:t>商务与技术文件</w:t>
      </w:r>
      <w:r>
        <w:rPr>
          <w:rFonts w:hint="eastAsia" w:asciiTheme="minorEastAsia" w:hAnsiTheme="minorEastAsia" w:eastAsiaTheme="minorEastAsia"/>
          <w:b/>
          <w:color w:val="auto"/>
          <w:spacing w:val="40"/>
          <w:sz w:val="28"/>
          <w:szCs w:val="28"/>
          <w:highlight w:val="none"/>
        </w:rPr>
        <w:t>）</w:t>
      </w:r>
    </w:p>
    <w:p w14:paraId="78A2DB19">
      <w:pPr>
        <w:spacing w:line="480" w:lineRule="auto"/>
        <w:ind w:right="532" w:firstLine="720" w:firstLineChars="200"/>
        <w:rPr>
          <w:rFonts w:asciiTheme="minorEastAsia" w:hAnsiTheme="minorEastAsia" w:eastAsiaTheme="minorEastAsia"/>
          <w:color w:val="auto"/>
          <w:sz w:val="36"/>
          <w:szCs w:val="36"/>
          <w:highlight w:val="none"/>
        </w:rPr>
      </w:pPr>
    </w:p>
    <w:p w14:paraId="54B562BA">
      <w:pPr>
        <w:spacing w:line="480" w:lineRule="auto"/>
        <w:ind w:right="532" w:firstLine="720" w:firstLineChars="20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投标人名称（公章）：</w:t>
      </w:r>
    </w:p>
    <w:p w14:paraId="2C553937">
      <w:pPr>
        <w:spacing w:line="480" w:lineRule="auto"/>
        <w:ind w:right="532" w:firstLine="720" w:firstLineChars="20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投标人地址：</w:t>
      </w:r>
    </w:p>
    <w:p w14:paraId="0AB8E978">
      <w:pPr>
        <w:spacing w:line="480" w:lineRule="auto"/>
        <w:ind w:right="532" w:firstLine="720" w:firstLineChars="20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时</w:t>
      </w:r>
      <w:r>
        <w:rPr>
          <w:rFonts w:asciiTheme="minorEastAsia" w:hAnsiTheme="minorEastAsia" w:eastAsiaTheme="minorEastAsia"/>
          <w:color w:val="auto"/>
          <w:sz w:val="36"/>
          <w:szCs w:val="36"/>
          <w:highlight w:val="none"/>
        </w:rPr>
        <w:t xml:space="preserve">    间：</w:t>
      </w:r>
    </w:p>
    <w:p w14:paraId="1D103DE7">
      <w:pPr>
        <w:rPr>
          <w:rFonts w:asciiTheme="minorEastAsia" w:hAnsiTheme="minorEastAsia" w:eastAsiaTheme="minorEastAsia"/>
          <w:color w:val="auto"/>
          <w:highlight w:val="none"/>
        </w:rPr>
      </w:pPr>
    </w:p>
    <w:p w14:paraId="5077F40E">
      <w:pPr>
        <w:pStyle w:val="19"/>
        <w:rPr>
          <w:rFonts w:asciiTheme="minorEastAsia" w:hAnsiTheme="minorEastAsia" w:eastAsiaTheme="minorEastAsia"/>
          <w:color w:val="auto"/>
          <w:highlight w:val="none"/>
        </w:rPr>
      </w:pPr>
    </w:p>
    <w:p w14:paraId="7776848D">
      <w:pPr>
        <w:pStyle w:val="27"/>
        <w:rPr>
          <w:rFonts w:asciiTheme="minorEastAsia" w:hAnsiTheme="minorEastAsia" w:eastAsiaTheme="minorEastAsia"/>
          <w:color w:val="auto"/>
          <w:highlight w:val="none"/>
        </w:rPr>
      </w:pPr>
    </w:p>
    <w:p w14:paraId="6FC29359">
      <w:pPr>
        <w:rPr>
          <w:rFonts w:asciiTheme="minorEastAsia" w:hAnsiTheme="minorEastAsia" w:eastAsiaTheme="minorEastAsia"/>
          <w:b/>
          <w:color w:val="auto"/>
          <w:sz w:val="44"/>
          <w:szCs w:val="44"/>
          <w:highlight w:val="none"/>
        </w:rPr>
      </w:pPr>
    </w:p>
    <w:p w14:paraId="7DC63134">
      <w:pPr>
        <w:jc w:val="center"/>
        <w:rPr>
          <w:rFonts w:asciiTheme="minorEastAsia" w:hAnsiTheme="minorEastAsia" w:eastAsiaTheme="minorEastAsia"/>
          <w:b/>
          <w:color w:val="auto"/>
          <w:sz w:val="44"/>
          <w:szCs w:val="44"/>
          <w:highlight w:val="none"/>
        </w:rPr>
        <w:sectPr>
          <w:footerReference r:id="rId8"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FBB0078">
      <w:pPr>
        <w:jc w:val="center"/>
        <w:rPr>
          <w:rFonts w:asciiTheme="minorEastAsia" w:hAnsiTheme="minorEastAsia" w:eastAsiaTheme="minorEastAsia"/>
          <w:b/>
          <w:color w:val="auto"/>
          <w:sz w:val="44"/>
          <w:szCs w:val="44"/>
          <w:highlight w:val="none"/>
        </w:rPr>
      </w:pPr>
      <w:r>
        <w:rPr>
          <w:rFonts w:asciiTheme="minorEastAsia" w:hAnsiTheme="minorEastAsia" w:eastAsiaTheme="minorEastAsia"/>
          <w:b/>
          <w:color w:val="auto"/>
          <w:sz w:val="44"/>
          <w:szCs w:val="44"/>
          <w:highlight w:val="none"/>
        </w:rPr>
        <w:t>技术商务文件</w:t>
      </w:r>
    </w:p>
    <w:p w14:paraId="6C930757">
      <w:pPr>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目录</w:t>
      </w:r>
    </w:p>
    <w:p w14:paraId="2A382616">
      <w:pPr>
        <w:spacing w:line="48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商务技术自评表</w:t>
      </w:r>
      <w:r>
        <w:rPr>
          <w:rFonts w:asciiTheme="minorEastAsia" w:hAnsiTheme="minorEastAsia" w:eastAsiaTheme="minorEastAsia"/>
          <w:color w:val="auto"/>
          <w:sz w:val="24"/>
          <w:highlight w:val="none"/>
        </w:rPr>
        <w:t>…………………………………………………………………………（页码）</w:t>
      </w:r>
    </w:p>
    <w:p w14:paraId="418A94AD">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2、供应商基本情况表</w:t>
      </w:r>
      <w:r>
        <w:rPr>
          <w:rFonts w:asciiTheme="minorEastAsia" w:hAnsiTheme="minorEastAsia" w:eastAsiaTheme="minorEastAsia"/>
          <w:color w:val="auto"/>
          <w:sz w:val="24"/>
          <w:highlight w:val="none"/>
        </w:rPr>
        <w:t>…………………………………………………………………………（页码）</w:t>
      </w:r>
    </w:p>
    <w:p w14:paraId="0317FBB0">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3、法定代表人/负责人授权书</w:t>
      </w:r>
      <w:r>
        <w:rPr>
          <w:rFonts w:asciiTheme="minorEastAsia" w:hAnsiTheme="minorEastAsia" w:eastAsiaTheme="minorEastAsia"/>
          <w:color w:val="auto"/>
          <w:sz w:val="24"/>
          <w:highlight w:val="none"/>
        </w:rPr>
        <w:t>………………………………………………………………（页码）</w:t>
      </w:r>
    </w:p>
    <w:p w14:paraId="4B518313">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、证书一览表</w:t>
      </w:r>
      <w:r>
        <w:rPr>
          <w:rFonts w:asciiTheme="minorEastAsia" w:hAnsiTheme="minorEastAsia" w:eastAsiaTheme="minorEastAsia"/>
          <w:color w:val="auto"/>
          <w:sz w:val="24"/>
          <w:highlight w:val="none"/>
        </w:rPr>
        <w:t>………………………………………………………………………………（页码）</w:t>
      </w:r>
    </w:p>
    <w:p w14:paraId="73BD7799">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供货方案</w:t>
      </w:r>
      <w:r>
        <w:rPr>
          <w:rFonts w:asciiTheme="minorEastAsia" w:hAnsiTheme="minorEastAsia" w:eastAsiaTheme="minorEastAsia"/>
          <w:color w:val="auto"/>
          <w:sz w:val="24"/>
          <w:highlight w:val="none"/>
        </w:rPr>
        <w:t>…………………………………………………………………………………（页码）</w:t>
      </w:r>
    </w:p>
    <w:p w14:paraId="22AEDA5E">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、技术规范偏离表…………………………………………………………………………（页码）</w:t>
      </w:r>
    </w:p>
    <w:p w14:paraId="249FDBFD">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、商务偏离表………………………………………………………………………………（页码）</w:t>
      </w:r>
    </w:p>
    <w:p w14:paraId="11D0D259">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、相关项目实施业绩一览表………………………………………………………………（页码）</w:t>
      </w:r>
    </w:p>
    <w:p w14:paraId="7415F33C">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、售后服务方案……………………………………………………………………………（页码）</w:t>
      </w:r>
    </w:p>
    <w:p w14:paraId="19563773">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10、服务响应承诺函</w:t>
      </w:r>
      <w:r>
        <w:rPr>
          <w:rFonts w:asciiTheme="minorEastAsia" w:hAnsiTheme="minorEastAsia" w:eastAsiaTheme="minorEastAsia"/>
          <w:color w:val="auto"/>
          <w:sz w:val="24"/>
          <w:highlight w:val="none"/>
        </w:rPr>
        <w:t>………………………………………………………………………（页码）</w:t>
      </w:r>
    </w:p>
    <w:p w14:paraId="235BB832">
      <w:pPr>
        <w:spacing w:line="480" w:lineRule="auto"/>
        <w:jc w:val="left"/>
        <w:rPr>
          <w:rFonts w:ascii="宋体" w:hAnsi="宋体"/>
          <w:color w:val="auto"/>
          <w:sz w:val="24"/>
          <w:highlight w:val="none"/>
        </w:rPr>
      </w:pPr>
      <w:r>
        <w:rPr>
          <w:rFonts w:hint="eastAsia" w:asciiTheme="minorEastAsia" w:hAnsiTheme="minorEastAsia" w:eastAsiaTheme="minorEastAsia"/>
          <w:color w:val="auto"/>
          <w:sz w:val="24"/>
          <w:highlight w:val="none"/>
          <w:lang w:val="en-US" w:eastAsia="zh-CN"/>
        </w:rPr>
        <w:t>11</w:t>
      </w:r>
      <w:r>
        <w:rPr>
          <w:rFonts w:hint="eastAsia" w:ascii="宋体" w:hAnsi="宋体"/>
          <w:color w:val="auto"/>
          <w:sz w:val="24"/>
          <w:highlight w:val="none"/>
        </w:rPr>
        <w:t>、评分标准或采购文件需要提供的其他技术商务材料…</w:t>
      </w:r>
      <w:r>
        <w:rPr>
          <w:rFonts w:asciiTheme="minorEastAsia" w:hAnsiTheme="minorEastAsia" w:eastAsiaTheme="minorEastAsia"/>
          <w:color w:val="auto"/>
          <w:sz w:val="24"/>
          <w:highlight w:val="none"/>
        </w:rPr>
        <w:t>………………………</w:t>
      </w:r>
      <w:r>
        <w:rPr>
          <w:rFonts w:hint="eastAsia" w:ascii="宋体" w:hAnsi="宋体"/>
          <w:color w:val="auto"/>
          <w:sz w:val="24"/>
          <w:highlight w:val="none"/>
        </w:rPr>
        <w:t>……（页码）</w:t>
      </w:r>
    </w:p>
    <w:p w14:paraId="40B6926B">
      <w:pPr>
        <w:pStyle w:val="95"/>
        <w:ind w:left="0" w:leftChars="0" w:firstLine="0" w:firstLineChars="0"/>
        <w:rPr>
          <w:rFonts w:eastAsia="宋体" w:cs="Times New Roman"/>
          <w:color w:val="auto"/>
          <w:sz w:val="24"/>
          <w:szCs w:val="24"/>
          <w:highlight w:val="none"/>
        </w:rPr>
      </w:pPr>
      <w:r>
        <w:rPr>
          <w:rFonts w:hint="eastAsia" w:eastAsia="宋体" w:cs="Times New Roman"/>
          <w:color w:val="auto"/>
          <w:sz w:val="24"/>
          <w:szCs w:val="24"/>
          <w:highlight w:val="none"/>
          <w:lang w:val="en-US" w:eastAsia="zh-CN"/>
        </w:rPr>
        <w:t>12</w:t>
      </w:r>
      <w:r>
        <w:rPr>
          <w:rFonts w:hint="eastAsia" w:eastAsia="宋体" w:cs="Times New Roman"/>
          <w:color w:val="auto"/>
          <w:sz w:val="24"/>
          <w:szCs w:val="24"/>
          <w:highlight w:val="none"/>
        </w:rPr>
        <w:t>、供应商认为有必要提供的其他技术商务文件资料………</w:t>
      </w:r>
      <w:r>
        <w:rPr>
          <w:rFonts w:asciiTheme="minorEastAsia" w:hAnsiTheme="minorEastAsia"/>
          <w:color w:val="auto"/>
          <w:sz w:val="24"/>
          <w:highlight w:val="none"/>
        </w:rPr>
        <w:t>………………………</w:t>
      </w:r>
      <w:r>
        <w:rPr>
          <w:rFonts w:hint="eastAsia" w:eastAsia="宋体" w:cs="Times New Roman"/>
          <w:color w:val="auto"/>
          <w:sz w:val="24"/>
          <w:szCs w:val="24"/>
          <w:highlight w:val="none"/>
        </w:rPr>
        <w:t>…（页码）</w:t>
      </w:r>
    </w:p>
    <w:p w14:paraId="3C547F53">
      <w:pPr>
        <w:spacing w:line="48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目录自行扩展)</w:t>
      </w:r>
    </w:p>
    <w:p w14:paraId="68F22D9F">
      <w:pPr>
        <w:pStyle w:val="21"/>
        <w:rPr>
          <w:rFonts w:asciiTheme="minorEastAsia" w:hAnsiTheme="minorEastAsia" w:eastAsiaTheme="minorEastAsia"/>
          <w:color w:val="auto"/>
          <w:highlight w:val="none"/>
        </w:rPr>
      </w:pPr>
    </w:p>
    <w:p w14:paraId="24FFFA9C">
      <w:pPr>
        <w:spacing w:line="360" w:lineRule="auto"/>
        <w:jc w:val="left"/>
        <w:rPr>
          <w:rFonts w:asciiTheme="minorEastAsia" w:hAnsiTheme="minorEastAsia" w:eastAsiaTheme="minorEastAsia"/>
          <w:color w:val="auto"/>
          <w:sz w:val="28"/>
          <w:szCs w:val="28"/>
          <w:highlight w:val="none"/>
        </w:rPr>
      </w:pPr>
    </w:p>
    <w:p w14:paraId="7F8E6F14">
      <w:pPr>
        <w:pStyle w:val="27"/>
        <w:rPr>
          <w:rFonts w:asciiTheme="minorEastAsia" w:hAnsiTheme="minorEastAsia" w:eastAsiaTheme="minorEastAsia"/>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CD2B033">
      <w:pPr>
        <w:pStyle w:val="38"/>
        <w:rPr>
          <w:rFonts w:asciiTheme="minorEastAsia" w:hAnsiTheme="minorEastAsia" w:eastAsiaTheme="minorEastAsia"/>
          <w:color w:val="auto"/>
          <w:highlight w:val="none"/>
        </w:rPr>
      </w:pPr>
    </w:p>
    <w:p w14:paraId="4E026A5F">
      <w:pPr>
        <w:pStyle w:val="112"/>
        <w:numPr>
          <w:ilvl w:val="0"/>
          <w:numId w:val="14"/>
        </w:numPr>
        <w:spacing w:afterLines="50" w:line="360" w:lineRule="auto"/>
        <w:ind w:firstLineChars="0"/>
        <w:jc w:val="center"/>
        <w:outlineLvl w:val="0"/>
        <w:rPr>
          <w:rFonts w:cs="Times New Roman" w:asciiTheme="minorEastAsia" w:hAnsiTheme="minorEastAsia" w:eastAsiaTheme="minorEastAsia"/>
          <w:b/>
          <w:color w:val="auto"/>
          <w:kern w:val="2"/>
          <w:sz w:val="32"/>
          <w:szCs w:val="32"/>
          <w:highlight w:val="none"/>
        </w:rPr>
      </w:pPr>
      <w:bookmarkStart w:id="89" w:name="_Toc28471"/>
      <w:bookmarkStart w:id="90" w:name="_Toc4248"/>
      <w:bookmarkStart w:id="91" w:name="_Toc20566"/>
      <w:bookmarkStart w:id="92" w:name="_Toc1427"/>
      <w:bookmarkStart w:id="93" w:name="_Toc25635"/>
      <w:bookmarkStart w:id="94" w:name="_Toc13033"/>
      <w:bookmarkStart w:id="95" w:name="_Toc27205"/>
      <w:bookmarkStart w:id="96" w:name="_Toc26107"/>
      <w:r>
        <w:rPr>
          <w:rFonts w:hint="eastAsia" w:cs="Times New Roman" w:asciiTheme="minorEastAsia" w:hAnsiTheme="minorEastAsia" w:eastAsiaTheme="minorEastAsia"/>
          <w:b/>
          <w:color w:val="auto"/>
          <w:kern w:val="2"/>
          <w:sz w:val="32"/>
          <w:szCs w:val="32"/>
          <w:highlight w:val="none"/>
        </w:rPr>
        <w:t>商务技术自评表</w:t>
      </w:r>
      <w:bookmarkEnd w:id="89"/>
      <w:bookmarkEnd w:id="90"/>
      <w:bookmarkEnd w:id="91"/>
      <w:bookmarkEnd w:id="92"/>
      <w:bookmarkEnd w:id="93"/>
      <w:bookmarkEnd w:id="94"/>
      <w:bookmarkEnd w:id="95"/>
      <w:bookmarkEnd w:id="96"/>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603F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8860265">
            <w:pPr>
              <w:spacing w:line="360" w:lineRule="exact"/>
              <w:jc w:val="center"/>
              <w:rPr>
                <w:rFonts w:cs="宋体" w:asciiTheme="minorEastAsia" w:hAnsiTheme="minorEastAsia" w:eastAsiaTheme="minorEastAsia"/>
                <w:b/>
                <w:color w:val="auto"/>
                <w:spacing w:val="20"/>
                <w:sz w:val="24"/>
                <w:highlight w:val="none"/>
              </w:rPr>
            </w:pPr>
            <w:r>
              <w:rPr>
                <w:rFonts w:hint="eastAsia" w:cs="宋体" w:asciiTheme="minorEastAsia" w:hAnsiTheme="minorEastAsia" w:eastAsiaTheme="minorEastAsia"/>
                <w:b/>
                <w:color w:val="auto"/>
                <w:spacing w:val="20"/>
                <w:sz w:val="24"/>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48CA5899">
            <w:pPr>
              <w:spacing w:line="360" w:lineRule="exact"/>
              <w:jc w:val="center"/>
              <w:rPr>
                <w:rFonts w:cs="宋体" w:asciiTheme="minorEastAsia" w:hAnsiTheme="minorEastAsia" w:eastAsiaTheme="minorEastAsia"/>
                <w:b/>
                <w:color w:val="auto"/>
                <w:spacing w:val="20"/>
                <w:sz w:val="24"/>
                <w:highlight w:val="none"/>
              </w:rPr>
            </w:pPr>
            <w:r>
              <w:rPr>
                <w:rFonts w:hint="eastAsia" w:cs="宋体" w:asciiTheme="minorEastAsia" w:hAnsiTheme="minorEastAsia" w:eastAsiaTheme="minorEastAsia"/>
                <w:b/>
                <w:color w:val="auto"/>
                <w:spacing w:val="20"/>
                <w:sz w:val="24"/>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5BABC94F">
            <w:pPr>
              <w:spacing w:line="360" w:lineRule="exact"/>
              <w:jc w:val="center"/>
              <w:rPr>
                <w:rFonts w:cs="宋体" w:asciiTheme="minorEastAsia" w:hAnsiTheme="minorEastAsia" w:eastAsiaTheme="minorEastAsia"/>
                <w:b/>
                <w:color w:val="auto"/>
                <w:spacing w:val="20"/>
                <w:sz w:val="24"/>
                <w:highlight w:val="none"/>
              </w:rPr>
            </w:pPr>
            <w:r>
              <w:rPr>
                <w:rFonts w:hint="eastAsia" w:cs="宋体" w:asciiTheme="minorEastAsia" w:hAnsiTheme="minorEastAsia" w:eastAsiaTheme="minorEastAsia"/>
                <w:b/>
                <w:color w:val="auto"/>
                <w:spacing w:val="20"/>
                <w:sz w:val="24"/>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72400BD5">
            <w:pPr>
              <w:spacing w:line="360" w:lineRule="exact"/>
              <w:jc w:val="center"/>
              <w:rPr>
                <w:rFonts w:cs="宋体" w:asciiTheme="minorEastAsia" w:hAnsiTheme="minorEastAsia" w:eastAsiaTheme="minorEastAsia"/>
                <w:b/>
                <w:color w:val="auto"/>
                <w:spacing w:val="20"/>
                <w:sz w:val="24"/>
                <w:highlight w:val="none"/>
              </w:rPr>
            </w:pPr>
            <w:r>
              <w:rPr>
                <w:rFonts w:hint="eastAsia" w:cs="宋体" w:asciiTheme="minorEastAsia" w:hAnsiTheme="minorEastAsia" w:eastAsiaTheme="minorEastAsia"/>
                <w:b/>
                <w:color w:val="auto"/>
                <w:spacing w:val="20"/>
                <w:sz w:val="24"/>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6D8F9125">
            <w:pPr>
              <w:spacing w:line="360" w:lineRule="exact"/>
              <w:jc w:val="center"/>
              <w:rPr>
                <w:rFonts w:cs="宋体" w:asciiTheme="minorEastAsia" w:hAnsiTheme="minorEastAsia" w:eastAsiaTheme="minorEastAsia"/>
                <w:b/>
                <w:color w:val="auto"/>
                <w:spacing w:val="20"/>
                <w:sz w:val="24"/>
                <w:highlight w:val="none"/>
              </w:rPr>
            </w:pPr>
            <w:r>
              <w:rPr>
                <w:rFonts w:hint="eastAsia" w:cs="宋体" w:asciiTheme="minorEastAsia" w:hAnsiTheme="minorEastAsia" w:eastAsiaTheme="minorEastAsia"/>
                <w:b/>
                <w:color w:val="auto"/>
                <w:spacing w:val="20"/>
                <w:sz w:val="24"/>
                <w:highlight w:val="none"/>
              </w:rPr>
              <w:t>投标文件对应页码</w:t>
            </w:r>
          </w:p>
        </w:tc>
      </w:tr>
      <w:tr w14:paraId="140B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2D6D30E">
            <w:pPr>
              <w:spacing w:line="360" w:lineRule="exact"/>
              <w:jc w:val="center"/>
              <w:rPr>
                <w:rFonts w:cs="宋体" w:asciiTheme="minorEastAsia" w:hAnsiTheme="minorEastAsia" w:eastAsiaTheme="minorEastAsia"/>
                <w:b/>
                <w:color w:val="auto"/>
                <w:spacing w:val="20"/>
                <w:sz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4A05464">
            <w:pPr>
              <w:spacing w:line="360" w:lineRule="exact"/>
              <w:jc w:val="center"/>
              <w:rPr>
                <w:rFonts w:cs="宋体" w:asciiTheme="minorEastAsia" w:hAnsiTheme="minorEastAsia" w:eastAsiaTheme="minorEastAsia"/>
                <w:b/>
                <w:color w:val="auto"/>
                <w:spacing w:val="20"/>
                <w:sz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76D17B2">
            <w:pPr>
              <w:spacing w:line="360" w:lineRule="exact"/>
              <w:jc w:val="center"/>
              <w:rPr>
                <w:rFonts w:cs="宋体" w:asciiTheme="minorEastAsia" w:hAnsiTheme="minorEastAsia" w:eastAsiaTheme="minorEastAsia"/>
                <w:b/>
                <w:color w:val="auto"/>
                <w:spacing w:val="20"/>
                <w:sz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3C57D9E">
            <w:pPr>
              <w:spacing w:line="360" w:lineRule="exact"/>
              <w:jc w:val="center"/>
              <w:rPr>
                <w:rFonts w:cs="宋体" w:asciiTheme="minorEastAsia" w:hAnsiTheme="minorEastAsia" w:eastAsiaTheme="minorEastAsia"/>
                <w:b/>
                <w:color w:val="auto"/>
                <w:spacing w:val="20"/>
                <w:sz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7EC0ADC">
            <w:pPr>
              <w:spacing w:line="360" w:lineRule="exact"/>
              <w:jc w:val="center"/>
              <w:rPr>
                <w:rFonts w:cs="宋体" w:asciiTheme="minorEastAsia" w:hAnsiTheme="minorEastAsia" w:eastAsiaTheme="minorEastAsia"/>
                <w:b/>
                <w:color w:val="auto"/>
                <w:spacing w:val="20"/>
                <w:sz w:val="24"/>
                <w:highlight w:val="none"/>
              </w:rPr>
            </w:pPr>
          </w:p>
        </w:tc>
      </w:tr>
      <w:tr w14:paraId="3EC2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6B47562">
            <w:pPr>
              <w:spacing w:line="360" w:lineRule="exact"/>
              <w:jc w:val="center"/>
              <w:rPr>
                <w:rFonts w:cs="宋体" w:asciiTheme="minorEastAsia" w:hAnsiTheme="minorEastAsia" w:eastAsiaTheme="minorEastAsia"/>
                <w:b/>
                <w:color w:val="auto"/>
                <w:spacing w:val="20"/>
                <w:sz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B7F8CF6">
            <w:pPr>
              <w:spacing w:line="360" w:lineRule="exact"/>
              <w:jc w:val="center"/>
              <w:rPr>
                <w:rFonts w:cs="宋体" w:asciiTheme="minorEastAsia" w:hAnsiTheme="minorEastAsia" w:eastAsiaTheme="minorEastAsia"/>
                <w:b/>
                <w:color w:val="auto"/>
                <w:spacing w:val="20"/>
                <w:sz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83F1A67">
            <w:pPr>
              <w:spacing w:line="360" w:lineRule="exact"/>
              <w:jc w:val="center"/>
              <w:rPr>
                <w:rFonts w:cs="宋体" w:asciiTheme="minorEastAsia" w:hAnsiTheme="minorEastAsia" w:eastAsiaTheme="minorEastAsia"/>
                <w:b/>
                <w:color w:val="auto"/>
                <w:spacing w:val="20"/>
                <w:sz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761F658">
            <w:pPr>
              <w:spacing w:line="360" w:lineRule="exact"/>
              <w:jc w:val="center"/>
              <w:rPr>
                <w:rFonts w:cs="宋体" w:asciiTheme="minorEastAsia" w:hAnsiTheme="minorEastAsia" w:eastAsiaTheme="minorEastAsia"/>
                <w:b/>
                <w:color w:val="auto"/>
                <w:spacing w:val="20"/>
                <w:sz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952555B">
            <w:pPr>
              <w:spacing w:line="360" w:lineRule="exact"/>
              <w:jc w:val="center"/>
              <w:rPr>
                <w:rFonts w:cs="宋体" w:asciiTheme="minorEastAsia" w:hAnsiTheme="minorEastAsia" w:eastAsiaTheme="minorEastAsia"/>
                <w:b/>
                <w:color w:val="auto"/>
                <w:spacing w:val="20"/>
                <w:sz w:val="24"/>
                <w:highlight w:val="none"/>
              </w:rPr>
            </w:pPr>
          </w:p>
        </w:tc>
      </w:tr>
      <w:tr w14:paraId="7A2F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CC18511">
            <w:pPr>
              <w:spacing w:line="360" w:lineRule="exact"/>
              <w:jc w:val="center"/>
              <w:rPr>
                <w:rFonts w:cs="宋体" w:asciiTheme="minorEastAsia" w:hAnsiTheme="minorEastAsia" w:eastAsiaTheme="minorEastAsia"/>
                <w:b/>
                <w:color w:val="auto"/>
                <w:spacing w:val="20"/>
                <w:sz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EBEA4F5">
            <w:pPr>
              <w:spacing w:line="360" w:lineRule="exact"/>
              <w:jc w:val="center"/>
              <w:rPr>
                <w:rFonts w:cs="宋体" w:asciiTheme="minorEastAsia" w:hAnsiTheme="minorEastAsia" w:eastAsiaTheme="minorEastAsia"/>
                <w:b/>
                <w:color w:val="auto"/>
                <w:spacing w:val="20"/>
                <w:sz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B6BBDBB">
            <w:pPr>
              <w:spacing w:line="360" w:lineRule="exact"/>
              <w:jc w:val="center"/>
              <w:rPr>
                <w:rFonts w:cs="宋体" w:asciiTheme="minorEastAsia" w:hAnsiTheme="minorEastAsia" w:eastAsiaTheme="minorEastAsia"/>
                <w:b/>
                <w:color w:val="auto"/>
                <w:spacing w:val="20"/>
                <w:sz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48FD108">
            <w:pPr>
              <w:spacing w:line="360" w:lineRule="exact"/>
              <w:jc w:val="center"/>
              <w:rPr>
                <w:rFonts w:cs="宋体" w:asciiTheme="minorEastAsia" w:hAnsiTheme="minorEastAsia" w:eastAsiaTheme="minorEastAsia"/>
                <w:b/>
                <w:color w:val="auto"/>
                <w:spacing w:val="20"/>
                <w:sz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45C4F08">
            <w:pPr>
              <w:spacing w:line="360" w:lineRule="exact"/>
              <w:jc w:val="center"/>
              <w:rPr>
                <w:rFonts w:cs="宋体" w:asciiTheme="minorEastAsia" w:hAnsiTheme="minorEastAsia" w:eastAsiaTheme="minorEastAsia"/>
                <w:b/>
                <w:color w:val="auto"/>
                <w:spacing w:val="20"/>
                <w:sz w:val="24"/>
                <w:highlight w:val="none"/>
              </w:rPr>
            </w:pPr>
          </w:p>
        </w:tc>
      </w:tr>
      <w:tr w14:paraId="60A9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1E3ADEC">
            <w:pPr>
              <w:spacing w:line="360" w:lineRule="exact"/>
              <w:jc w:val="center"/>
              <w:rPr>
                <w:rFonts w:cs="宋体" w:asciiTheme="minorEastAsia" w:hAnsiTheme="minorEastAsia" w:eastAsiaTheme="minorEastAsia"/>
                <w:b/>
                <w:color w:val="auto"/>
                <w:spacing w:val="20"/>
                <w:sz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C2F48DC">
            <w:pPr>
              <w:spacing w:line="360" w:lineRule="exact"/>
              <w:jc w:val="center"/>
              <w:rPr>
                <w:rFonts w:cs="宋体" w:asciiTheme="minorEastAsia" w:hAnsiTheme="minorEastAsia" w:eastAsiaTheme="minorEastAsia"/>
                <w:b/>
                <w:color w:val="auto"/>
                <w:spacing w:val="20"/>
                <w:sz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22648C6">
            <w:pPr>
              <w:spacing w:line="360" w:lineRule="exact"/>
              <w:jc w:val="center"/>
              <w:rPr>
                <w:rFonts w:cs="宋体" w:asciiTheme="minorEastAsia" w:hAnsiTheme="minorEastAsia" w:eastAsiaTheme="minorEastAsia"/>
                <w:b/>
                <w:color w:val="auto"/>
                <w:spacing w:val="20"/>
                <w:sz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E9F7F7A">
            <w:pPr>
              <w:spacing w:line="360" w:lineRule="exact"/>
              <w:jc w:val="center"/>
              <w:rPr>
                <w:rFonts w:cs="宋体" w:asciiTheme="minorEastAsia" w:hAnsiTheme="minorEastAsia" w:eastAsiaTheme="minorEastAsia"/>
                <w:b/>
                <w:color w:val="auto"/>
                <w:spacing w:val="20"/>
                <w:sz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F858251">
            <w:pPr>
              <w:spacing w:line="360" w:lineRule="exact"/>
              <w:jc w:val="center"/>
              <w:rPr>
                <w:rFonts w:cs="宋体" w:asciiTheme="minorEastAsia" w:hAnsiTheme="minorEastAsia" w:eastAsiaTheme="minorEastAsia"/>
                <w:b/>
                <w:color w:val="auto"/>
                <w:spacing w:val="20"/>
                <w:sz w:val="24"/>
                <w:highlight w:val="none"/>
              </w:rPr>
            </w:pPr>
          </w:p>
        </w:tc>
      </w:tr>
      <w:tr w14:paraId="428A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C06E547">
            <w:pPr>
              <w:spacing w:line="360" w:lineRule="exact"/>
              <w:jc w:val="center"/>
              <w:rPr>
                <w:rFonts w:cs="宋体" w:asciiTheme="minorEastAsia" w:hAnsiTheme="minorEastAsia" w:eastAsia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D06C277">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82B9E99">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339AE05">
            <w:pPr>
              <w:spacing w:line="360" w:lineRule="exact"/>
              <w:jc w:val="center"/>
              <w:rPr>
                <w:rFonts w:cs="宋体" w:asciiTheme="minorEastAsia" w:hAnsiTheme="minorEastAsia" w:eastAsia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0589A27">
            <w:pPr>
              <w:spacing w:line="360" w:lineRule="exact"/>
              <w:jc w:val="center"/>
              <w:rPr>
                <w:rFonts w:cs="宋体" w:asciiTheme="minorEastAsia" w:hAnsiTheme="minorEastAsia" w:eastAsiaTheme="minorEastAsia"/>
                <w:b/>
                <w:color w:val="auto"/>
                <w:spacing w:val="20"/>
                <w:szCs w:val="21"/>
                <w:highlight w:val="none"/>
              </w:rPr>
            </w:pPr>
          </w:p>
        </w:tc>
      </w:tr>
      <w:tr w14:paraId="1A8E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CC93631">
            <w:pPr>
              <w:spacing w:line="360" w:lineRule="exact"/>
              <w:jc w:val="center"/>
              <w:rPr>
                <w:rFonts w:cs="宋体" w:asciiTheme="minorEastAsia" w:hAnsiTheme="minorEastAsia" w:eastAsia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434660E">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F235EE9">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FC1CFF3">
            <w:pPr>
              <w:spacing w:line="360" w:lineRule="exact"/>
              <w:jc w:val="center"/>
              <w:rPr>
                <w:rFonts w:cs="宋体" w:asciiTheme="minorEastAsia" w:hAnsiTheme="minorEastAsia" w:eastAsia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142C739">
            <w:pPr>
              <w:spacing w:line="360" w:lineRule="exact"/>
              <w:jc w:val="center"/>
              <w:rPr>
                <w:rFonts w:cs="宋体" w:asciiTheme="minorEastAsia" w:hAnsiTheme="minorEastAsia" w:eastAsiaTheme="minorEastAsia"/>
                <w:b/>
                <w:color w:val="auto"/>
                <w:spacing w:val="20"/>
                <w:szCs w:val="21"/>
                <w:highlight w:val="none"/>
              </w:rPr>
            </w:pPr>
          </w:p>
        </w:tc>
      </w:tr>
      <w:tr w14:paraId="7C4B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47861DA">
            <w:pPr>
              <w:spacing w:line="360" w:lineRule="exact"/>
              <w:jc w:val="center"/>
              <w:rPr>
                <w:rFonts w:cs="宋体" w:asciiTheme="minorEastAsia" w:hAnsiTheme="minorEastAsia" w:eastAsia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10548BC">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FF86F3F">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629079E">
            <w:pPr>
              <w:spacing w:line="360" w:lineRule="exact"/>
              <w:jc w:val="center"/>
              <w:rPr>
                <w:rFonts w:cs="宋体" w:asciiTheme="minorEastAsia" w:hAnsiTheme="minorEastAsia" w:eastAsia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06EF3CE">
            <w:pPr>
              <w:spacing w:line="360" w:lineRule="exact"/>
              <w:jc w:val="center"/>
              <w:rPr>
                <w:rFonts w:cs="宋体" w:asciiTheme="minorEastAsia" w:hAnsiTheme="minorEastAsia" w:eastAsiaTheme="minorEastAsia"/>
                <w:b/>
                <w:color w:val="auto"/>
                <w:spacing w:val="20"/>
                <w:szCs w:val="21"/>
                <w:highlight w:val="none"/>
              </w:rPr>
            </w:pPr>
          </w:p>
        </w:tc>
      </w:tr>
      <w:tr w14:paraId="5294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19B05B8">
            <w:pPr>
              <w:spacing w:line="360" w:lineRule="exact"/>
              <w:jc w:val="center"/>
              <w:rPr>
                <w:rFonts w:cs="宋体" w:asciiTheme="minorEastAsia" w:hAnsiTheme="minorEastAsia" w:eastAsia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BBA833C">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33E13B">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FE6C40D">
            <w:pPr>
              <w:spacing w:line="360" w:lineRule="exact"/>
              <w:jc w:val="center"/>
              <w:rPr>
                <w:rFonts w:cs="宋体" w:asciiTheme="minorEastAsia" w:hAnsiTheme="minorEastAsia" w:eastAsia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B07072A">
            <w:pPr>
              <w:spacing w:line="360" w:lineRule="exact"/>
              <w:jc w:val="center"/>
              <w:rPr>
                <w:rFonts w:cs="宋体" w:asciiTheme="minorEastAsia" w:hAnsiTheme="minorEastAsia" w:eastAsiaTheme="minorEastAsia"/>
                <w:b/>
                <w:color w:val="auto"/>
                <w:spacing w:val="20"/>
                <w:szCs w:val="21"/>
                <w:highlight w:val="none"/>
              </w:rPr>
            </w:pPr>
          </w:p>
        </w:tc>
      </w:tr>
      <w:tr w14:paraId="34D9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127EEF9">
            <w:pPr>
              <w:spacing w:line="360" w:lineRule="exact"/>
              <w:jc w:val="center"/>
              <w:rPr>
                <w:rFonts w:cs="宋体" w:asciiTheme="minorEastAsia" w:hAnsiTheme="minorEastAsia" w:eastAsia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30EAACB">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7026C88">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9F05D96">
            <w:pPr>
              <w:spacing w:line="360" w:lineRule="exact"/>
              <w:jc w:val="center"/>
              <w:rPr>
                <w:rFonts w:cs="宋体" w:asciiTheme="minorEastAsia" w:hAnsiTheme="minorEastAsia" w:eastAsia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58AF89D">
            <w:pPr>
              <w:spacing w:line="360" w:lineRule="exact"/>
              <w:jc w:val="center"/>
              <w:rPr>
                <w:rFonts w:cs="宋体" w:asciiTheme="minorEastAsia" w:hAnsiTheme="minorEastAsia" w:eastAsiaTheme="minorEastAsia"/>
                <w:b/>
                <w:color w:val="auto"/>
                <w:spacing w:val="20"/>
                <w:szCs w:val="21"/>
                <w:highlight w:val="none"/>
              </w:rPr>
            </w:pPr>
          </w:p>
        </w:tc>
      </w:tr>
      <w:tr w14:paraId="20CE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78A97D9">
            <w:pPr>
              <w:spacing w:line="360" w:lineRule="exact"/>
              <w:jc w:val="center"/>
              <w:rPr>
                <w:rFonts w:cs="宋体" w:asciiTheme="minorEastAsia" w:hAnsiTheme="minorEastAsia" w:eastAsia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6A74267">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15395AF">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DC3FC4F">
            <w:pPr>
              <w:spacing w:line="360" w:lineRule="exact"/>
              <w:jc w:val="center"/>
              <w:rPr>
                <w:rFonts w:cs="宋体" w:asciiTheme="minorEastAsia" w:hAnsiTheme="minorEastAsia" w:eastAsia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0A24A2B">
            <w:pPr>
              <w:spacing w:line="360" w:lineRule="exact"/>
              <w:jc w:val="center"/>
              <w:rPr>
                <w:rFonts w:cs="宋体" w:asciiTheme="minorEastAsia" w:hAnsiTheme="minorEastAsia" w:eastAsiaTheme="minorEastAsia"/>
                <w:b/>
                <w:color w:val="auto"/>
                <w:spacing w:val="20"/>
                <w:szCs w:val="21"/>
                <w:highlight w:val="none"/>
              </w:rPr>
            </w:pPr>
          </w:p>
        </w:tc>
      </w:tr>
      <w:tr w14:paraId="67D6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F768E3E">
            <w:pPr>
              <w:spacing w:line="360" w:lineRule="exact"/>
              <w:jc w:val="center"/>
              <w:rPr>
                <w:rFonts w:cs="宋体" w:asciiTheme="minorEastAsia" w:hAnsiTheme="minorEastAsia" w:eastAsia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B36A2F7">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EB31EDB">
            <w:pPr>
              <w:spacing w:line="360" w:lineRule="exact"/>
              <w:jc w:val="center"/>
              <w:rPr>
                <w:rFonts w:cs="宋体" w:asciiTheme="minorEastAsia" w:hAnsiTheme="minorEastAsia" w:eastAsia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A15231A">
            <w:pPr>
              <w:spacing w:line="360" w:lineRule="exact"/>
              <w:jc w:val="center"/>
              <w:rPr>
                <w:rFonts w:cs="宋体" w:asciiTheme="minorEastAsia" w:hAnsiTheme="minorEastAsia" w:eastAsia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8D99E9C">
            <w:pPr>
              <w:spacing w:line="360" w:lineRule="exact"/>
              <w:jc w:val="center"/>
              <w:rPr>
                <w:rFonts w:cs="宋体" w:asciiTheme="minorEastAsia" w:hAnsiTheme="minorEastAsia" w:eastAsiaTheme="minorEastAsia"/>
                <w:b/>
                <w:color w:val="auto"/>
                <w:spacing w:val="20"/>
                <w:szCs w:val="21"/>
                <w:highlight w:val="none"/>
              </w:rPr>
            </w:pPr>
          </w:p>
        </w:tc>
      </w:tr>
    </w:tbl>
    <w:p w14:paraId="6E9C9B59">
      <w:pPr>
        <w:spacing w:afterLines="50" w:line="360" w:lineRule="auto"/>
        <w:jc w:val="center"/>
        <w:outlineLvl w:val="0"/>
        <w:rPr>
          <w:rFonts w:asciiTheme="minorEastAsia" w:hAnsiTheme="minorEastAsia" w:eastAsia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9AA4F4">
      <w:pPr>
        <w:spacing w:afterLines="50" w:line="360" w:lineRule="auto"/>
        <w:jc w:val="center"/>
        <w:outlineLvl w:val="0"/>
        <w:rPr>
          <w:rFonts w:asciiTheme="minorEastAsia" w:hAnsiTheme="minorEastAsia" w:eastAsiaTheme="minorEastAsia"/>
          <w:b/>
          <w:color w:val="auto"/>
          <w:sz w:val="32"/>
          <w:szCs w:val="32"/>
          <w:highlight w:val="none"/>
        </w:rPr>
      </w:pPr>
      <w:bookmarkStart w:id="97" w:name="_Toc10969"/>
      <w:bookmarkStart w:id="98" w:name="_Toc5952"/>
      <w:bookmarkStart w:id="99" w:name="_Toc2650"/>
      <w:bookmarkStart w:id="100" w:name="_Toc25236"/>
      <w:bookmarkStart w:id="101" w:name="_Toc25271"/>
      <w:bookmarkStart w:id="102" w:name="_Toc15162"/>
      <w:bookmarkStart w:id="103" w:name="_Toc29896"/>
      <w:bookmarkStart w:id="104" w:name="_Toc8155"/>
      <w:r>
        <w:rPr>
          <w:rFonts w:hint="eastAsia" w:asciiTheme="minorEastAsia" w:hAnsiTheme="minorEastAsia" w:eastAsiaTheme="minorEastAsia"/>
          <w:b/>
          <w:color w:val="auto"/>
          <w:sz w:val="32"/>
          <w:szCs w:val="32"/>
          <w:highlight w:val="none"/>
          <w:lang w:eastAsia="zh-CN"/>
        </w:rPr>
        <w:t>二、</w:t>
      </w:r>
      <w:r>
        <w:rPr>
          <w:rFonts w:hint="eastAsia" w:asciiTheme="minorEastAsia" w:hAnsiTheme="minorEastAsia" w:eastAsiaTheme="minorEastAsia"/>
          <w:b/>
          <w:color w:val="auto"/>
          <w:sz w:val="32"/>
          <w:szCs w:val="32"/>
          <w:highlight w:val="none"/>
        </w:rPr>
        <w:t>供应商基本情况表</w:t>
      </w:r>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0E5F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73C0780">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单位名称</w:t>
            </w:r>
          </w:p>
        </w:tc>
        <w:tc>
          <w:tcPr>
            <w:tcW w:w="2739" w:type="dxa"/>
            <w:gridSpan w:val="3"/>
            <w:vAlign w:val="center"/>
          </w:tcPr>
          <w:p w14:paraId="35A92791">
            <w:pPr>
              <w:spacing w:line="360" w:lineRule="exact"/>
              <w:jc w:val="center"/>
              <w:rPr>
                <w:rFonts w:ascii="Times New Roman" w:hAnsi="Times New Roman" w:cs="宋体"/>
                <w:color w:val="auto"/>
                <w:sz w:val="24"/>
                <w:highlight w:val="none"/>
              </w:rPr>
            </w:pPr>
          </w:p>
        </w:tc>
        <w:tc>
          <w:tcPr>
            <w:tcW w:w="2347" w:type="dxa"/>
            <w:vAlign w:val="center"/>
          </w:tcPr>
          <w:p w14:paraId="768671FF">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组织机构代码</w:t>
            </w:r>
          </w:p>
        </w:tc>
        <w:tc>
          <w:tcPr>
            <w:tcW w:w="2453" w:type="dxa"/>
            <w:vAlign w:val="center"/>
          </w:tcPr>
          <w:p w14:paraId="3867B024">
            <w:pPr>
              <w:spacing w:line="360" w:lineRule="exact"/>
              <w:jc w:val="center"/>
              <w:rPr>
                <w:rFonts w:ascii="Times New Roman" w:hAnsi="Times New Roman" w:cs="宋体"/>
                <w:color w:val="auto"/>
                <w:sz w:val="24"/>
                <w:highlight w:val="none"/>
              </w:rPr>
            </w:pPr>
          </w:p>
        </w:tc>
      </w:tr>
      <w:tr w14:paraId="2833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72FF5DB">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注册地址</w:t>
            </w:r>
          </w:p>
        </w:tc>
        <w:tc>
          <w:tcPr>
            <w:tcW w:w="2739" w:type="dxa"/>
            <w:gridSpan w:val="3"/>
            <w:vAlign w:val="center"/>
          </w:tcPr>
          <w:p w14:paraId="6BFBA6B5">
            <w:pPr>
              <w:spacing w:line="360" w:lineRule="exact"/>
              <w:jc w:val="center"/>
              <w:rPr>
                <w:rFonts w:ascii="Times New Roman" w:hAnsi="Times New Roman" w:cs="宋体"/>
                <w:color w:val="auto"/>
                <w:sz w:val="24"/>
                <w:highlight w:val="none"/>
              </w:rPr>
            </w:pPr>
          </w:p>
        </w:tc>
        <w:tc>
          <w:tcPr>
            <w:tcW w:w="2347" w:type="dxa"/>
            <w:vAlign w:val="center"/>
          </w:tcPr>
          <w:p w14:paraId="12AD1473">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注册登记号</w:t>
            </w:r>
          </w:p>
        </w:tc>
        <w:tc>
          <w:tcPr>
            <w:tcW w:w="2453" w:type="dxa"/>
            <w:vAlign w:val="center"/>
          </w:tcPr>
          <w:p w14:paraId="2CD4A84B">
            <w:pPr>
              <w:spacing w:line="360" w:lineRule="exact"/>
              <w:jc w:val="center"/>
              <w:rPr>
                <w:rFonts w:ascii="Times New Roman" w:hAnsi="Times New Roman" w:cs="宋体"/>
                <w:color w:val="auto"/>
                <w:sz w:val="24"/>
                <w:highlight w:val="none"/>
              </w:rPr>
            </w:pPr>
          </w:p>
        </w:tc>
      </w:tr>
      <w:tr w14:paraId="2B18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8CA88BE">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经营地址</w:t>
            </w:r>
          </w:p>
        </w:tc>
        <w:tc>
          <w:tcPr>
            <w:tcW w:w="2739" w:type="dxa"/>
            <w:gridSpan w:val="3"/>
            <w:vAlign w:val="center"/>
          </w:tcPr>
          <w:p w14:paraId="5F9B35B6">
            <w:pPr>
              <w:spacing w:line="360" w:lineRule="exact"/>
              <w:jc w:val="center"/>
              <w:rPr>
                <w:rFonts w:ascii="Times New Roman" w:hAnsi="Times New Roman" w:cs="宋体"/>
                <w:color w:val="auto"/>
                <w:sz w:val="24"/>
                <w:highlight w:val="none"/>
              </w:rPr>
            </w:pPr>
          </w:p>
        </w:tc>
        <w:tc>
          <w:tcPr>
            <w:tcW w:w="2347" w:type="dxa"/>
            <w:vAlign w:val="center"/>
          </w:tcPr>
          <w:p w14:paraId="23C5019C">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税务登记证号</w:t>
            </w:r>
          </w:p>
        </w:tc>
        <w:tc>
          <w:tcPr>
            <w:tcW w:w="2453" w:type="dxa"/>
            <w:vAlign w:val="center"/>
          </w:tcPr>
          <w:p w14:paraId="1818A2A2">
            <w:pPr>
              <w:spacing w:line="360" w:lineRule="exact"/>
              <w:jc w:val="center"/>
              <w:rPr>
                <w:rFonts w:ascii="Times New Roman" w:hAnsi="Times New Roman" w:cs="宋体"/>
                <w:color w:val="auto"/>
                <w:sz w:val="24"/>
                <w:highlight w:val="none"/>
              </w:rPr>
            </w:pPr>
          </w:p>
        </w:tc>
      </w:tr>
      <w:tr w14:paraId="3301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7A70C38">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单位性质</w:t>
            </w:r>
          </w:p>
        </w:tc>
        <w:tc>
          <w:tcPr>
            <w:tcW w:w="2739" w:type="dxa"/>
            <w:gridSpan w:val="3"/>
            <w:vAlign w:val="center"/>
          </w:tcPr>
          <w:p w14:paraId="0671BAF5">
            <w:pPr>
              <w:spacing w:line="360" w:lineRule="exact"/>
              <w:jc w:val="center"/>
              <w:rPr>
                <w:rFonts w:ascii="Times New Roman" w:hAnsi="Times New Roman" w:cs="宋体"/>
                <w:color w:val="auto"/>
                <w:sz w:val="24"/>
                <w:highlight w:val="none"/>
              </w:rPr>
            </w:pPr>
          </w:p>
        </w:tc>
        <w:tc>
          <w:tcPr>
            <w:tcW w:w="2347" w:type="dxa"/>
            <w:vAlign w:val="center"/>
          </w:tcPr>
          <w:p w14:paraId="7894364E">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注册资本</w:t>
            </w:r>
          </w:p>
        </w:tc>
        <w:tc>
          <w:tcPr>
            <w:tcW w:w="2453" w:type="dxa"/>
            <w:vAlign w:val="center"/>
          </w:tcPr>
          <w:p w14:paraId="6C279CED">
            <w:pPr>
              <w:spacing w:line="360" w:lineRule="exact"/>
              <w:jc w:val="center"/>
              <w:rPr>
                <w:rFonts w:ascii="Times New Roman" w:hAnsi="Times New Roman" w:cs="宋体"/>
                <w:color w:val="auto"/>
                <w:sz w:val="24"/>
                <w:highlight w:val="none"/>
              </w:rPr>
            </w:pPr>
          </w:p>
        </w:tc>
      </w:tr>
      <w:tr w14:paraId="6F0F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13464D3">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经营范围</w:t>
            </w:r>
          </w:p>
        </w:tc>
        <w:tc>
          <w:tcPr>
            <w:tcW w:w="2739" w:type="dxa"/>
            <w:gridSpan w:val="3"/>
            <w:vAlign w:val="center"/>
          </w:tcPr>
          <w:p w14:paraId="76B68AC8">
            <w:pPr>
              <w:spacing w:line="360" w:lineRule="exact"/>
              <w:jc w:val="center"/>
              <w:rPr>
                <w:rFonts w:ascii="Times New Roman" w:hAnsi="Times New Roman" w:cs="宋体"/>
                <w:color w:val="auto"/>
                <w:sz w:val="24"/>
                <w:highlight w:val="none"/>
              </w:rPr>
            </w:pPr>
          </w:p>
        </w:tc>
        <w:tc>
          <w:tcPr>
            <w:tcW w:w="2347" w:type="dxa"/>
            <w:vAlign w:val="center"/>
          </w:tcPr>
          <w:p w14:paraId="4B204892">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营业期限</w:t>
            </w:r>
          </w:p>
        </w:tc>
        <w:tc>
          <w:tcPr>
            <w:tcW w:w="2453" w:type="dxa"/>
            <w:vAlign w:val="center"/>
          </w:tcPr>
          <w:p w14:paraId="65351BF2">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年月-  年月</w:t>
            </w:r>
          </w:p>
        </w:tc>
      </w:tr>
      <w:tr w14:paraId="6C13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E7E773F">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资质情况</w:t>
            </w:r>
          </w:p>
        </w:tc>
        <w:tc>
          <w:tcPr>
            <w:tcW w:w="7539" w:type="dxa"/>
            <w:gridSpan w:val="5"/>
            <w:vAlign w:val="center"/>
          </w:tcPr>
          <w:p w14:paraId="13429E81">
            <w:pPr>
              <w:spacing w:line="360" w:lineRule="exact"/>
              <w:jc w:val="center"/>
              <w:rPr>
                <w:rFonts w:ascii="Times New Roman" w:hAnsi="Times New Roman" w:cs="宋体"/>
                <w:color w:val="auto"/>
                <w:sz w:val="24"/>
                <w:highlight w:val="none"/>
              </w:rPr>
            </w:pPr>
          </w:p>
        </w:tc>
      </w:tr>
      <w:tr w14:paraId="1119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CDC15A4">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员工数量</w:t>
            </w:r>
          </w:p>
        </w:tc>
        <w:tc>
          <w:tcPr>
            <w:tcW w:w="7539" w:type="dxa"/>
            <w:gridSpan w:val="5"/>
            <w:vAlign w:val="center"/>
          </w:tcPr>
          <w:p w14:paraId="62DFC92F">
            <w:pPr>
              <w:spacing w:line="360" w:lineRule="exact"/>
              <w:rPr>
                <w:rFonts w:ascii="Times New Roman" w:hAnsi="Times New Roman" w:cs="宋体"/>
                <w:color w:val="auto"/>
                <w:sz w:val="24"/>
                <w:highlight w:val="none"/>
              </w:rPr>
            </w:pPr>
            <w:r>
              <w:rPr>
                <w:rFonts w:hint="eastAsia" w:ascii="Times New Roman" w:hAnsi="Times New Roman" w:cs="宋体"/>
                <w:color w:val="auto"/>
                <w:sz w:val="24"/>
                <w:highlight w:val="none"/>
              </w:rPr>
              <w:t>共人，其中，高级职称人，中级职称人</w:t>
            </w:r>
          </w:p>
        </w:tc>
      </w:tr>
      <w:tr w14:paraId="0A21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08D052F">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联系电话</w:t>
            </w:r>
          </w:p>
        </w:tc>
        <w:tc>
          <w:tcPr>
            <w:tcW w:w="2739" w:type="dxa"/>
            <w:gridSpan w:val="3"/>
            <w:vAlign w:val="center"/>
          </w:tcPr>
          <w:p w14:paraId="7465378B">
            <w:pPr>
              <w:spacing w:line="360" w:lineRule="exact"/>
              <w:jc w:val="center"/>
              <w:rPr>
                <w:rFonts w:ascii="Times New Roman" w:hAnsi="Times New Roman" w:cs="宋体"/>
                <w:color w:val="auto"/>
                <w:sz w:val="24"/>
                <w:highlight w:val="none"/>
              </w:rPr>
            </w:pPr>
          </w:p>
        </w:tc>
        <w:tc>
          <w:tcPr>
            <w:tcW w:w="2347" w:type="dxa"/>
            <w:vAlign w:val="center"/>
          </w:tcPr>
          <w:p w14:paraId="4C265838">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传真</w:t>
            </w:r>
          </w:p>
        </w:tc>
        <w:tc>
          <w:tcPr>
            <w:tcW w:w="2453" w:type="dxa"/>
            <w:vAlign w:val="center"/>
          </w:tcPr>
          <w:p w14:paraId="2AD21DBF">
            <w:pPr>
              <w:spacing w:line="360" w:lineRule="exact"/>
              <w:jc w:val="center"/>
              <w:rPr>
                <w:rFonts w:ascii="Times New Roman" w:hAnsi="Times New Roman" w:cs="宋体"/>
                <w:color w:val="auto"/>
                <w:sz w:val="24"/>
                <w:highlight w:val="none"/>
              </w:rPr>
            </w:pPr>
          </w:p>
        </w:tc>
      </w:tr>
      <w:tr w14:paraId="15CF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B2FBF6C">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主要业绩</w:t>
            </w:r>
          </w:p>
        </w:tc>
        <w:tc>
          <w:tcPr>
            <w:tcW w:w="7539" w:type="dxa"/>
            <w:gridSpan w:val="5"/>
            <w:vAlign w:val="center"/>
          </w:tcPr>
          <w:p w14:paraId="0E8CD645">
            <w:pPr>
              <w:spacing w:line="360" w:lineRule="exact"/>
              <w:rPr>
                <w:rFonts w:ascii="Times New Roman" w:hAnsi="Times New Roman" w:cs="宋体"/>
                <w:color w:val="auto"/>
                <w:sz w:val="24"/>
                <w:highlight w:val="none"/>
              </w:rPr>
            </w:pPr>
          </w:p>
          <w:p w14:paraId="02F70920">
            <w:pPr>
              <w:spacing w:line="360" w:lineRule="exact"/>
              <w:rPr>
                <w:rFonts w:ascii="Times New Roman" w:hAnsi="Times New Roman" w:cs="宋体"/>
                <w:color w:val="auto"/>
                <w:sz w:val="24"/>
                <w:highlight w:val="none"/>
              </w:rPr>
            </w:pPr>
          </w:p>
        </w:tc>
      </w:tr>
      <w:tr w14:paraId="2A64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3D868694">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法定代表人基本情况</w:t>
            </w:r>
          </w:p>
        </w:tc>
      </w:tr>
      <w:tr w14:paraId="73CA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E2309C2">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姓名</w:t>
            </w:r>
          </w:p>
        </w:tc>
        <w:tc>
          <w:tcPr>
            <w:tcW w:w="2739" w:type="dxa"/>
            <w:gridSpan w:val="3"/>
            <w:vAlign w:val="center"/>
          </w:tcPr>
          <w:p w14:paraId="2A957A88">
            <w:pPr>
              <w:spacing w:line="360" w:lineRule="exact"/>
              <w:jc w:val="center"/>
              <w:rPr>
                <w:rFonts w:ascii="Times New Roman" w:hAnsi="Times New Roman" w:cs="宋体"/>
                <w:color w:val="auto"/>
                <w:sz w:val="24"/>
                <w:highlight w:val="none"/>
              </w:rPr>
            </w:pPr>
          </w:p>
        </w:tc>
        <w:tc>
          <w:tcPr>
            <w:tcW w:w="2347" w:type="dxa"/>
            <w:vAlign w:val="center"/>
          </w:tcPr>
          <w:p w14:paraId="72909481">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身份证号码</w:t>
            </w:r>
          </w:p>
        </w:tc>
        <w:tc>
          <w:tcPr>
            <w:tcW w:w="2453" w:type="dxa"/>
            <w:vAlign w:val="center"/>
          </w:tcPr>
          <w:p w14:paraId="7B1802F9">
            <w:pPr>
              <w:spacing w:line="360" w:lineRule="exact"/>
              <w:jc w:val="center"/>
              <w:rPr>
                <w:rFonts w:ascii="Times New Roman" w:hAnsi="Times New Roman" w:cs="宋体"/>
                <w:color w:val="auto"/>
                <w:sz w:val="24"/>
                <w:highlight w:val="none"/>
              </w:rPr>
            </w:pPr>
          </w:p>
        </w:tc>
      </w:tr>
      <w:tr w14:paraId="4BE2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853E021">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职务</w:t>
            </w:r>
          </w:p>
        </w:tc>
        <w:tc>
          <w:tcPr>
            <w:tcW w:w="915" w:type="dxa"/>
            <w:vAlign w:val="center"/>
          </w:tcPr>
          <w:p w14:paraId="36AFB92F">
            <w:pPr>
              <w:spacing w:line="360" w:lineRule="exact"/>
              <w:jc w:val="center"/>
              <w:rPr>
                <w:rFonts w:ascii="Times New Roman" w:hAnsi="Times New Roman" w:cs="宋体"/>
                <w:color w:val="auto"/>
                <w:sz w:val="24"/>
                <w:highlight w:val="none"/>
              </w:rPr>
            </w:pPr>
          </w:p>
        </w:tc>
        <w:tc>
          <w:tcPr>
            <w:tcW w:w="1062" w:type="dxa"/>
            <w:vAlign w:val="center"/>
          </w:tcPr>
          <w:p w14:paraId="198743E2">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职称</w:t>
            </w:r>
          </w:p>
        </w:tc>
        <w:tc>
          <w:tcPr>
            <w:tcW w:w="762" w:type="dxa"/>
            <w:vAlign w:val="center"/>
          </w:tcPr>
          <w:p w14:paraId="48694063">
            <w:pPr>
              <w:spacing w:line="360" w:lineRule="exact"/>
              <w:jc w:val="center"/>
              <w:rPr>
                <w:rFonts w:ascii="Times New Roman" w:hAnsi="Times New Roman" w:cs="宋体"/>
                <w:color w:val="auto"/>
                <w:sz w:val="24"/>
                <w:highlight w:val="none"/>
              </w:rPr>
            </w:pPr>
          </w:p>
        </w:tc>
        <w:tc>
          <w:tcPr>
            <w:tcW w:w="2347" w:type="dxa"/>
            <w:vAlign w:val="center"/>
          </w:tcPr>
          <w:p w14:paraId="24FBE3AF">
            <w:pPr>
              <w:spacing w:line="36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学历</w:t>
            </w:r>
          </w:p>
        </w:tc>
        <w:tc>
          <w:tcPr>
            <w:tcW w:w="2453" w:type="dxa"/>
            <w:vAlign w:val="center"/>
          </w:tcPr>
          <w:p w14:paraId="553731FE">
            <w:pPr>
              <w:spacing w:line="360" w:lineRule="exact"/>
              <w:jc w:val="center"/>
              <w:rPr>
                <w:rFonts w:ascii="Times New Roman" w:hAnsi="Times New Roman" w:cs="宋体"/>
                <w:color w:val="auto"/>
                <w:sz w:val="24"/>
                <w:highlight w:val="none"/>
              </w:rPr>
            </w:pPr>
          </w:p>
        </w:tc>
      </w:tr>
      <w:tr w14:paraId="51AB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515933F2">
            <w:pPr>
              <w:spacing w:line="360" w:lineRule="exact"/>
              <w:rPr>
                <w:rFonts w:ascii="Times New Roman" w:hAnsi="Times New Roman" w:cs="宋体"/>
                <w:color w:val="auto"/>
                <w:sz w:val="24"/>
                <w:highlight w:val="none"/>
              </w:rPr>
            </w:pPr>
            <w:r>
              <w:rPr>
                <w:rFonts w:hint="eastAsia" w:ascii="Times New Roman" w:hAnsi="Times New Roman" w:cs="宋体"/>
                <w:color w:val="auto"/>
                <w:sz w:val="24"/>
                <w:highlight w:val="none"/>
              </w:rPr>
              <w:t>备注：</w:t>
            </w:r>
          </w:p>
        </w:tc>
      </w:tr>
    </w:tbl>
    <w:p w14:paraId="41754A1A">
      <w:pPr>
        <w:spacing w:beforeLines="50" w:line="360" w:lineRule="auto"/>
        <w:ind w:right="-227" w:rightChars="-108"/>
        <w:rPr>
          <w:rFonts w:cs="宋体"/>
          <w:b/>
          <w:color w:val="auto"/>
          <w:sz w:val="24"/>
          <w:highlight w:val="none"/>
        </w:rPr>
      </w:pPr>
      <w:r>
        <w:rPr>
          <w:rFonts w:hint="eastAsia" w:cs="宋体"/>
          <w:b/>
          <w:color w:val="auto"/>
          <w:sz w:val="24"/>
          <w:highlight w:val="none"/>
        </w:rPr>
        <w:t>兹证明上述声明是真实、正确的，并提供了全部能提供的资料和数据，我们同意遵照贵方要求出示有关证明文件。</w:t>
      </w:r>
    </w:p>
    <w:p w14:paraId="04779266">
      <w:pPr>
        <w:pStyle w:val="121"/>
        <w:spacing w:line="360" w:lineRule="auto"/>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投标人名称（盖公章）：</w:t>
      </w:r>
    </w:p>
    <w:p w14:paraId="5F19ECC5">
      <w:pPr>
        <w:pStyle w:val="121"/>
        <w:spacing w:line="360" w:lineRule="auto"/>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w:t>
      </w:r>
      <w:r>
        <w:rPr>
          <w:rFonts w:hint="eastAsia" w:asciiTheme="minorEastAsia" w:hAnsiTheme="minorEastAsia" w:eastAsiaTheme="minorEastAsia"/>
          <w:color w:val="auto"/>
          <w:sz w:val="24"/>
          <w:highlight w:val="none"/>
          <w:lang w:eastAsia="zh-CN"/>
        </w:rPr>
        <w:t>授权委托代表</w:t>
      </w:r>
      <w:r>
        <w:rPr>
          <w:rFonts w:hint="eastAsia" w:asciiTheme="minorEastAsia" w:hAnsiTheme="minorEastAsia" w:eastAsiaTheme="minorEastAsia"/>
          <w:color w:val="auto"/>
          <w:sz w:val="24"/>
          <w:highlight w:val="none"/>
        </w:rPr>
        <w:t>（签字或盖章）：</w:t>
      </w:r>
    </w:p>
    <w:p w14:paraId="1D9F1D4E">
      <w:pPr>
        <w:pStyle w:val="121"/>
        <w:spacing w:line="360" w:lineRule="auto"/>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w:t>
      </w:r>
      <w:r>
        <w:rPr>
          <w:rFonts w:asciiTheme="minorEastAsia" w:hAnsiTheme="minorEastAsia" w:eastAsiaTheme="minorEastAsia"/>
          <w:color w:val="auto"/>
          <w:sz w:val="24"/>
          <w:highlight w:val="none"/>
        </w:rPr>
        <w:t xml:space="preserve">  年    月   日</w:t>
      </w:r>
    </w:p>
    <w:p w14:paraId="0831F98C">
      <w:pPr>
        <w:keepNext w:val="0"/>
        <w:keepLines w:val="0"/>
        <w:pageBreakBefore/>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三、法定代表人/负责人授权书</w:t>
      </w:r>
    </w:p>
    <w:p w14:paraId="2EBACB5B">
      <w:pPr>
        <w:kinsoku/>
        <w:overflowPunct/>
        <w:topLinePunct w:val="0"/>
        <w:bidi w:val="0"/>
        <w:spacing w:beforeAutospacing="0" w:afterAutospacing="0" w:line="440" w:lineRule="exact"/>
        <w:jc w:val="center"/>
        <w:rPr>
          <w:rFonts w:hint="eastAsia" w:ascii="仿宋" w:hAnsi="仿宋" w:eastAsia="仿宋" w:cs="仿宋"/>
          <w:b/>
          <w:color w:val="auto"/>
          <w:sz w:val="24"/>
          <w:szCs w:val="24"/>
          <w:highlight w:val="none"/>
        </w:rPr>
      </w:pPr>
    </w:p>
    <w:bookmarkEnd w:id="97"/>
    <w:bookmarkEnd w:id="98"/>
    <w:bookmarkEnd w:id="99"/>
    <w:bookmarkEnd w:id="100"/>
    <w:bookmarkEnd w:id="101"/>
    <w:bookmarkEnd w:id="102"/>
    <w:bookmarkEnd w:id="103"/>
    <w:bookmarkEnd w:id="104"/>
    <w:p w14:paraId="66DA4D85">
      <w:pPr>
        <w:pStyle w:val="21"/>
        <w:spacing w:line="360" w:lineRule="auto"/>
        <w:ind w:firstLine="0"/>
        <w:rPr>
          <w:rFonts w:ascii="Times New Roman" w:hAnsi="Times New Roman" w:eastAsia="宋体"/>
          <w:color w:val="auto"/>
          <w:sz w:val="24"/>
          <w:szCs w:val="24"/>
          <w:highlight w:val="none"/>
        </w:rPr>
      </w:pPr>
      <w:bookmarkStart w:id="105" w:name="_Toc14297"/>
      <w:bookmarkStart w:id="106" w:name="_Toc20172"/>
      <w:bookmarkStart w:id="107" w:name="_Toc4427"/>
      <w:bookmarkStart w:id="108" w:name="_Toc11379"/>
      <w:bookmarkStart w:id="109" w:name="_Toc5966"/>
      <w:bookmarkStart w:id="110" w:name="_Toc5320"/>
      <w:r>
        <w:rPr>
          <w:rFonts w:hint="eastAsia" w:ascii="Times New Roman" w:hAnsi="Times New Roman" w:eastAsia="宋体"/>
          <w:color w:val="auto"/>
          <w:sz w:val="24"/>
          <w:szCs w:val="24"/>
          <w:highlight w:val="none"/>
        </w:rPr>
        <w:t>致：中冠工程管理咨询有限公司</w:t>
      </w:r>
    </w:p>
    <w:p w14:paraId="2642D9CE">
      <w:pPr>
        <w:pStyle w:val="21"/>
        <w:spacing w:before="120" w:beforeLines="50" w:after="120" w:afterLines="50" w:line="480" w:lineRule="auto"/>
        <w:ind w:right="340" w:firstLine="51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u w:val="single"/>
        </w:rPr>
        <w:t>（投标人全称）</w:t>
      </w:r>
      <w:r>
        <w:rPr>
          <w:rFonts w:hint="eastAsia" w:ascii="Times New Roman" w:hAnsi="Times New Roman" w:eastAsia="宋体"/>
          <w:color w:val="auto"/>
          <w:sz w:val="24"/>
          <w:szCs w:val="24"/>
          <w:highlight w:val="none"/>
        </w:rPr>
        <w:t>法定代表人/负责人</w:t>
      </w:r>
      <w:r>
        <w:rPr>
          <w:rFonts w:hint="eastAsia" w:ascii="Times New Roman" w:hAnsi="Times New Roman" w:eastAsia="宋体"/>
          <w:color w:val="auto"/>
          <w:sz w:val="24"/>
          <w:szCs w:val="24"/>
          <w:highlight w:val="none"/>
          <w:u w:val="single"/>
        </w:rPr>
        <w:t>（姓名、职务）</w:t>
      </w:r>
      <w:r>
        <w:rPr>
          <w:rFonts w:hint="eastAsia" w:ascii="Times New Roman" w:hAnsi="Times New Roman" w:eastAsia="宋体"/>
          <w:color w:val="auto"/>
          <w:sz w:val="24"/>
          <w:szCs w:val="24"/>
          <w:highlight w:val="none"/>
        </w:rPr>
        <w:t>授权</w:t>
      </w:r>
      <w:r>
        <w:rPr>
          <w:rFonts w:hint="eastAsia" w:ascii="Times New Roman" w:hAnsi="Times New Roman" w:eastAsia="宋体"/>
          <w:color w:val="auto"/>
          <w:sz w:val="24"/>
          <w:szCs w:val="24"/>
          <w:highlight w:val="none"/>
          <w:u w:val="single"/>
        </w:rPr>
        <w:t>（被授权代表姓名、职务）</w:t>
      </w:r>
      <w:r>
        <w:rPr>
          <w:rFonts w:hint="eastAsia" w:ascii="Times New Roman" w:hAnsi="Times New Roman" w:eastAsia="宋体"/>
          <w:color w:val="auto"/>
          <w:sz w:val="24"/>
          <w:szCs w:val="24"/>
          <w:highlight w:val="none"/>
        </w:rPr>
        <w:t>为本公司合法代理人，参加贵采购代理机构组织的</w:t>
      </w:r>
      <w:r>
        <w:rPr>
          <w:rFonts w:hint="eastAsia" w:ascii="Times New Roman" w:hAnsi="Times New Roman" w:eastAsia="宋体"/>
          <w:color w:val="auto"/>
          <w:sz w:val="24"/>
          <w:szCs w:val="24"/>
          <w:highlight w:val="none"/>
          <w:u w:val="single"/>
        </w:rPr>
        <w:t xml:space="preserve">   (项目编号)(项目名称)                      </w:t>
      </w:r>
      <w:r>
        <w:rPr>
          <w:rFonts w:hint="eastAsia" w:ascii="Times New Roman" w:hAnsi="Times New Roman" w:eastAsia="宋体"/>
          <w:color w:val="auto"/>
          <w:sz w:val="24"/>
          <w:szCs w:val="24"/>
          <w:highlight w:val="none"/>
        </w:rPr>
        <w:t>项目的招标投标活动，全权代表本公司处理招标投标活动中的一切事宜。</w:t>
      </w:r>
    </w:p>
    <w:p w14:paraId="2307EFEB">
      <w:pPr>
        <w:pStyle w:val="21"/>
        <w:spacing w:before="120" w:beforeLines="50" w:after="120" w:afterLines="50" w:line="480" w:lineRule="auto"/>
        <w:ind w:firstLine="426"/>
        <w:rPr>
          <w:rFonts w:ascii="Times New Roman" w:hAnsi="Times New Roman" w:eastAsia="宋体"/>
          <w:color w:val="auto"/>
          <w:sz w:val="24"/>
          <w:szCs w:val="24"/>
          <w:highlight w:val="none"/>
          <w:u w:val="single"/>
        </w:rPr>
      </w:pPr>
      <w:r>
        <w:rPr>
          <w:rFonts w:hint="eastAsia" w:ascii="Times New Roman" w:hAnsi="Times New Roman" w:eastAsia="宋体"/>
          <w:color w:val="auto"/>
          <w:sz w:val="24"/>
          <w:szCs w:val="24"/>
          <w:highlight w:val="none"/>
        </w:rPr>
        <w:t>本授权书于</w:t>
      </w:r>
      <w:r>
        <w:rPr>
          <w:rFonts w:hint="eastAsia"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rPr>
        <w:t>年</w:t>
      </w:r>
      <w:r>
        <w:rPr>
          <w:rFonts w:hint="eastAsia"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rPr>
        <w:t>月</w:t>
      </w:r>
      <w:r>
        <w:rPr>
          <w:rFonts w:hint="eastAsia"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rPr>
        <w:t>日签字（或盖章）生效，特此声明。</w:t>
      </w:r>
    </w:p>
    <w:p w14:paraId="65698917">
      <w:pPr>
        <w:spacing w:line="360" w:lineRule="auto"/>
        <w:contextualSpacing/>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（后附被授权人身份证正反面</w:t>
      </w:r>
      <w:r>
        <w:rPr>
          <w:rFonts w:hint="eastAsia" w:ascii="Times New Roman" w:hAnsi="Times New Roman"/>
          <w:bCs/>
          <w:color w:val="auto"/>
          <w:sz w:val="24"/>
          <w:szCs w:val="24"/>
          <w:highlight w:val="none"/>
          <w:lang w:eastAsia="zh-CN"/>
        </w:rPr>
        <w:t>扫描件</w:t>
      </w:r>
      <w:r>
        <w:rPr>
          <w:rFonts w:hint="eastAsia" w:ascii="Times New Roman" w:hAnsi="Times New Roman"/>
          <w:bCs/>
          <w:color w:val="auto"/>
          <w:sz w:val="24"/>
          <w:szCs w:val="24"/>
          <w:highlight w:val="none"/>
        </w:rPr>
        <w:t>）</w:t>
      </w:r>
    </w:p>
    <w:p w14:paraId="496042C4">
      <w:pPr>
        <w:pStyle w:val="21"/>
        <w:spacing w:line="480" w:lineRule="auto"/>
        <w:ind w:firstLine="0"/>
        <w:rPr>
          <w:rFonts w:ascii="Times New Roman" w:hAnsi="Times New Roman" w:eastAsia="宋体"/>
          <w:color w:val="auto"/>
          <w:sz w:val="24"/>
          <w:szCs w:val="24"/>
          <w:highlight w:val="none"/>
        </w:rPr>
      </w:pPr>
    </w:p>
    <w:p w14:paraId="06CE1A2E">
      <w:pPr>
        <w:pStyle w:val="21"/>
        <w:spacing w:line="360" w:lineRule="auto"/>
        <w:ind w:left="3969"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法定代表人/负责人（签字或盖章）：</w:t>
      </w:r>
    </w:p>
    <w:p w14:paraId="3A35990C">
      <w:pPr>
        <w:pStyle w:val="21"/>
        <w:spacing w:line="360" w:lineRule="auto"/>
        <w:ind w:firstLine="0"/>
        <w:rPr>
          <w:rFonts w:ascii="Times New Roman" w:hAnsi="Times New Roman" w:eastAsia="宋体"/>
          <w:color w:val="auto"/>
          <w:sz w:val="24"/>
          <w:szCs w:val="24"/>
          <w:highlight w:val="none"/>
        </w:rPr>
      </w:pPr>
    </w:p>
    <w:p w14:paraId="291AF049">
      <w:pPr>
        <w:pStyle w:val="21"/>
        <w:spacing w:line="360" w:lineRule="auto"/>
        <w:ind w:left="3969"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投标人（盖章）：</w:t>
      </w:r>
    </w:p>
    <w:p w14:paraId="3E82F34D">
      <w:pPr>
        <w:pStyle w:val="21"/>
        <w:spacing w:line="360" w:lineRule="auto"/>
        <w:ind w:firstLine="0"/>
        <w:rPr>
          <w:rFonts w:ascii="Times New Roman" w:hAnsi="Times New Roman" w:eastAsia="宋体"/>
          <w:color w:val="auto"/>
          <w:sz w:val="24"/>
          <w:szCs w:val="24"/>
          <w:highlight w:val="none"/>
        </w:rPr>
      </w:pPr>
    </w:p>
    <w:p w14:paraId="145CC925">
      <w:pPr>
        <w:pStyle w:val="21"/>
        <w:spacing w:line="360" w:lineRule="auto"/>
        <w:ind w:left="3969"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日期：</w:t>
      </w:r>
    </w:p>
    <w:p w14:paraId="2FA84FA3">
      <w:pPr>
        <w:pStyle w:val="21"/>
        <w:spacing w:line="360" w:lineRule="auto"/>
        <w:ind w:firstLine="0"/>
        <w:rPr>
          <w:rFonts w:ascii="Times New Roman" w:hAnsi="Times New Roman" w:eastAsia="宋体"/>
          <w:color w:val="auto"/>
          <w:sz w:val="24"/>
          <w:szCs w:val="24"/>
          <w:highlight w:val="none"/>
        </w:rPr>
      </w:pPr>
    </w:p>
    <w:p w14:paraId="64A67E15">
      <w:pPr>
        <w:pStyle w:val="21"/>
        <w:spacing w:line="360" w:lineRule="auto"/>
        <w:ind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w:t>
      </w:r>
    </w:p>
    <w:p w14:paraId="532F6F24">
      <w:pPr>
        <w:pStyle w:val="21"/>
        <w:spacing w:before="60" w:after="60" w:line="360" w:lineRule="auto"/>
        <w:ind w:left="306"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被授权人姓名（印刷体）：</w:t>
      </w:r>
    </w:p>
    <w:p w14:paraId="3DDCC13E">
      <w:pPr>
        <w:pStyle w:val="21"/>
        <w:spacing w:before="60" w:after="60" w:line="360" w:lineRule="auto"/>
        <w:ind w:left="306"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职务：</w:t>
      </w:r>
    </w:p>
    <w:p w14:paraId="48D733F4">
      <w:pPr>
        <w:pStyle w:val="21"/>
        <w:spacing w:before="60" w:after="60" w:line="360" w:lineRule="auto"/>
        <w:ind w:left="306"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被授权人（签字或盖章）：</w:t>
      </w:r>
    </w:p>
    <w:p w14:paraId="1D6C36E0">
      <w:pPr>
        <w:pStyle w:val="21"/>
        <w:spacing w:before="60" w:after="60" w:line="360" w:lineRule="auto"/>
        <w:ind w:left="306"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详细通讯地址：</w:t>
      </w:r>
    </w:p>
    <w:p w14:paraId="3E4F3A39">
      <w:pPr>
        <w:pStyle w:val="21"/>
        <w:spacing w:before="60" w:after="60" w:line="360" w:lineRule="auto"/>
        <w:ind w:left="306"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传真：</w:t>
      </w:r>
    </w:p>
    <w:p w14:paraId="3112F68A">
      <w:pPr>
        <w:pStyle w:val="21"/>
        <w:spacing w:before="60" w:after="60" w:line="360" w:lineRule="auto"/>
        <w:ind w:left="306" w:firstLine="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电话：</w:t>
      </w:r>
    </w:p>
    <w:p w14:paraId="16FCC025">
      <w:pPr>
        <w:pStyle w:val="3"/>
        <w:spacing w:after="120" w:afterLines="50" w:line="360" w:lineRule="exact"/>
        <w:jc w:val="center"/>
        <w:rPr>
          <w:rFonts w:ascii="Times New Roman" w:hAnsi="Times New Roman"/>
          <w:b w:val="0"/>
          <w:color w:val="auto"/>
          <w:sz w:val="24"/>
          <w:highlight w:val="none"/>
        </w:rPr>
      </w:pPr>
      <w:r>
        <w:rPr>
          <w:rFonts w:ascii="Times New Roman" w:hAnsi="Times New Roman"/>
          <w:color w:val="auto"/>
          <w:sz w:val="24"/>
          <w:szCs w:val="24"/>
          <w:highlight w:val="none"/>
        </w:rPr>
        <w:br w:type="page"/>
      </w:r>
      <w:bookmarkStart w:id="111" w:name="_Toc498429656"/>
      <w:bookmarkStart w:id="112" w:name="_Toc505353800"/>
      <w:r>
        <w:rPr>
          <w:rFonts w:hint="eastAsia" w:ascii="Times New Roman" w:hAnsi="Times New Roman"/>
          <w:color w:val="auto"/>
          <w:sz w:val="32"/>
          <w:szCs w:val="32"/>
          <w:highlight w:val="none"/>
        </w:rPr>
        <w:t>法定代表人/负责人身份证明书</w:t>
      </w:r>
      <w:bookmarkEnd w:id="111"/>
      <w:bookmarkEnd w:id="112"/>
    </w:p>
    <w:p w14:paraId="2FB23D69">
      <w:pPr>
        <w:spacing w:line="360" w:lineRule="auto"/>
        <w:rPr>
          <w:rFonts w:ascii="Times New Roman" w:hAnsi="Times New Roman"/>
          <w:bCs/>
          <w:color w:val="auto"/>
          <w:szCs w:val="21"/>
          <w:highlight w:val="none"/>
        </w:rPr>
      </w:pPr>
    </w:p>
    <w:p w14:paraId="39A2F85C">
      <w:pPr>
        <w:spacing w:line="600" w:lineRule="auto"/>
        <w:contextualSpacing/>
        <w:rPr>
          <w:rFonts w:ascii="Times New Roman" w:hAnsi="Times New Roman"/>
          <w:bCs/>
          <w:color w:val="auto"/>
          <w:sz w:val="24"/>
          <w:szCs w:val="24"/>
          <w:highlight w:val="none"/>
          <w:u w:val="single"/>
        </w:rPr>
      </w:pPr>
      <w:r>
        <w:rPr>
          <w:rFonts w:hint="eastAsia" w:ascii="Times New Roman" w:hAnsi="Times New Roman"/>
          <w:bCs/>
          <w:color w:val="auto"/>
          <w:sz w:val="24"/>
          <w:szCs w:val="24"/>
          <w:highlight w:val="none"/>
        </w:rPr>
        <w:t>单位名称：</w:t>
      </w:r>
      <w:r>
        <w:rPr>
          <w:rFonts w:hint="eastAsia" w:ascii="Times New Roman" w:hAnsi="Times New Roman"/>
          <w:bCs/>
          <w:color w:val="auto"/>
          <w:sz w:val="24"/>
          <w:szCs w:val="24"/>
          <w:highlight w:val="none"/>
          <w:u w:val="single"/>
        </w:rPr>
        <w:t xml:space="preserve">                                                                </w:t>
      </w:r>
    </w:p>
    <w:p w14:paraId="22C9E10E">
      <w:pPr>
        <w:spacing w:line="600" w:lineRule="auto"/>
        <w:contextualSpacing/>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地    址：</w:t>
      </w:r>
      <w:r>
        <w:rPr>
          <w:rFonts w:hint="eastAsia" w:ascii="Times New Roman" w:hAnsi="Times New Roman"/>
          <w:bCs/>
          <w:color w:val="auto"/>
          <w:sz w:val="24"/>
          <w:szCs w:val="24"/>
          <w:highlight w:val="none"/>
          <w:u w:val="single"/>
        </w:rPr>
        <w:t xml:space="preserve">                                                                </w:t>
      </w:r>
    </w:p>
    <w:p w14:paraId="75C0AD96">
      <w:pPr>
        <w:spacing w:line="600" w:lineRule="auto"/>
        <w:contextualSpacing/>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姓    名：</w:t>
      </w:r>
      <w:r>
        <w:rPr>
          <w:rFonts w:hint="eastAsia" w:ascii="Times New Roman" w:hAnsi="Times New Roman"/>
          <w:bCs/>
          <w:color w:val="auto"/>
          <w:sz w:val="24"/>
          <w:szCs w:val="24"/>
          <w:highlight w:val="none"/>
          <w:u w:val="single"/>
        </w:rPr>
        <w:t xml:space="preserve">                          </w:t>
      </w:r>
      <w:r>
        <w:rPr>
          <w:rFonts w:hint="eastAsia" w:ascii="Times New Roman" w:hAnsi="Times New Roman"/>
          <w:bCs/>
          <w:color w:val="auto"/>
          <w:sz w:val="24"/>
          <w:szCs w:val="24"/>
          <w:highlight w:val="none"/>
        </w:rPr>
        <w:t xml:space="preserve">  性    别：</w:t>
      </w:r>
      <w:r>
        <w:rPr>
          <w:rFonts w:hint="eastAsia" w:ascii="Times New Roman" w:hAnsi="Times New Roman"/>
          <w:bCs/>
          <w:color w:val="auto"/>
          <w:sz w:val="24"/>
          <w:szCs w:val="24"/>
          <w:highlight w:val="none"/>
          <w:u w:val="single"/>
        </w:rPr>
        <w:t xml:space="preserve">                          </w:t>
      </w:r>
    </w:p>
    <w:p w14:paraId="5AF598C6">
      <w:pPr>
        <w:spacing w:line="600" w:lineRule="auto"/>
        <w:contextualSpacing/>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年    龄：</w:t>
      </w:r>
      <w:r>
        <w:rPr>
          <w:rFonts w:hint="eastAsia" w:ascii="Times New Roman" w:hAnsi="Times New Roman"/>
          <w:bCs/>
          <w:color w:val="auto"/>
          <w:sz w:val="24"/>
          <w:szCs w:val="24"/>
          <w:highlight w:val="none"/>
          <w:u w:val="single"/>
        </w:rPr>
        <w:t xml:space="preserve">                          </w:t>
      </w:r>
      <w:r>
        <w:rPr>
          <w:rFonts w:hint="eastAsia" w:ascii="Times New Roman" w:hAnsi="Times New Roman"/>
          <w:bCs/>
          <w:color w:val="auto"/>
          <w:sz w:val="24"/>
          <w:szCs w:val="24"/>
          <w:highlight w:val="none"/>
        </w:rPr>
        <w:t xml:space="preserve">  职    务：</w:t>
      </w:r>
      <w:r>
        <w:rPr>
          <w:rFonts w:hint="eastAsia" w:ascii="Times New Roman" w:hAnsi="Times New Roman"/>
          <w:bCs/>
          <w:color w:val="auto"/>
          <w:sz w:val="24"/>
          <w:szCs w:val="24"/>
          <w:highlight w:val="none"/>
          <w:u w:val="single"/>
        </w:rPr>
        <w:t xml:space="preserve">                          </w:t>
      </w:r>
    </w:p>
    <w:p w14:paraId="67BCA18C">
      <w:pPr>
        <w:spacing w:line="600" w:lineRule="auto"/>
        <w:contextualSpacing/>
        <w:rPr>
          <w:rFonts w:ascii="Times New Roman" w:hAnsi="Times New Roman"/>
          <w:bCs/>
          <w:color w:val="auto"/>
          <w:sz w:val="24"/>
          <w:szCs w:val="24"/>
          <w:highlight w:val="none"/>
        </w:rPr>
      </w:pPr>
      <w:r>
        <w:rPr>
          <w:rFonts w:hint="eastAsia" w:ascii="Times New Roman" w:hAnsi="Times New Roman"/>
          <w:bCs/>
          <w:color w:val="auto"/>
          <w:sz w:val="24"/>
          <w:szCs w:val="24"/>
          <w:highlight w:val="none"/>
        </w:rPr>
        <w:t>身份证号码：</w:t>
      </w:r>
      <w:r>
        <w:rPr>
          <w:rFonts w:hint="eastAsia" w:ascii="Times New Roman" w:hAnsi="Times New Roman"/>
          <w:bCs/>
          <w:color w:val="auto"/>
          <w:sz w:val="24"/>
          <w:szCs w:val="24"/>
          <w:highlight w:val="none"/>
          <w:u w:val="single"/>
        </w:rPr>
        <w:t xml:space="preserve">                     </w:t>
      </w:r>
      <w:r>
        <w:rPr>
          <w:rFonts w:hint="eastAsia" w:ascii="Times New Roman" w:hAnsi="Times New Roman"/>
          <w:bCs/>
          <w:color w:val="auto"/>
          <w:sz w:val="24"/>
          <w:szCs w:val="24"/>
          <w:highlight w:val="none"/>
        </w:rPr>
        <w:t>系</w:t>
      </w:r>
      <w:r>
        <w:rPr>
          <w:rFonts w:hint="eastAsia" w:ascii="Times New Roman" w:hAnsi="Times New Roman"/>
          <w:bCs/>
          <w:color w:val="auto"/>
          <w:sz w:val="24"/>
          <w:szCs w:val="24"/>
          <w:highlight w:val="none"/>
          <w:u w:val="single"/>
        </w:rPr>
        <w:t xml:space="preserve">               </w:t>
      </w:r>
      <w:r>
        <w:rPr>
          <w:rFonts w:hint="eastAsia" w:ascii="Times New Roman" w:hAnsi="Times New Roman"/>
          <w:bCs/>
          <w:color w:val="auto"/>
          <w:sz w:val="24"/>
          <w:szCs w:val="24"/>
          <w:highlight w:val="none"/>
        </w:rPr>
        <w:t>（投标人单位全称）的法定代表人/负责人。</w:t>
      </w:r>
    </w:p>
    <w:p w14:paraId="24A4348C">
      <w:pPr>
        <w:spacing w:line="600" w:lineRule="auto"/>
        <w:contextualSpacing/>
        <w:rPr>
          <w:rFonts w:ascii="Times New Roman" w:hAnsi="Times New Roman"/>
          <w:bCs/>
          <w:color w:val="auto"/>
          <w:sz w:val="24"/>
          <w:szCs w:val="24"/>
          <w:highlight w:val="none"/>
        </w:rPr>
      </w:pPr>
      <w:r>
        <w:rPr>
          <w:rFonts w:hint="eastAsia" w:ascii="Times New Roman" w:hAnsi="Times New Roman"/>
          <w:bCs/>
          <w:color w:val="auto"/>
          <w:sz w:val="24"/>
          <w:szCs w:val="24"/>
          <w:highlight w:val="none"/>
        </w:rPr>
        <w:t xml:space="preserve">    特此证明。</w:t>
      </w:r>
    </w:p>
    <w:p w14:paraId="07D80F5D">
      <w:pPr>
        <w:spacing w:line="600" w:lineRule="auto"/>
        <w:contextualSpacing/>
        <w:rPr>
          <w:rFonts w:ascii="Times New Roman" w:hAnsi="Times New Roman"/>
          <w:bCs/>
          <w:color w:val="auto"/>
          <w:sz w:val="24"/>
          <w:szCs w:val="24"/>
          <w:highlight w:val="none"/>
        </w:rPr>
      </w:pPr>
    </w:p>
    <w:p w14:paraId="6611451D">
      <w:pPr>
        <w:spacing w:line="600" w:lineRule="auto"/>
        <w:contextualSpacing/>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（后附法定代表人/负责人身份证正反面</w:t>
      </w:r>
      <w:r>
        <w:rPr>
          <w:rFonts w:hint="eastAsia" w:ascii="Times New Roman" w:hAnsi="Times New Roman"/>
          <w:bCs/>
          <w:color w:val="auto"/>
          <w:sz w:val="24"/>
          <w:szCs w:val="24"/>
          <w:highlight w:val="none"/>
          <w:lang w:eastAsia="zh-CN"/>
        </w:rPr>
        <w:t>扫描件</w:t>
      </w:r>
      <w:r>
        <w:rPr>
          <w:rFonts w:hint="eastAsia" w:ascii="Times New Roman" w:hAnsi="Times New Roman"/>
          <w:bCs/>
          <w:color w:val="auto"/>
          <w:sz w:val="24"/>
          <w:szCs w:val="24"/>
          <w:highlight w:val="none"/>
        </w:rPr>
        <w:t>）</w:t>
      </w:r>
    </w:p>
    <w:p w14:paraId="34CA8441">
      <w:pPr>
        <w:spacing w:line="600" w:lineRule="auto"/>
        <w:contextualSpacing/>
        <w:rPr>
          <w:rFonts w:ascii="Times New Roman" w:hAnsi="Times New Roman"/>
          <w:bCs/>
          <w:color w:val="auto"/>
          <w:sz w:val="24"/>
          <w:szCs w:val="24"/>
          <w:highlight w:val="none"/>
        </w:rPr>
      </w:pPr>
    </w:p>
    <w:p w14:paraId="43ECD6C5">
      <w:pPr>
        <w:spacing w:line="600" w:lineRule="auto"/>
        <w:contextualSpacing/>
        <w:rPr>
          <w:rFonts w:ascii="Times New Roman" w:hAnsi="Times New Roman"/>
          <w:bCs/>
          <w:color w:val="auto"/>
          <w:sz w:val="24"/>
          <w:szCs w:val="24"/>
          <w:highlight w:val="none"/>
        </w:rPr>
      </w:pPr>
    </w:p>
    <w:p w14:paraId="682964F5">
      <w:pPr>
        <w:spacing w:line="600" w:lineRule="auto"/>
        <w:contextualSpacing/>
        <w:rPr>
          <w:rFonts w:ascii="Times New Roman" w:hAnsi="Times New Roman"/>
          <w:bCs/>
          <w:color w:val="auto"/>
          <w:sz w:val="24"/>
          <w:szCs w:val="24"/>
          <w:highlight w:val="none"/>
        </w:rPr>
      </w:pPr>
    </w:p>
    <w:p w14:paraId="59E858E2">
      <w:pPr>
        <w:spacing w:line="600" w:lineRule="auto"/>
        <w:contextualSpacing/>
        <w:jc w:val="righ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投标人（盖章）：</w:t>
      </w:r>
    </w:p>
    <w:p w14:paraId="0FCC109A">
      <w:pPr>
        <w:spacing w:line="600" w:lineRule="auto"/>
        <w:contextualSpacing/>
        <w:jc w:val="righ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法定代表人/负责人（签字或盖章）：</w:t>
      </w:r>
    </w:p>
    <w:p w14:paraId="08C5B7E7">
      <w:pPr>
        <w:spacing w:line="600" w:lineRule="auto"/>
        <w:contextualSpacing/>
        <w:jc w:val="right"/>
        <w:rPr>
          <w:rFonts w:ascii="Times New Roman" w:hAnsi="Times New Roman"/>
          <w:b/>
          <w:color w:val="auto"/>
          <w:sz w:val="24"/>
          <w:szCs w:val="24"/>
          <w:highlight w:val="none"/>
        </w:rPr>
      </w:pPr>
      <w:r>
        <w:rPr>
          <w:rFonts w:hint="eastAsia" w:ascii="Times New Roman" w:hAnsi="Times New Roman"/>
          <w:bCs/>
          <w:color w:val="auto"/>
          <w:sz w:val="24"/>
          <w:szCs w:val="24"/>
          <w:highlight w:val="none"/>
        </w:rPr>
        <w:t>日期：</w:t>
      </w:r>
    </w:p>
    <w:p w14:paraId="4F127219">
      <w:pPr>
        <w:rPr>
          <w:rFonts w:ascii="Times New Roman" w:hAnsi="Times New Roman"/>
          <w:color w:val="auto"/>
          <w:sz w:val="24"/>
          <w:szCs w:val="24"/>
          <w:highlight w:val="none"/>
        </w:rPr>
        <w:sectPr>
          <w:pgSz w:w="11907" w:h="16840"/>
          <w:pgMar w:top="1134" w:right="1531" w:bottom="1134" w:left="1531" w:header="425" w:footer="709" w:gutter="0"/>
          <w:cols w:space="720" w:num="1"/>
          <w:docGrid w:linePitch="285" w:charSpace="0"/>
        </w:sectPr>
      </w:pPr>
    </w:p>
    <w:p w14:paraId="4FF36540">
      <w:pPr>
        <w:pStyle w:val="121"/>
        <w:spacing w:line="360" w:lineRule="auto"/>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eastAsia="zh-CN"/>
        </w:rPr>
        <w:t>四</w:t>
      </w:r>
      <w:r>
        <w:rPr>
          <w:rFonts w:hint="eastAsia" w:asciiTheme="minorEastAsia" w:hAnsiTheme="minorEastAsia" w:eastAsiaTheme="minorEastAsia"/>
          <w:b/>
          <w:color w:val="auto"/>
          <w:sz w:val="32"/>
          <w:szCs w:val="32"/>
          <w:highlight w:val="none"/>
        </w:rPr>
        <w:t>、证书一览表</w:t>
      </w:r>
    </w:p>
    <w:p w14:paraId="6FE8DD04">
      <w:pPr>
        <w:spacing w:after="100" w:afterAutospacing="1" w:line="360" w:lineRule="auto"/>
        <w:ind w:firstLine="960" w:firstLineChars="400"/>
        <w:outlineLvl w:val="0"/>
        <w:rPr>
          <w:rFonts w:hint="eastAsia" w:asciiTheme="minorEastAsia" w:hAnsiTheme="minorEastAsia" w:eastAsiaTheme="minorEastAsia"/>
          <w:b/>
          <w:color w:val="auto"/>
          <w:sz w:val="32"/>
          <w:szCs w:val="32"/>
          <w:highlight w:val="none"/>
        </w:rPr>
      </w:pPr>
      <w:r>
        <w:rPr>
          <w:rFonts w:hint="eastAsia" w:ascii="Times New Roman" w:hAnsi="Times New Roman" w:cs="宋体"/>
          <w:color w:val="auto"/>
          <w:sz w:val="24"/>
          <w:highlight w:val="none"/>
        </w:rPr>
        <w:t>项目编号：</w:t>
      </w:r>
      <w:r>
        <w:rPr>
          <w:rFonts w:hint="eastAsia" w:ascii="Times New Roman" w:hAnsi="Times New Roman" w:cs="宋体"/>
          <w:color w:val="auto"/>
          <w:sz w:val="24"/>
          <w:highlight w:val="none"/>
          <w:lang w:val="en-US" w:eastAsia="zh-CN"/>
        </w:rPr>
        <w:t xml:space="preserve">             </w:t>
      </w:r>
      <w:r>
        <w:rPr>
          <w:rFonts w:hint="eastAsia" w:cs="宋体"/>
          <w:color w:val="auto"/>
          <w:sz w:val="24"/>
          <w:szCs w:val="24"/>
          <w:highlight w:val="none"/>
          <w:lang w:eastAsia="zh-CN"/>
        </w:rPr>
        <w:t>标项号：</w:t>
      </w:r>
      <w:r>
        <w:rPr>
          <w:rFonts w:hint="eastAsia" w:ascii="Times New Roman" w:hAnsi="Times New Roman" w:cs="宋体"/>
          <w:color w:val="auto"/>
          <w:sz w:val="24"/>
          <w:highlight w:val="none"/>
          <w:lang w:val="en-US" w:eastAsia="zh-CN"/>
        </w:rPr>
        <w:t xml:space="preserve">                  </w:t>
      </w:r>
      <w:r>
        <w:rPr>
          <w:rFonts w:ascii="Times New Roman" w:hAnsi="Times New Roman" w:cs="宋体"/>
          <w:color w:val="auto"/>
          <w:sz w:val="24"/>
          <w:highlight w:val="none"/>
        </w:rPr>
        <w:t>项目名称：</w:t>
      </w:r>
    </w:p>
    <w:tbl>
      <w:tblPr>
        <w:tblStyle w:val="4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7F16E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2772B616">
            <w:pPr>
              <w:pStyle w:val="121"/>
              <w:spacing w:line="360" w:lineRule="auto"/>
              <w:jc w:val="center"/>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证书名称</w:t>
            </w:r>
          </w:p>
        </w:tc>
        <w:tc>
          <w:tcPr>
            <w:tcW w:w="2258" w:type="dxa"/>
            <w:tcBorders>
              <w:top w:val="single" w:color="auto" w:sz="4" w:space="0"/>
              <w:bottom w:val="single" w:color="auto" w:sz="4" w:space="0"/>
            </w:tcBorders>
            <w:vAlign w:val="center"/>
          </w:tcPr>
          <w:p w14:paraId="7DA9870A">
            <w:pPr>
              <w:pStyle w:val="121"/>
              <w:spacing w:line="360" w:lineRule="auto"/>
              <w:jc w:val="center"/>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发证单位</w:t>
            </w:r>
          </w:p>
        </w:tc>
        <w:tc>
          <w:tcPr>
            <w:tcW w:w="2260" w:type="dxa"/>
            <w:tcBorders>
              <w:top w:val="single" w:color="auto" w:sz="4" w:space="0"/>
              <w:bottom w:val="single" w:color="auto" w:sz="4" w:space="0"/>
            </w:tcBorders>
            <w:vAlign w:val="center"/>
          </w:tcPr>
          <w:p w14:paraId="0B7E1834">
            <w:pPr>
              <w:pStyle w:val="121"/>
              <w:spacing w:line="360" w:lineRule="auto"/>
              <w:jc w:val="center"/>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14:paraId="22CED7CB">
            <w:pPr>
              <w:pStyle w:val="121"/>
              <w:spacing w:line="360" w:lineRule="auto"/>
              <w:jc w:val="center"/>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证书有效期</w:t>
            </w:r>
          </w:p>
        </w:tc>
      </w:tr>
      <w:tr w14:paraId="7EBAEC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21E35DD1">
            <w:pPr>
              <w:pStyle w:val="121"/>
              <w:spacing w:line="360" w:lineRule="auto"/>
              <w:jc w:val="center"/>
              <w:rPr>
                <w:rFonts w:cs="Arial" w:asciiTheme="minorEastAsia" w:hAnsiTheme="minorEastAsia" w:eastAsiaTheme="minorEastAsia"/>
                <w:color w:val="auto"/>
                <w:sz w:val="24"/>
                <w:highlight w:val="none"/>
              </w:rPr>
            </w:pPr>
          </w:p>
        </w:tc>
        <w:tc>
          <w:tcPr>
            <w:tcW w:w="2258" w:type="dxa"/>
            <w:tcBorders>
              <w:top w:val="single" w:color="auto" w:sz="4" w:space="0"/>
            </w:tcBorders>
            <w:vAlign w:val="center"/>
          </w:tcPr>
          <w:p w14:paraId="6F35056A">
            <w:pPr>
              <w:pStyle w:val="121"/>
              <w:spacing w:line="360" w:lineRule="auto"/>
              <w:jc w:val="center"/>
              <w:rPr>
                <w:rFonts w:cs="Arial" w:asciiTheme="minorEastAsia" w:hAnsiTheme="minorEastAsia" w:eastAsiaTheme="minorEastAsia"/>
                <w:color w:val="auto"/>
                <w:sz w:val="24"/>
                <w:highlight w:val="none"/>
              </w:rPr>
            </w:pPr>
          </w:p>
        </w:tc>
        <w:tc>
          <w:tcPr>
            <w:tcW w:w="2260" w:type="dxa"/>
            <w:tcBorders>
              <w:top w:val="single" w:color="auto" w:sz="4" w:space="0"/>
            </w:tcBorders>
            <w:vAlign w:val="center"/>
          </w:tcPr>
          <w:p w14:paraId="6017DFE5">
            <w:pPr>
              <w:pStyle w:val="121"/>
              <w:spacing w:line="360" w:lineRule="auto"/>
              <w:jc w:val="center"/>
              <w:rPr>
                <w:rFonts w:cs="Arial" w:asciiTheme="minorEastAsia" w:hAnsiTheme="minorEastAsia" w:eastAsiaTheme="minorEastAsia"/>
                <w:color w:val="auto"/>
                <w:sz w:val="24"/>
                <w:highlight w:val="none"/>
              </w:rPr>
            </w:pPr>
          </w:p>
        </w:tc>
        <w:tc>
          <w:tcPr>
            <w:tcW w:w="2047" w:type="dxa"/>
            <w:tcBorders>
              <w:top w:val="single" w:color="auto" w:sz="4" w:space="0"/>
              <w:right w:val="single" w:color="auto" w:sz="4" w:space="0"/>
            </w:tcBorders>
            <w:vAlign w:val="center"/>
          </w:tcPr>
          <w:p w14:paraId="58411332">
            <w:pPr>
              <w:pStyle w:val="121"/>
              <w:spacing w:line="360" w:lineRule="auto"/>
              <w:jc w:val="center"/>
              <w:rPr>
                <w:rFonts w:cs="Arial" w:asciiTheme="minorEastAsia" w:hAnsiTheme="minorEastAsia" w:eastAsiaTheme="minorEastAsia"/>
                <w:color w:val="auto"/>
                <w:sz w:val="24"/>
                <w:highlight w:val="none"/>
              </w:rPr>
            </w:pPr>
          </w:p>
        </w:tc>
      </w:tr>
      <w:tr w14:paraId="426898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6C4B0554">
            <w:pPr>
              <w:pStyle w:val="121"/>
              <w:spacing w:line="360" w:lineRule="auto"/>
              <w:jc w:val="center"/>
              <w:rPr>
                <w:rFonts w:cs="Arial" w:asciiTheme="minorEastAsia" w:hAnsiTheme="minorEastAsia" w:eastAsiaTheme="minorEastAsia"/>
                <w:color w:val="auto"/>
                <w:sz w:val="24"/>
                <w:highlight w:val="none"/>
              </w:rPr>
            </w:pPr>
          </w:p>
        </w:tc>
        <w:tc>
          <w:tcPr>
            <w:tcW w:w="2258" w:type="dxa"/>
            <w:vAlign w:val="center"/>
          </w:tcPr>
          <w:p w14:paraId="2EE7169D">
            <w:pPr>
              <w:pStyle w:val="121"/>
              <w:spacing w:line="360" w:lineRule="auto"/>
              <w:jc w:val="center"/>
              <w:rPr>
                <w:rFonts w:cs="Arial" w:asciiTheme="minorEastAsia" w:hAnsiTheme="minorEastAsia" w:eastAsiaTheme="minorEastAsia"/>
                <w:color w:val="auto"/>
                <w:sz w:val="24"/>
                <w:highlight w:val="none"/>
              </w:rPr>
            </w:pPr>
          </w:p>
        </w:tc>
        <w:tc>
          <w:tcPr>
            <w:tcW w:w="2260" w:type="dxa"/>
            <w:vAlign w:val="center"/>
          </w:tcPr>
          <w:p w14:paraId="59A73E68">
            <w:pPr>
              <w:pStyle w:val="121"/>
              <w:spacing w:line="360" w:lineRule="auto"/>
              <w:jc w:val="center"/>
              <w:rPr>
                <w:rFonts w:cs="Arial" w:asciiTheme="minorEastAsia" w:hAnsiTheme="minorEastAsia" w:eastAsiaTheme="minorEastAsia"/>
                <w:color w:val="auto"/>
                <w:sz w:val="24"/>
                <w:highlight w:val="none"/>
              </w:rPr>
            </w:pPr>
          </w:p>
        </w:tc>
        <w:tc>
          <w:tcPr>
            <w:tcW w:w="2047" w:type="dxa"/>
            <w:tcBorders>
              <w:right w:val="single" w:color="auto" w:sz="4" w:space="0"/>
            </w:tcBorders>
            <w:vAlign w:val="center"/>
          </w:tcPr>
          <w:p w14:paraId="33277D04">
            <w:pPr>
              <w:pStyle w:val="121"/>
              <w:spacing w:line="360" w:lineRule="auto"/>
              <w:jc w:val="center"/>
              <w:rPr>
                <w:rFonts w:cs="Arial" w:asciiTheme="minorEastAsia" w:hAnsiTheme="minorEastAsia" w:eastAsiaTheme="minorEastAsia"/>
                <w:color w:val="auto"/>
                <w:sz w:val="24"/>
                <w:highlight w:val="none"/>
              </w:rPr>
            </w:pPr>
          </w:p>
        </w:tc>
      </w:tr>
      <w:tr w14:paraId="0051FA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5B06E898">
            <w:pPr>
              <w:pStyle w:val="121"/>
              <w:spacing w:line="360" w:lineRule="auto"/>
              <w:jc w:val="center"/>
              <w:rPr>
                <w:rFonts w:cs="Arial" w:asciiTheme="minorEastAsia" w:hAnsiTheme="minorEastAsia" w:eastAsiaTheme="minorEastAsia"/>
                <w:color w:val="auto"/>
                <w:sz w:val="24"/>
                <w:highlight w:val="none"/>
              </w:rPr>
            </w:pPr>
          </w:p>
        </w:tc>
        <w:tc>
          <w:tcPr>
            <w:tcW w:w="2258" w:type="dxa"/>
            <w:vAlign w:val="center"/>
          </w:tcPr>
          <w:p w14:paraId="69110918">
            <w:pPr>
              <w:pStyle w:val="121"/>
              <w:spacing w:line="360" w:lineRule="auto"/>
              <w:jc w:val="center"/>
              <w:rPr>
                <w:rFonts w:cs="Arial" w:asciiTheme="minorEastAsia" w:hAnsiTheme="minorEastAsia" w:eastAsiaTheme="minorEastAsia"/>
                <w:color w:val="auto"/>
                <w:sz w:val="24"/>
                <w:highlight w:val="none"/>
              </w:rPr>
            </w:pPr>
          </w:p>
        </w:tc>
        <w:tc>
          <w:tcPr>
            <w:tcW w:w="2260" w:type="dxa"/>
            <w:vAlign w:val="center"/>
          </w:tcPr>
          <w:p w14:paraId="1A2A8BD1">
            <w:pPr>
              <w:pStyle w:val="121"/>
              <w:spacing w:line="360" w:lineRule="auto"/>
              <w:jc w:val="center"/>
              <w:rPr>
                <w:rFonts w:cs="Arial" w:asciiTheme="minorEastAsia" w:hAnsiTheme="minorEastAsia" w:eastAsiaTheme="minorEastAsia"/>
                <w:color w:val="auto"/>
                <w:sz w:val="24"/>
                <w:highlight w:val="none"/>
              </w:rPr>
            </w:pPr>
          </w:p>
        </w:tc>
        <w:tc>
          <w:tcPr>
            <w:tcW w:w="2047" w:type="dxa"/>
            <w:tcBorders>
              <w:right w:val="single" w:color="auto" w:sz="4" w:space="0"/>
            </w:tcBorders>
            <w:vAlign w:val="center"/>
          </w:tcPr>
          <w:p w14:paraId="5E6F7B9D">
            <w:pPr>
              <w:pStyle w:val="121"/>
              <w:spacing w:line="360" w:lineRule="auto"/>
              <w:jc w:val="center"/>
              <w:rPr>
                <w:rFonts w:cs="Arial" w:asciiTheme="minorEastAsia" w:hAnsiTheme="minorEastAsia" w:eastAsiaTheme="minorEastAsia"/>
                <w:color w:val="auto"/>
                <w:sz w:val="24"/>
                <w:highlight w:val="none"/>
              </w:rPr>
            </w:pPr>
          </w:p>
        </w:tc>
      </w:tr>
      <w:tr w14:paraId="2B383E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6459EC4F">
            <w:pPr>
              <w:pStyle w:val="121"/>
              <w:spacing w:line="360" w:lineRule="auto"/>
              <w:jc w:val="center"/>
              <w:rPr>
                <w:rFonts w:cs="Arial" w:asciiTheme="minorEastAsia" w:hAnsiTheme="minorEastAsia" w:eastAsiaTheme="minorEastAsia"/>
                <w:color w:val="auto"/>
                <w:sz w:val="24"/>
                <w:highlight w:val="none"/>
              </w:rPr>
            </w:pPr>
          </w:p>
        </w:tc>
        <w:tc>
          <w:tcPr>
            <w:tcW w:w="2258" w:type="dxa"/>
            <w:vAlign w:val="center"/>
          </w:tcPr>
          <w:p w14:paraId="30B21CFE">
            <w:pPr>
              <w:pStyle w:val="121"/>
              <w:spacing w:line="360" w:lineRule="auto"/>
              <w:jc w:val="center"/>
              <w:rPr>
                <w:rFonts w:cs="Arial" w:asciiTheme="minorEastAsia" w:hAnsiTheme="minorEastAsia" w:eastAsiaTheme="minorEastAsia"/>
                <w:color w:val="auto"/>
                <w:sz w:val="24"/>
                <w:highlight w:val="none"/>
              </w:rPr>
            </w:pPr>
          </w:p>
        </w:tc>
        <w:tc>
          <w:tcPr>
            <w:tcW w:w="2260" w:type="dxa"/>
            <w:vAlign w:val="center"/>
          </w:tcPr>
          <w:p w14:paraId="50360765">
            <w:pPr>
              <w:pStyle w:val="121"/>
              <w:spacing w:line="360" w:lineRule="auto"/>
              <w:jc w:val="center"/>
              <w:rPr>
                <w:rFonts w:cs="Arial" w:asciiTheme="minorEastAsia" w:hAnsiTheme="minorEastAsia" w:eastAsiaTheme="minorEastAsia"/>
                <w:color w:val="auto"/>
                <w:sz w:val="24"/>
                <w:highlight w:val="none"/>
              </w:rPr>
            </w:pPr>
          </w:p>
        </w:tc>
        <w:tc>
          <w:tcPr>
            <w:tcW w:w="2047" w:type="dxa"/>
            <w:tcBorders>
              <w:right w:val="single" w:color="auto" w:sz="4" w:space="0"/>
            </w:tcBorders>
            <w:vAlign w:val="center"/>
          </w:tcPr>
          <w:p w14:paraId="4040012B">
            <w:pPr>
              <w:pStyle w:val="121"/>
              <w:spacing w:line="360" w:lineRule="auto"/>
              <w:jc w:val="center"/>
              <w:rPr>
                <w:rFonts w:cs="Arial" w:asciiTheme="minorEastAsia" w:hAnsiTheme="minorEastAsia" w:eastAsiaTheme="minorEastAsia"/>
                <w:color w:val="auto"/>
                <w:sz w:val="24"/>
                <w:highlight w:val="none"/>
              </w:rPr>
            </w:pPr>
          </w:p>
        </w:tc>
      </w:tr>
      <w:tr w14:paraId="27AD6A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6BF1D322">
            <w:pPr>
              <w:pStyle w:val="121"/>
              <w:spacing w:line="360" w:lineRule="auto"/>
              <w:jc w:val="center"/>
              <w:rPr>
                <w:rFonts w:cs="Arial" w:asciiTheme="minorEastAsia" w:hAnsiTheme="minorEastAsia" w:eastAsiaTheme="minorEastAsia"/>
                <w:color w:val="auto"/>
                <w:sz w:val="24"/>
                <w:highlight w:val="none"/>
              </w:rPr>
            </w:pPr>
          </w:p>
        </w:tc>
        <w:tc>
          <w:tcPr>
            <w:tcW w:w="2258" w:type="dxa"/>
            <w:vAlign w:val="center"/>
          </w:tcPr>
          <w:p w14:paraId="01240801">
            <w:pPr>
              <w:pStyle w:val="121"/>
              <w:spacing w:line="360" w:lineRule="auto"/>
              <w:jc w:val="center"/>
              <w:rPr>
                <w:rFonts w:cs="Arial" w:asciiTheme="minorEastAsia" w:hAnsiTheme="minorEastAsia" w:eastAsiaTheme="minorEastAsia"/>
                <w:color w:val="auto"/>
                <w:sz w:val="24"/>
                <w:highlight w:val="none"/>
              </w:rPr>
            </w:pPr>
          </w:p>
        </w:tc>
        <w:tc>
          <w:tcPr>
            <w:tcW w:w="2260" w:type="dxa"/>
            <w:vAlign w:val="center"/>
          </w:tcPr>
          <w:p w14:paraId="357B031B">
            <w:pPr>
              <w:pStyle w:val="121"/>
              <w:spacing w:line="360" w:lineRule="auto"/>
              <w:jc w:val="center"/>
              <w:rPr>
                <w:rFonts w:cs="Arial" w:asciiTheme="minorEastAsia" w:hAnsiTheme="minorEastAsia" w:eastAsiaTheme="minorEastAsia"/>
                <w:color w:val="auto"/>
                <w:sz w:val="24"/>
                <w:highlight w:val="none"/>
              </w:rPr>
            </w:pPr>
          </w:p>
        </w:tc>
        <w:tc>
          <w:tcPr>
            <w:tcW w:w="2047" w:type="dxa"/>
            <w:tcBorders>
              <w:right w:val="single" w:color="auto" w:sz="4" w:space="0"/>
            </w:tcBorders>
            <w:vAlign w:val="center"/>
          </w:tcPr>
          <w:p w14:paraId="596623DA">
            <w:pPr>
              <w:pStyle w:val="121"/>
              <w:spacing w:line="360" w:lineRule="auto"/>
              <w:jc w:val="center"/>
              <w:rPr>
                <w:rFonts w:cs="Arial" w:asciiTheme="minorEastAsia" w:hAnsiTheme="minorEastAsia" w:eastAsiaTheme="minorEastAsia"/>
                <w:color w:val="auto"/>
                <w:sz w:val="24"/>
                <w:highlight w:val="none"/>
              </w:rPr>
            </w:pPr>
          </w:p>
        </w:tc>
      </w:tr>
      <w:tr w14:paraId="06277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55862F23">
            <w:pPr>
              <w:pStyle w:val="121"/>
              <w:spacing w:line="360" w:lineRule="auto"/>
              <w:jc w:val="center"/>
              <w:rPr>
                <w:rFonts w:cs="Arial" w:asciiTheme="minorEastAsia" w:hAnsiTheme="minorEastAsia" w:eastAsiaTheme="minorEastAsia"/>
                <w:color w:val="auto"/>
                <w:sz w:val="24"/>
                <w:highlight w:val="none"/>
              </w:rPr>
            </w:pPr>
          </w:p>
        </w:tc>
        <w:tc>
          <w:tcPr>
            <w:tcW w:w="2258" w:type="dxa"/>
            <w:vAlign w:val="center"/>
          </w:tcPr>
          <w:p w14:paraId="52DFB6D4">
            <w:pPr>
              <w:pStyle w:val="121"/>
              <w:spacing w:line="360" w:lineRule="auto"/>
              <w:jc w:val="center"/>
              <w:rPr>
                <w:rFonts w:cs="Arial" w:asciiTheme="minorEastAsia" w:hAnsiTheme="minorEastAsia" w:eastAsiaTheme="minorEastAsia"/>
                <w:color w:val="auto"/>
                <w:sz w:val="24"/>
                <w:highlight w:val="none"/>
              </w:rPr>
            </w:pPr>
          </w:p>
        </w:tc>
        <w:tc>
          <w:tcPr>
            <w:tcW w:w="2260" w:type="dxa"/>
            <w:vAlign w:val="center"/>
          </w:tcPr>
          <w:p w14:paraId="75EDEA00">
            <w:pPr>
              <w:pStyle w:val="121"/>
              <w:spacing w:line="360" w:lineRule="auto"/>
              <w:jc w:val="center"/>
              <w:rPr>
                <w:rFonts w:cs="Arial" w:asciiTheme="minorEastAsia" w:hAnsiTheme="minorEastAsia" w:eastAsiaTheme="minorEastAsia"/>
                <w:color w:val="auto"/>
                <w:sz w:val="24"/>
                <w:highlight w:val="none"/>
              </w:rPr>
            </w:pPr>
          </w:p>
        </w:tc>
        <w:tc>
          <w:tcPr>
            <w:tcW w:w="2047" w:type="dxa"/>
            <w:tcBorders>
              <w:right w:val="single" w:color="auto" w:sz="4" w:space="0"/>
            </w:tcBorders>
            <w:vAlign w:val="center"/>
          </w:tcPr>
          <w:p w14:paraId="2A8D389F">
            <w:pPr>
              <w:pStyle w:val="121"/>
              <w:spacing w:line="360" w:lineRule="auto"/>
              <w:jc w:val="center"/>
              <w:rPr>
                <w:rFonts w:cs="Arial" w:asciiTheme="minorEastAsia" w:hAnsiTheme="minorEastAsia" w:eastAsiaTheme="minorEastAsia"/>
                <w:color w:val="auto"/>
                <w:sz w:val="24"/>
                <w:highlight w:val="none"/>
              </w:rPr>
            </w:pPr>
          </w:p>
        </w:tc>
      </w:tr>
      <w:tr w14:paraId="01A68A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087954AB">
            <w:pPr>
              <w:pStyle w:val="121"/>
              <w:spacing w:line="360" w:lineRule="auto"/>
              <w:jc w:val="center"/>
              <w:rPr>
                <w:rFonts w:cs="Arial" w:asciiTheme="minorEastAsia" w:hAnsiTheme="minorEastAsia" w:eastAsiaTheme="minorEastAsia"/>
                <w:color w:val="auto"/>
                <w:sz w:val="24"/>
                <w:highlight w:val="none"/>
              </w:rPr>
            </w:pPr>
          </w:p>
        </w:tc>
        <w:tc>
          <w:tcPr>
            <w:tcW w:w="2258" w:type="dxa"/>
            <w:tcBorders>
              <w:bottom w:val="single" w:color="auto" w:sz="4" w:space="0"/>
            </w:tcBorders>
            <w:vAlign w:val="center"/>
          </w:tcPr>
          <w:p w14:paraId="3B9BE215">
            <w:pPr>
              <w:pStyle w:val="121"/>
              <w:spacing w:line="360" w:lineRule="auto"/>
              <w:jc w:val="center"/>
              <w:rPr>
                <w:rFonts w:cs="Arial" w:asciiTheme="minorEastAsia" w:hAnsiTheme="minorEastAsia" w:eastAsiaTheme="minorEastAsia"/>
                <w:color w:val="auto"/>
                <w:sz w:val="24"/>
                <w:highlight w:val="none"/>
              </w:rPr>
            </w:pPr>
          </w:p>
        </w:tc>
        <w:tc>
          <w:tcPr>
            <w:tcW w:w="2260" w:type="dxa"/>
            <w:tcBorders>
              <w:bottom w:val="single" w:color="auto" w:sz="4" w:space="0"/>
            </w:tcBorders>
            <w:vAlign w:val="center"/>
          </w:tcPr>
          <w:p w14:paraId="2F9F59AD">
            <w:pPr>
              <w:pStyle w:val="121"/>
              <w:spacing w:line="360" w:lineRule="auto"/>
              <w:jc w:val="center"/>
              <w:rPr>
                <w:rFonts w:cs="Arial" w:asciiTheme="minorEastAsia" w:hAnsiTheme="minorEastAsia" w:eastAsiaTheme="minorEastAsia"/>
                <w:color w:val="auto"/>
                <w:sz w:val="24"/>
                <w:highlight w:val="none"/>
              </w:rPr>
            </w:pPr>
          </w:p>
        </w:tc>
        <w:tc>
          <w:tcPr>
            <w:tcW w:w="2047" w:type="dxa"/>
            <w:tcBorders>
              <w:bottom w:val="single" w:color="auto" w:sz="4" w:space="0"/>
              <w:right w:val="single" w:color="auto" w:sz="4" w:space="0"/>
            </w:tcBorders>
            <w:vAlign w:val="center"/>
          </w:tcPr>
          <w:p w14:paraId="56447880">
            <w:pPr>
              <w:pStyle w:val="121"/>
              <w:spacing w:line="360" w:lineRule="auto"/>
              <w:jc w:val="center"/>
              <w:rPr>
                <w:rFonts w:cs="Arial" w:asciiTheme="minorEastAsia" w:hAnsiTheme="minorEastAsia" w:eastAsiaTheme="minorEastAsia"/>
                <w:color w:val="auto"/>
                <w:sz w:val="24"/>
                <w:highlight w:val="none"/>
              </w:rPr>
            </w:pPr>
          </w:p>
        </w:tc>
      </w:tr>
    </w:tbl>
    <w:p w14:paraId="65232343">
      <w:pPr>
        <w:pStyle w:val="121"/>
        <w:tabs>
          <w:tab w:val="left" w:pos="1050"/>
        </w:tabs>
        <w:spacing w:line="360" w:lineRule="auto"/>
        <w:rPr>
          <w:rFonts w:asciiTheme="minorEastAsia" w:hAnsiTheme="minorEastAsia" w:eastAsiaTheme="minorEastAsia"/>
          <w:color w:val="auto"/>
          <w:sz w:val="24"/>
          <w:highlight w:val="none"/>
        </w:rPr>
      </w:pPr>
    </w:p>
    <w:p w14:paraId="0A472777">
      <w:pPr>
        <w:pStyle w:val="121"/>
        <w:tabs>
          <w:tab w:val="left" w:pos="1050"/>
        </w:tabs>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要求：</w:t>
      </w:r>
    </w:p>
    <w:p w14:paraId="286F36A5">
      <w:pPr>
        <w:pStyle w:val="121"/>
        <w:tabs>
          <w:tab w:val="left" w:pos="1050"/>
        </w:tabs>
        <w:spacing w:line="360" w:lineRule="auto"/>
        <w:ind w:firstLine="484" w:firstLineChars="20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1.根据评分标准要求填写投标供应商获得的资质、认证或企业信誉证书等；</w:t>
      </w:r>
    </w:p>
    <w:p w14:paraId="0588CC20">
      <w:pPr>
        <w:pStyle w:val="121"/>
        <w:tabs>
          <w:tab w:val="left" w:pos="1050"/>
        </w:tabs>
        <w:spacing w:line="360" w:lineRule="auto"/>
        <w:ind w:firstLine="484" w:firstLineChars="20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2.附所列证书扫描件或影印件或其他证明材料。</w:t>
      </w:r>
    </w:p>
    <w:p w14:paraId="0184C8E2">
      <w:pPr>
        <w:spacing w:line="360" w:lineRule="auto"/>
        <w:jc w:val="left"/>
        <w:rPr>
          <w:rFonts w:asciiTheme="minorEastAsia" w:hAnsiTheme="minorEastAsia" w:eastAsiaTheme="minorEastAsia"/>
          <w:color w:val="auto"/>
          <w:sz w:val="24"/>
          <w:highlight w:val="none"/>
        </w:rPr>
      </w:pPr>
    </w:p>
    <w:p w14:paraId="1F49D760">
      <w:pPr>
        <w:spacing w:line="360" w:lineRule="auto"/>
        <w:jc w:val="left"/>
        <w:rPr>
          <w:rFonts w:asciiTheme="minorEastAsia" w:hAnsiTheme="minorEastAsia" w:eastAsiaTheme="minorEastAsia"/>
          <w:color w:val="auto"/>
          <w:sz w:val="24"/>
          <w:highlight w:val="none"/>
        </w:rPr>
      </w:pPr>
    </w:p>
    <w:p w14:paraId="58CB0AF6">
      <w:pPr>
        <w:tabs>
          <w:tab w:val="left" w:pos="312"/>
        </w:tabs>
        <w:spacing w:line="480" w:lineRule="auto"/>
        <w:ind w:firstLine="480" w:firstLineChars="200"/>
        <w:jc w:val="righ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投标人名称（盖公章）：</w:t>
      </w:r>
    </w:p>
    <w:p w14:paraId="55F3EDBA">
      <w:pPr>
        <w:spacing w:line="480" w:lineRule="auto"/>
        <w:ind w:firstLine="424" w:firstLineChars="177"/>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w:t>
      </w:r>
      <w:r>
        <w:rPr>
          <w:rFonts w:hint="eastAsia" w:cs="宋体" w:asciiTheme="minorEastAsia" w:hAnsiTheme="minorEastAsia" w:eastAsiaTheme="minorEastAsia"/>
          <w:color w:val="auto"/>
          <w:sz w:val="24"/>
          <w:highlight w:val="none"/>
          <w:lang w:eastAsia="zh-CN"/>
        </w:rPr>
        <w:t>授权委托代表</w:t>
      </w:r>
      <w:r>
        <w:rPr>
          <w:rFonts w:hint="eastAsia" w:cs="宋体" w:asciiTheme="minorEastAsia" w:hAnsiTheme="minorEastAsia" w:eastAsiaTheme="minorEastAsia"/>
          <w:color w:val="auto"/>
          <w:sz w:val="24"/>
          <w:highlight w:val="none"/>
        </w:rPr>
        <w:t>（签字或盖章）：</w:t>
      </w:r>
    </w:p>
    <w:p w14:paraId="710B044B">
      <w:pPr>
        <w:spacing w:line="480" w:lineRule="auto"/>
        <w:ind w:firstLine="435"/>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64DFEE6">
      <w:pPr>
        <w:spacing w:after="100" w:afterAutospacing="1" w:line="360" w:lineRule="auto"/>
        <w:jc w:val="center"/>
        <w:outlineLvl w:val="0"/>
        <w:rPr>
          <w:rFonts w:asciiTheme="minorEastAsia" w:hAnsiTheme="minorEastAsia" w:eastAsiaTheme="minorEastAsia"/>
          <w:b/>
          <w:color w:val="auto"/>
          <w:sz w:val="32"/>
          <w:szCs w:val="32"/>
          <w:highlight w:val="none"/>
        </w:rPr>
      </w:pPr>
    </w:p>
    <w:p w14:paraId="5FDA6028">
      <w:pPr>
        <w:pageBreakBefore/>
        <w:spacing w:after="100" w:afterAutospacing="1" w:line="360" w:lineRule="auto"/>
        <w:jc w:val="center"/>
        <w:outlineLvl w:val="0"/>
        <w:rPr>
          <w:rFonts w:asciiTheme="minorEastAsia" w:hAnsiTheme="minorEastAsia" w:eastAsiaTheme="minorEastAsia"/>
          <w:b/>
          <w:color w:val="auto"/>
          <w:sz w:val="32"/>
          <w:szCs w:val="32"/>
          <w:highlight w:val="none"/>
        </w:rPr>
      </w:pPr>
      <w:bookmarkStart w:id="113" w:name="_Toc30960"/>
      <w:bookmarkStart w:id="114" w:name="_Toc29589"/>
      <w:r>
        <w:rPr>
          <w:rFonts w:hint="eastAsia" w:asciiTheme="minorEastAsia" w:hAnsiTheme="minorEastAsia" w:eastAsiaTheme="minorEastAsia"/>
          <w:b/>
          <w:color w:val="auto"/>
          <w:sz w:val="32"/>
          <w:szCs w:val="32"/>
          <w:highlight w:val="none"/>
          <w:lang w:eastAsia="zh-CN"/>
        </w:rPr>
        <w:t>五</w:t>
      </w:r>
      <w:r>
        <w:rPr>
          <w:rFonts w:hint="eastAsia" w:asciiTheme="minorEastAsia" w:hAnsiTheme="minorEastAsia" w:eastAsiaTheme="minorEastAsia"/>
          <w:b/>
          <w:color w:val="auto"/>
          <w:sz w:val="32"/>
          <w:szCs w:val="32"/>
          <w:highlight w:val="none"/>
        </w:rPr>
        <w:t>、</w:t>
      </w:r>
      <w:r>
        <w:rPr>
          <w:rFonts w:asciiTheme="minorEastAsia" w:hAnsiTheme="minorEastAsia" w:eastAsiaTheme="minorEastAsia"/>
          <w:b/>
          <w:color w:val="auto"/>
          <w:sz w:val="32"/>
          <w:szCs w:val="32"/>
          <w:highlight w:val="none"/>
        </w:rPr>
        <w:t>技术规范偏离表</w:t>
      </w:r>
      <w:bookmarkEnd w:id="105"/>
      <w:bookmarkEnd w:id="106"/>
      <w:bookmarkEnd w:id="107"/>
      <w:bookmarkEnd w:id="108"/>
      <w:bookmarkEnd w:id="109"/>
      <w:bookmarkEnd w:id="110"/>
      <w:bookmarkEnd w:id="113"/>
      <w:bookmarkEnd w:id="114"/>
    </w:p>
    <w:p w14:paraId="2F667071">
      <w:pPr>
        <w:spacing w:after="100" w:afterAutospacing="1" w:line="360" w:lineRule="auto"/>
        <w:outlineLvl w:val="0"/>
        <w:rPr>
          <w:rFonts w:ascii="Times New Roman" w:hAnsi="Times New Roman" w:cs="宋体"/>
          <w:color w:val="auto"/>
          <w:sz w:val="24"/>
          <w:highlight w:val="none"/>
        </w:rPr>
      </w:pPr>
      <w:bookmarkStart w:id="115" w:name="_Toc31541"/>
      <w:bookmarkStart w:id="116" w:name="_Toc9730"/>
      <w:r>
        <w:rPr>
          <w:rFonts w:hint="eastAsia" w:ascii="Times New Roman" w:hAnsi="Times New Roman" w:cs="宋体"/>
          <w:color w:val="auto"/>
          <w:sz w:val="24"/>
          <w:highlight w:val="none"/>
        </w:rPr>
        <w:t>项目编号：</w:t>
      </w:r>
      <w:r>
        <w:rPr>
          <w:rFonts w:hint="eastAsia" w:ascii="Times New Roman" w:hAnsi="Times New Roman" w:cs="宋体"/>
          <w:color w:val="auto"/>
          <w:sz w:val="24"/>
          <w:highlight w:val="none"/>
          <w:lang w:val="en-US" w:eastAsia="zh-CN"/>
        </w:rPr>
        <w:t xml:space="preserve">             </w:t>
      </w:r>
      <w:r>
        <w:rPr>
          <w:rFonts w:hint="eastAsia" w:cs="宋体"/>
          <w:color w:val="auto"/>
          <w:sz w:val="24"/>
          <w:szCs w:val="24"/>
          <w:highlight w:val="none"/>
          <w:lang w:eastAsia="zh-CN"/>
        </w:rPr>
        <w:t>标项号：</w:t>
      </w:r>
      <w:r>
        <w:rPr>
          <w:rFonts w:hint="eastAsia" w:ascii="Times New Roman" w:hAnsi="Times New Roman" w:cs="宋体"/>
          <w:color w:val="auto"/>
          <w:sz w:val="24"/>
          <w:highlight w:val="none"/>
          <w:lang w:val="en-US" w:eastAsia="zh-CN"/>
        </w:rPr>
        <w:t xml:space="preserve">                  </w:t>
      </w:r>
      <w:r>
        <w:rPr>
          <w:rFonts w:ascii="Times New Roman" w:hAnsi="Times New Roman" w:cs="宋体"/>
          <w:color w:val="auto"/>
          <w:sz w:val="24"/>
          <w:highlight w:val="none"/>
        </w:rPr>
        <w:t>项目名称：</w:t>
      </w:r>
      <w:bookmarkEnd w:id="115"/>
      <w:bookmarkEnd w:id="116"/>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10B477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3BE3E4CD">
            <w:pPr>
              <w:pStyle w:val="21"/>
              <w:spacing w:line="340" w:lineRule="exact"/>
              <w:ind w:firstLine="120" w:firstLineChars="50"/>
              <w:contextualSpacing/>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序号</w:t>
            </w:r>
          </w:p>
        </w:tc>
        <w:tc>
          <w:tcPr>
            <w:tcW w:w="3768" w:type="dxa"/>
            <w:tcBorders>
              <w:top w:val="single" w:color="auto" w:sz="4" w:space="0"/>
              <w:bottom w:val="single" w:color="auto" w:sz="4" w:space="0"/>
            </w:tcBorders>
            <w:tcMar>
              <w:left w:w="0" w:type="dxa"/>
              <w:right w:w="0" w:type="dxa"/>
            </w:tcMar>
            <w:vAlign w:val="center"/>
          </w:tcPr>
          <w:p w14:paraId="46D4E0E0">
            <w:pPr>
              <w:pStyle w:val="21"/>
              <w:spacing w:line="340" w:lineRule="exact"/>
              <w:ind w:firstLine="0"/>
              <w:contextualSpacing/>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《采购文件》中的技术要求</w:t>
            </w:r>
          </w:p>
        </w:tc>
        <w:tc>
          <w:tcPr>
            <w:tcW w:w="3768" w:type="dxa"/>
            <w:tcBorders>
              <w:top w:val="single" w:color="auto" w:sz="4" w:space="0"/>
              <w:bottom w:val="single" w:color="auto" w:sz="4" w:space="0"/>
            </w:tcBorders>
            <w:tcMar>
              <w:left w:w="0" w:type="dxa"/>
              <w:right w:w="0" w:type="dxa"/>
            </w:tcMar>
            <w:vAlign w:val="center"/>
          </w:tcPr>
          <w:p w14:paraId="210FADBC">
            <w:pPr>
              <w:pStyle w:val="21"/>
              <w:spacing w:line="340" w:lineRule="exact"/>
              <w:ind w:firstLine="0"/>
              <w:contextualSpacing/>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《投标文件》技术条款响应</w:t>
            </w:r>
          </w:p>
        </w:tc>
        <w:tc>
          <w:tcPr>
            <w:tcW w:w="995" w:type="dxa"/>
            <w:tcBorders>
              <w:top w:val="single" w:color="auto" w:sz="4" w:space="0"/>
              <w:bottom w:val="single" w:color="auto" w:sz="4" w:space="0"/>
            </w:tcBorders>
            <w:tcMar>
              <w:left w:w="0" w:type="dxa"/>
              <w:right w:w="0" w:type="dxa"/>
            </w:tcMar>
            <w:vAlign w:val="center"/>
          </w:tcPr>
          <w:p w14:paraId="31572C56">
            <w:pPr>
              <w:pStyle w:val="21"/>
              <w:spacing w:line="340" w:lineRule="exact"/>
              <w:ind w:firstLine="0"/>
              <w:contextualSpacing/>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说明</w:t>
            </w:r>
          </w:p>
        </w:tc>
      </w:tr>
      <w:tr w14:paraId="7C974C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7923DBF0">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1</w:t>
            </w:r>
          </w:p>
        </w:tc>
        <w:tc>
          <w:tcPr>
            <w:tcW w:w="3768" w:type="dxa"/>
            <w:tcBorders>
              <w:top w:val="single" w:color="auto" w:sz="4" w:space="0"/>
            </w:tcBorders>
            <w:tcMar>
              <w:left w:w="0" w:type="dxa"/>
              <w:right w:w="0" w:type="dxa"/>
            </w:tcMar>
            <w:vAlign w:val="center"/>
          </w:tcPr>
          <w:p w14:paraId="64C96FFD">
            <w:pPr>
              <w:spacing w:line="340" w:lineRule="exact"/>
              <w:contextualSpacing/>
              <w:rPr>
                <w:rFonts w:ascii="Times New Roman" w:hAnsi="Times New Roman"/>
                <w:color w:val="auto"/>
                <w:sz w:val="24"/>
                <w:highlight w:val="none"/>
              </w:rPr>
            </w:pPr>
          </w:p>
        </w:tc>
        <w:tc>
          <w:tcPr>
            <w:tcW w:w="3768" w:type="dxa"/>
            <w:tcBorders>
              <w:top w:val="single" w:color="auto" w:sz="4" w:space="0"/>
            </w:tcBorders>
            <w:tcMar>
              <w:left w:w="0" w:type="dxa"/>
              <w:right w:w="0" w:type="dxa"/>
            </w:tcMar>
            <w:vAlign w:val="center"/>
          </w:tcPr>
          <w:p w14:paraId="5AD5AFB1">
            <w:pPr>
              <w:spacing w:line="340" w:lineRule="exact"/>
              <w:contextualSpacing/>
              <w:jc w:val="center"/>
              <w:rPr>
                <w:rFonts w:ascii="Times New Roman" w:hAnsi="Times New Roman"/>
                <w:color w:val="auto"/>
                <w:sz w:val="24"/>
                <w:highlight w:val="none"/>
              </w:rPr>
            </w:pPr>
          </w:p>
        </w:tc>
        <w:tc>
          <w:tcPr>
            <w:tcW w:w="995" w:type="dxa"/>
            <w:tcBorders>
              <w:top w:val="single" w:color="auto" w:sz="4" w:space="0"/>
            </w:tcBorders>
            <w:tcMar>
              <w:left w:w="0" w:type="dxa"/>
              <w:right w:w="0" w:type="dxa"/>
            </w:tcMar>
            <w:vAlign w:val="center"/>
          </w:tcPr>
          <w:p w14:paraId="5BD99229">
            <w:pPr>
              <w:spacing w:line="340" w:lineRule="exact"/>
              <w:contextualSpacing/>
              <w:jc w:val="center"/>
              <w:rPr>
                <w:rFonts w:ascii="Times New Roman" w:hAnsi="Times New Roman"/>
                <w:color w:val="auto"/>
                <w:sz w:val="24"/>
                <w:highlight w:val="none"/>
              </w:rPr>
            </w:pPr>
          </w:p>
        </w:tc>
      </w:tr>
      <w:tr w14:paraId="4FCA8B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BA5585F">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2</w:t>
            </w:r>
          </w:p>
        </w:tc>
        <w:tc>
          <w:tcPr>
            <w:tcW w:w="3768" w:type="dxa"/>
            <w:tcMar>
              <w:left w:w="0" w:type="dxa"/>
              <w:right w:w="0" w:type="dxa"/>
            </w:tcMar>
            <w:vAlign w:val="center"/>
          </w:tcPr>
          <w:p w14:paraId="0D750A30">
            <w:pPr>
              <w:spacing w:line="340" w:lineRule="exact"/>
              <w:contextualSpacing/>
              <w:rPr>
                <w:rFonts w:ascii="Times New Roman" w:hAnsi="Times New Roman"/>
                <w:color w:val="auto"/>
                <w:sz w:val="24"/>
                <w:highlight w:val="none"/>
              </w:rPr>
            </w:pPr>
          </w:p>
        </w:tc>
        <w:tc>
          <w:tcPr>
            <w:tcW w:w="3768" w:type="dxa"/>
            <w:tcMar>
              <w:left w:w="0" w:type="dxa"/>
              <w:right w:w="0" w:type="dxa"/>
            </w:tcMar>
            <w:vAlign w:val="center"/>
          </w:tcPr>
          <w:p w14:paraId="313D5C68">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389CBB42">
            <w:pPr>
              <w:spacing w:line="340" w:lineRule="exact"/>
              <w:contextualSpacing/>
              <w:jc w:val="center"/>
              <w:rPr>
                <w:rFonts w:ascii="Times New Roman" w:hAnsi="Times New Roman"/>
                <w:color w:val="auto"/>
                <w:sz w:val="24"/>
                <w:highlight w:val="none"/>
              </w:rPr>
            </w:pPr>
          </w:p>
        </w:tc>
      </w:tr>
      <w:tr w14:paraId="0E90BF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D3E3EB8">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3</w:t>
            </w:r>
          </w:p>
        </w:tc>
        <w:tc>
          <w:tcPr>
            <w:tcW w:w="3768" w:type="dxa"/>
            <w:tcMar>
              <w:left w:w="0" w:type="dxa"/>
              <w:right w:w="0" w:type="dxa"/>
            </w:tcMar>
            <w:vAlign w:val="center"/>
          </w:tcPr>
          <w:p w14:paraId="03F5CBA4">
            <w:pPr>
              <w:spacing w:line="340" w:lineRule="exact"/>
              <w:contextualSpacing/>
              <w:rPr>
                <w:rFonts w:ascii="Times New Roman" w:hAnsi="Times New Roman"/>
                <w:color w:val="auto"/>
                <w:sz w:val="24"/>
                <w:highlight w:val="none"/>
              </w:rPr>
            </w:pPr>
          </w:p>
        </w:tc>
        <w:tc>
          <w:tcPr>
            <w:tcW w:w="3768" w:type="dxa"/>
            <w:tcMar>
              <w:left w:w="0" w:type="dxa"/>
              <w:right w:w="0" w:type="dxa"/>
            </w:tcMar>
            <w:vAlign w:val="center"/>
          </w:tcPr>
          <w:p w14:paraId="347B3C6B">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0D274993">
            <w:pPr>
              <w:spacing w:line="340" w:lineRule="exact"/>
              <w:contextualSpacing/>
              <w:jc w:val="center"/>
              <w:rPr>
                <w:rFonts w:ascii="Times New Roman" w:hAnsi="Times New Roman"/>
                <w:color w:val="auto"/>
                <w:sz w:val="24"/>
                <w:highlight w:val="none"/>
              </w:rPr>
            </w:pPr>
          </w:p>
        </w:tc>
      </w:tr>
      <w:tr w14:paraId="4B73D9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623C50B">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4</w:t>
            </w:r>
          </w:p>
        </w:tc>
        <w:tc>
          <w:tcPr>
            <w:tcW w:w="3768" w:type="dxa"/>
            <w:tcMar>
              <w:left w:w="0" w:type="dxa"/>
              <w:right w:w="0" w:type="dxa"/>
            </w:tcMar>
            <w:vAlign w:val="center"/>
          </w:tcPr>
          <w:p w14:paraId="63EE54D0">
            <w:pPr>
              <w:tabs>
                <w:tab w:val="left" w:pos="851"/>
              </w:tabs>
              <w:spacing w:line="340" w:lineRule="exact"/>
              <w:contextualSpacing/>
              <w:rPr>
                <w:rFonts w:ascii="Times New Roman" w:hAnsi="Times New Roman"/>
                <w:color w:val="auto"/>
                <w:sz w:val="24"/>
                <w:highlight w:val="none"/>
              </w:rPr>
            </w:pPr>
          </w:p>
        </w:tc>
        <w:tc>
          <w:tcPr>
            <w:tcW w:w="3768" w:type="dxa"/>
            <w:tcMar>
              <w:left w:w="0" w:type="dxa"/>
              <w:right w:w="0" w:type="dxa"/>
            </w:tcMar>
            <w:vAlign w:val="center"/>
          </w:tcPr>
          <w:p w14:paraId="2A78F2A3">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2CD5DB99">
            <w:pPr>
              <w:spacing w:line="340" w:lineRule="exact"/>
              <w:contextualSpacing/>
              <w:jc w:val="center"/>
              <w:rPr>
                <w:rFonts w:ascii="Times New Roman" w:hAnsi="Times New Roman"/>
                <w:color w:val="auto"/>
                <w:sz w:val="24"/>
                <w:highlight w:val="none"/>
              </w:rPr>
            </w:pPr>
          </w:p>
        </w:tc>
      </w:tr>
      <w:tr w14:paraId="40E025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1255256">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5</w:t>
            </w:r>
          </w:p>
        </w:tc>
        <w:tc>
          <w:tcPr>
            <w:tcW w:w="3768" w:type="dxa"/>
            <w:tcMar>
              <w:left w:w="0" w:type="dxa"/>
              <w:right w:w="0" w:type="dxa"/>
            </w:tcMar>
            <w:vAlign w:val="center"/>
          </w:tcPr>
          <w:p w14:paraId="1465FC6F">
            <w:pPr>
              <w:spacing w:line="340" w:lineRule="exact"/>
              <w:contextualSpacing/>
              <w:rPr>
                <w:rFonts w:ascii="Times New Roman" w:hAnsi="Times New Roman"/>
                <w:color w:val="auto"/>
                <w:sz w:val="24"/>
                <w:highlight w:val="none"/>
              </w:rPr>
            </w:pPr>
          </w:p>
        </w:tc>
        <w:tc>
          <w:tcPr>
            <w:tcW w:w="3768" w:type="dxa"/>
            <w:tcMar>
              <w:left w:w="0" w:type="dxa"/>
              <w:right w:w="0" w:type="dxa"/>
            </w:tcMar>
            <w:vAlign w:val="center"/>
          </w:tcPr>
          <w:p w14:paraId="4EBA3785">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22A8D100">
            <w:pPr>
              <w:spacing w:line="340" w:lineRule="exact"/>
              <w:contextualSpacing/>
              <w:jc w:val="center"/>
              <w:rPr>
                <w:rFonts w:ascii="Times New Roman" w:hAnsi="Times New Roman"/>
                <w:color w:val="auto"/>
                <w:sz w:val="24"/>
                <w:highlight w:val="none"/>
              </w:rPr>
            </w:pPr>
          </w:p>
        </w:tc>
      </w:tr>
      <w:tr w14:paraId="16E7E2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4689166">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6</w:t>
            </w:r>
          </w:p>
        </w:tc>
        <w:tc>
          <w:tcPr>
            <w:tcW w:w="3768" w:type="dxa"/>
            <w:tcMar>
              <w:left w:w="0" w:type="dxa"/>
              <w:right w:w="0" w:type="dxa"/>
            </w:tcMar>
            <w:vAlign w:val="center"/>
          </w:tcPr>
          <w:p w14:paraId="048DE9A9">
            <w:pPr>
              <w:spacing w:line="340" w:lineRule="exact"/>
              <w:contextualSpacing/>
              <w:rPr>
                <w:rFonts w:ascii="Times New Roman" w:hAnsi="Times New Roman"/>
                <w:color w:val="auto"/>
                <w:sz w:val="24"/>
                <w:highlight w:val="none"/>
              </w:rPr>
            </w:pPr>
          </w:p>
        </w:tc>
        <w:tc>
          <w:tcPr>
            <w:tcW w:w="3768" w:type="dxa"/>
            <w:tcMar>
              <w:left w:w="0" w:type="dxa"/>
              <w:right w:w="0" w:type="dxa"/>
            </w:tcMar>
            <w:vAlign w:val="center"/>
          </w:tcPr>
          <w:p w14:paraId="1C4DB6C6">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0EAA9A33">
            <w:pPr>
              <w:spacing w:line="340" w:lineRule="exact"/>
              <w:contextualSpacing/>
              <w:jc w:val="center"/>
              <w:rPr>
                <w:rFonts w:ascii="Times New Roman" w:hAnsi="Times New Roman"/>
                <w:color w:val="auto"/>
                <w:sz w:val="24"/>
                <w:highlight w:val="none"/>
              </w:rPr>
            </w:pPr>
          </w:p>
        </w:tc>
      </w:tr>
      <w:tr w14:paraId="6C3A89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C6DAC43">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7</w:t>
            </w:r>
          </w:p>
        </w:tc>
        <w:tc>
          <w:tcPr>
            <w:tcW w:w="3768" w:type="dxa"/>
            <w:tcMar>
              <w:left w:w="0" w:type="dxa"/>
              <w:right w:w="0" w:type="dxa"/>
            </w:tcMar>
            <w:vAlign w:val="center"/>
          </w:tcPr>
          <w:p w14:paraId="705518CE">
            <w:pPr>
              <w:spacing w:line="340" w:lineRule="exact"/>
              <w:contextualSpacing/>
              <w:rPr>
                <w:rFonts w:ascii="Times New Roman" w:hAnsi="Times New Roman"/>
                <w:color w:val="auto"/>
                <w:sz w:val="24"/>
                <w:highlight w:val="none"/>
              </w:rPr>
            </w:pPr>
          </w:p>
        </w:tc>
        <w:tc>
          <w:tcPr>
            <w:tcW w:w="3768" w:type="dxa"/>
            <w:tcMar>
              <w:left w:w="0" w:type="dxa"/>
              <w:right w:w="0" w:type="dxa"/>
            </w:tcMar>
            <w:vAlign w:val="center"/>
          </w:tcPr>
          <w:p w14:paraId="0B0F67F0">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19CF27F0">
            <w:pPr>
              <w:spacing w:line="340" w:lineRule="exact"/>
              <w:contextualSpacing/>
              <w:jc w:val="center"/>
              <w:rPr>
                <w:rFonts w:ascii="Times New Roman" w:hAnsi="Times New Roman"/>
                <w:color w:val="auto"/>
                <w:sz w:val="24"/>
                <w:highlight w:val="none"/>
              </w:rPr>
            </w:pPr>
          </w:p>
        </w:tc>
      </w:tr>
      <w:tr w14:paraId="0C6EE8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7FE8F37">
            <w:pPr>
              <w:spacing w:line="340" w:lineRule="exact"/>
              <w:contextualSpacing/>
              <w:jc w:val="center"/>
              <w:rPr>
                <w:rFonts w:ascii="Times New Roman" w:hAnsi="Times New Roman"/>
                <w:color w:val="auto"/>
                <w:sz w:val="24"/>
                <w:highlight w:val="none"/>
              </w:rPr>
            </w:pPr>
            <w:r>
              <w:rPr>
                <w:rFonts w:ascii="Times New Roman" w:hAnsi="Times New Roman"/>
                <w:color w:val="auto"/>
                <w:sz w:val="24"/>
                <w:highlight w:val="none"/>
              </w:rPr>
              <w:t>8</w:t>
            </w:r>
          </w:p>
        </w:tc>
        <w:tc>
          <w:tcPr>
            <w:tcW w:w="3768" w:type="dxa"/>
            <w:tcMar>
              <w:left w:w="0" w:type="dxa"/>
              <w:right w:w="0" w:type="dxa"/>
            </w:tcMar>
            <w:vAlign w:val="center"/>
          </w:tcPr>
          <w:p w14:paraId="4637CDEB">
            <w:pPr>
              <w:spacing w:line="340" w:lineRule="exact"/>
              <w:contextualSpacing/>
              <w:rPr>
                <w:rFonts w:ascii="Times New Roman" w:hAnsi="Times New Roman"/>
                <w:color w:val="auto"/>
                <w:sz w:val="24"/>
                <w:highlight w:val="none"/>
              </w:rPr>
            </w:pPr>
          </w:p>
        </w:tc>
        <w:tc>
          <w:tcPr>
            <w:tcW w:w="3768" w:type="dxa"/>
            <w:tcMar>
              <w:left w:w="0" w:type="dxa"/>
              <w:right w:w="0" w:type="dxa"/>
            </w:tcMar>
            <w:vAlign w:val="center"/>
          </w:tcPr>
          <w:p w14:paraId="285BE8AD">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1AFB13E1">
            <w:pPr>
              <w:spacing w:line="340" w:lineRule="exact"/>
              <w:contextualSpacing/>
              <w:jc w:val="center"/>
              <w:rPr>
                <w:rFonts w:ascii="Times New Roman" w:hAnsi="Times New Roman"/>
                <w:color w:val="auto"/>
                <w:sz w:val="24"/>
                <w:highlight w:val="none"/>
              </w:rPr>
            </w:pPr>
          </w:p>
        </w:tc>
      </w:tr>
      <w:tr w14:paraId="5F68FA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7FC3043">
            <w:pPr>
              <w:spacing w:line="340" w:lineRule="exact"/>
              <w:contextualSpacing/>
              <w:jc w:val="center"/>
              <w:rPr>
                <w:rFonts w:ascii="Times New Roman" w:hAnsi="Times New Roman"/>
                <w:color w:val="auto"/>
                <w:sz w:val="24"/>
                <w:highlight w:val="none"/>
              </w:rPr>
            </w:pPr>
            <w:r>
              <w:rPr>
                <w:rFonts w:ascii="Times New Roman" w:hAnsi="Times New Roman"/>
                <w:color w:val="auto"/>
                <w:sz w:val="24"/>
                <w:highlight w:val="none"/>
              </w:rPr>
              <w:t>……</w:t>
            </w:r>
          </w:p>
        </w:tc>
        <w:tc>
          <w:tcPr>
            <w:tcW w:w="3768" w:type="dxa"/>
            <w:tcMar>
              <w:left w:w="0" w:type="dxa"/>
              <w:right w:w="0" w:type="dxa"/>
            </w:tcMar>
            <w:vAlign w:val="center"/>
          </w:tcPr>
          <w:p w14:paraId="2DFF8058">
            <w:pPr>
              <w:spacing w:line="340" w:lineRule="exact"/>
              <w:contextualSpacing/>
              <w:rPr>
                <w:rFonts w:ascii="Times New Roman" w:hAnsi="Times New Roman"/>
                <w:color w:val="auto"/>
                <w:sz w:val="24"/>
                <w:highlight w:val="none"/>
              </w:rPr>
            </w:pPr>
          </w:p>
        </w:tc>
        <w:tc>
          <w:tcPr>
            <w:tcW w:w="3768" w:type="dxa"/>
            <w:tcMar>
              <w:left w:w="0" w:type="dxa"/>
              <w:right w:w="0" w:type="dxa"/>
            </w:tcMar>
            <w:vAlign w:val="center"/>
          </w:tcPr>
          <w:p w14:paraId="728AD417">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4CC12F30">
            <w:pPr>
              <w:spacing w:line="340" w:lineRule="exact"/>
              <w:contextualSpacing/>
              <w:jc w:val="center"/>
              <w:rPr>
                <w:rFonts w:ascii="Times New Roman" w:hAnsi="Times New Roman"/>
                <w:color w:val="auto"/>
                <w:sz w:val="24"/>
                <w:highlight w:val="none"/>
              </w:rPr>
            </w:pPr>
          </w:p>
        </w:tc>
      </w:tr>
    </w:tbl>
    <w:p w14:paraId="11DC1E3C">
      <w:pPr>
        <w:pStyle w:val="21"/>
        <w:ind w:firstLine="0"/>
        <w:rPr>
          <w:rFonts w:eastAsia="宋体"/>
          <w:color w:val="auto"/>
          <w:sz w:val="24"/>
          <w:szCs w:val="24"/>
          <w:highlight w:val="none"/>
        </w:rPr>
      </w:pPr>
      <w:r>
        <w:rPr>
          <w:rFonts w:hint="eastAsia" w:eastAsia="宋体"/>
          <w:color w:val="auto"/>
          <w:sz w:val="24"/>
          <w:szCs w:val="24"/>
          <w:highlight w:val="none"/>
        </w:rPr>
        <w:t>备注：</w:t>
      </w:r>
    </w:p>
    <w:p w14:paraId="71E89B44">
      <w:pPr>
        <w:pStyle w:val="21"/>
        <w:ind w:firstLine="0"/>
        <w:rPr>
          <w:rFonts w:eastAsia="宋体"/>
          <w:color w:val="auto"/>
          <w:sz w:val="24"/>
          <w:szCs w:val="24"/>
          <w:highlight w:val="none"/>
        </w:rPr>
      </w:pPr>
      <w:r>
        <w:rPr>
          <w:rFonts w:hint="eastAsia" w:eastAsia="宋体"/>
          <w:color w:val="auto"/>
          <w:sz w:val="24"/>
          <w:szCs w:val="24"/>
          <w:highlight w:val="none"/>
        </w:rPr>
        <w:t>1、列明采购文件的技术要求与投标文件对应响应，并说明偏离状况（正偏离或负偏离）；</w:t>
      </w:r>
    </w:p>
    <w:p w14:paraId="7F5CFC9C">
      <w:pPr>
        <w:pStyle w:val="21"/>
        <w:ind w:firstLine="0"/>
        <w:rPr>
          <w:rFonts w:eastAsia="宋体"/>
          <w:color w:val="auto"/>
          <w:sz w:val="24"/>
          <w:szCs w:val="24"/>
          <w:highlight w:val="none"/>
        </w:rPr>
      </w:pPr>
      <w:r>
        <w:rPr>
          <w:rFonts w:hint="eastAsia" w:eastAsia="宋体"/>
          <w:color w:val="auto"/>
          <w:sz w:val="24"/>
          <w:szCs w:val="24"/>
          <w:highlight w:val="none"/>
        </w:rPr>
        <w:t>2、无偏离应在本表“说明”处醒目地注明“无条款偏离”的字样。</w:t>
      </w:r>
    </w:p>
    <w:p w14:paraId="205384BE">
      <w:pPr>
        <w:pStyle w:val="21"/>
        <w:ind w:firstLine="0"/>
        <w:rPr>
          <w:rFonts w:eastAsia="宋体"/>
          <w:color w:val="auto"/>
          <w:sz w:val="24"/>
          <w:szCs w:val="24"/>
          <w:highlight w:val="none"/>
        </w:rPr>
      </w:pPr>
      <w:r>
        <w:rPr>
          <w:rFonts w:hint="eastAsia" w:eastAsia="宋体"/>
          <w:color w:val="auto"/>
          <w:sz w:val="24"/>
          <w:szCs w:val="24"/>
          <w:highlight w:val="none"/>
        </w:rPr>
        <w:t>3、本表格供参考，投标人可根据项目实际情况自拟（增减）表格。</w:t>
      </w:r>
    </w:p>
    <w:p w14:paraId="252D0F3B">
      <w:pPr>
        <w:tabs>
          <w:tab w:val="left" w:pos="312"/>
        </w:tabs>
        <w:spacing w:line="480" w:lineRule="auto"/>
        <w:ind w:firstLine="480" w:firstLineChars="200"/>
        <w:jc w:val="righ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投标人名称（盖公章）：</w:t>
      </w:r>
    </w:p>
    <w:p w14:paraId="2C2829E9">
      <w:pPr>
        <w:spacing w:line="480" w:lineRule="auto"/>
        <w:ind w:firstLine="424" w:firstLineChars="177"/>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w:t>
      </w:r>
      <w:r>
        <w:rPr>
          <w:rFonts w:hint="eastAsia" w:cs="宋体" w:asciiTheme="minorEastAsia" w:hAnsiTheme="minorEastAsia" w:eastAsiaTheme="minorEastAsia"/>
          <w:color w:val="auto"/>
          <w:sz w:val="24"/>
          <w:highlight w:val="none"/>
          <w:lang w:eastAsia="zh-CN"/>
        </w:rPr>
        <w:t>授权委托代表</w:t>
      </w:r>
      <w:r>
        <w:rPr>
          <w:rFonts w:hint="eastAsia" w:cs="宋体" w:asciiTheme="minorEastAsia" w:hAnsiTheme="minorEastAsia" w:eastAsiaTheme="minorEastAsia"/>
          <w:color w:val="auto"/>
          <w:sz w:val="24"/>
          <w:highlight w:val="none"/>
        </w:rPr>
        <w:t>（签字或盖章）：</w:t>
      </w:r>
    </w:p>
    <w:p w14:paraId="19AE2169">
      <w:pPr>
        <w:spacing w:line="480" w:lineRule="auto"/>
        <w:ind w:firstLine="435"/>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7C0FC1E">
      <w:pPr>
        <w:pageBreakBefore/>
        <w:spacing w:after="100" w:afterAutospacing="1" w:line="360" w:lineRule="auto"/>
        <w:jc w:val="center"/>
        <w:outlineLvl w:val="0"/>
        <w:rPr>
          <w:rFonts w:asciiTheme="minorEastAsia" w:hAnsiTheme="minorEastAsia" w:eastAsiaTheme="minorEastAsia"/>
          <w:b/>
          <w:color w:val="auto"/>
          <w:sz w:val="32"/>
          <w:szCs w:val="32"/>
          <w:highlight w:val="none"/>
        </w:rPr>
      </w:pPr>
      <w:bookmarkStart w:id="117" w:name="_Toc14058"/>
      <w:bookmarkStart w:id="118" w:name="_Toc31518"/>
      <w:bookmarkStart w:id="119" w:name="_Toc9606"/>
      <w:bookmarkStart w:id="120" w:name="_Toc22735"/>
      <w:bookmarkStart w:id="121" w:name="_Toc3100"/>
      <w:bookmarkStart w:id="122" w:name="_Toc4688"/>
      <w:bookmarkStart w:id="123" w:name="_Toc18229"/>
      <w:bookmarkStart w:id="124" w:name="_Toc7232"/>
      <w:r>
        <w:rPr>
          <w:rFonts w:hint="eastAsia" w:asciiTheme="minorEastAsia" w:hAnsiTheme="minorEastAsia" w:eastAsiaTheme="minorEastAsia"/>
          <w:b/>
          <w:color w:val="auto"/>
          <w:sz w:val="32"/>
          <w:szCs w:val="32"/>
          <w:highlight w:val="none"/>
          <w:lang w:eastAsia="zh-CN"/>
        </w:rPr>
        <w:t>六</w:t>
      </w:r>
      <w:r>
        <w:rPr>
          <w:rFonts w:hint="eastAsia" w:asciiTheme="minorEastAsia" w:hAnsiTheme="minorEastAsia" w:eastAsiaTheme="minorEastAsia"/>
          <w:b/>
          <w:color w:val="auto"/>
          <w:sz w:val="32"/>
          <w:szCs w:val="32"/>
          <w:highlight w:val="none"/>
        </w:rPr>
        <w:t>、</w:t>
      </w:r>
      <w:r>
        <w:rPr>
          <w:rFonts w:asciiTheme="minorEastAsia" w:hAnsiTheme="minorEastAsia" w:eastAsiaTheme="minorEastAsia"/>
          <w:b/>
          <w:color w:val="auto"/>
          <w:sz w:val="32"/>
          <w:szCs w:val="32"/>
          <w:highlight w:val="none"/>
        </w:rPr>
        <w:t>商务偏离表</w:t>
      </w:r>
      <w:bookmarkEnd w:id="117"/>
      <w:bookmarkEnd w:id="118"/>
      <w:bookmarkEnd w:id="119"/>
      <w:bookmarkEnd w:id="120"/>
      <w:bookmarkEnd w:id="121"/>
      <w:bookmarkEnd w:id="122"/>
      <w:bookmarkEnd w:id="123"/>
      <w:bookmarkEnd w:id="124"/>
    </w:p>
    <w:p w14:paraId="4D7FEFB5">
      <w:pPr>
        <w:pStyle w:val="21"/>
        <w:tabs>
          <w:tab w:val="right" w:pos="8847"/>
        </w:tabs>
        <w:ind w:left="479" w:leftChars="228" w:firstLine="0"/>
        <w:jc w:val="left"/>
        <w:rPr>
          <w:rFonts w:eastAsia="宋体"/>
          <w:color w:val="auto"/>
          <w:sz w:val="24"/>
          <w:szCs w:val="24"/>
          <w:highlight w:val="none"/>
          <w:u w:val="single"/>
        </w:rPr>
      </w:pPr>
      <w:r>
        <w:rPr>
          <w:rFonts w:hint="eastAsia" w:eastAsia="宋体"/>
          <w:color w:val="auto"/>
          <w:sz w:val="24"/>
          <w:szCs w:val="24"/>
          <w:highlight w:val="none"/>
        </w:rPr>
        <w:t>项目编号：</w:t>
      </w:r>
      <w:r>
        <w:rPr>
          <w:rFonts w:hint="eastAsia" w:eastAsia="宋体"/>
          <w:color w:val="auto"/>
          <w:sz w:val="24"/>
          <w:szCs w:val="24"/>
          <w:highlight w:val="none"/>
          <w:lang w:val="en-US" w:eastAsia="zh-CN"/>
        </w:rPr>
        <w:t xml:space="preserve">             </w:t>
      </w:r>
      <w:r>
        <w:rPr>
          <w:rFonts w:hint="eastAsia" w:cs="宋体"/>
          <w:color w:val="auto"/>
          <w:sz w:val="24"/>
          <w:szCs w:val="24"/>
          <w:highlight w:val="none"/>
          <w:lang w:eastAsia="zh-CN"/>
        </w:rPr>
        <w:t>标项号：</w:t>
      </w:r>
      <w:r>
        <w:rPr>
          <w:rFonts w:hint="eastAsia" w:cs="宋体"/>
          <w:color w:val="auto"/>
          <w:sz w:val="24"/>
          <w:szCs w:val="24"/>
          <w:highlight w:val="none"/>
          <w:lang w:val="en-US" w:eastAsia="zh-CN"/>
        </w:rPr>
        <w:t xml:space="preserve">      </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项目名称：</w:t>
      </w:r>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450"/>
        <w:gridCol w:w="3086"/>
        <w:gridCol w:w="995"/>
      </w:tblGrid>
      <w:tr w14:paraId="32C5B3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29B007E4">
            <w:pPr>
              <w:pStyle w:val="21"/>
              <w:spacing w:line="340" w:lineRule="exact"/>
              <w:ind w:firstLine="120" w:firstLineChars="50"/>
              <w:contextualSpacing/>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序号</w:t>
            </w:r>
          </w:p>
        </w:tc>
        <w:tc>
          <w:tcPr>
            <w:tcW w:w="4450" w:type="dxa"/>
            <w:tcBorders>
              <w:top w:val="single" w:color="auto" w:sz="4" w:space="0"/>
              <w:bottom w:val="single" w:color="auto" w:sz="4" w:space="0"/>
            </w:tcBorders>
            <w:tcMar>
              <w:left w:w="0" w:type="dxa"/>
              <w:right w:w="0" w:type="dxa"/>
            </w:tcMar>
            <w:vAlign w:val="center"/>
          </w:tcPr>
          <w:p w14:paraId="3363780A">
            <w:pPr>
              <w:pStyle w:val="21"/>
              <w:spacing w:line="340" w:lineRule="exact"/>
              <w:ind w:firstLine="0"/>
              <w:contextualSpacing/>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《采购文件》商务条款要求</w:t>
            </w:r>
          </w:p>
        </w:tc>
        <w:tc>
          <w:tcPr>
            <w:tcW w:w="3086" w:type="dxa"/>
            <w:tcBorders>
              <w:top w:val="single" w:color="auto" w:sz="4" w:space="0"/>
              <w:bottom w:val="single" w:color="auto" w:sz="4" w:space="0"/>
            </w:tcBorders>
            <w:tcMar>
              <w:left w:w="0" w:type="dxa"/>
              <w:right w:w="0" w:type="dxa"/>
            </w:tcMar>
            <w:vAlign w:val="center"/>
          </w:tcPr>
          <w:p w14:paraId="67FC1824">
            <w:pPr>
              <w:pStyle w:val="21"/>
              <w:spacing w:line="340" w:lineRule="exact"/>
              <w:ind w:firstLine="0"/>
              <w:contextualSpacing/>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《投标文件》商务条款响应</w:t>
            </w:r>
          </w:p>
        </w:tc>
        <w:tc>
          <w:tcPr>
            <w:tcW w:w="995" w:type="dxa"/>
            <w:tcBorders>
              <w:top w:val="single" w:color="auto" w:sz="4" w:space="0"/>
              <w:bottom w:val="single" w:color="auto" w:sz="4" w:space="0"/>
            </w:tcBorders>
            <w:tcMar>
              <w:left w:w="0" w:type="dxa"/>
              <w:right w:w="0" w:type="dxa"/>
            </w:tcMar>
            <w:vAlign w:val="center"/>
          </w:tcPr>
          <w:p w14:paraId="19CD22B6">
            <w:pPr>
              <w:pStyle w:val="21"/>
              <w:spacing w:line="340" w:lineRule="exact"/>
              <w:ind w:firstLine="0"/>
              <w:contextualSpacing/>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说明</w:t>
            </w:r>
          </w:p>
        </w:tc>
      </w:tr>
      <w:tr w14:paraId="20A418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4EAFF686">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1</w:t>
            </w:r>
          </w:p>
        </w:tc>
        <w:tc>
          <w:tcPr>
            <w:tcW w:w="4450" w:type="dxa"/>
            <w:tcBorders>
              <w:top w:val="single" w:color="auto" w:sz="4" w:space="0"/>
            </w:tcBorders>
            <w:tcMar>
              <w:left w:w="0" w:type="dxa"/>
              <w:right w:w="0" w:type="dxa"/>
            </w:tcMar>
            <w:vAlign w:val="center"/>
          </w:tcPr>
          <w:p w14:paraId="597DD502">
            <w:pPr>
              <w:spacing w:line="340" w:lineRule="exact"/>
              <w:contextualSpacing/>
              <w:rPr>
                <w:rFonts w:ascii="Times New Roman" w:hAnsi="Times New Roman"/>
                <w:color w:val="auto"/>
                <w:sz w:val="24"/>
                <w:highlight w:val="none"/>
              </w:rPr>
            </w:pPr>
            <w:bookmarkStart w:id="147" w:name="_GoBack"/>
            <w:bookmarkEnd w:id="147"/>
          </w:p>
        </w:tc>
        <w:tc>
          <w:tcPr>
            <w:tcW w:w="3086" w:type="dxa"/>
            <w:tcBorders>
              <w:top w:val="single" w:color="auto" w:sz="4" w:space="0"/>
            </w:tcBorders>
            <w:tcMar>
              <w:left w:w="0" w:type="dxa"/>
              <w:right w:w="0" w:type="dxa"/>
            </w:tcMar>
            <w:vAlign w:val="center"/>
          </w:tcPr>
          <w:p w14:paraId="09E6C257">
            <w:pPr>
              <w:spacing w:line="340" w:lineRule="exact"/>
              <w:contextualSpacing/>
              <w:jc w:val="center"/>
              <w:rPr>
                <w:rFonts w:ascii="Times New Roman" w:hAnsi="Times New Roman"/>
                <w:color w:val="auto"/>
                <w:sz w:val="24"/>
                <w:highlight w:val="none"/>
              </w:rPr>
            </w:pPr>
          </w:p>
        </w:tc>
        <w:tc>
          <w:tcPr>
            <w:tcW w:w="995" w:type="dxa"/>
            <w:tcBorders>
              <w:top w:val="single" w:color="auto" w:sz="4" w:space="0"/>
            </w:tcBorders>
            <w:tcMar>
              <w:left w:w="0" w:type="dxa"/>
              <w:right w:w="0" w:type="dxa"/>
            </w:tcMar>
            <w:vAlign w:val="center"/>
          </w:tcPr>
          <w:p w14:paraId="4A510AE1">
            <w:pPr>
              <w:spacing w:line="340" w:lineRule="exact"/>
              <w:contextualSpacing/>
              <w:jc w:val="center"/>
              <w:rPr>
                <w:rFonts w:ascii="Times New Roman" w:hAnsi="Times New Roman"/>
                <w:color w:val="auto"/>
                <w:sz w:val="24"/>
                <w:highlight w:val="none"/>
              </w:rPr>
            </w:pPr>
          </w:p>
        </w:tc>
      </w:tr>
      <w:tr w14:paraId="25DAEC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B5A75CC">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2</w:t>
            </w:r>
          </w:p>
        </w:tc>
        <w:tc>
          <w:tcPr>
            <w:tcW w:w="4450" w:type="dxa"/>
            <w:tcMar>
              <w:left w:w="0" w:type="dxa"/>
              <w:right w:w="0" w:type="dxa"/>
            </w:tcMar>
            <w:vAlign w:val="center"/>
          </w:tcPr>
          <w:p w14:paraId="03D35D75">
            <w:pPr>
              <w:spacing w:line="340" w:lineRule="exact"/>
              <w:contextualSpacing/>
              <w:rPr>
                <w:rFonts w:ascii="Times New Roman" w:hAnsi="Times New Roman"/>
                <w:color w:val="auto"/>
                <w:sz w:val="24"/>
                <w:highlight w:val="none"/>
              </w:rPr>
            </w:pPr>
          </w:p>
        </w:tc>
        <w:tc>
          <w:tcPr>
            <w:tcW w:w="3086" w:type="dxa"/>
            <w:tcMar>
              <w:left w:w="0" w:type="dxa"/>
              <w:right w:w="0" w:type="dxa"/>
            </w:tcMar>
            <w:vAlign w:val="center"/>
          </w:tcPr>
          <w:p w14:paraId="2B400166">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6BE19018">
            <w:pPr>
              <w:spacing w:line="340" w:lineRule="exact"/>
              <w:contextualSpacing/>
              <w:jc w:val="center"/>
              <w:rPr>
                <w:rFonts w:ascii="Times New Roman" w:hAnsi="Times New Roman"/>
                <w:color w:val="auto"/>
                <w:sz w:val="24"/>
                <w:highlight w:val="none"/>
              </w:rPr>
            </w:pPr>
          </w:p>
        </w:tc>
      </w:tr>
      <w:tr w14:paraId="1863F2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CEBC099">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3</w:t>
            </w:r>
          </w:p>
        </w:tc>
        <w:tc>
          <w:tcPr>
            <w:tcW w:w="4450" w:type="dxa"/>
            <w:tcMar>
              <w:left w:w="0" w:type="dxa"/>
              <w:right w:w="0" w:type="dxa"/>
            </w:tcMar>
            <w:vAlign w:val="center"/>
          </w:tcPr>
          <w:p w14:paraId="7A5894B9">
            <w:pPr>
              <w:spacing w:line="340" w:lineRule="exact"/>
              <w:contextualSpacing/>
              <w:rPr>
                <w:rFonts w:ascii="Times New Roman" w:hAnsi="Times New Roman"/>
                <w:color w:val="auto"/>
                <w:sz w:val="24"/>
                <w:highlight w:val="none"/>
              </w:rPr>
            </w:pPr>
          </w:p>
        </w:tc>
        <w:tc>
          <w:tcPr>
            <w:tcW w:w="3086" w:type="dxa"/>
            <w:tcMar>
              <w:left w:w="0" w:type="dxa"/>
              <w:right w:w="0" w:type="dxa"/>
            </w:tcMar>
            <w:vAlign w:val="center"/>
          </w:tcPr>
          <w:p w14:paraId="7F547597">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7AB9FBA3">
            <w:pPr>
              <w:spacing w:line="340" w:lineRule="exact"/>
              <w:contextualSpacing/>
              <w:jc w:val="center"/>
              <w:rPr>
                <w:rFonts w:ascii="Times New Roman" w:hAnsi="Times New Roman"/>
                <w:color w:val="auto"/>
                <w:sz w:val="24"/>
                <w:highlight w:val="none"/>
              </w:rPr>
            </w:pPr>
          </w:p>
        </w:tc>
      </w:tr>
      <w:tr w14:paraId="6EAA92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F8FD118">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4</w:t>
            </w:r>
          </w:p>
        </w:tc>
        <w:tc>
          <w:tcPr>
            <w:tcW w:w="4450" w:type="dxa"/>
            <w:tcMar>
              <w:left w:w="0" w:type="dxa"/>
              <w:right w:w="0" w:type="dxa"/>
            </w:tcMar>
            <w:vAlign w:val="center"/>
          </w:tcPr>
          <w:p w14:paraId="18F01E9B">
            <w:pPr>
              <w:spacing w:line="340" w:lineRule="exact"/>
              <w:contextualSpacing/>
              <w:rPr>
                <w:rFonts w:ascii="Times New Roman" w:hAnsi="Times New Roman"/>
                <w:color w:val="auto"/>
                <w:sz w:val="24"/>
                <w:highlight w:val="none"/>
              </w:rPr>
            </w:pPr>
          </w:p>
        </w:tc>
        <w:tc>
          <w:tcPr>
            <w:tcW w:w="3086" w:type="dxa"/>
            <w:tcMar>
              <w:left w:w="0" w:type="dxa"/>
              <w:right w:w="0" w:type="dxa"/>
            </w:tcMar>
            <w:vAlign w:val="center"/>
          </w:tcPr>
          <w:p w14:paraId="3511F26B">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30F1E104">
            <w:pPr>
              <w:spacing w:line="340" w:lineRule="exact"/>
              <w:contextualSpacing/>
              <w:jc w:val="center"/>
              <w:rPr>
                <w:rFonts w:ascii="Times New Roman" w:hAnsi="Times New Roman"/>
                <w:color w:val="auto"/>
                <w:sz w:val="24"/>
                <w:highlight w:val="none"/>
              </w:rPr>
            </w:pPr>
          </w:p>
        </w:tc>
      </w:tr>
      <w:tr w14:paraId="190AC2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B46D787">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5</w:t>
            </w:r>
          </w:p>
        </w:tc>
        <w:tc>
          <w:tcPr>
            <w:tcW w:w="4450" w:type="dxa"/>
            <w:tcMar>
              <w:left w:w="0" w:type="dxa"/>
              <w:right w:w="0" w:type="dxa"/>
            </w:tcMar>
            <w:vAlign w:val="center"/>
          </w:tcPr>
          <w:p w14:paraId="2E898C0F">
            <w:pPr>
              <w:spacing w:line="340" w:lineRule="exact"/>
              <w:contextualSpacing/>
              <w:rPr>
                <w:rFonts w:ascii="Times New Roman" w:hAnsi="Times New Roman"/>
                <w:color w:val="auto"/>
                <w:sz w:val="24"/>
                <w:highlight w:val="none"/>
              </w:rPr>
            </w:pPr>
          </w:p>
        </w:tc>
        <w:tc>
          <w:tcPr>
            <w:tcW w:w="3086" w:type="dxa"/>
            <w:tcMar>
              <w:left w:w="0" w:type="dxa"/>
              <w:right w:w="0" w:type="dxa"/>
            </w:tcMar>
            <w:vAlign w:val="center"/>
          </w:tcPr>
          <w:p w14:paraId="7EBC325A">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44855B50">
            <w:pPr>
              <w:spacing w:line="340" w:lineRule="exact"/>
              <w:contextualSpacing/>
              <w:jc w:val="center"/>
              <w:rPr>
                <w:rFonts w:ascii="Times New Roman" w:hAnsi="Times New Roman"/>
                <w:color w:val="auto"/>
                <w:sz w:val="24"/>
                <w:highlight w:val="none"/>
              </w:rPr>
            </w:pPr>
          </w:p>
        </w:tc>
      </w:tr>
      <w:tr w14:paraId="006E0C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416DADA">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6</w:t>
            </w:r>
          </w:p>
        </w:tc>
        <w:tc>
          <w:tcPr>
            <w:tcW w:w="4450" w:type="dxa"/>
            <w:tcMar>
              <w:left w:w="0" w:type="dxa"/>
              <w:right w:w="0" w:type="dxa"/>
            </w:tcMar>
            <w:vAlign w:val="center"/>
          </w:tcPr>
          <w:p w14:paraId="1970F25F">
            <w:pPr>
              <w:spacing w:line="340" w:lineRule="exact"/>
              <w:contextualSpacing/>
              <w:rPr>
                <w:rFonts w:ascii="Times New Roman" w:hAnsi="Times New Roman"/>
                <w:color w:val="auto"/>
                <w:sz w:val="24"/>
                <w:highlight w:val="none"/>
              </w:rPr>
            </w:pPr>
          </w:p>
        </w:tc>
        <w:tc>
          <w:tcPr>
            <w:tcW w:w="3086" w:type="dxa"/>
            <w:tcMar>
              <w:left w:w="0" w:type="dxa"/>
              <w:right w:w="0" w:type="dxa"/>
            </w:tcMar>
            <w:vAlign w:val="center"/>
          </w:tcPr>
          <w:p w14:paraId="2BF90197">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650FACD5">
            <w:pPr>
              <w:spacing w:line="340" w:lineRule="exact"/>
              <w:contextualSpacing/>
              <w:jc w:val="center"/>
              <w:rPr>
                <w:rFonts w:ascii="Times New Roman" w:hAnsi="Times New Roman"/>
                <w:color w:val="auto"/>
                <w:sz w:val="24"/>
                <w:highlight w:val="none"/>
              </w:rPr>
            </w:pPr>
          </w:p>
        </w:tc>
      </w:tr>
      <w:tr w14:paraId="347076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6F4F3DC">
            <w:pPr>
              <w:spacing w:line="340" w:lineRule="exact"/>
              <w:contextualSpacing/>
              <w:jc w:val="center"/>
              <w:rPr>
                <w:rFonts w:ascii="Times New Roman" w:hAnsi="Times New Roman"/>
                <w:color w:val="auto"/>
                <w:sz w:val="24"/>
                <w:highlight w:val="none"/>
              </w:rPr>
            </w:pPr>
            <w:r>
              <w:rPr>
                <w:rFonts w:hint="eastAsia" w:ascii="Times New Roman" w:hAnsi="Times New Roman"/>
                <w:color w:val="auto"/>
                <w:sz w:val="24"/>
                <w:highlight w:val="none"/>
              </w:rPr>
              <w:t>7</w:t>
            </w:r>
          </w:p>
        </w:tc>
        <w:tc>
          <w:tcPr>
            <w:tcW w:w="4450" w:type="dxa"/>
            <w:tcMar>
              <w:left w:w="0" w:type="dxa"/>
              <w:right w:w="0" w:type="dxa"/>
            </w:tcMar>
            <w:vAlign w:val="center"/>
          </w:tcPr>
          <w:p w14:paraId="7C142C3F">
            <w:pPr>
              <w:spacing w:line="340" w:lineRule="exact"/>
              <w:contextualSpacing/>
              <w:rPr>
                <w:rFonts w:ascii="Times New Roman" w:hAnsi="Times New Roman"/>
                <w:color w:val="auto"/>
                <w:sz w:val="24"/>
                <w:highlight w:val="none"/>
              </w:rPr>
            </w:pPr>
          </w:p>
        </w:tc>
        <w:tc>
          <w:tcPr>
            <w:tcW w:w="3086" w:type="dxa"/>
            <w:tcMar>
              <w:left w:w="0" w:type="dxa"/>
              <w:right w:w="0" w:type="dxa"/>
            </w:tcMar>
            <w:vAlign w:val="center"/>
          </w:tcPr>
          <w:p w14:paraId="26C4F1A1">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15CD567D">
            <w:pPr>
              <w:spacing w:line="340" w:lineRule="exact"/>
              <w:contextualSpacing/>
              <w:jc w:val="center"/>
              <w:rPr>
                <w:rFonts w:ascii="Times New Roman" w:hAnsi="Times New Roman"/>
                <w:color w:val="auto"/>
                <w:sz w:val="24"/>
                <w:highlight w:val="none"/>
              </w:rPr>
            </w:pPr>
          </w:p>
        </w:tc>
      </w:tr>
      <w:tr w14:paraId="6ECCBD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EECDFFC">
            <w:pPr>
              <w:spacing w:line="340" w:lineRule="exact"/>
              <w:contextualSpacing/>
              <w:jc w:val="center"/>
              <w:rPr>
                <w:rFonts w:ascii="Times New Roman" w:hAnsi="Times New Roman"/>
                <w:color w:val="auto"/>
                <w:sz w:val="24"/>
                <w:highlight w:val="none"/>
              </w:rPr>
            </w:pPr>
            <w:r>
              <w:rPr>
                <w:rFonts w:ascii="Times New Roman" w:hAnsi="Times New Roman"/>
                <w:color w:val="auto"/>
                <w:sz w:val="24"/>
                <w:highlight w:val="none"/>
              </w:rPr>
              <w:t>8</w:t>
            </w:r>
          </w:p>
        </w:tc>
        <w:tc>
          <w:tcPr>
            <w:tcW w:w="4450" w:type="dxa"/>
            <w:tcMar>
              <w:left w:w="0" w:type="dxa"/>
              <w:right w:w="0" w:type="dxa"/>
            </w:tcMar>
            <w:vAlign w:val="center"/>
          </w:tcPr>
          <w:p w14:paraId="1C22F4D0">
            <w:pPr>
              <w:spacing w:line="340" w:lineRule="exact"/>
              <w:contextualSpacing/>
              <w:rPr>
                <w:rFonts w:ascii="Times New Roman" w:hAnsi="Times New Roman"/>
                <w:color w:val="auto"/>
                <w:sz w:val="24"/>
                <w:highlight w:val="none"/>
              </w:rPr>
            </w:pPr>
          </w:p>
        </w:tc>
        <w:tc>
          <w:tcPr>
            <w:tcW w:w="3086" w:type="dxa"/>
            <w:tcMar>
              <w:left w:w="0" w:type="dxa"/>
              <w:right w:w="0" w:type="dxa"/>
            </w:tcMar>
            <w:vAlign w:val="center"/>
          </w:tcPr>
          <w:p w14:paraId="32C2AE0E">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03A5B882">
            <w:pPr>
              <w:spacing w:line="340" w:lineRule="exact"/>
              <w:contextualSpacing/>
              <w:jc w:val="center"/>
              <w:rPr>
                <w:rFonts w:ascii="Times New Roman" w:hAnsi="Times New Roman"/>
                <w:color w:val="auto"/>
                <w:sz w:val="24"/>
                <w:highlight w:val="none"/>
              </w:rPr>
            </w:pPr>
          </w:p>
        </w:tc>
      </w:tr>
      <w:tr w14:paraId="56A050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9B4A9DA">
            <w:pPr>
              <w:spacing w:line="340" w:lineRule="exact"/>
              <w:contextualSpacing/>
              <w:jc w:val="center"/>
              <w:rPr>
                <w:rFonts w:ascii="Times New Roman" w:hAnsi="Times New Roman"/>
                <w:color w:val="auto"/>
                <w:sz w:val="24"/>
                <w:highlight w:val="none"/>
              </w:rPr>
            </w:pPr>
            <w:r>
              <w:rPr>
                <w:rFonts w:ascii="Times New Roman" w:hAnsi="Times New Roman"/>
                <w:color w:val="auto"/>
                <w:sz w:val="24"/>
                <w:highlight w:val="none"/>
              </w:rPr>
              <w:t>……</w:t>
            </w:r>
          </w:p>
        </w:tc>
        <w:tc>
          <w:tcPr>
            <w:tcW w:w="4450" w:type="dxa"/>
            <w:tcMar>
              <w:left w:w="0" w:type="dxa"/>
              <w:right w:w="0" w:type="dxa"/>
            </w:tcMar>
            <w:vAlign w:val="center"/>
          </w:tcPr>
          <w:p w14:paraId="6219A6D4">
            <w:pPr>
              <w:spacing w:line="340" w:lineRule="exact"/>
              <w:contextualSpacing/>
              <w:rPr>
                <w:rFonts w:ascii="Times New Roman" w:hAnsi="Times New Roman"/>
                <w:color w:val="auto"/>
                <w:sz w:val="24"/>
                <w:highlight w:val="none"/>
              </w:rPr>
            </w:pPr>
          </w:p>
        </w:tc>
        <w:tc>
          <w:tcPr>
            <w:tcW w:w="3086" w:type="dxa"/>
            <w:tcMar>
              <w:left w:w="0" w:type="dxa"/>
              <w:right w:w="0" w:type="dxa"/>
            </w:tcMar>
            <w:vAlign w:val="center"/>
          </w:tcPr>
          <w:p w14:paraId="6B8B8FF2">
            <w:pPr>
              <w:spacing w:line="340" w:lineRule="exact"/>
              <w:contextualSpacing/>
              <w:jc w:val="center"/>
              <w:rPr>
                <w:rFonts w:ascii="Times New Roman" w:hAnsi="Times New Roman"/>
                <w:color w:val="auto"/>
                <w:sz w:val="24"/>
                <w:highlight w:val="none"/>
              </w:rPr>
            </w:pPr>
          </w:p>
        </w:tc>
        <w:tc>
          <w:tcPr>
            <w:tcW w:w="995" w:type="dxa"/>
            <w:tcMar>
              <w:left w:w="0" w:type="dxa"/>
              <w:right w:w="0" w:type="dxa"/>
            </w:tcMar>
            <w:vAlign w:val="center"/>
          </w:tcPr>
          <w:p w14:paraId="6B0CAFA1">
            <w:pPr>
              <w:spacing w:line="340" w:lineRule="exact"/>
              <w:contextualSpacing/>
              <w:jc w:val="center"/>
              <w:rPr>
                <w:rFonts w:ascii="Times New Roman" w:hAnsi="Times New Roman"/>
                <w:color w:val="auto"/>
                <w:sz w:val="24"/>
                <w:highlight w:val="none"/>
              </w:rPr>
            </w:pPr>
          </w:p>
        </w:tc>
      </w:tr>
    </w:tbl>
    <w:p w14:paraId="3500C747">
      <w:pPr>
        <w:pStyle w:val="21"/>
        <w:ind w:firstLine="0"/>
        <w:rPr>
          <w:rFonts w:eastAsia="宋体"/>
          <w:color w:val="auto"/>
          <w:sz w:val="24"/>
          <w:szCs w:val="24"/>
          <w:highlight w:val="none"/>
        </w:rPr>
      </w:pPr>
      <w:r>
        <w:rPr>
          <w:rFonts w:hint="eastAsia" w:eastAsia="宋体"/>
          <w:color w:val="auto"/>
          <w:sz w:val="24"/>
          <w:szCs w:val="24"/>
          <w:highlight w:val="none"/>
        </w:rPr>
        <w:t>备注：</w:t>
      </w:r>
    </w:p>
    <w:p w14:paraId="33CEE057">
      <w:pPr>
        <w:pStyle w:val="21"/>
        <w:ind w:firstLine="0"/>
        <w:rPr>
          <w:rFonts w:eastAsia="宋体"/>
          <w:color w:val="auto"/>
          <w:sz w:val="24"/>
          <w:szCs w:val="24"/>
          <w:highlight w:val="none"/>
        </w:rPr>
      </w:pPr>
      <w:r>
        <w:rPr>
          <w:rFonts w:hint="eastAsia" w:eastAsia="宋体"/>
          <w:color w:val="auto"/>
          <w:sz w:val="24"/>
          <w:szCs w:val="24"/>
          <w:highlight w:val="none"/>
        </w:rPr>
        <w:t>1、列明采购文件的商务要求与投标文件对应响应，并说明偏离状况（正偏离或负偏离）；</w:t>
      </w:r>
    </w:p>
    <w:p w14:paraId="2EEC9E9D">
      <w:pPr>
        <w:pStyle w:val="21"/>
        <w:ind w:firstLine="0"/>
        <w:rPr>
          <w:rFonts w:eastAsia="宋体"/>
          <w:color w:val="auto"/>
          <w:sz w:val="24"/>
          <w:szCs w:val="24"/>
          <w:highlight w:val="none"/>
        </w:rPr>
      </w:pPr>
      <w:r>
        <w:rPr>
          <w:rFonts w:hint="eastAsia" w:eastAsia="宋体"/>
          <w:color w:val="auto"/>
          <w:sz w:val="24"/>
          <w:szCs w:val="24"/>
          <w:highlight w:val="none"/>
        </w:rPr>
        <w:t>2、无偏离应在本表“说明”处醒目地注明“无条款偏离”的字样。</w:t>
      </w:r>
    </w:p>
    <w:p w14:paraId="6F7861EB">
      <w:pPr>
        <w:pStyle w:val="21"/>
        <w:ind w:firstLine="0"/>
        <w:rPr>
          <w:rFonts w:eastAsia="宋体"/>
          <w:color w:val="auto"/>
          <w:sz w:val="24"/>
          <w:szCs w:val="24"/>
          <w:highlight w:val="none"/>
        </w:rPr>
      </w:pPr>
      <w:r>
        <w:rPr>
          <w:rFonts w:hint="eastAsia" w:eastAsia="宋体"/>
          <w:color w:val="auto"/>
          <w:sz w:val="24"/>
          <w:szCs w:val="24"/>
          <w:highlight w:val="none"/>
        </w:rPr>
        <w:t>3、本表格供参考，投标人可根据项目实际情况自拟（增减）表格。</w:t>
      </w:r>
    </w:p>
    <w:p w14:paraId="46F608B1">
      <w:pPr>
        <w:tabs>
          <w:tab w:val="left" w:pos="312"/>
        </w:tabs>
        <w:spacing w:line="480" w:lineRule="auto"/>
        <w:ind w:firstLine="480" w:firstLineChars="200"/>
        <w:jc w:val="righ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投标人名称（盖公章）：</w:t>
      </w:r>
    </w:p>
    <w:p w14:paraId="242348E4">
      <w:pPr>
        <w:spacing w:line="480" w:lineRule="auto"/>
        <w:ind w:firstLine="424" w:firstLineChars="177"/>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w:t>
      </w:r>
      <w:r>
        <w:rPr>
          <w:rFonts w:hint="eastAsia" w:cs="宋体" w:asciiTheme="minorEastAsia" w:hAnsiTheme="minorEastAsia" w:eastAsiaTheme="minorEastAsia"/>
          <w:color w:val="auto"/>
          <w:sz w:val="24"/>
          <w:highlight w:val="none"/>
          <w:lang w:eastAsia="zh-CN"/>
        </w:rPr>
        <w:t>授权委托代表</w:t>
      </w:r>
      <w:r>
        <w:rPr>
          <w:rFonts w:hint="eastAsia" w:cs="宋体" w:asciiTheme="minorEastAsia" w:hAnsiTheme="minorEastAsia" w:eastAsiaTheme="minorEastAsia"/>
          <w:color w:val="auto"/>
          <w:sz w:val="24"/>
          <w:highlight w:val="none"/>
        </w:rPr>
        <w:t>（签字或盖章）：</w:t>
      </w:r>
    </w:p>
    <w:p w14:paraId="21E2F695">
      <w:pPr>
        <w:spacing w:line="480" w:lineRule="auto"/>
        <w:ind w:firstLine="435"/>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0A0752D">
      <w:pPr>
        <w:pageBreakBefore/>
        <w:numPr>
          <w:ilvl w:val="0"/>
          <w:numId w:val="15"/>
        </w:numPr>
        <w:spacing w:line="360" w:lineRule="auto"/>
        <w:jc w:val="center"/>
        <w:outlineLvl w:val="0"/>
        <w:rPr>
          <w:rFonts w:asciiTheme="minorEastAsia" w:hAnsiTheme="minorEastAsia" w:eastAsiaTheme="minorEastAsia"/>
          <w:b/>
          <w:color w:val="auto"/>
          <w:sz w:val="32"/>
          <w:szCs w:val="32"/>
          <w:highlight w:val="none"/>
        </w:rPr>
      </w:pPr>
      <w:bookmarkStart w:id="125" w:name="_Toc21753"/>
      <w:bookmarkStart w:id="126" w:name="_Toc19473"/>
      <w:bookmarkStart w:id="127" w:name="_Toc15797"/>
      <w:bookmarkStart w:id="128" w:name="_Toc8948"/>
      <w:bookmarkStart w:id="129" w:name="_Toc31566"/>
      <w:bookmarkStart w:id="130" w:name="_Toc2665"/>
      <w:bookmarkStart w:id="131" w:name="_Toc19019"/>
      <w:bookmarkStart w:id="132" w:name="_Toc20733"/>
      <w:r>
        <w:rPr>
          <w:rFonts w:asciiTheme="minorEastAsia" w:hAnsiTheme="minorEastAsia" w:eastAsiaTheme="minorEastAsia"/>
          <w:b/>
          <w:color w:val="auto"/>
          <w:sz w:val="32"/>
          <w:szCs w:val="32"/>
          <w:highlight w:val="none"/>
        </w:rPr>
        <w:t>相关项目实施业绩一览表</w:t>
      </w:r>
      <w:bookmarkEnd w:id="125"/>
      <w:bookmarkEnd w:id="126"/>
      <w:bookmarkEnd w:id="127"/>
      <w:bookmarkEnd w:id="128"/>
      <w:bookmarkEnd w:id="129"/>
      <w:bookmarkEnd w:id="130"/>
      <w:bookmarkEnd w:id="131"/>
      <w:bookmarkEnd w:id="132"/>
    </w:p>
    <w:p w14:paraId="5E0A7E07">
      <w:pPr>
        <w:pStyle w:val="21"/>
        <w:tabs>
          <w:tab w:val="right" w:pos="8847"/>
        </w:tabs>
        <w:ind w:left="479" w:leftChars="228" w:firstLine="0"/>
        <w:jc w:val="left"/>
        <w:rPr>
          <w:rFonts w:eastAsia="宋体"/>
          <w:color w:val="auto"/>
          <w:sz w:val="24"/>
          <w:szCs w:val="24"/>
          <w:highlight w:val="none"/>
          <w:u w:val="single"/>
        </w:rPr>
      </w:pPr>
      <w:r>
        <w:rPr>
          <w:rFonts w:hint="eastAsia" w:eastAsia="宋体"/>
          <w:color w:val="auto"/>
          <w:sz w:val="24"/>
          <w:szCs w:val="24"/>
          <w:highlight w:val="none"/>
        </w:rPr>
        <w:t>项目编号：</w:t>
      </w:r>
      <w:r>
        <w:rPr>
          <w:rFonts w:hint="eastAsia" w:eastAsia="宋体"/>
          <w:color w:val="auto"/>
          <w:sz w:val="24"/>
          <w:szCs w:val="24"/>
          <w:highlight w:val="none"/>
          <w:lang w:val="en-US" w:eastAsia="zh-CN"/>
        </w:rPr>
        <w:t xml:space="preserve">             </w:t>
      </w:r>
      <w:r>
        <w:rPr>
          <w:rFonts w:hint="eastAsia" w:cs="宋体"/>
          <w:color w:val="auto"/>
          <w:sz w:val="24"/>
          <w:szCs w:val="24"/>
          <w:highlight w:val="none"/>
          <w:lang w:eastAsia="zh-CN"/>
        </w:rPr>
        <w:t>标项号：</w:t>
      </w:r>
      <w:r>
        <w:rPr>
          <w:rFonts w:hint="eastAsia" w:cs="宋体"/>
          <w:color w:val="auto"/>
          <w:sz w:val="24"/>
          <w:szCs w:val="24"/>
          <w:highlight w:val="none"/>
          <w:lang w:val="en-US" w:eastAsia="zh-CN"/>
        </w:rPr>
        <w:t xml:space="preserve">      </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项目名称：</w:t>
      </w:r>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7D6A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661650BD">
            <w:pPr>
              <w:spacing w:line="0" w:lineRule="atLeast"/>
              <w:ind w:left="-115" w:right="-107"/>
              <w:jc w:val="center"/>
              <w:rPr>
                <w:rFonts w:ascii="Times New Roman" w:hAnsi="Times New Roman"/>
                <w:color w:val="auto"/>
                <w:sz w:val="24"/>
                <w:highlight w:val="none"/>
              </w:rPr>
            </w:pPr>
            <w:r>
              <w:rPr>
                <w:rFonts w:hint="eastAsia" w:ascii="Times New Roman" w:hAnsi="Times New Roman"/>
                <w:color w:val="auto"/>
                <w:sz w:val="24"/>
                <w:highlight w:val="none"/>
              </w:rPr>
              <w:t>序号</w:t>
            </w:r>
          </w:p>
        </w:tc>
        <w:tc>
          <w:tcPr>
            <w:tcW w:w="1783" w:type="dxa"/>
            <w:vAlign w:val="center"/>
          </w:tcPr>
          <w:p w14:paraId="2A420091">
            <w:pPr>
              <w:spacing w:line="0" w:lineRule="atLeast"/>
              <w:jc w:val="center"/>
              <w:rPr>
                <w:rFonts w:ascii="Times New Roman" w:hAnsi="Times New Roman"/>
                <w:color w:val="auto"/>
                <w:sz w:val="24"/>
                <w:highlight w:val="none"/>
              </w:rPr>
            </w:pPr>
            <w:r>
              <w:rPr>
                <w:rFonts w:hint="eastAsia" w:ascii="Times New Roman" w:hAnsi="Times New Roman"/>
                <w:color w:val="auto"/>
                <w:sz w:val="24"/>
                <w:highlight w:val="none"/>
              </w:rPr>
              <w:t>项目名称</w:t>
            </w:r>
          </w:p>
        </w:tc>
        <w:tc>
          <w:tcPr>
            <w:tcW w:w="2306" w:type="dxa"/>
            <w:vAlign w:val="center"/>
          </w:tcPr>
          <w:p w14:paraId="575A1E0C">
            <w:pPr>
              <w:spacing w:line="0" w:lineRule="atLeast"/>
              <w:ind w:left="-115" w:right="-107"/>
              <w:jc w:val="center"/>
              <w:rPr>
                <w:rFonts w:ascii="Times New Roman" w:hAnsi="Times New Roman"/>
                <w:color w:val="auto"/>
                <w:sz w:val="24"/>
                <w:highlight w:val="none"/>
              </w:rPr>
            </w:pPr>
            <w:r>
              <w:rPr>
                <w:rFonts w:hint="eastAsia" w:ascii="Times New Roman" w:hAnsi="Times New Roman"/>
                <w:color w:val="auto"/>
                <w:sz w:val="24"/>
                <w:highlight w:val="none"/>
              </w:rPr>
              <w:t>采购单位名称</w:t>
            </w:r>
          </w:p>
        </w:tc>
        <w:tc>
          <w:tcPr>
            <w:tcW w:w="1774" w:type="dxa"/>
            <w:vAlign w:val="center"/>
          </w:tcPr>
          <w:p w14:paraId="58D4A004">
            <w:pPr>
              <w:spacing w:line="0" w:lineRule="atLeast"/>
              <w:ind w:left="-115" w:right="-107"/>
              <w:jc w:val="center"/>
              <w:rPr>
                <w:rFonts w:ascii="Times New Roman" w:hAnsi="Times New Roman"/>
                <w:color w:val="auto"/>
                <w:sz w:val="24"/>
                <w:highlight w:val="none"/>
              </w:rPr>
            </w:pPr>
            <w:r>
              <w:rPr>
                <w:rFonts w:hint="eastAsia" w:ascii="Times New Roman" w:hAnsi="Times New Roman"/>
                <w:color w:val="auto"/>
                <w:sz w:val="24"/>
                <w:highlight w:val="none"/>
              </w:rPr>
              <w:t>合同金额</w:t>
            </w:r>
          </w:p>
        </w:tc>
        <w:tc>
          <w:tcPr>
            <w:tcW w:w="1242" w:type="dxa"/>
            <w:vAlign w:val="center"/>
          </w:tcPr>
          <w:p w14:paraId="2BFB0B5F">
            <w:pPr>
              <w:spacing w:line="0" w:lineRule="atLeast"/>
              <w:ind w:left="-115" w:right="-107"/>
              <w:jc w:val="center"/>
              <w:rPr>
                <w:rFonts w:ascii="Times New Roman" w:hAnsi="Times New Roman"/>
                <w:color w:val="auto"/>
                <w:sz w:val="24"/>
                <w:highlight w:val="none"/>
              </w:rPr>
            </w:pPr>
            <w:r>
              <w:rPr>
                <w:rFonts w:hint="eastAsia" w:ascii="Times New Roman" w:hAnsi="Times New Roman"/>
                <w:color w:val="auto"/>
                <w:sz w:val="24"/>
                <w:highlight w:val="none"/>
              </w:rPr>
              <w:t>合同签订</w:t>
            </w:r>
          </w:p>
          <w:p w14:paraId="093FA7B3">
            <w:pPr>
              <w:spacing w:line="0" w:lineRule="atLeast"/>
              <w:ind w:left="-115" w:right="-107"/>
              <w:jc w:val="center"/>
              <w:rPr>
                <w:rFonts w:ascii="Times New Roman" w:hAnsi="Times New Roman"/>
                <w:color w:val="auto"/>
                <w:sz w:val="24"/>
                <w:highlight w:val="none"/>
              </w:rPr>
            </w:pPr>
            <w:r>
              <w:rPr>
                <w:rFonts w:hint="eastAsia" w:ascii="Times New Roman" w:hAnsi="Times New Roman"/>
                <w:color w:val="auto"/>
                <w:sz w:val="24"/>
                <w:highlight w:val="none"/>
              </w:rPr>
              <w:t>时间</w:t>
            </w:r>
          </w:p>
        </w:tc>
        <w:tc>
          <w:tcPr>
            <w:tcW w:w="1643" w:type="dxa"/>
            <w:vAlign w:val="center"/>
          </w:tcPr>
          <w:p w14:paraId="31CA46D9">
            <w:pPr>
              <w:spacing w:line="0" w:lineRule="atLeast"/>
              <w:ind w:left="-115" w:right="-107"/>
              <w:jc w:val="center"/>
              <w:rPr>
                <w:rFonts w:ascii="Times New Roman" w:hAnsi="Times New Roman"/>
                <w:color w:val="auto"/>
                <w:sz w:val="24"/>
                <w:highlight w:val="none"/>
              </w:rPr>
            </w:pPr>
            <w:r>
              <w:rPr>
                <w:rFonts w:hint="eastAsia" w:ascii="Times New Roman" w:hAnsi="Times New Roman"/>
                <w:color w:val="auto"/>
                <w:sz w:val="24"/>
                <w:highlight w:val="none"/>
              </w:rPr>
              <w:t>联系人/电话</w:t>
            </w:r>
          </w:p>
        </w:tc>
      </w:tr>
      <w:tr w14:paraId="41AD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E26623E">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783" w:type="dxa"/>
            <w:vAlign w:val="center"/>
          </w:tcPr>
          <w:p w14:paraId="5BD042D1">
            <w:pPr>
              <w:spacing w:line="360" w:lineRule="auto"/>
              <w:jc w:val="center"/>
              <w:rPr>
                <w:rFonts w:asciiTheme="minorEastAsia" w:hAnsiTheme="minorEastAsia" w:eastAsiaTheme="minorEastAsia"/>
                <w:color w:val="auto"/>
                <w:sz w:val="24"/>
                <w:highlight w:val="none"/>
              </w:rPr>
            </w:pPr>
          </w:p>
        </w:tc>
        <w:tc>
          <w:tcPr>
            <w:tcW w:w="2306" w:type="dxa"/>
            <w:vAlign w:val="center"/>
          </w:tcPr>
          <w:p w14:paraId="0DE306F5">
            <w:pPr>
              <w:spacing w:line="360" w:lineRule="auto"/>
              <w:jc w:val="center"/>
              <w:rPr>
                <w:rFonts w:asciiTheme="minorEastAsia" w:hAnsiTheme="minorEastAsia" w:eastAsiaTheme="minorEastAsia"/>
                <w:color w:val="auto"/>
                <w:sz w:val="24"/>
                <w:highlight w:val="none"/>
              </w:rPr>
            </w:pPr>
          </w:p>
        </w:tc>
        <w:tc>
          <w:tcPr>
            <w:tcW w:w="1774" w:type="dxa"/>
            <w:vAlign w:val="center"/>
          </w:tcPr>
          <w:p w14:paraId="432B078F">
            <w:pPr>
              <w:spacing w:line="360" w:lineRule="auto"/>
              <w:jc w:val="center"/>
              <w:rPr>
                <w:rFonts w:asciiTheme="minorEastAsia" w:hAnsiTheme="minorEastAsia" w:eastAsiaTheme="minorEastAsia"/>
                <w:color w:val="auto"/>
                <w:sz w:val="24"/>
                <w:highlight w:val="none"/>
              </w:rPr>
            </w:pPr>
          </w:p>
        </w:tc>
        <w:tc>
          <w:tcPr>
            <w:tcW w:w="1242" w:type="dxa"/>
            <w:vAlign w:val="center"/>
          </w:tcPr>
          <w:p w14:paraId="7BD9F8A5">
            <w:pPr>
              <w:spacing w:line="360" w:lineRule="auto"/>
              <w:jc w:val="center"/>
              <w:rPr>
                <w:rFonts w:asciiTheme="minorEastAsia" w:hAnsiTheme="minorEastAsia" w:eastAsiaTheme="minorEastAsia"/>
                <w:color w:val="auto"/>
                <w:sz w:val="24"/>
                <w:highlight w:val="none"/>
              </w:rPr>
            </w:pPr>
          </w:p>
        </w:tc>
        <w:tc>
          <w:tcPr>
            <w:tcW w:w="1643" w:type="dxa"/>
            <w:vAlign w:val="center"/>
          </w:tcPr>
          <w:p w14:paraId="3E2254EC">
            <w:pPr>
              <w:spacing w:line="360" w:lineRule="auto"/>
              <w:jc w:val="center"/>
              <w:rPr>
                <w:rFonts w:asciiTheme="minorEastAsia" w:hAnsiTheme="minorEastAsia" w:eastAsiaTheme="minorEastAsia"/>
                <w:color w:val="auto"/>
                <w:sz w:val="24"/>
                <w:highlight w:val="none"/>
              </w:rPr>
            </w:pPr>
          </w:p>
        </w:tc>
      </w:tr>
      <w:tr w14:paraId="32C0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51EAB85">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783" w:type="dxa"/>
            <w:vAlign w:val="center"/>
          </w:tcPr>
          <w:p w14:paraId="0EC534FE">
            <w:pPr>
              <w:spacing w:line="360" w:lineRule="auto"/>
              <w:jc w:val="center"/>
              <w:rPr>
                <w:rFonts w:asciiTheme="minorEastAsia" w:hAnsiTheme="minorEastAsia" w:eastAsiaTheme="minorEastAsia"/>
                <w:color w:val="auto"/>
                <w:sz w:val="24"/>
                <w:highlight w:val="none"/>
              </w:rPr>
            </w:pPr>
          </w:p>
        </w:tc>
        <w:tc>
          <w:tcPr>
            <w:tcW w:w="2306" w:type="dxa"/>
            <w:vAlign w:val="center"/>
          </w:tcPr>
          <w:p w14:paraId="16D3A7C1">
            <w:pPr>
              <w:spacing w:line="360" w:lineRule="auto"/>
              <w:jc w:val="center"/>
              <w:rPr>
                <w:rFonts w:asciiTheme="minorEastAsia" w:hAnsiTheme="minorEastAsia" w:eastAsiaTheme="minorEastAsia"/>
                <w:color w:val="auto"/>
                <w:sz w:val="24"/>
                <w:highlight w:val="none"/>
              </w:rPr>
            </w:pPr>
          </w:p>
        </w:tc>
        <w:tc>
          <w:tcPr>
            <w:tcW w:w="1774" w:type="dxa"/>
            <w:vAlign w:val="center"/>
          </w:tcPr>
          <w:p w14:paraId="69C6ED99">
            <w:pPr>
              <w:spacing w:line="360" w:lineRule="auto"/>
              <w:jc w:val="center"/>
              <w:rPr>
                <w:rFonts w:asciiTheme="minorEastAsia" w:hAnsiTheme="minorEastAsia" w:eastAsiaTheme="minorEastAsia"/>
                <w:color w:val="auto"/>
                <w:sz w:val="24"/>
                <w:highlight w:val="none"/>
              </w:rPr>
            </w:pPr>
          </w:p>
        </w:tc>
        <w:tc>
          <w:tcPr>
            <w:tcW w:w="1242" w:type="dxa"/>
            <w:vAlign w:val="center"/>
          </w:tcPr>
          <w:p w14:paraId="2491B5FF">
            <w:pPr>
              <w:spacing w:line="360" w:lineRule="auto"/>
              <w:jc w:val="center"/>
              <w:rPr>
                <w:rFonts w:asciiTheme="minorEastAsia" w:hAnsiTheme="minorEastAsia" w:eastAsiaTheme="minorEastAsia"/>
                <w:color w:val="auto"/>
                <w:sz w:val="24"/>
                <w:highlight w:val="none"/>
              </w:rPr>
            </w:pPr>
          </w:p>
        </w:tc>
        <w:tc>
          <w:tcPr>
            <w:tcW w:w="1643" w:type="dxa"/>
            <w:vAlign w:val="center"/>
          </w:tcPr>
          <w:p w14:paraId="723D10DD">
            <w:pPr>
              <w:spacing w:line="360" w:lineRule="auto"/>
              <w:jc w:val="center"/>
              <w:rPr>
                <w:rFonts w:asciiTheme="minorEastAsia" w:hAnsiTheme="minorEastAsia" w:eastAsiaTheme="minorEastAsia"/>
                <w:color w:val="auto"/>
                <w:sz w:val="24"/>
                <w:highlight w:val="none"/>
              </w:rPr>
            </w:pPr>
          </w:p>
        </w:tc>
      </w:tr>
      <w:tr w14:paraId="79A4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D2028B8">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783" w:type="dxa"/>
            <w:vAlign w:val="center"/>
          </w:tcPr>
          <w:p w14:paraId="02824458">
            <w:pPr>
              <w:spacing w:line="360" w:lineRule="auto"/>
              <w:jc w:val="center"/>
              <w:rPr>
                <w:rFonts w:asciiTheme="minorEastAsia" w:hAnsiTheme="minorEastAsia" w:eastAsiaTheme="minorEastAsia"/>
                <w:color w:val="auto"/>
                <w:sz w:val="24"/>
                <w:highlight w:val="none"/>
              </w:rPr>
            </w:pPr>
          </w:p>
        </w:tc>
        <w:tc>
          <w:tcPr>
            <w:tcW w:w="2306" w:type="dxa"/>
            <w:vAlign w:val="center"/>
          </w:tcPr>
          <w:p w14:paraId="4733E346">
            <w:pPr>
              <w:spacing w:line="360" w:lineRule="auto"/>
              <w:jc w:val="center"/>
              <w:rPr>
                <w:rFonts w:asciiTheme="minorEastAsia" w:hAnsiTheme="minorEastAsia" w:eastAsiaTheme="minorEastAsia"/>
                <w:color w:val="auto"/>
                <w:sz w:val="24"/>
                <w:highlight w:val="none"/>
              </w:rPr>
            </w:pPr>
          </w:p>
        </w:tc>
        <w:tc>
          <w:tcPr>
            <w:tcW w:w="1774" w:type="dxa"/>
            <w:vAlign w:val="center"/>
          </w:tcPr>
          <w:p w14:paraId="5BEFDBB3">
            <w:pPr>
              <w:spacing w:line="360" w:lineRule="auto"/>
              <w:jc w:val="center"/>
              <w:rPr>
                <w:rFonts w:asciiTheme="minorEastAsia" w:hAnsiTheme="minorEastAsia" w:eastAsiaTheme="minorEastAsia"/>
                <w:color w:val="auto"/>
                <w:sz w:val="24"/>
                <w:highlight w:val="none"/>
              </w:rPr>
            </w:pPr>
          </w:p>
        </w:tc>
        <w:tc>
          <w:tcPr>
            <w:tcW w:w="1242" w:type="dxa"/>
            <w:vAlign w:val="center"/>
          </w:tcPr>
          <w:p w14:paraId="5591ED19">
            <w:pPr>
              <w:spacing w:line="360" w:lineRule="auto"/>
              <w:jc w:val="center"/>
              <w:rPr>
                <w:rFonts w:asciiTheme="minorEastAsia" w:hAnsiTheme="minorEastAsia" w:eastAsiaTheme="minorEastAsia"/>
                <w:color w:val="auto"/>
                <w:sz w:val="24"/>
                <w:highlight w:val="none"/>
              </w:rPr>
            </w:pPr>
          </w:p>
        </w:tc>
        <w:tc>
          <w:tcPr>
            <w:tcW w:w="1643" w:type="dxa"/>
            <w:vAlign w:val="center"/>
          </w:tcPr>
          <w:p w14:paraId="3A2FB336">
            <w:pPr>
              <w:spacing w:line="360" w:lineRule="auto"/>
              <w:jc w:val="center"/>
              <w:rPr>
                <w:rFonts w:asciiTheme="minorEastAsia" w:hAnsiTheme="minorEastAsia" w:eastAsiaTheme="minorEastAsia"/>
                <w:color w:val="auto"/>
                <w:sz w:val="24"/>
                <w:highlight w:val="none"/>
              </w:rPr>
            </w:pPr>
          </w:p>
        </w:tc>
      </w:tr>
      <w:tr w14:paraId="2B50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3DFEE17">
            <w:pPr>
              <w:spacing w:line="360"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783" w:type="dxa"/>
            <w:vAlign w:val="center"/>
          </w:tcPr>
          <w:p w14:paraId="793DAAE1">
            <w:pPr>
              <w:spacing w:line="360" w:lineRule="auto"/>
              <w:jc w:val="center"/>
              <w:rPr>
                <w:rFonts w:asciiTheme="minorEastAsia" w:hAnsiTheme="minorEastAsia" w:eastAsiaTheme="minorEastAsia"/>
                <w:color w:val="auto"/>
                <w:sz w:val="24"/>
                <w:highlight w:val="none"/>
              </w:rPr>
            </w:pPr>
          </w:p>
        </w:tc>
        <w:tc>
          <w:tcPr>
            <w:tcW w:w="2306" w:type="dxa"/>
            <w:vAlign w:val="center"/>
          </w:tcPr>
          <w:p w14:paraId="6EBB712F">
            <w:pPr>
              <w:spacing w:line="360" w:lineRule="auto"/>
              <w:jc w:val="center"/>
              <w:rPr>
                <w:rFonts w:asciiTheme="minorEastAsia" w:hAnsiTheme="minorEastAsia" w:eastAsiaTheme="minorEastAsia"/>
                <w:color w:val="auto"/>
                <w:sz w:val="24"/>
                <w:highlight w:val="none"/>
              </w:rPr>
            </w:pPr>
          </w:p>
        </w:tc>
        <w:tc>
          <w:tcPr>
            <w:tcW w:w="1774" w:type="dxa"/>
            <w:vAlign w:val="center"/>
          </w:tcPr>
          <w:p w14:paraId="542D05E0">
            <w:pPr>
              <w:spacing w:line="360" w:lineRule="auto"/>
              <w:jc w:val="center"/>
              <w:rPr>
                <w:rFonts w:asciiTheme="minorEastAsia" w:hAnsiTheme="minorEastAsia" w:eastAsiaTheme="minorEastAsia"/>
                <w:color w:val="auto"/>
                <w:sz w:val="24"/>
                <w:highlight w:val="none"/>
              </w:rPr>
            </w:pPr>
          </w:p>
        </w:tc>
        <w:tc>
          <w:tcPr>
            <w:tcW w:w="1242" w:type="dxa"/>
            <w:vAlign w:val="center"/>
          </w:tcPr>
          <w:p w14:paraId="1FBCBE37">
            <w:pPr>
              <w:spacing w:line="360" w:lineRule="auto"/>
              <w:jc w:val="center"/>
              <w:rPr>
                <w:rFonts w:asciiTheme="minorEastAsia" w:hAnsiTheme="minorEastAsia" w:eastAsiaTheme="minorEastAsia"/>
                <w:color w:val="auto"/>
                <w:sz w:val="24"/>
                <w:highlight w:val="none"/>
              </w:rPr>
            </w:pPr>
          </w:p>
        </w:tc>
        <w:tc>
          <w:tcPr>
            <w:tcW w:w="1643" w:type="dxa"/>
            <w:vAlign w:val="center"/>
          </w:tcPr>
          <w:p w14:paraId="528A313E">
            <w:pPr>
              <w:spacing w:line="360" w:lineRule="auto"/>
              <w:jc w:val="center"/>
              <w:rPr>
                <w:rFonts w:asciiTheme="minorEastAsia" w:hAnsiTheme="minorEastAsia" w:eastAsiaTheme="minorEastAsia"/>
                <w:color w:val="auto"/>
                <w:sz w:val="24"/>
                <w:highlight w:val="none"/>
              </w:rPr>
            </w:pPr>
          </w:p>
        </w:tc>
      </w:tr>
      <w:tr w14:paraId="5777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7629CDA">
            <w:pPr>
              <w:spacing w:line="360" w:lineRule="auto"/>
              <w:jc w:val="center"/>
              <w:rPr>
                <w:rFonts w:asciiTheme="minorEastAsia" w:hAnsiTheme="minorEastAsia" w:eastAsiaTheme="minorEastAsia"/>
                <w:color w:val="auto"/>
                <w:sz w:val="24"/>
                <w:highlight w:val="none"/>
              </w:rPr>
            </w:pPr>
          </w:p>
        </w:tc>
        <w:tc>
          <w:tcPr>
            <w:tcW w:w="1783" w:type="dxa"/>
            <w:vAlign w:val="center"/>
          </w:tcPr>
          <w:p w14:paraId="67EBB04B">
            <w:pPr>
              <w:spacing w:line="360" w:lineRule="auto"/>
              <w:jc w:val="center"/>
              <w:rPr>
                <w:rFonts w:asciiTheme="minorEastAsia" w:hAnsiTheme="minorEastAsia" w:eastAsiaTheme="minorEastAsia"/>
                <w:color w:val="auto"/>
                <w:sz w:val="24"/>
                <w:highlight w:val="none"/>
              </w:rPr>
            </w:pPr>
          </w:p>
        </w:tc>
        <w:tc>
          <w:tcPr>
            <w:tcW w:w="2306" w:type="dxa"/>
            <w:vAlign w:val="center"/>
          </w:tcPr>
          <w:p w14:paraId="2123C0CB">
            <w:pPr>
              <w:spacing w:line="360" w:lineRule="auto"/>
              <w:jc w:val="center"/>
              <w:rPr>
                <w:rFonts w:asciiTheme="minorEastAsia" w:hAnsiTheme="minorEastAsia" w:eastAsiaTheme="minorEastAsia"/>
                <w:color w:val="auto"/>
                <w:sz w:val="24"/>
                <w:highlight w:val="none"/>
              </w:rPr>
            </w:pPr>
          </w:p>
        </w:tc>
        <w:tc>
          <w:tcPr>
            <w:tcW w:w="1774" w:type="dxa"/>
            <w:vAlign w:val="center"/>
          </w:tcPr>
          <w:p w14:paraId="3C77F16D">
            <w:pPr>
              <w:spacing w:line="360" w:lineRule="auto"/>
              <w:jc w:val="center"/>
              <w:rPr>
                <w:rFonts w:asciiTheme="minorEastAsia" w:hAnsiTheme="minorEastAsia" w:eastAsiaTheme="minorEastAsia"/>
                <w:color w:val="auto"/>
                <w:sz w:val="24"/>
                <w:highlight w:val="none"/>
              </w:rPr>
            </w:pPr>
          </w:p>
        </w:tc>
        <w:tc>
          <w:tcPr>
            <w:tcW w:w="1242" w:type="dxa"/>
            <w:vAlign w:val="center"/>
          </w:tcPr>
          <w:p w14:paraId="199EBB23">
            <w:pPr>
              <w:spacing w:line="360" w:lineRule="auto"/>
              <w:jc w:val="center"/>
              <w:rPr>
                <w:rFonts w:asciiTheme="minorEastAsia" w:hAnsiTheme="minorEastAsia" w:eastAsiaTheme="minorEastAsia"/>
                <w:color w:val="auto"/>
                <w:sz w:val="24"/>
                <w:highlight w:val="none"/>
              </w:rPr>
            </w:pPr>
          </w:p>
        </w:tc>
        <w:tc>
          <w:tcPr>
            <w:tcW w:w="1643" w:type="dxa"/>
            <w:vAlign w:val="center"/>
          </w:tcPr>
          <w:p w14:paraId="50D35CE3">
            <w:pPr>
              <w:spacing w:line="360" w:lineRule="auto"/>
              <w:jc w:val="center"/>
              <w:rPr>
                <w:rFonts w:asciiTheme="minorEastAsia" w:hAnsiTheme="minorEastAsia" w:eastAsiaTheme="minorEastAsia"/>
                <w:color w:val="auto"/>
                <w:sz w:val="24"/>
                <w:highlight w:val="none"/>
              </w:rPr>
            </w:pPr>
          </w:p>
        </w:tc>
      </w:tr>
      <w:tr w14:paraId="60A7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2BB5F08">
            <w:pPr>
              <w:spacing w:line="360" w:lineRule="auto"/>
              <w:jc w:val="center"/>
              <w:rPr>
                <w:rFonts w:asciiTheme="minorEastAsia" w:hAnsiTheme="minorEastAsia" w:eastAsiaTheme="minorEastAsia"/>
                <w:color w:val="auto"/>
                <w:sz w:val="24"/>
                <w:highlight w:val="none"/>
              </w:rPr>
            </w:pPr>
          </w:p>
        </w:tc>
        <w:tc>
          <w:tcPr>
            <w:tcW w:w="1783" w:type="dxa"/>
            <w:vAlign w:val="center"/>
          </w:tcPr>
          <w:p w14:paraId="47463283">
            <w:pPr>
              <w:spacing w:line="360" w:lineRule="auto"/>
              <w:jc w:val="center"/>
              <w:rPr>
                <w:rFonts w:asciiTheme="minorEastAsia" w:hAnsiTheme="minorEastAsia" w:eastAsiaTheme="minorEastAsia"/>
                <w:color w:val="auto"/>
                <w:sz w:val="24"/>
                <w:highlight w:val="none"/>
              </w:rPr>
            </w:pPr>
          </w:p>
        </w:tc>
        <w:tc>
          <w:tcPr>
            <w:tcW w:w="2306" w:type="dxa"/>
            <w:vAlign w:val="center"/>
          </w:tcPr>
          <w:p w14:paraId="3663E84B">
            <w:pPr>
              <w:spacing w:line="360" w:lineRule="auto"/>
              <w:jc w:val="center"/>
              <w:rPr>
                <w:rFonts w:asciiTheme="minorEastAsia" w:hAnsiTheme="minorEastAsia" w:eastAsiaTheme="minorEastAsia"/>
                <w:color w:val="auto"/>
                <w:sz w:val="24"/>
                <w:highlight w:val="none"/>
              </w:rPr>
            </w:pPr>
          </w:p>
        </w:tc>
        <w:tc>
          <w:tcPr>
            <w:tcW w:w="1774" w:type="dxa"/>
            <w:vAlign w:val="center"/>
          </w:tcPr>
          <w:p w14:paraId="52C1960A">
            <w:pPr>
              <w:spacing w:line="360" w:lineRule="auto"/>
              <w:jc w:val="center"/>
              <w:rPr>
                <w:rFonts w:asciiTheme="minorEastAsia" w:hAnsiTheme="minorEastAsia" w:eastAsiaTheme="minorEastAsia"/>
                <w:color w:val="auto"/>
                <w:sz w:val="24"/>
                <w:highlight w:val="none"/>
              </w:rPr>
            </w:pPr>
          </w:p>
        </w:tc>
        <w:tc>
          <w:tcPr>
            <w:tcW w:w="1242" w:type="dxa"/>
            <w:vAlign w:val="center"/>
          </w:tcPr>
          <w:p w14:paraId="7CD8415B">
            <w:pPr>
              <w:spacing w:line="360" w:lineRule="auto"/>
              <w:jc w:val="center"/>
              <w:rPr>
                <w:rFonts w:asciiTheme="minorEastAsia" w:hAnsiTheme="minorEastAsia" w:eastAsiaTheme="minorEastAsia"/>
                <w:color w:val="auto"/>
                <w:sz w:val="24"/>
                <w:highlight w:val="none"/>
              </w:rPr>
            </w:pPr>
          </w:p>
        </w:tc>
        <w:tc>
          <w:tcPr>
            <w:tcW w:w="1643" w:type="dxa"/>
            <w:vAlign w:val="center"/>
          </w:tcPr>
          <w:p w14:paraId="0E9E3276">
            <w:pPr>
              <w:spacing w:line="360" w:lineRule="auto"/>
              <w:jc w:val="center"/>
              <w:rPr>
                <w:rFonts w:asciiTheme="minorEastAsia" w:hAnsiTheme="minorEastAsia" w:eastAsiaTheme="minorEastAsia"/>
                <w:color w:val="auto"/>
                <w:sz w:val="24"/>
                <w:highlight w:val="none"/>
              </w:rPr>
            </w:pPr>
          </w:p>
        </w:tc>
      </w:tr>
    </w:tbl>
    <w:p w14:paraId="3AE7DAF5">
      <w:pPr>
        <w:spacing w:before="77" w:line="360" w:lineRule="auto"/>
        <w:ind w:right="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注：需</w:t>
      </w:r>
      <w:r>
        <w:rPr>
          <w:rFonts w:hint="eastAsia" w:asciiTheme="minorEastAsia" w:hAnsiTheme="minorEastAsia" w:eastAsiaTheme="minorEastAsia"/>
          <w:b/>
          <w:color w:val="auto"/>
          <w:sz w:val="24"/>
          <w:highlight w:val="none"/>
        </w:rPr>
        <w:t>按评分标准要求附项目证明材料。</w:t>
      </w:r>
    </w:p>
    <w:p w14:paraId="3705C781">
      <w:pPr>
        <w:spacing w:line="360" w:lineRule="auto"/>
        <w:ind w:firstLine="4440" w:firstLineChars="1850"/>
        <w:rPr>
          <w:rFonts w:asciiTheme="minorEastAsia" w:hAnsiTheme="minorEastAsia" w:eastAsiaTheme="minorEastAsia"/>
          <w:color w:val="auto"/>
          <w:sz w:val="24"/>
          <w:highlight w:val="none"/>
        </w:rPr>
      </w:pPr>
    </w:p>
    <w:p w14:paraId="24628DFA">
      <w:pPr>
        <w:tabs>
          <w:tab w:val="left" w:pos="312"/>
        </w:tabs>
        <w:spacing w:line="480" w:lineRule="auto"/>
        <w:ind w:firstLine="480" w:firstLineChars="200"/>
        <w:jc w:val="righ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投标人名称（盖公章）：</w:t>
      </w:r>
    </w:p>
    <w:p w14:paraId="5DBFC35E">
      <w:pPr>
        <w:spacing w:line="480" w:lineRule="auto"/>
        <w:ind w:firstLine="424" w:firstLineChars="177"/>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w:t>
      </w:r>
      <w:r>
        <w:rPr>
          <w:rFonts w:hint="eastAsia" w:cs="宋体" w:asciiTheme="minorEastAsia" w:hAnsiTheme="minorEastAsia" w:eastAsiaTheme="minorEastAsia"/>
          <w:color w:val="auto"/>
          <w:sz w:val="24"/>
          <w:highlight w:val="none"/>
          <w:lang w:eastAsia="zh-CN"/>
        </w:rPr>
        <w:t>授权委托代表</w:t>
      </w:r>
      <w:r>
        <w:rPr>
          <w:rFonts w:hint="eastAsia" w:cs="宋体" w:asciiTheme="minorEastAsia" w:hAnsiTheme="minorEastAsia" w:eastAsiaTheme="minorEastAsia"/>
          <w:color w:val="auto"/>
          <w:sz w:val="24"/>
          <w:highlight w:val="none"/>
        </w:rPr>
        <w:t>（签字或盖章）：</w:t>
      </w:r>
    </w:p>
    <w:p w14:paraId="3EDD0BD2">
      <w:pPr>
        <w:spacing w:line="480" w:lineRule="auto"/>
        <w:ind w:firstLine="435"/>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333E063">
      <w:pPr>
        <w:pStyle w:val="27"/>
        <w:rPr>
          <w:rFonts w:asciiTheme="minorEastAsia" w:hAnsiTheme="minorEastAsia" w:eastAsiaTheme="minorEastAsia"/>
          <w:color w:val="auto"/>
          <w:sz w:val="24"/>
          <w:highlight w:val="none"/>
        </w:rPr>
      </w:pPr>
    </w:p>
    <w:p w14:paraId="4BD37C0F">
      <w:pPr>
        <w:rPr>
          <w:rFonts w:asciiTheme="minorEastAsia" w:hAnsiTheme="minorEastAsia" w:eastAsiaTheme="minorEastAsia"/>
          <w:color w:val="auto"/>
          <w:highlight w:val="none"/>
        </w:rPr>
      </w:pPr>
    </w:p>
    <w:p w14:paraId="0E5B092F">
      <w:pPr>
        <w:pStyle w:val="19"/>
        <w:rPr>
          <w:rFonts w:asciiTheme="minorEastAsia" w:hAnsiTheme="minorEastAsia" w:eastAsiaTheme="minorEastAsia"/>
          <w:color w:val="auto"/>
          <w:highlight w:val="none"/>
        </w:rPr>
      </w:pPr>
    </w:p>
    <w:p w14:paraId="4AD49BDB">
      <w:pPr>
        <w:pStyle w:val="27"/>
        <w:rPr>
          <w:rFonts w:asciiTheme="minorEastAsia" w:hAnsiTheme="minorEastAsia" w:eastAsiaTheme="minorEastAsia"/>
          <w:color w:val="auto"/>
          <w:highlight w:val="none"/>
        </w:rPr>
      </w:pPr>
    </w:p>
    <w:p w14:paraId="598204A9">
      <w:pPr>
        <w:rPr>
          <w:rFonts w:asciiTheme="minorEastAsia" w:hAnsiTheme="minorEastAsia" w:eastAsiaTheme="minorEastAsia"/>
          <w:color w:val="auto"/>
          <w:highlight w:val="none"/>
        </w:rPr>
      </w:pPr>
    </w:p>
    <w:p w14:paraId="51B7F874">
      <w:pPr>
        <w:pStyle w:val="132"/>
        <w:snapToGrid w:val="0"/>
        <w:spacing w:after="156" w:line="480" w:lineRule="exact"/>
        <w:ind w:firstLine="422" w:firstLineChars="200"/>
        <w:rPr>
          <w:rFonts w:hint="default" w:ascii="仿宋" w:hAnsi="仿宋"/>
          <w:b/>
          <w:color w:val="auto"/>
          <w:szCs w:val="24"/>
          <w:highlight w:val="none"/>
        </w:rPr>
      </w:pPr>
    </w:p>
    <w:p w14:paraId="43318AAF">
      <w:pPr>
        <w:pStyle w:val="132"/>
        <w:snapToGrid w:val="0"/>
        <w:spacing w:after="156" w:line="480" w:lineRule="exact"/>
        <w:ind w:firstLine="422" w:firstLineChars="200"/>
        <w:rPr>
          <w:rFonts w:hint="default" w:ascii="仿宋" w:hAnsi="仿宋"/>
          <w:b/>
          <w:color w:val="auto"/>
          <w:szCs w:val="24"/>
          <w:highlight w:val="none"/>
        </w:rPr>
      </w:pPr>
    </w:p>
    <w:p w14:paraId="669F6EDB">
      <w:pPr>
        <w:spacing w:line="360" w:lineRule="auto"/>
        <w:ind w:left="480"/>
        <w:jc w:val="center"/>
        <w:rPr>
          <w:rFonts w:hint="eastAsia" w:ascii="宋体" w:hAnsi="宋体"/>
          <w:b/>
          <w:color w:val="auto"/>
          <w:sz w:val="32"/>
          <w:szCs w:val="32"/>
          <w:highlight w:val="none"/>
        </w:rPr>
      </w:pPr>
      <w:bookmarkStart w:id="133" w:name="_Toc2003"/>
      <w:bookmarkStart w:id="134" w:name="_Toc28397"/>
      <w:bookmarkStart w:id="135" w:name="_Toc7488"/>
      <w:bookmarkStart w:id="136" w:name="_Toc17529"/>
      <w:bookmarkStart w:id="137" w:name="_Toc6727"/>
      <w:bookmarkStart w:id="138" w:name="_Toc28068"/>
      <w:bookmarkStart w:id="139" w:name="_Toc18892"/>
      <w:bookmarkStart w:id="140" w:name="_Toc24889"/>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、服务响应承诺函</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6AA5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trPr>
        <w:tc>
          <w:tcPr>
            <w:tcW w:w="5000" w:type="pct"/>
            <w:tcBorders>
              <w:top w:val="single" w:color="auto" w:sz="4" w:space="0"/>
              <w:left w:val="single" w:color="auto" w:sz="4" w:space="0"/>
              <w:bottom w:val="single" w:color="auto" w:sz="4" w:space="0"/>
              <w:right w:val="single" w:color="auto" w:sz="4" w:space="0"/>
            </w:tcBorders>
          </w:tcPr>
          <w:p w14:paraId="16E52225">
            <w:pPr>
              <w:spacing w:before="312" w:beforeLines="100" w:line="360" w:lineRule="auto"/>
              <w:rPr>
                <w:rFonts w:hint="eastAsia" w:ascii="宋体" w:hAnsi="宋体"/>
                <w:color w:val="auto"/>
                <w:sz w:val="24"/>
                <w:szCs w:val="24"/>
                <w:highlight w:val="none"/>
              </w:rPr>
            </w:pPr>
            <w:r>
              <w:rPr>
                <w:rFonts w:hint="eastAsia" w:ascii="宋体" w:hAnsi="宋体"/>
                <w:color w:val="auto"/>
                <w:sz w:val="24"/>
                <w:szCs w:val="24"/>
                <w:highlight w:val="none"/>
              </w:rPr>
              <w:t>台州市产品质量安全检测研究院：</w:t>
            </w:r>
          </w:p>
          <w:p w14:paraId="6D9D569B">
            <w:pPr>
              <w:spacing w:before="312" w:beforeLines="10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我单位郑重承诺，</w:t>
            </w:r>
            <w:r>
              <w:rPr>
                <w:rFonts w:hint="eastAsia" w:ascii="宋体" w:hAnsi="宋体"/>
                <w:b/>
                <w:color w:val="auto"/>
                <w:sz w:val="24"/>
                <w:szCs w:val="24"/>
                <w:highlight w:val="none"/>
              </w:rPr>
              <w:t>服务响应时间</w:t>
            </w:r>
            <w:r>
              <w:rPr>
                <w:rFonts w:hint="eastAsia" w:ascii="宋体" w:hAnsi="宋体"/>
                <w:color w:val="auto"/>
                <w:sz w:val="24"/>
                <w:szCs w:val="24"/>
                <w:highlight w:val="none"/>
              </w:rPr>
              <w:t>：承诺接到采购方通知后，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小时内到达现场。</w:t>
            </w:r>
          </w:p>
          <w:p w14:paraId="04D57B65">
            <w:pPr>
              <w:spacing w:line="360" w:lineRule="auto"/>
              <w:ind w:firstLine="424" w:firstLineChars="177"/>
              <w:rPr>
                <w:rFonts w:hint="eastAsia" w:ascii="宋体" w:hAnsi="宋体"/>
                <w:color w:val="auto"/>
                <w:sz w:val="24"/>
                <w:szCs w:val="24"/>
                <w:highlight w:val="none"/>
              </w:rPr>
            </w:pPr>
          </w:p>
          <w:p w14:paraId="0E8CF4A2">
            <w:pPr>
              <w:spacing w:line="360" w:lineRule="auto"/>
              <w:ind w:firstLine="424" w:firstLineChars="177"/>
              <w:rPr>
                <w:rFonts w:hint="eastAsia" w:ascii="宋体" w:hAnsi="宋体"/>
                <w:color w:val="auto"/>
                <w:sz w:val="24"/>
                <w:szCs w:val="24"/>
                <w:highlight w:val="none"/>
              </w:rPr>
            </w:pPr>
            <w:r>
              <w:rPr>
                <w:rFonts w:hint="eastAsia" w:ascii="宋体" w:hAnsi="宋体"/>
                <w:color w:val="auto"/>
                <w:sz w:val="24"/>
                <w:szCs w:val="24"/>
                <w:highlight w:val="none"/>
              </w:rPr>
              <w:t>我方对上述承诺的真实性负责。如有虚假，我方同意按我方合同违约处理，并依法承担相应法律责任。</w:t>
            </w:r>
          </w:p>
        </w:tc>
      </w:tr>
    </w:tbl>
    <w:p w14:paraId="4468112D">
      <w:pPr>
        <w:spacing w:before="156" w:beforeLines="50" w:line="360" w:lineRule="auto"/>
        <w:ind w:firstLine="424" w:firstLineChars="177"/>
        <w:rPr>
          <w:rFonts w:hint="eastAsia" w:ascii="宋体" w:hAnsi="宋体"/>
          <w:color w:val="auto"/>
          <w:sz w:val="24"/>
          <w:szCs w:val="24"/>
          <w:highlight w:val="none"/>
        </w:rPr>
      </w:pPr>
    </w:p>
    <w:p w14:paraId="36119916">
      <w:pPr>
        <w:tabs>
          <w:tab w:val="left" w:pos="312"/>
        </w:tabs>
        <w:spacing w:line="480" w:lineRule="auto"/>
        <w:ind w:firstLine="480" w:firstLineChars="200"/>
        <w:jc w:val="left"/>
        <w:rPr>
          <w:rFonts w:hint="eastAsia" w:cs="宋体" w:asciiTheme="minorEastAsia" w:hAnsiTheme="minorEastAsia"/>
          <w:color w:val="auto"/>
          <w:sz w:val="24"/>
          <w:szCs w:val="24"/>
          <w:highlight w:val="none"/>
        </w:rPr>
      </w:pPr>
    </w:p>
    <w:p w14:paraId="64DCB76B">
      <w:pPr>
        <w:tabs>
          <w:tab w:val="left" w:pos="312"/>
        </w:tabs>
        <w:spacing w:line="480" w:lineRule="auto"/>
        <w:ind w:firstLine="480" w:firstLineChars="200"/>
        <w:jc w:val="left"/>
        <w:rPr>
          <w:rFonts w:hint="eastAsia" w:cs="宋体" w:asciiTheme="minorEastAsia" w:hAnsiTheme="minorEastAsia"/>
          <w:color w:val="auto"/>
          <w:sz w:val="24"/>
          <w:szCs w:val="24"/>
          <w:highlight w:val="none"/>
        </w:rPr>
      </w:pPr>
    </w:p>
    <w:p w14:paraId="68F7AD9B">
      <w:pPr>
        <w:tabs>
          <w:tab w:val="left" w:pos="312"/>
        </w:tabs>
        <w:spacing w:line="480" w:lineRule="auto"/>
        <w:ind w:firstLine="480" w:firstLineChars="200"/>
        <w:jc w:val="right"/>
        <w:rPr>
          <w:rFonts w:hint="eastAsia" w:asciiTheme="minorEastAsia" w:hAnsiTheme="minorEastAsia"/>
          <w:color w:val="auto"/>
          <w:sz w:val="24"/>
          <w:szCs w:val="24"/>
          <w:highlight w:val="none"/>
        </w:rPr>
      </w:pPr>
      <w:r>
        <w:rPr>
          <w:rFonts w:hint="eastAsia" w:cs="宋体" w:asciiTheme="minorEastAsia" w:hAnsiTheme="minorEastAsia"/>
          <w:color w:val="auto"/>
          <w:sz w:val="24"/>
          <w:szCs w:val="24"/>
          <w:highlight w:val="none"/>
        </w:rPr>
        <w:t>投标人名称（盖公章）：</w:t>
      </w:r>
    </w:p>
    <w:p w14:paraId="0980FEF1">
      <w:pPr>
        <w:spacing w:line="480" w:lineRule="auto"/>
        <w:ind w:firstLine="424" w:firstLineChars="177"/>
        <w:jc w:val="righ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法定代表人或授权委托代理人（签字或盖章）：</w:t>
      </w:r>
    </w:p>
    <w:p w14:paraId="48123FE1">
      <w:pPr>
        <w:spacing w:line="480" w:lineRule="auto"/>
        <w:ind w:firstLine="435"/>
        <w:jc w:val="righ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日期：  年    月   日</w:t>
      </w:r>
    </w:p>
    <w:p w14:paraId="1717076D">
      <w:pPr>
        <w:widowControl/>
        <w:jc w:val="left"/>
        <w:rPr>
          <w:rFonts w:hint="eastAsia" w:ascii="宋体" w:hAnsi="宋体"/>
          <w:b/>
          <w:color w:val="auto"/>
          <w:sz w:val="24"/>
          <w:szCs w:val="24"/>
          <w:highlight w:val="none"/>
        </w:rPr>
      </w:pPr>
      <w:r>
        <w:rPr>
          <w:rFonts w:ascii="宋体" w:hAnsi="宋体"/>
          <w:b/>
          <w:color w:val="auto"/>
          <w:sz w:val="24"/>
          <w:szCs w:val="24"/>
          <w:highlight w:val="none"/>
        </w:rPr>
        <w:br w:type="page"/>
      </w:r>
    </w:p>
    <w:p w14:paraId="3BD37829">
      <w:pPr>
        <w:pageBreakBefore/>
        <w:spacing w:line="360" w:lineRule="auto"/>
        <w:ind w:right="-108"/>
        <w:jc w:val="center"/>
        <w:outlineLvl w:val="0"/>
        <w:rPr>
          <w:rFonts w:asciiTheme="minorEastAsia" w:hAnsiTheme="minorEastAsia" w:eastAsiaTheme="minorEastAsia"/>
          <w:color w:val="auto"/>
          <w:spacing w:val="40"/>
          <w:sz w:val="52"/>
          <w:szCs w:val="52"/>
          <w:highlight w:val="none"/>
        </w:rPr>
      </w:pPr>
      <w:r>
        <w:rPr>
          <w:rFonts w:hint="eastAsia" w:asciiTheme="minorEastAsia" w:hAnsiTheme="minorEastAsia" w:eastAsiaTheme="minorEastAsia"/>
          <w:color w:val="auto"/>
          <w:spacing w:val="40"/>
          <w:sz w:val="52"/>
          <w:szCs w:val="52"/>
          <w:highlight w:val="none"/>
        </w:rPr>
        <w:t>项目名称</w:t>
      </w:r>
      <w:bookmarkEnd w:id="133"/>
      <w:bookmarkEnd w:id="134"/>
      <w:bookmarkEnd w:id="135"/>
      <w:bookmarkEnd w:id="136"/>
      <w:bookmarkEnd w:id="137"/>
      <w:bookmarkEnd w:id="138"/>
      <w:bookmarkEnd w:id="139"/>
      <w:bookmarkEnd w:id="140"/>
    </w:p>
    <w:p w14:paraId="581188C0">
      <w:pPr>
        <w:spacing w:beforeLines="100" w:line="360" w:lineRule="auto"/>
        <w:ind w:right="-108"/>
        <w:jc w:val="center"/>
        <w:rPr>
          <w:rFonts w:hint="eastAsia" w:asciiTheme="minorEastAsia" w:hAnsiTheme="minorEastAsia" w:eastAsiaTheme="minorEastAsia"/>
          <w:color w:val="auto"/>
          <w:sz w:val="36"/>
          <w:szCs w:val="36"/>
          <w:highlight w:val="none"/>
          <w:lang w:eastAsia="zh-CN"/>
        </w:rPr>
      </w:pPr>
      <w:r>
        <w:rPr>
          <w:rFonts w:hint="eastAsia" w:asciiTheme="minorEastAsia" w:hAnsiTheme="minorEastAsia" w:eastAsiaTheme="minorEastAsia"/>
          <w:color w:val="auto"/>
          <w:sz w:val="36"/>
          <w:szCs w:val="36"/>
          <w:highlight w:val="none"/>
        </w:rPr>
        <w:t xml:space="preserve">项目编号： </w:t>
      </w:r>
      <w:r>
        <w:rPr>
          <w:rFonts w:hint="eastAsia" w:asciiTheme="minorEastAsia" w:hAnsiTheme="minorEastAsia" w:eastAsiaTheme="minorEastAsia"/>
          <w:color w:val="auto"/>
          <w:sz w:val="36"/>
          <w:szCs w:val="36"/>
          <w:highlight w:val="none"/>
          <w:lang w:val="en-US" w:eastAsia="zh-CN"/>
        </w:rPr>
        <w:t xml:space="preserve">  </w:t>
      </w:r>
      <w:r>
        <w:rPr>
          <w:rFonts w:hint="eastAsia" w:asciiTheme="minorEastAsia" w:hAnsiTheme="minorEastAsia" w:eastAsiaTheme="minorEastAsia"/>
          <w:color w:val="auto"/>
          <w:sz w:val="36"/>
          <w:szCs w:val="36"/>
          <w:highlight w:val="none"/>
        </w:rPr>
        <w:t xml:space="preserve"> </w:t>
      </w:r>
      <w:r>
        <w:rPr>
          <w:rFonts w:hint="eastAsia" w:asciiTheme="minorEastAsia" w:hAnsiTheme="minorEastAsia" w:eastAsiaTheme="minorEastAsia"/>
          <w:color w:val="auto"/>
          <w:sz w:val="36"/>
          <w:szCs w:val="36"/>
          <w:highlight w:val="none"/>
          <w:lang w:eastAsia="zh-CN"/>
        </w:rPr>
        <w:t>标项号：</w:t>
      </w:r>
    </w:p>
    <w:p w14:paraId="189367D9">
      <w:pPr>
        <w:spacing w:after="100" w:afterAutospacing="1" w:line="360" w:lineRule="auto"/>
        <w:ind w:right="-108"/>
        <w:jc w:val="center"/>
        <w:rPr>
          <w:rFonts w:asciiTheme="minorEastAsia" w:hAnsiTheme="minorEastAsia" w:eastAsiaTheme="minorEastAsia"/>
          <w:b/>
          <w:color w:val="auto"/>
          <w:spacing w:val="40"/>
          <w:sz w:val="84"/>
          <w:szCs w:val="84"/>
          <w:highlight w:val="none"/>
        </w:rPr>
      </w:pPr>
      <w:r>
        <w:rPr>
          <w:rFonts w:hint="eastAsia" w:asciiTheme="minorEastAsia" w:hAnsiTheme="minorEastAsia" w:eastAsiaTheme="minorEastAsia"/>
          <w:b/>
          <w:color w:val="auto"/>
          <w:spacing w:val="40"/>
          <w:sz w:val="84"/>
          <w:szCs w:val="84"/>
          <w:highlight w:val="none"/>
        </w:rPr>
        <w:t>报</w:t>
      </w:r>
    </w:p>
    <w:p w14:paraId="38B9A258">
      <w:pPr>
        <w:spacing w:after="100" w:afterAutospacing="1" w:line="360" w:lineRule="auto"/>
        <w:ind w:right="-108"/>
        <w:jc w:val="center"/>
        <w:rPr>
          <w:rFonts w:asciiTheme="minorEastAsia" w:hAnsiTheme="minorEastAsia" w:eastAsiaTheme="minorEastAsia"/>
          <w:b/>
          <w:color w:val="auto"/>
          <w:spacing w:val="40"/>
          <w:sz w:val="84"/>
          <w:szCs w:val="84"/>
          <w:highlight w:val="none"/>
        </w:rPr>
      </w:pPr>
      <w:r>
        <w:rPr>
          <w:rFonts w:hint="eastAsia" w:asciiTheme="minorEastAsia" w:hAnsiTheme="minorEastAsia" w:eastAsiaTheme="minorEastAsia"/>
          <w:b/>
          <w:color w:val="auto"/>
          <w:spacing w:val="40"/>
          <w:sz w:val="84"/>
          <w:szCs w:val="84"/>
          <w:highlight w:val="none"/>
        </w:rPr>
        <w:t>价</w:t>
      </w:r>
    </w:p>
    <w:p w14:paraId="79199335">
      <w:pPr>
        <w:spacing w:after="100" w:afterAutospacing="1" w:line="360" w:lineRule="auto"/>
        <w:ind w:right="-108"/>
        <w:jc w:val="center"/>
        <w:rPr>
          <w:rFonts w:asciiTheme="minorEastAsia" w:hAnsiTheme="minorEastAsia" w:eastAsiaTheme="minorEastAsia"/>
          <w:b/>
          <w:color w:val="auto"/>
          <w:spacing w:val="40"/>
          <w:sz w:val="84"/>
          <w:szCs w:val="84"/>
          <w:highlight w:val="none"/>
        </w:rPr>
      </w:pPr>
      <w:r>
        <w:rPr>
          <w:rFonts w:hint="eastAsia" w:asciiTheme="minorEastAsia" w:hAnsiTheme="minorEastAsia" w:eastAsiaTheme="minorEastAsia"/>
          <w:b/>
          <w:color w:val="auto"/>
          <w:spacing w:val="40"/>
          <w:sz w:val="84"/>
          <w:szCs w:val="84"/>
          <w:highlight w:val="none"/>
        </w:rPr>
        <w:t>文</w:t>
      </w:r>
    </w:p>
    <w:p w14:paraId="04FB0E13">
      <w:pPr>
        <w:spacing w:after="100" w:afterAutospacing="1" w:line="360" w:lineRule="auto"/>
        <w:ind w:right="-108"/>
        <w:jc w:val="center"/>
        <w:rPr>
          <w:rFonts w:asciiTheme="minorEastAsia" w:hAnsiTheme="minorEastAsia" w:eastAsiaTheme="minorEastAsia"/>
          <w:b/>
          <w:color w:val="auto"/>
          <w:spacing w:val="40"/>
          <w:sz w:val="84"/>
          <w:szCs w:val="84"/>
          <w:highlight w:val="none"/>
        </w:rPr>
      </w:pPr>
      <w:r>
        <w:rPr>
          <w:rFonts w:hint="eastAsia" w:asciiTheme="minorEastAsia" w:hAnsiTheme="minorEastAsia" w:eastAsiaTheme="minorEastAsia"/>
          <w:b/>
          <w:color w:val="auto"/>
          <w:spacing w:val="40"/>
          <w:sz w:val="84"/>
          <w:szCs w:val="84"/>
          <w:highlight w:val="none"/>
        </w:rPr>
        <w:t>件</w:t>
      </w:r>
    </w:p>
    <w:p w14:paraId="22CBDA41">
      <w:pPr>
        <w:spacing w:line="360" w:lineRule="auto"/>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（报价文件）</w:t>
      </w:r>
    </w:p>
    <w:p w14:paraId="399446A8">
      <w:pPr>
        <w:spacing w:line="360" w:lineRule="auto"/>
        <w:ind w:right="532"/>
        <w:rPr>
          <w:rFonts w:asciiTheme="minorEastAsia" w:hAnsiTheme="minorEastAsia" w:eastAsiaTheme="minorEastAsia"/>
          <w:color w:val="auto"/>
          <w:sz w:val="36"/>
          <w:szCs w:val="36"/>
          <w:highlight w:val="none"/>
        </w:rPr>
      </w:pPr>
    </w:p>
    <w:p w14:paraId="67D97CBE">
      <w:pPr>
        <w:spacing w:line="360" w:lineRule="auto"/>
        <w:ind w:right="532" w:firstLine="720" w:firstLineChars="20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投标人名称（公章）：</w:t>
      </w:r>
    </w:p>
    <w:p w14:paraId="76B94EBF">
      <w:pPr>
        <w:spacing w:line="360" w:lineRule="auto"/>
        <w:ind w:right="-108" w:firstLine="720" w:firstLineChars="20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投标人地址：</w:t>
      </w:r>
    </w:p>
    <w:p w14:paraId="12E45279">
      <w:pPr>
        <w:spacing w:line="360" w:lineRule="auto"/>
        <w:ind w:right="-108" w:firstLine="720" w:firstLineChars="20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时    间：</w:t>
      </w:r>
    </w:p>
    <w:p w14:paraId="2D8EEFDA">
      <w:pPr>
        <w:pStyle w:val="19"/>
        <w:rPr>
          <w:rFonts w:asciiTheme="minorEastAsia" w:hAnsiTheme="minorEastAsia" w:eastAsiaTheme="minorEastAsia"/>
          <w:color w:val="auto"/>
          <w:highlight w:val="none"/>
        </w:rPr>
      </w:pPr>
    </w:p>
    <w:p w14:paraId="314DAF15">
      <w:pPr>
        <w:pStyle w:val="27"/>
        <w:rPr>
          <w:rFonts w:asciiTheme="minorEastAsia" w:hAnsiTheme="minorEastAsia" w:eastAsiaTheme="minorEastAsia"/>
          <w:color w:val="auto"/>
          <w:highlight w:val="none"/>
        </w:rPr>
      </w:pPr>
    </w:p>
    <w:p w14:paraId="145A6CF0">
      <w:pPr>
        <w:rPr>
          <w:rFonts w:asciiTheme="minorEastAsia" w:hAnsiTheme="minorEastAsia" w:eastAsiaTheme="minorEastAsia"/>
          <w:color w:val="auto"/>
          <w:highlight w:val="none"/>
        </w:rPr>
      </w:pPr>
    </w:p>
    <w:p w14:paraId="319E1632">
      <w:pPr>
        <w:pStyle w:val="19"/>
        <w:rPr>
          <w:rFonts w:asciiTheme="minorEastAsia" w:hAnsiTheme="minorEastAsia" w:eastAsiaTheme="minorEastAsia"/>
          <w:color w:val="auto"/>
          <w:highlight w:val="none"/>
        </w:rPr>
      </w:pPr>
    </w:p>
    <w:p w14:paraId="2F51373F">
      <w:pPr>
        <w:shd w:val="clear" w:color="auto" w:fill="FFFFFF"/>
        <w:snapToGrid w:val="0"/>
        <w:spacing w:line="360" w:lineRule="auto"/>
        <w:jc w:val="center"/>
        <w:outlineLvl w:val="1"/>
        <w:rPr>
          <w:rFonts w:cs="宋体" w:asciiTheme="minorEastAsia" w:hAnsiTheme="minorEastAsia" w:eastAsiaTheme="minorEastAsia"/>
          <w:b/>
          <w:bCs/>
          <w:color w:val="auto"/>
          <w:kern w:val="0"/>
          <w:sz w:val="32"/>
          <w:szCs w:val="32"/>
          <w:highlight w:val="none"/>
        </w:rPr>
      </w:pPr>
    </w:p>
    <w:p w14:paraId="3200AB89">
      <w:pPr>
        <w:spacing w:line="360" w:lineRule="auto"/>
        <w:jc w:val="center"/>
        <w:rPr>
          <w:rFonts w:asciiTheme="minorEastAsia" w:hAnsiTheme="minorEastAsia" w:eastAsiaTheme="minorEastAsia"/>
          <w:b/>
          <w:color w:val="auto"/>
          <w:sz w:val="44"/>
          <w:szCs w:val="44"/>
          <w:highlight w:val="none"/>
        </w:rPr>
        <w:sectPr>
          <w:footerReference r:id="rId9"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A3D38CA">
      <w:pPr>
        <w:pageBreakBefore/>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报价文件</w:t>
      </w:r>
    </w:p>
    <w:p w14:paraId="79439F73">
      <w:pPr>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目录</w:t>
      </w:r>
    </w:p>
    <w:p w14:paraId="4BFBDEC7">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投标函</w:t>
      </w:r>
      <w:r>
        <w:rPr>
          <w:rFonts w:asciiTheme="minorEastAsia" w:hAnsiTheme="minorEastAsia" w:eastAsiaTheme="minorEastAsia"/>
          <w:color w:val="auto"/>
          <w:sz w:val="24"/>
          <w:highlight w:val="none"/>
        </w:rPr>
        <w:t>………………………………………………………………………………（页码）</w:t>
      </w:r>
    </w:p>
    <w:p w14:paraId="3CA41864">
      <w:pPr>
        <w:spacing w:line="48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开标一览表…………………………………………………………………………（页码）</w:t>
      </w:r>
    </w:p>
    <w:p w14:paraId="57C7BBA1">
      <w:pPr>
        <w:pStyle w:val="95"/>
        <w:spacing w:line="480" w:lineRule="auto"/>
        <w:ind w:left="0" w:leftChars="0" w:firstLine="0" w:firstLineChars="0"/>
        <w:jc w:val="left"/>
        <w:rPr>
          <w:rFonts w:asciiTheme="minorEastAsia" w:hAnsiTheme="minorEastAsia"/>
          <w:color w:val="auto"/>
          <w:sz w:val="24"/>
          <w:highlight w:val="none"/>
        </w:rPr>
      </w:pPr>
      <w:r>
        <w:rPr>
          <w:rFonts w:hint="eastAsia" w:cs="宋体" w:asciiTheme="minorEastAsia" w:hAnsiTheme="minorEastAsia"/>
          <w:color w:val="auto"/>
          <w:sz w:val="24"/>
          <w:szCs w:val="24"/>
          <w:highlight w:val="none"/>
        </w:rPr>
        <w:t>3、分项报价明细表</w:t>
      </w:r>
      <w:r>
        <w:rPr>
          <w:rFonts w:asciiTheme="minorEastAsia" w:hAnsiTheme="minorEastAsia"/>
          <w:color w:val="auto"/>
          <w:sz w:val="24"/>
          <w:highlight w:val="none"/>
        </w:rPr>
        <w:t>……………………………………………………………………（页码）</w:t>
      </w:r>
    </w:p>
    <w:p w14:paraId="12EE60FA">
      <w:pPr>
        <w:pStyle w:val="95"/>
        <w:spacing w:line="480" w:lineRule="auto"/>
        <w:ind w:left="0" w:leftChars="0" w:firstLine="0" w:firstLineChars="0"/>
        <w:jc w:val="left"/>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4、主要零配件、易损件、耗材的成本价供应价格表</w:t>
      </w:r>
      <w:r>
        <w:rPr>
          <w:rFonts w:asciiTheme="minorEastAsia" w:hAnsiTheme="minorEastAsia"/>
          <w:color w:val="auto"/>
          <w:sz w:val="24"/>
          <w:highlight w:val="none"/>
        </w:rPr>
        <w:t>………………………………（页码）</w:t>
      </w:r>
    </w:p>
    <w:p w14:paraId="746A96E4">
      <w:pPr>
        <w:pStyle w:val="95"/>
        <w:spacing w:line="480" w:lineRule="auto"/>
        <w:ind w:left="0" w:leftChars="0" w:firstLine="0" w:firstLineChars="0"/>
        <w:jc w:val="left"/>
        <w:rPr>
          <w:rFonts w:cs="宋体" w:asciiTheme="minorEastAsia" w:hAnsiTheme="minorEastAsia"/>
          <w:color w:val="auto"/>
          <w:sz w:val="24"/>
          <w:szCs w:val="24"/>
          <w:highlight w:val="none"/>
        </w:rPr>
      </w:pPr>
      <w:r>
        <w:rPr>
          <w:rFonts w:hint="eastAsia" w:asciiTheme="minorEastAsia" w:hAnsiTheme="minorEastAsia"/>
          <w:color w:val="auto"/>
          <w:sz w:val="24"/>
          <w:highlight w:val="none"/>
          <w:lang w:val="en-US" w:eastAsia="zh-CN"/>
        </w:rPr>
        <w:t>5、投标人认为需提交的其他报价文件资料</w:t>
      </w:r>
      <w:r>
        <w:rPr>
          <w:rFonts w:asciiTheme="minorEastAsia" w:hAnsiTheme="minorEastAsia"/>
          <w:color w:val="auto"/>
          <w:sz w:val="24"/>
          <w:highlight w:val="none"/>
        </w:rPr>
        <w:t>…………………………………………（页码）</w:t>
      </w:r>
    </w:p>
    <w:p w14:paraId="313A228A">
      <w:pPr>
        <w:spacing w:line="480" w:lineRule="auto"/>
        <w:jc w:val="left"/>
        <w:rPr>
          <w:rFonts w:asciiTheme="minorEastAsia" w:hAnsiTheme="minorEastAsia" w:eastAsiaTheme="minorEastAsia"/>
          <w:color w:val="auto"/>
          <w:sz w:val="24"/>
          <w:highlight w:val="none"/>
        </w:rPr>
      </w:pPr>
      <w:r>
        <w:rPr>
          <w:rFonts w:asciiTheme="minorEastAsia" w:hAnsiTheme="minorEastAsia"/>
          <w:color w:val="auto"/>
          <w:sz w:val="24"/>
          <w:highlight w:val="none"/>
        </w:rPr>
        <w:t>………</w:t>
      </w:r>
      <w:r>
        <w:rPr>
          <w:rFonts w:asciiTheme="minorEastAsia" w:hAnsiTheme="minorEastAsia" w:eastAsiaTheme="minorEastAsia"/>
          <w:color w:val="auto"/>
          <w:sz w:val="24"/>
          <w:highlight w:val="none"/>
        </w:rPr>
        <w:t>( 目录自行扩展)</w:t>
      </w:r>
    </w:p>
    <w:p w14:paraId="4C4882DB">
      <w:pPr>
        <w:pStyle w:val="95"/>
        <w:spacing w:line="480" w:lineRule="auto"/>
        <w:ind w:left="0" w:leftChars="0" w:firstLine="0" w:firstLineChars="0"/>
        <w:jc w:val="left"/>
        <w:rPr>
          <w:rFonts w:cs="宋体" w:asciiTheme="minorEastAsia" w:hAnsiTheme="minorEastAsia"/>
          <w:color w:val="auto"/>
          <w:sz w:val="24"/>
          <w:szCs w:val="24"/>
          <w:highlight w:val="none"/>
        </w:rPr>
      </w:pPr>
    </w:p>
    <w:p w14:paraId="65EC1E96">
      <w:pPr>
        <w:pStyle w:val="27"/>
        <w:rPr>
          <w:rFonts w:asciiTheme="minorEastAsia" w:hAnsiTheme="minorEastAsia" w:eastAsiaTheme="minorEastAsia"/>
          <w:color w:val="auto"/>
          <w:highlight w:val="none"/>
        </w:rPr>
      </w:pPr>
    </w:p>
    <w:p w14:paraId="4867F22A">
      <w:pPr>
        <w:rPr>
          <w:rFonts w:asciiTheme="minorEastAsia" w:hAnsiTheme="minorEastAsia" w:eastAsiaTheme="minorEastAsia"/>
          <w:color w:val="auto"/>
          <w:highlight w:val="none"/>
        </w:rPr>
      </w:pPr>
    </w:p>
    <w:p w14:paraId="378E5686">
      <w:pPr>
        <w:pStyle w:val="19"/>
        <w:rPr>
          <w:rFonts w:asciiTheme="minorEastAsia" w:hAnsiTheme="minorEastAsia" w:eastAsiaTheme="minorEastAsia"/>
          <w:color w:val="auto"/>
          <w:highlight w:val="none"/>
        </w:rPr>
      </w:pPr>
    </w:p>
    <w:p w14:paraId="4164AF53">
      <w:pPr>
        <w:pStyle w:val="27"/>
        <w:rPr>
          <w:rFonts w:asciiTheme="minorEastAsia" w:hAnsiTheme="minorEastAsia" w:eastAsiaTheme="minorEastAsia"/>
          <w:color w:val="auto"/>
          <w:highlight w:val="none"/>
        </w:rPr>
      </w:pPr>
    </w:p>
    <w:p w14:paraId="413A342D">
      <w:pPr>
        <w:rPr>
          <w:rFonts w:asciiTheme="minorEastAsia" w:hAnsiTheme="minorEastAsia" w:eastAsiaTheme="minorEastAsia"/>
          <w:color w:val="auto"/>
          <w:highlight w:val="none"/>
        </w:rPr>
      </w:pPr>
    </w:p>
    <w:p w14:paraId="64B9E7F0">
      <w:pPr>
        <w:pStyle w:val="19"/>
        <w:rPr>
          <w:rFonts w:asciiTheme="minorEastAsia" w:hAnsiTheme="minorEastAsia" w:eastAsiaTheme="minorEastAsia"/>
          <w:color w:val="auto"/>
          <w:highlight w:val="none"/>
        </w:rPr>
      </w:pPr>
    </w:p>
    <w:p w14:paraId="5D0A80E5">
      <w:pPr>
        <w:pStyle w:val="27"/>
        <w:rPr>
          <w:rFonts w:asciiTheme="minorEastAsia" w:hAnsiTheme="minorEastAsia" w:eastAsiaTheme="minorEastAsia"/>
          <w:color w:val="auto"/>
          <w:highlight w:val="none"/>
        </w:rPr>
      </w:pPr>
    </w:p>
    <w:p w14:paraId="0EA17E46">
      <w:pPr>
        <w:rPr>
          <w:rFonts w:asciiTheme="minorEastAsia" w:hAnsiTheme="minorEastAsia" w:eastAsiaTheme="minorEastAsia"/>
          <w:color w:val="auto"/>
          <w:highlight w:val="none"/>
        </w:rPr>
      </w:pPr>
    </w:p>
    <w:p w14:paraId="4D3B147C">
      <w:pPr>
        <w:pStyle w:val="19"/>
        <w:rPr>
          <w:rFonts w:asciiTheme="minorEastAsia" w:hAnsiTheme="minorEastAsia" w:eastAsiaTheme="minorEastAsia"/>
          <w:color w:val="auto"/>
          <w:highlight w:val="none"/>
        </w:rPr>
      </w:pPr>
    </w:p>
    <w:p w14:paraId="684AFAE7">
      <w:pPr>
        <w:pStyle w:val="27"/>
        <w:rPr>
          <w:rFonts w:asciiTheme="minorEastAsia" w:hAnsiTheme="minorEastAsia" w:eastAsiaTheme="minorEastAsia"/>
          <w:color w:val="auto"/>
          <w:highlight w:val="none"/>
        </w:rPr>
      </w:pPr>
    </w:p>
    <w:p w14:paraId="2ECA3D27">
      <w:pPr>
        <w:rPr>
          <w:rFonts w:asciiTheme="minorEastAsia" w:hAnsiTheme="minorEastAsia" w:eastAsiaTheme="minorEastAsia"/>
          <w:color w:val="auto"/>
          <w:highlight w:val="none"/>
        </w:rPr>
      </w:pPr>
    </w:p>
    <w:p w14:paraId="5090D05E">
      <w:pPr>
        <w:pStyle w:val="19"/>
        <w:rPr>
          <w:rFonts w:asciiTheme="minorEastAsia" w:hAnsiTheme="minorEastAsia" w:eastAsiaTheme="minorEastAsia"/>
          <w:color w:val="auto"/>
          <w:highlight w:val="none"/>
        </w:rPr>
      </w:pPr>
    </w:p>
    <w:p w14:paraId="7D0DF936">
      <w:pPr>
        <w:pStyle w:val="19"/>
        <w:rPr>
          <w:rFonts w:asciiTheme="minorEastAsia" w:hAnsiTheme="minorEastAsia" w:eastAsiaTheme="minorEastAsia"/>
          <w:color w:val="auto"/>
          <w:highlight w:val="none"/>
        </w:rPr>
      </w:pPr>
    </w:p>
    <w:p w14:paraId="305BDEEE">
      <w:pPr>
        <w:spacing w:line="360" w:lineRule="auto"/>
        <w:jc w:val="center"/>
        <w:rPr>
          <w:rFonts w:cs="宋体" w:asciiTheme="minorEastAsia" w:hAnsiTheme="minorEastAsia" w:eastAsiaTheme="minorEastAsia"/>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D47C966">
      <w:pPr>
        <w:pageBreakBefore/>
        <w:spacing w:line="360" w:lineRule="auto"/>
        <w:jc w:val="center"/>
        <w:rPr>
          <w:rFonts w:asciiTheme="minorEastAsia" w:hAnsiTheme="minorEastAsia" w:eastAsiaTheme="minorEastAsia"/>
          <w:b/>
          <w:color w:val="auto"/>
          <w:sz w:val="32"/>
          <w:szCs w:val="32"/>
          <w:highlight w:val="none"/>
        </w:rPr>
      </w:pPr>
      <w:r>
        <w:rPr>
          <w:rFonts w:hint="eastAsia" w:cs="宋体" w:asciiTheme="minorEastAsia" w:hAnsiTheme="minorEastAsia" w:eastAsiaTheme="minorEastAsia"/>
          <w:b/>
          <w:bCs/>
          <w:color w:val="auto"/>
          <w:kern w:val="0"/>
          <w:sz w:val="32"/>
          <w:szCs w:val="32"/>
          <w:highlight w:val="none"/>
        </w:rPr>
        <w:t>一、投标函</w:t>
      </w:r>
    </w:p>
    <w:p w14:paraId="1C87CBAF">
      <w:pPr>
        <w:pStyle w:val="21"/>
        <w:spacing w:line="500" w:lineRule="exact"/>
        <w:ind w:left="-284" w:firstLine="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致：</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采购人</w:t>
      </w:r>
      <w:r>
        <w:rPr>
          <w:rFonts w:asciiTheme="minorEastAsia" w:hAnsiTheme="minorEastAsia" w:eastAsiaTheme="minorEastAsia"/>
          <w:color w:val="auto"/>
          <w:sz w:val="24"/>
          <w:szCs w:val="24"/>
          <w:highlight w:val="none"/>
          <w:u w:val="single"/>
        </w:rPr>
        <w:t xml:space="preserve">）  </w:t>
      </w:r>
    </w:p>
    <w:p w14:paraId="5AB12544">
      <w:pPr>
        <w:pStyle w:val="21"/>
        <w:spacing w:line="500" w:lineRule="exact"/>
        <w:ind w:firstLine="490"/>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 xml:space="preserve">   （供应商全称）       </w:t>
      </w:r>
      <w:r>
        <w:rPr>
          <w:rFonts w:asciiTheme="minorEastAsia" w:hAnsiTheme="minorEastAsia" w:eastAsiaTheme="minorEastAsia"/>
          <w:color w:val="auto"/>
          <w:sz w:val="24"/>
          <w:szCs w:val="24"/>
          <w:highlight w:val="none"/>
        </w:rPr>
        <w:t>授权</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被授权人</w:t>
      </w:r>
      <w:r>
        <w:rPr>
          <w:rFonts w:asciiTheme="minorEastAsia" w:hAnsiTheme="minorEastAsia" w:eastAsiaTheme="minorEastAsia"/>
          <w:color w:val="auto"/>
          <w:sz w:val="24"/>
          <w:szCs w:val="24"/>
          <w:highlight w:val="none"/>
          <w:u w:val="single"/>
        </w:rPr>
        <w:t xml:space="preserve">姓名、职务）   </w:t>
      </w:r>
      <w:r>
        <w:rPr>
          <w:rFonts w:asciiTheme="minorEastAsia" w:hAnsiTheme="minorEastAsia" w:eastAsiaTheme="minorEastAsia"/>
          <w:color w:val="auto"/>
          <w:sz w:val="24"/>
          <w:szCs w:val="24"/>
          <w:highlight w:val="none"/>
        </w:rPr>
        <w:t>为本公司合法</w:t>
      </w:r>
      <w:r>
        <w:rPr>
          <w:rFonts w:hint="eastAsia" w:asciiTheme="minorEastAsia" w:hAnsiTheme="minorEastAsia" w:eastAsiaTheme="minorEastAsia"/>
          <w:color w:val="auto"/>
          <w:sz w:val="24"/>
          <w:szCs w:val="24"/>
          <w:highlight w:val="none"/>
          <w:lang w:eastAsia="zh-CN"/>
        </w:rPr>
        <w:t>授权委托代表</w:t>
      </w:r>
      <w:r>
        <w:rPr>
          <w:rFonts w:asciiTheme="minorEastAsia" w:hAnsiTheme="minorEastAsia" w:eastAsiaTheme="minorEastAsia"/>
          <w:color w:val="auto"/>
          <w:sz w:val="24"/>
          <w:szCs w:val="24"/>
          <w:highlight w:val="none"/>
        </w:rPr>
        <w:t>，参加贵方组织的</w:t>
      </w:r>
      <w:r>
        <w:rPr>
          <w:rFonts w:asciiTheme="minorEastAsia" w:hAnsiTheme="minorEastAsia" w:eastAsiaTheme="minorEastAsia"/>
          <w:color w:val="auto"/>
          <w:sz w:val="24"/>
          <w:szCs w:val="24"/>
          <w:highlight w:val="none"/>
          <w:u w:val="single"/>
        </w:rPr>
        <w:t xml:space="preserve">   （项目编号、</w:t>
      </w:r>
      <w:r>
        <w:rPr>
          <w:rFonts w:hint="eastAsia" w:asciiTheme="minorEastAsia" w:hAnsiTheme="minorEastAsia" w:eastAsiaTheme="minorEastAsia"/>
          <w:color w:val="auto"/>
          <w:sz w:val="24"/>
          <w:szCs w:val="24"/>
          <w:highlight w:val="none"/>
          <w:u w:val="single"/>
          <w:lang w:eastAsia="zh-CN"/>
        </w:rPr>
        <w:t>标项号、</w:t>
      </w:r>
      <w:r>
        <w:rPr>
          <w:rFonts w:asciiTheme="minorEastAsia" w:hAnsiTheme="minorEastAsia" w:eastAsiaTheme="minorEastAsia"/>
          <w:color w:val="auto"/>
          <w:sz w:val="24"/>
          <w:szCs w:val="24"/>
          <w:highlight w:val="none"/>
          <w:u w:val="single"/>
        </w:rPr>
        <w:t xml:space="preserve">项目名称）  </w:t>
      </w:r>
      <w:r>
        <w:rPr>
          <w:rFonts w:asciiTheme="minorEastAsia" w:hAnsiTheme="minorEastAsia" w:eastAsiaTheme="minorEastAsia"/>
          <w:color w:val="auto"/>
          <w:sz w:val="24"/>
          <w:szCs w:val="24"/>
          <w:highlight w:val="none"/>
        </w:rPr>
        <w:t>招投标活动，代表本公司处理招投标活动中的一切事宜。在此：</w:t>
      </w:r>
    </w:p>
    <w:p w14:paraId="49071A24">
      <w:pPr>
        <w:pStyle w:val="21"/>
        <w:tabs>
          <w:tab w:val="left" w:pos="426"/>
        </w:tabs>
        <w:spacing w:line="500" w:lineRule="exact"/>
        <w:ind w:firstLine="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1、提供采购文件中“投标须知”规定的全部投标文件资料</w:t>
      </w:r>
      <w:r>
        <w:rPr>
          <w:rFonts w:hint="eastAsia" w:asciiTheme="minorEastAsia" w:hAnsiTheme="minorEastAsia" w:eastAsiaTheme="minorEastAsia"/>
          <w:color w:val="auto"/>
          <w:sz w:val="24"/>
          <w:szCs w:val="24"/>
          <w:highlight w:val="none"/>
        </w:rPr>
        <w:t>。</w:t>
      </w:r>
    </w:p>
    <w:p w14:paraId="60185A40">
      <w:pPr>
        <w:pStyle w:val="21"/>
        <w:tabs>
          <w:tab w:val="left" w:pos="426"/>
        </w:tabs>
        <w:spacing w:line="500" w:lineRule="exact"/>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、据此函，签字代表宣布并承诺如下：</w:t>
      </w:r>
    </w:p>
    <w:p w14:paraId="47630B29">
      <w:pPr>
        <w:pStyle w:val="21"/>
        <w:spacing w:line="500" w:lineRule="exact"/>
        <w:ind w:firstLine="240" w:firstLineChars="1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5CE0ABE3">
      <w:pPr>
        <w:pStyle w:val="21"/>
        <w:spacing w:line="500" w:lineRule="exact"/>
        <w:ind w:firstLine="240" w:firstLineChars="1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（2）本投标自开标之日起</w:t>
      </w:r>
      <w:r>
        <w:rPr>
          <w:rFonts w:hint="eastAsia" w:asciiTheme="minorEastAsia" w:hAnsiTheme="minorEastAsia" w:eastAsiaTheme="minorEastAsia"/>
          <w:color w:val="auto"/>
          <w:sz w:val="24"/>
          <w:szCs w:val="24"/>
          <w:highlight w:val="none"/>
          <w:u w:val="single"/>
        </w:rPr>
        <w:t>90天</w:t>
      </w:r>
      <w:r>
        <w:rPr>
          <w:rFonts w:asciiTheme="minorEastAsia" w:hAnsiTheme="minorEastAsia" w:eastAsiaTheme="minorEastAsia"/>
          <w:color w:val="auto"/>
          <w:sz w:val="24"/>
          <w:szCs w:val="24"/>
          <w:highlight w:val="none"/>
        </w:rPr>
        <w:t>内有效。</w:t>
      </w:r>
    </w:p>
    <w:p w14:paraId="390B5159">
      <w:pPr>
        <w:pStyle w:val="21"/>
        <w:spacing w:line="500" w:lineRule="exact"/>
        <w:ind w:firstLine="240" w:firstLineChars="1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（3）保证遵守采购文件有关条款规定。</w:t>
      </w:r>
    </w:p>
    <w:p w14:paraId="4C661A85">
      <w:pPr>
        <w:pStyle w:val="21"/>
        <w:spacing w:line="500" w:lineRule="exact"/>
        <w:ind w:firstLine="240" w:firstLineChars="1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（4）保证在中标后忠实地执行与采购人所签署的合同，并承担合同规定的责任义务。保证在中标后按照采购文件的规定支付招标代理服务费。</w:t>
      </w:r>
    </w:p>
    <w:p w14:paraId="1609A3B2">
      <w:pPr>
        <w:pStyle w:val="21"/>
        <w:spacing w:line="500" w:lineRule="exact"/>
        <w:ind w:firstLine="240" w:firstLineChars="1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（5）承诺应贵方要求提供任何与该项目投标有关的数据、情况和技术资料。</w:t>
      </w:r>
    </w:p>
    <w:p w14:paraId="5A28345B">
      <w:pPr>
        <w:pStyle w:val="21"/>
        <w:tabs>
          <w:tab w:val="left" w:pos="426"/>
        </w:tabs>
        <w:spacing w:line="500" w:lineRule="exact"/>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、我们郑重声明：</w:t>
      </w:r>
    </w:p>
    <w:p w14:paraId="66E4C4C4">
      <w:pPr>
        <w:pStyle w:val="21"/>
        <w:tabs>
          <w:tab w:val="left" w:pos="426"/>
        </w:tabs>
        <w:spacing w:line="5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388828C4">
      <w:pPr>
        <w:pStyle w:val="21"/>
        <w:tabs>
          <w:tab w:val="left" w:pos="426"/>
        </w:tabs>
        <w:spacing w:line="500" w:lineRule="exact"/>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、与本投标有关的一切往来通讯请寄：</w:t>
      </w:r>
    </w:p>
    <w:p w14:paraId="769D7F31">
      <w:pPr>
        <w:pStyle w:val="21"/>
        <w:spacing w:line="500" w:lineRule="exact"/>
        <w:ind w:left="480" w:firstLine="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p>
    <w:p w14:paraId="4517B92E">
      <w:pPr>
        <w:pStyle w:val="21"/>
        <w:spacing w:line="500" w:lineRule="exact"/>
        <w:ind w:left="480" w:firstLine="0"/>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邮编：电话：传真：</w:t>
      </w:r>
    </w:p>
    <w:p w14:paraId="09F53F77">
      <w:pPr>
        <w:pStyle w:val="21"/>
        <w:tabs>
          <w:tab w:val="left" w:pos="5340"/>
        </w:tabs>
        <w:spacing w:before="100" w:beforeAutospacing="1" w:after="100" w:afterAutospacing="1" w:line="500" w:lineRule="exact"/>
        <w:ind w:firstLine="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投标人名称（盖公章）：</w:t>
      </w:r>
      <w:r>
        <w:rPr>
          <w:rFonts w:asciiTheme="minorEastAsia" w:hAnsiTheme="minorEastAsia" w:eastAsiaTheme="minorEastAsia"/>
          <w:color w:val="auto"/>
          <w:sz w:val="24"/>
          <w:szCs w:val="24"/>
          <w:highlight w:val="none"/>
        </w:rPr>
        <w:tab/>
      </w:r>
    </w:p>
    <w:p w14:paraId="159C57B9">
      <w:pPr>
        <w:spacing w:line="5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w:t>
      </w:r>
      <w:r>
        <w:rPr>
          <w:rFonts w:hint="eastAsia" w:cs="宋体" w:asciiTheme="minorEastAsia" w:hAnsiTheme="minorEastAsia" w:eastAsiaTheme="minorEastAsia"/>
          <w:color w:val="auto"/>
          <w:sz w:val="24"/>
          <w:highlight w:val="none"/>
          <w:lang w:eastAsia="zh-CN"/>
        </w:rPr>
        <w:t>授权委托代表</w:t>
      </w:r>
      <w:r>
        <w:rPr>
          <w:rFonts w:hint="eastAsia" w:cs="宋体" w:asciiTheme="minorEastAsia" w:hAnsiTheme="minorEastAsia" w:eastAsiaTheme="minorEastAsia"/>
          <w:color w:val="auto"/>
          <w:sz w:val="24"/>
          <w:highlight w:val="none"/>
        </w:rPr>
        <w:t>（签字或盖章）：</w:t>
      </w:r>
    </w:p>
    <w:p w14:paraId="5E129F44">
      <w:pPr>
        <w:spacing w:line="500" w:lineRule="exact"/>
        <w:jc w:val="righ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日期：年   月</w:t>
      </w:r>
      <w:r>
        <w:rPr>
          <w:rFonts w:hint="eastAsia" w:asciiTheme="minorEastAsia" w:hAnsiTheme="minorEastAsia" w:eastAsiaTheme="minorEastAsia"/>
          <w:color w:val="auto"/>
          <w:sz w:val="24"/>
          <w:highlight w:val="none"/>
        </w:rPr>
        <w:t xml:space="preserve">  日</w:t>
      </w:r>
    </w:p>
    <w:p w14:paraId="382E63DD">
      <w:pPr>
        <w:pageBreakBefore/>
        <w:rPr>
          <w:rFonts w:asciiTheme="minorEastAsia" w:hAnsiTheme="minorEastAsia" w:eastAsiaTheme="minorEastAsia"/>
          <w:color w:val="auto"/>
          <w:highlight w:val="none"/>
        </w:rPr>
      </w:pPr>
    </w:p>
    <w:p w14:paraId="5C947571">
      <w:pPr>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rPr>
        <w:t>二、</w:t>
      </w:r>
      <w:r>
        <w:rPr>
          <w:rFonts w:cs="宋体" w:asciiTheme="minorEastAsia" w:hAnsiTheme="minorEastAsia" w:eastAsiaTheme="minorEastAsia"/>
          <w:b/>
          <w:bCs/>
          <w:color w:val="auto"/>
          <w:kern w:val="0"/>
          <w:sz w:val="32"/>
          <w:szCs w:val="32"/>
          <w:highlight w:val="none"/>
        </w:rPr>
        <w:t>开标一览表</w:t>
      </w:r>
    </w:p>
    <w:p w14:paraId="04991AF2">
      <w:pPr>
        <w:tabs>
          <w:tab w:val="left" w:pos="8280"/>
        </w:tabs>
        <w:autoSpaceDE w:val="0"/>
        <w:autoSpaceDN w:val="0"/>
        <w:adjustRightInd w:val="0"/>
        <w:spacing w:line="3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lang w:eastAsia="zh-CN"/>
        </w:rPr>
        <w:t>标项号：</w:t>
      </w:r>
      <w:r>
        <w:rPr>
          <w:rFonts w:hint="eastAsia" w:ascii="宋体" w:hAnsi="宋体" w:cs="宋体"/>
          <w:color w:val="auto"/>
          <w:sz w:val="24"/>
          <w:highlight w:val="none"/>
        </w:rPr>
        <w:t xml:space="preserve">                       项目名称：</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4125"/>
        <w:gridCol w:w="1735"/>
      </w:tblGrid>
      <w:tr w14:paraId="7000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5FF4A8DE">
            <w:pPr>
              <w:tabs>
                <w:tab w:val="left" w:pos="8280"/>
              </w:tabs>
              <w:autoSpaceDE w:val="0"/>
              <w:autoSpaceDN w:val="0"/>
              <w:adjustRightIn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546" w:type="dxa"/>
            <w:vAlign w:val="center"/>
          </w:tcPr>
          <w:p w14:paraId="6922DD73">
            <w:pPr>
              <w:autoSpaceDE w:val="0"/>
              <w:autoSpaceDN w:val="0"/>
              <w:adjustRightInd w:val="0"/>
              <w:spacing w:line="240" w:lineRule="exact"/>
              <w:ind w:right="25"/>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4125" w:type="dxa"/>
            <w:vAlign w:val="center"/>
          </w:tcPr>
          <w:p w14:paraId="05245180">
            <w:pPr>
              <w:autoSpaceDE w:val="0"/>
              <w:autoSpaceDN w:val="0"/>
              <w:adjustRightInd w:val="0"/>
              <w:spacing w:line="240" w:lineRule="exact"/>
              <w:ind w:right="25"/>
              <w:jc w:val="center"/>
              <w:rPr>
                <w:rFonts w:ascii="宋体" w:hAnsi="宋体" w:cs="宋体"/>
                <w:color w:val="auto"/>
                <w:sz w:val="24"/>
                <w:highlight w:val="none"/>
              </w:rPr>
            </w:pPr>
            <w:r>
              <w:rPr>
                <w:rFonts w:hint="eastAsia" w:ascii="宋体" w:hAnsi="宋体" w:cs="宋体"/>
                <w:color w:val="auto"/>
                <w:sz w:val="24"/>
                <w:highlight w:val="none"/>
              </w:rPr>
              <w:t>内容</w:t>
            </w:r>
          </w:p>
        </w:tc>
        <w:tc>
          <w:tcPr>
            <w:tcW w:w="1735" w:type="dxa"/>
            <w:vAlign w:val="center"/>
          </w:tcPr>
          <w:p w14:paraId="267A36F3">
            <w:pPr>
              <w:autoSpaceDE w:val="0"/>
              <w:autoSpaceDN w:val="0"/>
              <w:adjustRightInd w:val="0"/>
              <w:spacing w:line="240" w:lineRule="exact"/>
              <w:ind w:right="25"/>
              <w:jc w:val="center"/>
              <w:rPr>
                <w:rFonts w:ascii="宋体" w:hAnsi="宋体" w:cs="宋体"/>
                <w:color w:val="auto"/>
                <w:sz w:val="24"/>
                <w:highlight w:val="none"/>
              </w:rPr>
            </w:pPr>
            <w:r>
              <w:rPr>
                <w:rFonts w:hint="eastAsia" w:ascii="宋体" w:hAnsi="宋体" w:cs="宋体"/>
                <w:color w:val="auto"/>
                <w:sz w:val="24"/>
                <w:highlight w:val="none"/>
              </w:rPr>
              <w:t>备注</w:t>
            </w:r>
          </w:p>
        </w:tc>
      </w:tr>
      <w:tr w14:paraId="79AB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1A81A08B">
            <w:pPr>
              <w:tabs>
                <w:tab w:val="left" w:pos="8280"/>
              </w:tabs>
              <w:autoSpaceDE w:val="0"/>
              <w:autoSpaceDN w:val="0"/>
              <w:adjustRightIn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546" w:type="dxa"/>
            <w:vMerge w:val="restart"/>
            <w:vAlign w:val="center"/>
          </w:tcPr>
          <w:p w14:paraId="068DFA98">
            <w:pPr>
              <w:tabs>
                <w:tab w:val="left" w:pos="8280"/>
              </w:tabs>
              <w:autoSpaceDE w:val="0"/>
              <w:autoSpaceDN w:val="0"/>
              <w:adjustRightInd w:val="0"/>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投标总价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元</w:t>
            </w:r>
            <w:r>
              <w:rPr>
                <w:rFonts w:hint="eastAsia" w:ascii="宋体" w:hAnsi="宋体" w:cs="宋体"/>
                <w:color w:val="auto"/>
                <w:sz w:val="24"/>
                <w:highlight w:val="none"/>
                <w:lang w:eastAsia="zh-CN"/>
              </w:rPr>
              <w:t>）</w:t>
            </w:r>
          </w:p>
        </w:tc>
        <w:tc>
          <w:tcPr>
            <w:tcW w:w="4125" w:type="dxa"/>
            <w:vAlign w:val="center"/>
          </w:tcPr>
          <w:p w14:paraId="58746547">
            <w:pPr>
              <w:tabs>
                <w:tab w:val="left" w:pos="8280"/>
              </w:tabs>
              <w:autoSpaceDE w:val="0"/>
              <w:autoSpaceDN w:val="0"/>
              <w:adjustRightIn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大写：</w:t>
            </w:r>
          </w:p>
        </w:tc>
        <w:tc>
          <w:tcPr>
            <w:tcW w:w="1735" w:type="dxa"/>
            <w:vMerge w:val="restart"/>
            <w:vAlign w:val="center"/>
          </w:tcPr>
          <w:p w14:paraId="18F8F005">
            <w:pPr>
              <w:tabs>
                <w:tab w:val="left" w:pos="8280"/>
              </w:tabs>
              <w:autoSpaceDE w:val="0"/>
              <w:autoSpaceDN w:val="0"/>
              <w:adjustRightInd w:val="0"/>
              <w:spacing w:line="300" w:lineRule="exact"/>
              <w:jc w:val="center"/>
              <w:rPr>
                <w:rFonts w:ascii="宋体" w:hAnsi="宋体" w:cs="宋体"/>
                <w:color w:val="auto"/>
                <w:sz w:val="24"/>
                <w:highlight w:val="none"/>
              </w:rPr>
            </w:pPr>
          </w:p>
        </w:tc>
      </w:tr>
      <w:tr w14:paraId="0617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37F8DCB0">
            <w:pPr>
              <w:tabs>
                <w:tab w:val="left" w:pos="8280"/>
              </w:tabs>
              <w:autoSpaceDE w:val="0"/>
              <w:autoSpaceDN w:val="0"/>
              <w:adjustRightInd w:val="0"/>
              <w:spacing w:line="300" w:lineRule="exact"/>
              <w:jc w:val="center"/>
              <w:rPr>
                <w:rFonts w:ascii="宋体" w:hAnsi="宋体" w:cs="宋体"/>
                <w:color w:val="auto"/>
                <w:sz w:val="24"/>
                <w:highlight w:val="none"/>
              </w:rPr>
            </w:pPr>
          </w:p>
        </w:tc>
        <w:tc>
          <w:tcPr>
            <w:tcW w:w="2546" w:type="dxa"/>
            <w:vMerge w:val="continue"/>
            <w:vAlign w:val="center"/>
          </w:tcPr>
          <w:p w14:paraId="693524E0">
            <w:pPr>
              <w:tabs>
                <w:tab w:val="left" w:pos="8280"/>
              </w:tabs>
              <w:autoSpaceDE w:val="0"/>
              <w:autoSpaceDN w:val="0"/>
              <w:adjustRightInd w:val="0"/>
              <w:spacing w:line="300" w:lineRule="exact"/>
              <w:jc w:val="center"/>
              <w:rPr>
                <w:rFonts w:ascii="宋体" w:hAnsi="宋体" w:cs="宋体"/>
                <w:color w:val="auto"/>
                <w:sz w:val="24"/>
                <w:highlight w:val="none"/>
              </w:rPr>
            </w:pPr>
          </w:p>
        </w:tc>
        <w:tc>
          <w:tcPr>
            <w:tcW w:w="4125" w:type="dxa"/>
            <w:vAlign w:val="center"/>
          </w:tcPr>
          <w:p w14:paraId="4EA93E6B">
            <w:pPr>
              <w:tabs>
                <w:tab w:val="left" w:pos="8280"/>
              </w:tabs>
              <w:autoSpaceDE w:val="0"/>
              <w:autoSpaceDN w:val="0"/>
              <w:adjustRightInd w:val="0"/>
              <w:spacing w:line="3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小写：</w:t>
            </w:r>
            <w:r>
              <w:rPr>
                <w:rFonts w:hint="eastAsia" w:ascii="宋体" w:hAnsi="宋体" w:cs="宋体"/>
                <w:color w:val="auto"/>
                <w:sz w:val="24"/>
                <w:highlight w:val="none"/>
                <w:lang w:val="en-US" w:eastAsia="zh-CN"/>
              </w:rPr>
              <w:t xml:space="preserve">                </w:t>
            </w:r>
          </w:p>
        </w:tc>
        <w:tc>
          <w:tcPr>
            <w:tcW w:w="1735" w:type="dxa"/>
            <w:vMerge w:val="continue"/>
            <w:vAlign w:val="center"/>
          </w:tcPr>
          <w:p w14:paraId="0EB36404">
            <w:pPr>
              <w:tabs>
                <w:tab w:val="left" w:pos="8280"/>
              </w:tabs>
              <w:autoSpaceDE w:val="0"/>
              <w:autoSpaceDN w:val="0"/>
              <w:adjustRightInd w:val="0"/>
              <w:spacing w:line="300" w:lineRule="exact"/>
              <w:jc w:val="center"/>
              <w:rPr>
                <w:rFonts w:ascii="宋体" w:hAnsi="宋体" w:cs="宋体"/>
                <w:color w:val="auto"/>
                <w:sz w:val="24"/>
                <w:highlight w:val="none"/>
              </w:rPr>
            </w:pPr>
          </w:p>
        </w:tc>
      </w:tr>
      <w:tr w14:paraId="7F4A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6026C023">
            <w:pPr>
              <w:tabs>
                <w:tab w:val="left" w:pos="8280"/>
              </w:tabs>
              <w:autoSpaceDE w:val="0"/>
              <w:autoSpaceDN w:val="0"/>
              <w:adjustRightInd w:val="0"/>
              <w:spacing w:line="300" w:lineRule="exact"/>
              <w:jc w:val="center"/>
              <w:rPr>
                <w:rFonts w:hint="eastAsia" w:hAnsi="宋体" w:eastAsia="宋体"/>
                <w:b/>
                <w:color w:val="auto"/>
                <w:sz w:val="24"/>
                <w:highlight w:val="none"/>
                <w:lang w:eastAsia="zh-CN"/>
              </w:rPr>
            </w:pPr>
            <w:r>
              <w:rPr>
                <w:rFonts w:hint="eastAsia" w:ascii="宋体" w:hAnsi="宋体" w:cs="宋体"/>
                <w:color w:val="auto"/>
                <w:sz w:val="24"/>
                <w:highlight w:val="none"/>
                <w:lang w:eastAsia="zh-CN"/>
              </w:rPr>
              <w:t>交货期</w:t>
            </w:r>
          </w:p>
        </w:tc>
        <w:tc>
          <w:tcPr>
            <w:tcW w:w="5860" w:type="dxa"/>
            <w:gridSpan w:val="2"/>
            <w:vAlign w:val="center"/>
          </w:tcPr>
          <w:p w14:paraId="73F4F1D2">
            <w:pPr>
              <w:widowControl/>
              <w:spacing w:line="360" w:lineRule="auto"/>
              <w:ind w:left="103" w:right="100" w:firstLine="482" w:firstLineChars="200"/>
              <w:rPr>
                <w:rFonts w:hint="eastAsia" w:ascii="宋体" w:hAnsi="宋体" w:eastAsia="宋体"/>
                <w:b/>
                <w:color w:val="auto"/>
                <w:sz w:val="24"/>
                <w:highlight w:val="none"/>
                <w:lang w:eastAsia="zh-CN"/>
              </w:rPr>
            </w:pPr>
          </w:p>
        </w:tc>
      </w:tr>
    </w:tbl>
    <w:p w14:paraId="0C191951">
      <w:pPr>
        <w:pStyle w:val="127"/>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填报要求：</w:t>
      </w:r>
    </w:p>
    <w:p w14:paraId="602D66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1FCD74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投标报价应是采购文件所确定的招标范围内全部工作内容的价格表现。其应包含实现标书的所有功能，采购人不再另外增加费用，</w:t>
      </w:r>
      <w:r>
        <w:rPr>
          <w:rFonts w:hint="eastAsia" w:ascii="宋体" w:hAnsi="宋体" w:cs="宋体"/>
          <w:color w:val="auto"/>
          <w:sz w:val="24"/>
          <w:szCs w:val="24"/>
          <w:highlight w:val="none"/>
        </w:rPr>
        <w:t>包括</w:t>
      </w:r>
      <w:r>
        <w:rPr>
          <w:rFonts w:hint="eastAsia" w:ascii="宋体" w:hAnsi="宋体" w:cs="宋体"/>
          <w:bCs/>
          <w:color w:val="auto"/>
          <w:sz w:val="24"/>
          <w:szCs w:val="24"/>
          <w:highlight w:val="none"/>
          <w:lang w:val="en-US" w:eastAsia="zh-CN"/>
        </w:rPr>
        <w:t>场地基础改造、</w:t>
      </w:r>
      <w:r>
        <w:rPr>
          <w:rFonts w:hint="eastAsia" w:ascii="宋体" w:hAnsi="宋体" w:cs="宋体"/>
          <w:color w:val="auto"/>
          <w:sz w:val="24"/>
          <w:szCs w:val="24"/>
          <w:highlight w:val="none"/>
        </w:rPr>
        <w:t>设备仪器与配件价格标准附件、备品备件、人工费、专用工具、包装、运输、装卸、保险、税金、货到就位以及接地施工、安装、调试、检测试验、第三方验收、检定校准、培训及相关证书获取、售后服务及质保期内的设备更换、保养、维护、合同包含的所有风险责任等各项费用及不可预见费等所需的全部费用，全部费用已包含在开标一览表的投标总报价中。</w:t>
      </w:r>
    </w:p>
    <w:p w14:paraId="638DCA31">
      <w:pPr>
        <w:spacing w:line="360" w:lineRule="auto"/>
        <w:ind w:left="420"/>
        <w:rPr>
          <w:rFonts w:ascii="宋体" w:hAnsi="宋体" w:cs="宋体"/>
          <w:color w:val="auto"/>
          <w:sz w:val="24"/>
          <w:highlight w:val="none"/>
        </w:rPr>
      </w:pPr>
    </w:p>
    <w:p w14:paraId="54C38464">
      <w:pPr>
        <w:spacing w:line="360" w:lineRule="auto"/>
        <w:ind w:left="420"/>
        <w:jc w:val="right"/>
        <w:rPr>
          <w:rFonts w:ascii="宋体" w:hAnsi="宋体" w:cs="宋体"/>
          <w:color w:val="auto"/>
          <w:sz w:val="24"/>
          <w:highlight w:val="none"/>
        </w:rPr>
      </w:pPr>
      <w:r>
        <w:rPr>
          <w:rFonts w:hint="eastAsia" w:ascii="宋体" w:hAnsi="宋体" w:cs="宋体"/>
          <w:color w:val="auto"/>
          <w:sz w:val="24"/>
          <w:highlight w:val="none"/>
        </w:rPr>
        <w:t>投标人名称（盖公章）：</w:t>
      </w:r>
    </w:p>
    <w:p w14:paraId="353E5759">
      <w:pPr>
        <w:spacing w:line="360" w:lineRule="auto"/>
        <w:ind w:firstLine="424" w:firstLineChars="177"/>
        <w:jc w:val="right"/>
        <w:rPr>
          <w:rFonts w:ascii="宋体" w:hAnsi="宋体" w:cs="宋体"/>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授权委托代表</w:t>
      </w:r>
      <w:r>
        <w:rPr>
          <w:rFonts w:hint="eastAsia" w:ascii="宋体" w:hAnsi="宋体" w:cs="宋体"/>
          <w:color w:val="auto"/>
          <w:sz w:val="24"/>
          <w:highlight w:val="none"/>
        </w:rPr>
        <w:t>（签字或盖章）：</w:t>
      </w:r>
    </w:p>
    <w:p w14:paraId="56B3C839">
      <w:pPr>
        <w:spacing w:line="360" w:lineRule="auto"/>
        <w:ind w:firstLine="435"/>
        <w:jc w:val="right"/>
        <w:rPr>
          <w:rFonts w:ascii="宋体" w:hAnsi="宋体" w:cs="宋体"/>
          <w:color w:val="auto"/>
          <w:sz w:val="24"/>
          <w:highlight w:val="none"/>
        </w:rPr>
      </w:pPr>
      <w:r>
        <w:rPr>
          <w:rFonts w:hint="eastAsia" w:ascii="宋体" w:hAnsi="宋体" w:cs="宋体"/>
          <w:color w:val="auto"/>
          <w:sz w:val="24"/>
          <w:highlight w:val="none"/>
        </w:rPr>
        <w:t>日        期：</w:t>
      </w:r>
    </w:p>
    <w:p w14:paraId="04EC7586">
      <w:pPr>
        <w:spacing w:line="480" w:lineRule="auto"/>
        <w:ind w:firstLine="435"/>
        <w:jc w:val="right"/>
        <w:rPr>
          <w:rFonts w:cs="宋体" w:asciiTheme="minorEastAsia" w:hAnsiTheme="minorEastAsia" w:eastAsiaTheme="minorEastAsia"/>
          <w:color w:val="auto"/>
          <w:szCs w:val="21"/>
          <w:highlight w:val="none"/>
        </w:rPr>
      </w:pPr>
    </w:p>
    <w:p w14:paraId="18BA8830">
      <w:pPr>
        <w:pStyle w:val="21"/>
        <w:rPr>
          <w:color w:val="auto"/>
          <w:highlight w:val="none"/>
        </w:rPr>
      </w:pPr>
    </w:p>
    <w:p w14:paraId="578DF387">
      <w:pPr>
        <w:rPr>
          <w:color w:val="auto"/>
          <w:highlight w:val="none"/>
        </w:rPr>
      </w:pPr>
    </w:p>
    <w:p w14:paraId="2946A380">
      <w:pPr>
        <w:pStyle w:val="21"/>
        <w:rPr>
          <w:color w:val="auto"/>
          <w:highlight w:val="none"/>
        </w:rPr>
      </w:pPr>
    </w:p>
    <w:p w14:paraId="04D49353">
      <w:pPr>
        <w:rPr>
          <w:color w:val="auto"/>
          <w:highlight w:val="none"/>
        </w:rPr>
      </w:pPr>
    </w:p>
    <w:p w14:paraId="2E22425E">
      <w:pPr>
        <w:rPr>
          <w:color w:val="auto"/>
          <w:highlight w:val="none"/>
        </w:rPr>
      </w:pPr>
    </w:p>
    <w:p w14:paraId="36A4A0CE">
      <w:pPr>
        <w:spacing w:line="360" w:lineRule="auto"/>
        <w:jc w:val="center"/>
        <w:rPr>
          <w:rFonts w:cs="宋体" w:asciiTheme="minorEastAsia" w:hAnsiTheme="minorEastAsia" w:eastAsiaTheme="minorEastAsia"/>
          <w:b/>
          <w:bCs/>
          <w:color w:val="auto"/>
          <w:kern w:val="0"/>
          <w:sz w:val="32"/>
          <w:szCs w:val="32"/>
          <w:highlight w:val="none"/>
        </w:rPr>
      </w:pPr>
    </w:p>
    <w:p w14:paraId="44505FD0">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rPr>
        <w:t>三、分项报价明细表</w:t>
      </w:r>
    </w:p>
    <w:p w14:paraId="6E4BDC2B">
      <w:pPr>
        <w:ind w:firstLine="1063" w:firstLineChars="441"/>
        <w:rPr>
          <w:rFonts w:hint="default" w:ascii="Arial" w:hAnsi="Arial" w:eastAsia="新宋体" w:cs="Arial"/>
          <w:b/>
          <w:color w:val="auto"/>
          <w:sz w:val="24"/>
          <w:highlight w:val="none"/>
          <w:lang w:val="en-US" w:eastAsia="zh-CN"/>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hint="eastAsia" w:ascii="Arial" w:hAnsi="Arial" w:cs="Arial"/>
          <w:b/>
          <w:color w:val="auto"/>
          <w:sz w:val="24"/>
          <w:highlight w:val="none"/>
          <w:lang w:val="en-US" w:eastAsia="zh-CN"/>
        </w:rPr>
        <w:t>标项号：</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lang w:val="en-US" w:eastAsia="zh-CN"/>
        </w:rPr>
        <w:t xml:space="preserve">            </w:t>
      </w:r>
    </w:p>
    <w:tbl>
      <w:tblPr>
        <w:tblStyle w:val="47"/>
        <w:tblW w:w="10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064"/>
        <w:gridCol w:w="1442"/>
        <w:gridCol w:w="1187"/>
        <w:gridCol w:w="968"/>
        <w:gridCol w:w="1064"/>
        <w:gridCol w:w="872"/>
        <w:gridCol w:w="628"/>
        <w:gridCol w:w="577"/>
        <w:gridCol w:w="718"/>
        <w:gridCol w:w="707"/>
      </w:tblGrid>
      <w:tr w14:paraId="7986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7" w:type="dxa"/>
            <w:vAlign w:val="center"/>
          </w:tcPr>
          <w:p w14:paraId="461D537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064" w:type="dxa"/>
            <w:vAlign w:val="center"/>
          </w:tcPr>
          <w:p w14:paraId="04EC9CBC">
            <w:pPr>
              <w:jc w:val="center"/>
              <w:rPr>
                <w:rFonts w:ascii="宋体" w:hAnsi="宋体" w:cs="宋体"/>
                <w:b/>
                <w:bCs/>
                <w:color w:val="auto"/>
                <w:sz w:val="24"/>
                <w:highlight w:val="none"/>
              </w:rPr>
            </w:pPr>
            <w:r>
              <w:rPr>
                <w:rFonts w:hint="eastAsia" w:ascii="宋体" w:hAnsi="宋体" w:cs="宋体"/>
                <w:b/>
                <w:bCs/>
                <w:color w:val="auto"/>
                <w:sz w:val="24"/>
                <w:highlight w:val="none"/>
              </w:rPr>
              <w:t>设备名称</w:t>
            </w:r>
          </w:p>
          <w:p w14:paraId="4D792F6D">
            <w:pPr>
              <w:jc w:val="center"/>
              <w:rPr>
                <w:rFonts w:ascii="宋体" w:hAnsi="宋体" w:cs="宋体"/>
                <w:b/>
                <w:bCs/>
                <w:color w:val="auto"/>
                <w:sz w:val="24"/>
                <w:highlight w:val="none"/>
              </w:rPr>
            </w:pPr>
            <w:r>
              <w:rPr>
                <w:rFonts w:hint="eastAsia" w:ascii="宋体" w:hAnsi="宋体" w:cs="宋体"/>
                <w:b/>
                <w:bCs/>
                <w:color w:val="auto"/>
                <w:sz w:val="24"/>
                <w:highlight w:val="none"/>
              </w:rPr>
              <w:t>（采购标的）</w:t>
            </w:r>
          </w:p>
        </w:tc>
        <w:tc>
          <w:tcPr>
            <w:tcW w:w="1442" w:type="dxa"/>
            <w:vAlign w:val="center"/>
          </w:tcPr>
          <w:p w14:paraId="1B74B868">
            <w:pPr>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对应采购文件的设备名称</w:t>
            </w:r>
          </w:p>
        </w:tc>
        <w:tc>
          <w:tcPr>
            <w:tcW w:w="1187" w:type="dxa"/>
            <w:vAlign w:val="center"/>
          </w:tcPr>
          <w:p w14:paraId="33AE9C0F">
            <w:pPr>
              <w:jc w:val="center"/>
              <w:rPr>
                <w:rFonts w:ascii="宋体" w:hAnsi="宋体" w:cs="宋体"/>
                <w:b/>
                <w:bCs/>
                <w:color w:val="auto"/>
                <w:sz w:val="24"/>
                <w:highlight w:val="none"/>
              </w:rPr>
            </w:pPr>
            <w:r>
              <w:rPr>
                <w:rFonts w:hint="eastAsia" w:ascii="宋体" w:hAnsi="宋体" w:cs="宋体"/>
                <w:b/>
                <w:bCs/>
                <w:color w:val="auto"/>
                <w:sz w:val="24"/>
                <w:highlight w:val="none"/>
              </w:rPr>
              <w:t>制造商名称（全称）</w:t>
            </w:r>
          </w:p>
        </w:tc>
        <w:tc>
          <w:tcPr>
            <w:tcW w:w="968" w:type="dxa"/>
            <w:vAlign w:val="center"/>
          </w:tcPr>
          <w:p w14:paraId="6E5A9E93">
            <w:pPr>
              <w:jc w:val="center"/>
              <w:rPr>
                <w:rFonts w:ascii="宋体" w:hAnsi="宋体" w:cs="宋体"/>
                <w:b/>
                <w:bCs/>
                <w:color w:val="auto"/>
                <w:sz w:val="24"/>
                <w:highlight w:val="none"/>
              </w:rPr>
            </w:pPr>
            <w:r>
              <w:rPr>
                <w:rFonts w:hint="eastAsia" w:ascii="宋体" w:hAnsi="宋体" w:cs="宋体"/>
                <w:b/>
                <w:bCs/>
                <w:color w:val="auto"/>
                <w:sz w:val="24"/>
                <w:highlight w:val="none"/>
              </w:rPr>
              <w:t>是否是小微企业</w:t>
            </w:r>
          </w:p>
        </w:tc>
        <w:tc>
          <w:tcPr>
            <w:tcW w:w="1064" w:type="dxa"/>
            <w:vAlign w:val="center"/>
          </w:tcPr>
          <w:p w14:paraId="04FE8633">
            <w:pPr>
              <w:jc w:val="center"/>
              <w:rPr>
                <w:rFonts w:ascii="宋体" w:hAnsi="宋体" w:cs="宋体"/>
                <w:b/>
                <w:bCs/>
                <w:color w:val="auto"/>
                <w:sz w:val="24"/>
                <w:highlight w:val="none"/>
              </w:rPr>
            </w:pPr>
            <w:r>
              <w:rPr>
                <w:rFonts w:hint="eastAsia" w:ascii="宋体" w:hAnsi="宋体" w:cs="宋体"/>
                <w:b/>
                <w:bCs/>
                <w:color w:val="auto"/>
                <w:sz w:val="24"/>
                <w:highlight w:val="none"/>
              </w:rPr>
              <w:t>品牌、产地</w:t>
            </w:r>
          </w:p>
          <w:p w14:paraId="284C54C1">
            <w:pPr>
              <w:jc w:val="center"/>
              <w:rPr>
                <w:rFonts w:ascii="宋体" w:hAnsi="宋体" w:cs="宋体"/>
                <w:b/>
                <w:bCs/>
                <w:color w:val="auto"/>
                <w:sz w:val="24"/>
                <w:highlight w:val="none"/>
              </w:rPr>
            </w:pPr>
            <w:r>
              <w:rPr>
                <w:rFonts w:hint="eastAsia" w:ascii="宋体" w:hAnsi="宋体" w:cs="宋体"/>
                <w:b/>
                <w:bCs/>
                <w:color w:val="auto"/>
                <w:sz w:val="24"/>
                <w:highlight w:val="none"/>
              </w:rPr>
              <w:t>（如有）</w:t>
            </w:r>
          </w:p>
        </w:tc>
        <w:tc>
          <w:tcPr>
            <w:tcW w:w="872" w:type="dxa"/>
            <w:vAlign w:val="center"/>
          </w:tcPr>
          <w:p w14:paraId="57393D4A">
            <w:pPr>
              <w:jc w:val="center"/>
              <w:rPr>
                <w:rFonts w:ascii="宋体" w:hAnsi="宋体" w:cs="宋体"/>
                <w:b/>
                <w:bCs/>
                <w:color w:val="auto"/>
                <w:sz w:val="24"/>
                <w:highlight w:val="none"/>
              </w:rPr>
            </w:pPr>
            <w:r>
              <w:rPr>
                <w:rFonts w:hint="eastAsia" w:ascii="宋体" w:hAnsi="宋体" w:cs="宋体"/>
                <w:b/>
                <w:bCs/>
                <w:color w:val="auto"/>
                <w:sz w:val="24"/>
                <w:highlight w:val="none"/>
              </w:rPr>
              <w:t>型号和规格</w:t>
            </w:r>
          </w:p>
        </w:tc>
        <w:tc>
          <w:tcPr>
            <w:tcW w:w="628" w:type="dxa"/>
            <w:vAlign w:val="center"/>
          </w:tcPr>
          <w:p w14:paraId="6FAE2A43">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577" w:type="dxa"/>
            <w:vAlign w:val="center"/>
          </w:tcPr>
          <w:p w14:paraId="6C4CFD40">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718" w:type="dxa"/>
            <w:vAlign w:val="center"/>
          </w:tcPr>
          <w:p w14:paraId="762A6F2F">
            <w:pPr>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单价</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lang w:eastAsia="zh-CN"/>
              </w:rPr>
              <w:t>元</w:t>
            </w:r>
            <w:r>
              <w:rPr>
                <w:rFonts w:hint="eastAsia" w:ascii="宋体" w:hAnsi="宋体" w:cs="宋体"/>
                <w:b/>
                <w:bCs/>
                <w:color w:val="auto"/>
                <w:sz w:val="24"/>
                <w:highlight w:val="none"/>
                <w:lang w:val="en-US" w:eastAsia="zh-CN"/>
              </w:rPr>
              <w:t>)</w:t>
            </w:r>
          </w:p>
        </w:tc>
        <w:tc>
          <w:tcPr>
            <w:tcW w:w="707" w:type="dxa"/>
            <w:vAlign w:val="center"/>
          </w:tcPr>
          <w:p w14:paraId="641034C0">
            <w:pPr>
              <w:jc w:val="center"/>
              <w:rPr>
                <w:rFonts w:ascii="宋体" w:hAnsi="宋体" w:cs="宋体"/>
                <w:b/>
                <w:bCs/>
                <w:color w:val="auto"/>
                <w:sz w:val="24"/>
                <w:highlight w:val="none"/>
              </w:rPr>
            </w:pPr>
            <w:r>
              <w:rPr>
                <w:rFonts w:hint="eastAsia" w:ascii="宋体" w:hAnsi="宋体" w:cs="宋体"/>
                <w:b/>
                <w:bCs/>
                <w:color w:val="auto"/>
                <w:sz w:val="24"/>
                <w:highlight w:val="none"/>
              </w:rPr>
              <w:t>总价</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lang w:eastAsia="zh-CN"/>
              </w:rPr>
              <w:t>元</w:t>
            </w:r>
            <w:r>
              <w:rPr>
                <w:rFonts w:hint="eastAsia" w:ascii="宋体" w:hAnsi="宋体" w:cs="宋体"/>
                <w:b/>
                <w:bCs/>
                <w:color w:val="auto"/>
                <w:sz w:val="24"/>
                <w:highlight w:val="none"/>
                <w:lang w:val="en-US" w:eastAsia="zh-CN"/>
              </w:rPr>
              <w:t>)</w:t>
            </w:r>
          </w:p>
        </w:tc>
      </w:tr>
      <w:tr w14:paraId="36D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7" w:type="dxa"/>
            <w:vAlign w:val="center"/>
          </w:tcPr>
          <w:p w14:paraId="4E6536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64" w:type="dxa"/>
            <w:vAlign w:val="center"/>
          </w:tcPr>
          <w:p w14:paraId="079A44AD">
            <w:pPr>
              <w:widowControl/>
              <w:jc w:val="center"/>
              <w:rPr>
                <w:rFonts w:ascii="宋体" w:hAnsi="宋体" w:cs="宋体"/>
                <w:color w:val="auto"/>
                <w:sz w:val="24"/>
                <w:highlight w:val="none"/>
              </w:rPr>
            </w:pPr>
          </w:p>
        </w:tc>
        <w:tc>
          <w:tcPr>
            <w:tcW w:w="1442" w:type="dxa"/>
            <w:vAlign w:val="center"/>
          </w:tcPr>
          <w:p w14:paraId="33F92CB1">
            <w:pPr>
              <w:rPr>
                <w:rFonts w:ascii="宋体" w:hAnsi="宋体" w:cs="宋体"/>
                <w:color w:val="auto"/>
                <w:sz w:val="24"/>
                <w:highlight w:val="none"/>
              </w:rPr>
            </w:pPr>
          </w:p>
        </w:tc>
        <w:tc>
          <w:tcPr>
            <w:tcW w:w="1187" w:type="dxa"/>
            <w:vAlign w:val="center"/>
          </w:tcPr>
          <w:p w14:paraId="4E6CB40A">
            <w:pPr>
              <w:rPr>
                <w:rFonts w:ascii="宋体" w:hAnsi="宋体" w:cs="宋体"/>
                <w:color w:val="auto"/>
                <w:sz w:val="24"/>
                <w:highlight w:val="none"/>
              </w:rPr>
            </w:pPr>
          </w:p>
        </w:tc>
        <w:tc>
          <w:tcPr>
            <w:tcW w:w="968" w:type="dxa"/>
            <w:vAlign w:val="center"/>
          </w:tcPr>
          <w:p w14:paraId="0C3D093E">
            <w:pPr>
              <w:rPr>
                <w:rFonts w:ascii="宋体" w:hAnsi="宋体" w:cs="宋体"/>
                <w:color w:val="auto"/>
                <w:sz w:val="24"/>
                <w:highlight w:val="none"/>
              </w:rPr>
            </w:pPr>
          </w:p>
        </w:tc>
        <w:tc>
          <w:tcPr>
            <w:tcW w:w="1064" w:type="dxa"/>
            <w:vAlign w:val="center"/>
          </w:tcPr>
          <w:p w14:paraId="6D15AE64">
            <w:pPr>
              <w:rPr>
                <w:rFonts w:ascii="宋体" w:hAnsi="宋体" w:cs="宋体"/>
                <w:color w:val="auto"/>
                <w:sz w:val="24"/>
                <w:highlight w:val="none"/>
              </w:rPr>
            </w:pPr>
          </w:p>
        </w:tc>
        <w:tc>
          <w:tcPr>
            <w:tcW w:w="872" w:type="dxa"/>
            <w:vAlign w:val="center"/>
          </w:tcPr>
          <w:p w14:paraId="6D8BE93F">
            <w:pPr>
              <w:rPr>
                <w:rFonts w:ascii="宋体" w:hAnsi="宋体" w:cs="宋体"/>
                <w:color w:val="auto"/>
                <w:sz w:val="24"/>
                <w:highlight w:val="none"/>
              </w:rPr>
            </w:pPr>
          </w:p>
        </w:tc>
        <w:tc>
          <w:tcPr>
            <w:tcW w:w="628" w:type="dxa"/>
            <w:vAlign w:val="center"/>
          </w:tcPr>
          <w:p w14:paraId="411CE357">
            <w:pPr>
              <w:spacing w:line="360" w:lineRule="auto"/>
              <w:jc w:val="center"/>
              <w:rPr>
                <w:rFonts w:hint="eastAsia" w:ascii="宋体" w:hAnsi="宋体" w:eastAsia="宋体" w:cs="宋体"/>
                <w:color w:val="auto"/>
                <w:sz w:val="24"/>
                <w:highlight w:val="none"/>
              </w:rPr>
            </w:pPr>
          </w:p>
        </w:tc>
        <w:tc>
          <w:tcPr>
            <w:tcW w:w="577" w:type="dxa"/>
            <w:vAlign w:val="center"/>
          </w:tcPr>
          <w:p w14:paraId="1DBC3506">
            <w:pPr>
              <w:spacing w:line="360" w:lineRule="auto"/>
              <w:jc w:val="center"/>
              <w:rPr>
                <w:rFonts w:hint="eastAsia" w:ascii="宋体" w:hAnsi="宋体" w:eastAsia="宋体" w:cs="宋体"/>
                <w:color w:val="auto"/>
                <w:sz w:val="24"/>
                <w:highlight w:val="none"/>
              </w:rPr>
            </w:pPr>
          </w:p>
        </w:tc>
        <w:tc>
          <w:tcPr>
            <w:tcW w:w="718" w:type="dxa"/>
            <w:vAlign w:val="center"/>
          </w:tcPr>
          <w:p w14:paraId="26BAF9E3">
            <w:pPr>
              <w:rPr>
                <w:rFonts w:ascii="宋体" w:hAnsi="宋体" w:cs="宋体"/>
                <w:color w:val="auto"/>
                <w:sz w:val="24"/>
                <w:highlight w:val="none"/>
              </w:rPr>
            </w:pPr>
          </w:p>
        </w:tc>
        <w:tc>
          <w:tcPr>
            <w:tcW w:w="707" w:type="dxa"/>
            <w:vAlign w:val="center"/>
          </w:tcPr>
          <w:p w14:paraId="243581CA">
            <w:pPr>
              <w:rPr>
                <w:rFonts w:ascii="宋体" w:hAnsi="宋体" w:cs="宋体"/>
                <w:color w:val="auto"/>
                <w:sz w:val="24"/>
                <w:highlight w:val="none"/>
              </w:rPr>
            </w:pPr>
          </w:p>
        </w:tc>
      </w:tr>
      <w:tr w14:paraId="2A23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7" w:type="dxa"/>
            <w:vAlign w:val="center"/>
          </w:tcPr>
          <w:p w14:paraId="571DE9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64" w:type="dxa"/>
            <w:vAlign w:val="center"/>
          </w:tcPr>
          <w:p w14:paraId="2A375688">
            <w:pPr>
              <w:widowControl/>
              <w:jc w:val="center"/>
              <w:rPr>
                <w:rFonts w:ascii="宋体" w:hAnsi="宋体" w:cs="宋体"/>
                <w:color w:val="auto"/>
                <w:sz w:val="24"/>
                <w:highlight w:val="none"/>
              </w:rPr>
            </w:pPr>
          </w:p>
        </w:tc>
        <w:tc>
          <w:tcPr>
            <w:tcW w:w="1442" w:type="dxa"/>
            <w:vAlign w:val="center"/>
          </w:tcPr>
          <w:p w14:paraId="290F827D">
            <w:pPr>
              <w:rPr>
                <w:rFonts w:ascii="宋体" w:hAnsi="宋体" w:cs="宋体"/>
                <w:color w:val="auto"/>
                <w:sz w:val="24"/>
                <w:highlight w:val="none"/>
              </w:rPr>
            </w:pPr>
          </w:p>
        </w:tc>
        <w:tc>
          <w:tcPr>
            <w:tcW w:w="1187" w:type="dxa"/>
            <w:vAlign w:val="center"/>
          </w:tcPr>
          <w:p w14:paraId="66AC3FFA">
            <w:pPr>
              <w:rPr>
                <w:rFonts w:ascii="宋体" w:hAnsi="宋体" w:cs="宋体"/>
                <w:color w:val="auto"/>
                <w:sz w:val="24"/>
                <w:highlight w:val="none"/>
              </w:rPr>
            </w:pPr>
          </w:p>
        </w:tc>
        <w:tc>
          <w:tcPr>
            <w:tcW w:w="968" w:type="dxa"/>
            <w:vAlign w:val="center"/>
          </w:tcPr>
          <w:p w14:paraId="46BA9B7D">
            <w:pPr>
              <w:rPr>
                <w:rFonts w:ascii="宋体" w:hAnsi="宋体" w:cs="宋体"/>
                <w:color w:val="auto"/>
                <w:sz w:val="24"/>
                <w:highlight w:val="none"/>
              </w:rPr>
            </w:pPr>
          </w:p>
        </w:tc>
        <w:tc>
          <w:tcPr>
            <w:tcW w:w="1064" w:type="dxa"/>
            <w:vAlign w:val="center"/>
          </w:tcPr>
          <w:p w14:paraId="4B36CFD6">
            <w:pPr>
              <w:rPr>
                <w:rFonts w:ascii="宋体" w:hAnsi="宋体" w:cs="宋体"/>
                <w:color w:val="auto"/>
                <w:sz w:val="24"/>
                <w:highlight w:val="none"/>
              </w:rPr>
            </w:pPr>
          </w:p>
        </w:tc>
        <w:tc>
          <w:tcPr>
            <w:tcW w:w="872" w:type="dxa"/>
          </w:tcPr>
          <w:p w14:paraId="34BBA4C7">
            <w:pPr>
              <w:rPr>
                <w:rFonts w:ascii="宋体" w:hAnsi="宋体" w:cs="宋体"/>
                <w:color w:val="auto"/>
                <w:sz w:val="24"/>
                <w:highlight w:val="none"/>
              </w:rPr>
            </w:pPr>
          </w:p>
        </w:tc>
        <w:tc>
          <w:tcPr>
            <w:tcW w:w="628" w:type="dxa"/>
            <w:vAlign w:val="center"/>
          </w:tcPr>
          <w:p w14:paraId="6254F5F3">
            <w:pPr>
              <w:spacing w:line="360" w:lineRule="auto"/>
              <w:jc w:val="center"/>
              <w:rPr>
                <w:rFonts w:hint="eastAsia" w:ascii="宋体" w:hAnsi="宋体" w:eastAsia="宋体" w:cs="宋体"/>
                <w:color w:val="auto"/>
                <w:sz w:val="24"/>
                <w:highlight w:val="none"/>
              </w:rPr>
            </w:pPr>
          </w:p>
        </w:tc>
        <w:tc>
          <w:tcPr>
            <w:tcW w:w="577" w:type="dxa"/>
            <w:vAlign w:val="center"/>
          </w:tcPr>
          <w:p w14:paraId="0636723C">
            <w:pPr>
              <w:spacing w:line="360" w:lineRule="auto"/>
              <w:jc w:val="center"/>
              <w:rPr>
                <w:rFonts w:hint="eastAsia" w:ascii="宋体" w:hAnsi="宋体" w:eastAsia="宋体" w:cs="宋体"/>
                <w:color w:val="auto"/>
                <w:sz w:val="24"/>
                <w:highlight w:val="none"/>
              </w:rPr>
            </w:pPr>
          </w:p>
        </w:tc>
        <w:tc>
          <w:tcPr>
            <w:tcW w:w="718" w:type="dxa"/>
            <w:vAlign w:val="center"/>
          </w:tcPr>
          <w:p w14:paraId="35628B33">
            <w:pPr>
              <w:rPr>
                <w:rFonts w:ascii="宋体" w:hAnsi="宋体" w:cs="宋体"/>
                <w:color w:val="auto"/>
                <w:sz w:val="24"/>
                <w:highlight w:val="none"/>
              </w:rPr>
            </w:pPr>
          </w:p>
        </w:tc>
        <w:tc>
          <w:tcPr>
            <w:tcW w:w="707" w:type="dxa"/>
            <w:vAlign w:val="center"/>
          </w:tcPr>
          <w:p w14:paraId="3AAA5BD9">
            <w:pPr>
              <w:rPr>
                <w:rFonts w:ascii="宋体" w:hAnsi="宋体" w:cs="宋体"/>
                <w:color w:val="auto"/>
                <w:sz w:val="24"/>
                <w:highlight w:val="none"/>
              </w:rPr>
            </w:pPr>
          </w:p>
        </w:tc>
      </w:tr>
      <w:tr w14:paraId="2F76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7" w:type="dxa"/>
            <w:vAlign w:val="center"/>
          </w:tcPr>
          <w:p w14:paraId="633EEF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64" w:type="dxa"/>
            <w:vAlign w:val="center"/>
          </w:tcPr>
          <w:p w14:paraId="4D78EC6B">
            <w:pPr>
              <w:widowControl/>
              <w:jc w:val="center"/>
              <w:rPr>
                <w:rFonts w:ascii="宋体" w:hAnsi="宋体" w:cs="宋体"/>
                <w:color w:val="auto"/>
                <w:sz w:val="24"/>
                <w:highlight w:val="none"/>
              </w:rPr>
            </w:pPr>
          </w:p>
        </w:tc>
        <w:tc>
          <w:tcPr>
            <w:tcW w:w="1442" w:type="dxa"/>
            <w:vAlign w:val="center"/>
          </w:tcPr>
          <w:p w14:paraId="48C63487">
            <w:pPr>
              <w:rPr>
                <w:rFonts w:ascii="宋体" w:hAnsi="宋体" w:cs="宋体"/>
                <w:color w:val="auto"/>
                <w:sz w:val="24"/>
                <w:highlight w:val="none"/>
              </w:rPr>
            </w:pPr>
          </w:p>
        </w:tc>
        <w:tc>
          <w:tcPr>
            <w:tcW w:w="1187" w:type="dxa"/>
            <w:vAlign w:val="center"/>
          </w:tcPr>
          <w:p w14:paraId="3526284B">
            <w:pPr>
              <w:rPr>
                <w:rFonts w:ascii="宋体" w:hAnsi="宋体" w:cs="宋体"/>
                <w:color w:val="auto"/>
                <w:sz w:val="24"/>
                <w:highlight w:val="none"/>
              </w:rPr>
            </w:pPr>
          </w:p>
        </w:tc>
        <w:tc>
          <w:tcPr>
            <w:tcW w:w="968" w:type="dxa"/>
            <w:vAlign w:val="center"/>
          </w:tcPr>
          <w:p w14:paraId="45461550">
            <w:pPr>
              <w:rPr>
                <w:rFonts w:ascii="宋体" w:hAnsi="宋体" w:cs="宋体"/>
                <w:color w:val="auto"/>
                <w:sz w:val="24"/>
                <w:highlight w:val="none"/>
              </w:rPr>
            </w:pPr>
          </w:p>
        </w:tc>
        <w:tc>
          <w:tcPr>
            <w:tcW w:w="1064" w:type="dxa"/>
            <w:vAlign w:val="center"/>
          </w:tcPr>
          <w:p w14:paraId="1056DF8E">
            <w:pPr>
              <w:rPr>
                <w:rFonts w:ascii="宋体" w:hAnsi="宋体" w:cs="宋体"/>
                <w:color w:val="auto"/>
                <w:sz w:val="24"/>
                <w:highlight w:val="none"/>
              </w:rPr>
            </w:pPr>
          </w:p>
        </w:tc>
        <w:tc>
          <w:tcPr>
            <w:tcW w:w="872" w:type="dxa"/>
          </w:tcPr>
          <w:p w14:paraId="781FFC0E">
            <w:pPr>
              <w:rPr>
                <w:rFonts w:ascii="宋体" w:hAnsi="宋体" w:cs="宋体"/>
                <w:color w:val="auto"/>
                <w:sz w:val="24"/>
                <w:highlight w:val="none"/>
              </w:rPr>
            </w:pPr>
          </w:p>
        </w:tc>
        <w:tc>
          <w:tcPr>
            <w:tcW w:w="628" w:type="dxa"/>
            <w:vAlign w:val="center"/>
          </w:tcPr>
          <w:p w14:paraId="0E631525">
            <w:pPr>
              <w:spacing w:line="360" w:lineRule="auto"/>
              <w:jc w:val="center"/>
              <w:rPr>
                <w:rFonts w:hint="eastAsia" w:ascii="宋体" w:hAnsi="宋体" w:eastAsia="宋体" w:cs="宋体"/>
                <w:color w:val="auto"/>
                <w:sz w:val="24"/>
                <w:highlight w:val="none"/>
              </w:rPr>
            </w:pPr>
          </w:p>
        </w:tc>
        <w:tc>
          <w:tcPr>
            <w:tcW w:w="577" w:type="dxa"/>
            <w:vAlign w:val="center"/>
          </w:tcPr>
          <w:p w14:paraId="5DC20889">
            <w:pPr>
              <w:spacing w:line="360" w:lineRule="auto"/>
              <w:jc w:val="center"/>
              <w:rPr>
                <w:rFonts w:hint="eastAsia" w:ascii="宋体" w:hAnsi="宋体" w:eastAsia="宋体" w:cs="宋体"/>
                <w:color w:val="auto"/>
                <w:sz w:val="24"/>
                <w:highlight w:val="none"/>
              </w:rPr>
            </w:pPr>
          </w:p>
        </w:tc>
        <w:tc>
          <w:tcPr>
            <w:tcW w:w="718" w:type="dxa"/>
            <w:vAlign w:val="center"/>
          </w:tcPr>
          <w:p w14:paraId="1263B33E">
            <w:pPr>
              <w:rPr>
                <w:rFonts w:ascii="宋体" w:hAnsi="宋体" w:cs="宋体"/>
                <w:color w:val="auto"/>
                <w:sz w:val="24"/>
                <w:highlight w:val="none"/>
              </w:rPr>
            </w:pPr>
          </w:p>
        </w:tc>
        <w:tc>
          <w:tcPr>
            <w:tcW w:w="707" w:type="dxa"/>
            <w:vAlign w:val="center"/>
          </w:tcPr>
          <w:p w14:paraId="7D6324D1">
            <w:pPr>
              <w:rPr>
                <w:rFonts w:ascii="宋体" w:hAnsi="宋体" w:cs="宋体"/>
                <w:color w:val="auto"/>
                <w:sz w:val="24"/>
                <w:highlight w:val="none"/>
              </w:rPr>
            </w:pPr>
          </w:p>
        </w:tc>
      </w:tr>
      <w:tr w14:paraId="7958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7" w:type="dxa"/>
            <w:vAlign w:val="center"/>
          </w:tcPr>
          <w:p w14:paraId="1FB767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64" w:type="dxa"/>
            <w:vAlign w:val="center"/>
          </w:tcPr>
          <w:p w14:paraId="662E687E">
            <w:pPr>
              <w:widowControl/>
              <w:jc w:val="center"/>
              <w:rPr>
                <w:rFonts w:ascii="宋体" w:hAnsi="宋体" w:cs="宋体"/>
                <w:color w:val="auto"/>
                <w:sz w:val="24"/>
                <w:highlight w:val="none"/>
              </w:rPr>
            </w:pPr>
          </w:p>
        </w:tc>
        <w:tc>
          <w:tcPr>
            <w:tcW w:w="1442" w:type="dxa"/>
            <w:vAlign w:val="center"/>
          </w:tcPr>
          <w:p w14:paraId="5F857707">
            <w:pPr>
              <w:rPr>
                <w:rFonts w:ascii="宋体" w:hAnsi="宋体" w:cs="宋体"/>
                <w:color w:val="auto"/>
                <w:sz w:val="24"/>
                <w:highlight w:val="none"/>
              </w:rPr>
            </w:pPr>
          </w:p>
        </w:tc>
        <w:tc>
          <w:tcPr>
            <w:tcW w:w="1187" w:type="dxa"/>
            <w:vAlign w:val="center"/>
          </w:tcPr>
          <w:p w14:paraId="39CF28DD">
            <w:pPr>
              <w:rPr>
                <w:rFonts w:ascii="宋体" w:hAnsi="宋体" w:cs="宋体"/>
                <w:color w:val="auto"/>
                <w:sz w:val="24"/>
                <w:highlight w:val="none"/>
              </w:rPr>
            </w:pPr>
          </w:p>
        </w:tc>
        <w:tc>
          <w:tcPr>
            <w:tcW w:w="968" w:type="dxa"/>
            <w:vAlign w:val="center"/>
          </w:tcPr>
          <w:p w14:paraId="545B856E">
            <w:pPr>
              <w:rPr>
                <w:rFonts w:ascii="宋体" w:hAnsi="宋体" w:cs="宋体"/>
                <w:color w:val="auto"/>
                <w:sz w:val="24"/>
                <w:highlight w:val="none"/>
              </w:rPr>
            </w:pPr>
          </w:p>
        </w:tc>
        <w:tc>
          <w:tcPr>
            <w:tcW w:w="1064" w:type="dxa"/>
            <w:vAlign w:val="center"/>
          </w:tcPr>
          <w:p w14:paraId="209FB928">
            <w:pPr>
              <w:rPr>
                <w:rFonts w:ascii="宋体" w:hAnsi="宋体" w:cs="宋体"/>
                <w:color w:val="auto"/>
                <w:sz w:val="24"/>
                <w:highlight w:val="none"/>
              </w:rPr>
            </w:pPr>
          </w:p>
        </w:tc>
        <w:tc>
          <w:tcPr>
            <w:tcW w:w="872" w:type="dxa"/>
          </w:tcPr>
          <w:p w14:paraId="00B5B503">
            <w:pPr>
              <w:rPr>
                <w:rFonts w:ascii="宋体" w:hAnsi="宋体" w:cs="宋体"/>
                <w:color w:val="auto"/>
                <w:sz w:val="24"/>
                <w:highlight w:val="none"/>
              </w:rPr>
            </w:pPr>
          </w:p>
        </w:tc>
        <w:tc>
          <w:tcPr>
            <w:tcW w:w="628" w:type="dxa"/>
            <w:vAlign w:val="center"/>
          </w:tcPr>
          <w:p w14:paraId="2756B3EC">
            <w:pPr>
              <w:spacing w:line="360" w:lineRule="auto"/>
              <w:jc w:val="center"/>
              <w:rPr>
                <w:rFonts w:hint="eastAsia" w:ascii="宋体" w:hAnsi="宋体" w:eastAsia="宋体" w:cs="宋体"/>
                <w:color w:val="auto"/>
                <w:sz w:val="24"/>
                <w:highlight w:val="none"/>
              </w:rPr>
            </w:pPr>
          </w:p>
        </w:tc>
        <w:tc>
          <w:tcPr>
            <w:tcW w:w="577" w:type="dxa"/>
            <w:vAlign w:val="center"/>
          </w:tcPr>
          <w:p w14:paraId="473606C0">
            <w:pPr>
              <w:spacing w:line="360" w:lineRule="auto"/>
              <w:jc w:val="center"/>
              <w:rPr>
                <w:rFonts w:hint="eastAsia" w:ascii="宋体" w:hAnsi="宋体" w:eastAsia="宋体" w:cs="宋体"/>
                <w:color w:val="auto"/>
                <w:sz w:val="24"/>
                <w:highlight w:val="none"/>
              </w:rPr>
            </w:pPr>
          </w:p>
        </w:tc>
        <w:tc>
          <w:tcPr>
            <w:tcW w:w="718" w:type="dxa"/>
            <w:vAlign w:val="center"/>
          </w:tcPr>
          <w:p w14:paraId="764B911F">
            <w:pPr>
              <w:rPr>
                <w:rFonts w:ascii="宋体" w:hAnsi="宋体" w:cs="宋体"/>
                <w:color w:val="auto"/>
                <w:sz w:val="24"/>
                <w:highlight w:val="none"/>
              </w:rPr>
            </w:pPr>
          </w:p>
        </w:tc>
        <w:tc>
          <w:tcPr>
            <w:tcW w:w="707" w:type="dxa"/>
            <w:vAlign w:val="center"/>
          </w:tcPr>
          <w:p w14:paraId="76A561AE">
            <w:pPr>
              <w:rPr>
                <w:rFonts w:ascii="宋体" w:hAnsi="宋体" w:cs="宋体"/>
                <w:color w:val="auto"/>
                <w:sz w:val="24"/>
                <w:highlight w:val="none"/>
              </w:rPr>
            </w:pPr>
          </w:p>
        </w:tc>
      </w:tr>
      <w:tr w14:paraId="7ADE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7" w:type="dxa"/>
            <w:vAlign w:val="center"/>
          </w:tcPr>
          <w:p w14:paraId="23E7A5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64" w:type="dxa"/>
            <w:vAlign w:val="center"/>
          </w:tcPr>
          <w:p w14:paraId="1AA73E51">
            <w:pPr>
              <w:widowControl/>
              <w:jc w:val="center"/>
              <w:rPr>
                <w:rFonts w:ascii="宋体" w:hAnsi="宋体" w:cs="宋体"/>
                <w:color w:val="auto"/>
                <w:sz w:val="24"/>
                <w:highlight w:val="none"/>
              </w:rPr>
            </w:pPr>
          </w:p>
        </w:tc>
        <w:tc>
          <w:tcPr>
            <w:tcW w:w="1442" w:type="dxa"/>
            <w:vAlign w:val="center"/>
          </w:tcPr>
          <w:p w14:paraId="46F55FD0">
            <w:pPr>
              <w:rPr>
                <w:rFonts w:ascii="宋体" w:hAnsi="宋体" w:cs="宋体"/>
                <w:color w:val="auto"/>
                <w:sz w:val="24"/>
                <w:highlight w:val="none"/>
              </w:rPr>
            </w:pPr>
          </w:p>
        </w:tc>
        <w:tc>
          <w:tcPr>
            <w:tcW w:w="1187" w:type="dxa"/>
            <w:vAlign w:val="center"/>
          </w:tcPr>
          <w:p w14:paraId="2954E3AC">
            <w:pPr>
              <w:rPr>
                <w:rFonts w:ascii="宋体" w:hAnsi="宋体" w:cs="宋体"/>
                <w:color w:val="auto"/>
                <w:sz w:val="24"/>
                <w:highlight w:val="none"/>
              </w:rPr>
            </w:pPr>
          </w:p>
        </w:tc>
        <w:tc>
          <w:tcPr>
            <w:tcW w:w="968" w:type="dxa"/>
            <w:vAlign w:val="center"/>
          </w:tcPr>
          <w:p w14:paraId="60BC2B33">
            <w:pPr>
              <w:rPr>
                <w:rFonts w:ascii="宋体" w:hAnsi="宋体" w:cs="宋体"/>
                <w:color w:val="auto"/>
                <w:sz w:val="24"/>
                <w:highlight w:val="none"/>
              </w:rPr>
            </w:pPr>
          </w:p>
        </w:tc>
        <w:tc>
          <w:tcPr>
            <w:tcW w:w="1064" w:type="dxa"/>
            <w:vAlign w:val="center"/>
          </w:tcPr>
          <w:p w14:paraId="5528528C">
            <w:pPr>
              <w:rPr>
                <w:rFonts w:ascii="宋体" w:hAnsi="宋体" w:cs="宋体"/>
                <w:color w:val="auto"/>
                <w:sz w:val="24"/>
                <w:highlight w:val="none"/>
              </w:rPr>
            </w:pPr>
          </w:p>
        </w:tc>
        <w:tc>
          <w:tcPr>
            <w:tcW w:w="872" w:type="dxa"/>
          </w:tcPr>
          <w:p w14:paraId="0BADC037">
            <w:pPr>
              <w:rPr>
                <w:rFonts w:ascii="宋体" w:hAnsi="宋体" w:cs="宋体"/>
                <w:color w:val="auto"/>
                <w:sz w:val="24"/>
                <w:highlight w:val="none"/>
              </w:rPr>
            </w:pPr>
          </w:p>
        </w:tc>
        <w:tc>
          <w:tcPr>
            <w:tcW w:w="628" w:type="dxa"/>
            <w:vAlign w:val="center"/>
          </w:tcPr>
          <w:p w14:paraId="3CF1F3EB">
            <w:pPr>
              <w:spacing w:line="360" w:lineRule="auto"/>
              <w:jc w:val="center"/>
              <w:rPr>
                <w:rFonts w:hint="eastAsia" w:ascii="宋体" w:hAnsi="宋体" w:eastAsia="宋体" w:cs="宋体"/>
                <w:color w:val="auto"/>
                <w:sz w:val="24"/>
                <w:highlight w:val="none"/>
              </w:rPr>
            </w:pPr>
          </w:p>
        </w:tc>
        <w:tc>
          <w:tcPr>
            <w:tcW w:w="577" w:type="dxa"/>
            <w:vAlign w:val="center"/>
          </w:tcPr>
          <w:p w14:paraId="6A085546">
            <w:pPr>
              <w:spacing w:line="360" w:lineRule="auto"/>
              <w:jc w:val="center"/>
              <w:rPr>
                <w:rFonts w:hint="eastAsia" w:ascii="宋体" w:hAnsi="宋体" w:eastAsia="宋体" w:cs="宋体"/>
                <w:color w:val="auto"/>
                <w:sz w:val="24"/>
                <w:highlight w:val="none"/>
              </w:rPr>
            </w:pPr>
          </w:p>
        </w:tc>
        <w:tc>
          <w:tcPr>
            <w:tcW w:w="718" w:type="dxa"/>
            <w:vAlign w:val="center"/>
          </w:tcPr>
          <w:p w14:paraId="283926DF">
            <w:pPr>
              <w:rPr>
                <w:rFonts w:ascii="宋体" w:hAnsi="宋体" w:cs="宋体"/>
                <w:color w:val="auto"/>
                <w:sz w:val="24"/>
                <w:highlight w:val="none"/>
              </w:rPr>
            </w:pPr>
          </w:p>
        </w:tc>
        <w:tc>
          <w:tcPr>
            <w:tcW w:w="707" w:type="dxa"/>
            <w:vAlign w:val="center"/>
          </w:tcPr>
          <w:p w14:paraId="79F56103">
            <w:pPr>
              <w:rPr>
                <w:rFonts w:ascii="宋体" w:hAnsi="宋体" w:cs="宋体"/>
                <w:color w:val="auto"/>
                <w:sz w:val="24"/>
                <w:highlight w:val="none"/>
              </w:rPr>
            </w:pPr>
          </w:p>
        </w:tc>
      </w:tr>
      <w:tr w14:paraId="7616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7" w:type="dxa"/>
            <w:vAlign w:val="center"/>
          </w:tcPr>
          <w:p w14:paraId="0CD684B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064" w:type="dxa"/>
            <w:vAlign w:val="center"/>
          </w:tcPr>
          <w:p w14:paraId="478AAF2F">
            <w:pPr>
              <w:widowControl/>
              <w:jc w:val="center"/>
              <w:rPr>
                <w:rFonts w:ascii="宋体" w:hAnsi="宋体" w:cs="宋体"/>
                <w:color w:val="auto"/>
                <w:sz w:val="24"/>
                <w:highlight w:val="none"/>
              </w:rPr>
            </w:pPr>
          </w:p>
        </w:tc>
        <w:tc>
          <w:tcPr>
            <w:tcW w:w="1442" w:type="dxa"/>
            <w:vAlign w:val="center"/>
          </w:tcPr>
          <w:p w14:paraId="2EAB70B4">
            <w:pPr>
              <w:rPr>
                <w:rFonts w:ascii="宋体" w:hAnsi="宋体" w:cs="宋体"/>
                <w:color w:val="auto"/>
                <w:sz w:val="24"/>
                <w:highlight w:val="none"/>
              </w:rPr>
            </w:pPr>
          </w:p>
        </w:tc>
        <w:tc>
          <w:tcPr>
            <w:tcW w:w="1187" w:type="dxa"/>
            <w:vAlign w:val="center"/>
          </w:tcPr>
          <w:p w14:paraId="1E101E9B">
            <w:pPr>
              <w:rPr>
                <w:rFonts w:ascii="宋体" w:hAnsi="宋体" w:cs="宋体"/>
                <w:color w:val="auto"/>
                <w:sz w:val="24"/>
                <w:highlight w:val="none"/>
              </w:rPr>
            </w:pPr>
          </w:p>
        </w:tc>
        <w:tc>
          <w:tcPr>
            <w:tcW w:w="968" w:type="dxa"/>
            <w:vAlign w:val="center"/>
          </w:tcPr>
          <w:p w14:paraId="7BBBEF1C">
            <w:pPr>
              <w:rPr>
                <w:rFonts w:ascii="宋体" w:hAnsi="宋体" w:cs="宋体"/>
                <w:color w:val="auto"/>
                <w:sz w:val="24"/>
                <w:highlight w:val="none"/>
              </w:rPr>
            </w:pPr>
          </w:p>
        </w:tc>
        <w:tc>
          <w:tcPr>
            <w:tcW w:w="1064" w:type="dxa"/>
            <w:vAlign w:val="center"/>
          </w:tcPr>
          <w:p w14:paraId="5DA2B226">
            <w:pPr>
              <w:rPr>
                <w:rFonts w:ascii="宋体" w:hAnsi="宋体" w:cs="宋体"/>
                <w:color w:val="auto"/>
                <w:sz w:val="24"/>
                <w:highlight w:val="none"/>
              </w:rPr>
            </w:pPr>
          </w:p>
        </w:tc>
        <w:tc>
          <w:tcPr>
            <w:tcW w:w="872" w:type="dxa"/>
          </w:tcPr>
          <w:p w14:paraId="5B6E5E6D">
            <w:pPr>
              <w:rPr>
                <w:rFonts w:ascii="宋体" w:hAnsi="宋体" w:cs="宋体"/>
                <w:color w:val="auto"/>
                <w:sz w:val="24"/>
                <w:highlight w:val="none"/>
              </w:rPr>
            </w:pPr>
          </w:p>
        </w:tc>
        <w:tc>
          <w:tcPr>
            <w:tcW w:w="628" w:type="dxa"/>
            <w:vAlign w:val="center"/>
          </w:tcPr>
          <w:p w14:paraId="57E205A0">
            <w:pPr>
              <w:spacing w:line="360" w:lineRule="auto"/>
              <w:jc w:val="center"/>
              <w:rPr>
                <w:rFonts w:hint="eastAsia" w:ascii="宋体" w:hAnsi="宋体" w:eastAsia="宋体" w:cs="宋体"/>
                <w:color w:val="auto"/>
                <w:sz w:val="24"/>
                <w:highlight w:val="none"/>
              </w:rPr>
            </w:pPr>
          </w:p>
        </w:tc>
        <w:tc>
          <w:tcPr>
            <w:tcW w:w="577" w:type="dxa"/>
            <w:vAlign w:val="center"/>
          </w:tcPr>
          <w:p w14:paraId="57269A71">
            <w:pPr>
              <w:spacing w:line="360" w:lineRule="auto"/>
              <w:jc w:val="center"/>
              <w:rPr>
                <w:rFonts w:hint="eastAsia" w:ascii="宋体" w:hAnsi="宋体" w:eastAsia="宋体" w:cs="宋体"/>
                <w:color w:val="auto"/>
                <w:sz w:val="24"/>
                <w:highlight w:val="none"/>
              </w:rPr>
            </w:pPr>
          </w:p>
        </w:tc>
        <w:tc>
          <w:tcPr>
            <w:tcW w:w="718" w:type="dxa"/>
            <w:vAlign w:val="center"/>
          </w:tcPr>
          <w:p w14:paraId="7CCD77C5">
            <w:pPr>
              <w:rPr>
                <w:rFonts w:ascii="宋体" w:hAnsi="宋体" w:cs="宋体"/>
                <w:color w:val="auto"/>
                <w:sz w:val="24"/>
                <w:highlight w:val="none"/>
              </w:rPr>
            </w:pPr>
          </w:p>
        </w:tc>
        <w:tc>
          <w:tcPr>
            <w:tcW w:w="707" w:type="dxa"/>
            <w:vAlign w:val="center"/>
          </w:tcPr>
          <w:p w14:paraId="3F31A2E3">
            <w:pPr>
              <w:rPr>
                <w:rFonts w:ascii="宋体" w:hAnsi="宋体" w:cs="宋体"/>
                <w:color w:val="auto"/>
                <w:sz w:val="24"/>
                <w:highlight w:val="none"/>
              </w:rPr>
            </w:pPr>
          </w:p>
        </w:tc>
      </w:tr>
      <w:tr w14:paraId="0C39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7" w:type="dxa"/>
            <w:vAlign w:val="center"/>
          </w:tcPr>
          <w:p w14:paraId="30B29AA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2064" w:type="dxa"/>
            <w:vAlign w:val="center"/>
          </w:tcPr>
          <w:p w14:paraId="5BB991F8">
            <w:pPr>
              <w:widowControl/>
              <w:jc w:val="center"/>
              <w:rPr>
                <w:rFonts w:ascii="宋体" w:hAnsi="宋体" w:cs="宋体"/>
                <w:color w:val="auto"/>
                <w:sz w:val="24"/>
                <w:highlight w:val="none"/>
              </w:rPr>
            </w:pPr>
          </w:p>
        </w:tc>
        <w:tc>
          <w:tcPr>
            <w:tcW w:w="1442" w:type="dxa"/>
            <w:vAlign w:val="center"/>
          </w:tcPr>
          <w:p w14:paraId="029BD218">
            <w:pPr>
              <w:rPr>
                <w:rFonts w:ascii="宋体" w:hAnsi="宋体" w:cs="宋体"/>
                <w:color w:val="auto"/>
                <w:sz w:val="24"/>
                <w:highlight w:val="none"/>
              </w:rPr>
            </w:pPr>
          </w:p>
        </w:tc>
        <w:tc>
          <w:tcPr>
            <w:tcW w:w="1187" w:type="dxa"/>
            <w:vAlign w:val="center"/>
          </w:tcPr>
          <w:p w14:paraId="2D3AD2F1">
            <w:pPr>
              <w:rPr>
                <w:rFonts w:ascii="宋体" w:hAnsi="宋体" w:cs="宋体"/>
                <w:color w:val="auto"/>
                <w:sz w:val="24"/>
                <w:highlight w:val="none"/>
              </w:rPr>
            </w:pPr>
          </w:p>
        </w:tc>
        <w:tc>
          <w:tcPr>
            <w:tcW w:w="968" w:type="dxa"/>
            <w:vAlign w:val="center"/>
          </w:tcPr>
          <w:p w14:paraId="7D30DDD7">
            <w:pPr>
              <w:rPr>
                <w:rFonts w:ascii="宋体" w:hAnsi="宋体" w:cs="宋体"/>
                <w:color w:val="auto"/>
                <w:sz w:val="24"/>
                <w:highlight w:val="none"/>
              </w:rPr>
            </w:pPr>
          </w:p>
        </w:tc>
        <w:tc>
          <w:tcPr>
            <w:tcW w:w="1064" w:type="dxa"/>
            <w:vAlign w:val="center"/>
          </w:tcPr>
          <w:p w14:paraId="05C4369D">
            <w:pPr>
              <w:rPr>
                <w:rFonts w:ascii="宋体" w:hAnsi="宋体" w:cs="宋体"/>
                <w:color w:val="auto"/>
                <w:sz w:val="24"/>
                <w:highlight w:val="none"/>
              </w:rPr>
            </w:pPr>
          </w:p>
        </w:tc>
        <w:tc>
          <w:tcPr>
            <w:tcW w:w="872" w:type="dxa"/>
          </w:tcPr>
          <w:p w14:paraId="2F7144A3">
            <w:pPr>
              <w:rPr>
                <w:rFonts w:ascii="宋体" w:hAnsi="宋体" w:cs="宋体"/>
                <w:color w:val="auto"/>
                <w:sz w:val="24"/>
                <w:highlight w:val="none"/>
              </w:rPr>
            </w:pPr>
          </w:p>
        </w:tc>
        <w:tc>
          <w:tcPr>
            <w:tcW w:w="628" w:type="dxa"/>
            <w:vAlign w:val="center"/>
          </w:tcPr>
          <w:p w14:paraId="421CA77A">
            <w:pPr>
              <w:spacing w:line="360" w:lineRule="auto"/>
              <w:jc w:val="center"/>
              <w:rPr>
                <w:rFonts w:hint="eastAsia" w:ascii="宋体" w:hAnsi="宋体" w:eastAsia="宋体" w:cs="宋体"/>
                <w:color w:val="auto"/>
                <w:sz w:val="24"/>
                <w:highlight w:val="none"/>
              </w:rPr>
            </w:pPr>
          </w:p>
        </w:tc>
        <w:tc>
          <w:tcPr>
            <w:tcW w:w="577" w:type="dxa"/>
            <w:vAlign w:val="center"/>
          </w:tcPr>
          <w:p w14:paraId="6F652E28">
            <w:pPr>
              <w:spacing w:line="360" w:lineRule="auto"/>
              <w:jc w:val="center"/>
              <w:rPr>
                <w:rFonts w:hint="eastAsia" w:ascii="宋体" w:hAnsi="宋体" w:eastAsia="宋体" w:cs="宋体"/>
                <w:color w:val="auto"/>
                <w:sz w:val="24"/>
                <w:highlight w:val="none"/>
              </w:rPr>
            </w:pPr>
          </w:p>
        </w:tc>
        <w:tc>
          <w:tcPr>
            <w:tcW w:w="718" w:type="dxa"/>
            <w:vAlign w:val="center"/>
          </w:tcPr>
          <w:p w14:paraId="2443A187">
            <w:pPr>
              <w:rPr>
                <w:rFonts w:ascii="宋体" w:hAnsi="宋体" w:cs="宋体"/>
                <w:color w:val="auto"/>
                <w:sz w:val="24"/>
                <w:highlight w:val="none"/>
              </w:rPr>
            </w:pPr>
          </w:p>
        </w:tc>
        <w:tc>
          <w:tcPr>
            <w:tcW w:w="707" w:type="dxa"/>
            <w:vAlign w:val="center"/>
          </w:tcPr>
          <w:p w14:paraId="05D7B768">
            <w:pPr>
              <w:rPr>
                <w:rFonts w:ascii="宋体" w:hAnsi="宋体" w:cs="宋体"/>
                <w:color w:val="auto"/>
                <w:sz w:val="24"/>
                <w:highlight w:val="none"/>
              </w:rPr>
            </w:pPr>
          </w:p>
        </w:tc>
      </w:tr>
      <w:tr w14:paraId="1A2D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7" w:type="dxa"/>
            <w:vAlign w:val="center"/>
          </w:tcPr>
          <w:p w14:paraId="78C792CF">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064" w:type="dxa"/>
            <w:vAlign w:val="center"/>
          </w:tcPr>
          <w:p w14:paraId="129C8170">
            <w:pPr>
              <w:widowControl/>
              <w:jc w:val="center"/>
              <w:rPr>
                <w:rFonts w:ascii="宋体" w:hAnsi="宋体" w:cs="宋体"/>
                <w:color w:val="auto"/>
                <w:sz w:val="24"/>
                <w:highlight w:val="none"/>
              </w:rPr>
            </w:pPr>
          </w:p>
        </w:tc>
        <w:tc>
          <w:tcPr>
            <w:tcW w:w="1442" w:type="dxa"/>
            <w:vAlign w:val="center"/>
          </w:tcPr>
          <w:p w14:paraId="5A64EAB0">
            <w:pPr>
              <w:rPr>
                <w:rFonts w:ascii="宋体" w:hAnsi="宋体" w:cs="宋体"/>
                <w:color w:val="auto"/>
                <w:sz w:val="24"/>
                <w:highlight w:val="none"/>
              </w:rPr>
            </w:pPr>
          </w:p>
        </w:tc>
        <w:tc>
          <w:tcPr>
            <w:tcW w:w="1187" w:type="dxa"/>
            <w:vAlign w:val="center"/>
          </w:tcPr>
          <w:p w14:paraId="3557D516">
            <w:pPr>
              <w:rPr>
                <w:rFonts w:ascii="宋体" w:hAnsi="宋体" w:cs="宋体"/>
                <w:color w:val="auto"/>
                <w:sz w:val="24"/>
                <w:highlight w:val="none"/>
              </w:rPr>
            </w:pPr>
          </w:p>
        </w:tc>
        <w:tc>
          <w:tcPr>
            <w:tcW w:w="968" w:type="dxa"/>
            <w:vAlign w:val="center"/>
          </w:tcPr>
          <w:p w14:paraId="2930D463">
            <w:pPr>
              <w:rPr>
                <w:rFonts w:ascii="宋体" w:hAnsi="宋体" w:cs="宋体"/>
                <w:color w:val="auto"/>
                <w:sz w:val="24"/>
                <w:highlight w:val="none"/>
              </w:rPr>
            </w:pPr>
          </w:p>
        </w:tc>
        <w:tc>
          <w:tcPr>
            <w:tcW w:w="1064" w:type="dxa"/>
            <w:vAlign w:val="center"/>
          </w:tcPr>
          <w:p w14:paraId="450AE3A3">
            <w:pPr>
              <w:rPr>
                <w:rFonts w:ascii="宋体" w:hAnsi="宋体" w:cs="宋体"/>
                <w:color w:val="auto"/>
                <w:sz w:val="24"/>
                <w:highlight w:val="none"/>
              </w:rPr>
            </w:pPr>
          </w:p>
        </w:tc>
        <w:tc>
          <w:tcPr>
            <w:tcW w:w="872" w:type="dxa"/>
          </w:tcPr>
          <w:p w14:paraId="78828119">
            <w:pPr>
              <w:rPr>
                <w:rFonts w:ascii="宋体" w:hAnsi="宋体" w:cs="宋体"/>
                <w:color w:val="auto"/>
                <w:sz w:val="24"/>
                <w:highlight w:val="none"/>
              </w:rPr>
            </w:pPr>
          </w:p>
        </w:tc>
        <w:tc>
          <w:tcPr>
            <w:tcW w:w="628" w:type="dxa"/>
            <w:vAlign w:val="center"/>
          </w:tcPr>
          <w:p w14:paraId="14419CE1">
            <w:pPr>
              <w:spacing w:line="360" w:lineRule="auto"/>
              <w:jc w:val="center"/>
              <w:rPr>
                <w:rFonts w:hint="eastAsia" w:ascii="宋体" w:hAnsi="宋体" w:eastAsia="宋体" w:cs="宋体"/>
                <w:color w:val="auto"/>
                <w:sz w:val="24"/>
                <w:highlight w:val="none"/>
              </w:rPr>
            </w:pPr>
          </w:p>
        </w:tc>
        <w:tc>
          <w:tcPr>
            <w:tcW w:w="577" w:type="dxa"/>
            <w:vAlign w:val="center"/>
          </w:tcPr>
          <w:p w14:paraId="04D174BB">
            <w:pPr>
              <w:spacing w:line="360" w:lineRule="auto"/>
              <w:jc w:val="center"/>
              <w:rPr>
                <w:rFonts w:hint="eastAsia" w:ascii="宋体" w:hAnsi="宋体" w:eastAsia="宋体" w:cs="宋体"/>
                <w:color w:val="auto"/>
                <w:sz w:val="24"/>
                <w:highlight w:val="none"/>
              </w:rPr>
            </w:pPr>
          </w:p>
        </w:tc>
        <w:tc>
          <w:tcPr>
            <w:tcW w:w="718" w:type="dxa"/>
            <w:vAlign w:val="center"/>
          </w:tcPr>
          <w:p w14:paraId="6394460D">
            <w:pPr>
              <w:rPr>
                <w:rFonts w:ascii="宋体" w:hAnsi="宋体" w:cs="宋体"/>
                <w:color w:val="auto"/>
                <w:sz w:val="24"/>
                <w:highlight w:val="none"/>
              </w:rPr>
            </w:pPr>
          </w:p>
        </w:tc>
        <w:tc>
          <w:tcPr>
            <w:tcW w:w="707" w:type="dxa"/>
            <w:vAlign w:val="center"/>
          </w:tcPr>
          <w:p w14:paraId="7D333FDB">
            <w:pPr>
              <w:rPr>
                <w:rFonts w:ascii="宋体" w:hAnsi="宋体" w:cs="宋体"/>
                <w:color w:val="auto"/>
                <w:sz w:val="24"/>
                <w:highlight w:val="none"/>
              </w:rPr>
            </w:pPr>
          </w:p>
        </w:tc>
      </w:tr>
      <w:tr w14:paraId="043A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7" w:type="dxa"/>
            <w:vAlign w:val="center"/>
          </w:tcPr>
          <w:p w14:paraId="3B692F11">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064" w:type="dxa"/>
            <w:vAlign w:val="center"/>
          </w:tcPr>
          <w:p w14:paraId="77C3EFC5">
            <w:pPr>
              <w:widowControl/>
              <w:jc w:val="center"/>
              <w:rPr>
                <w:rFonts w:ascii="宋体" w:hAnsi="宋体" w:cs="宋体"/>
                <w:color w:val="auto"/>
                <w:sz w:val="24"/>
                <w:highlight w:val="none"/>
              </w:rPr>
            </w:pPr>
          </w:p>
        </w:tc>
        <w:tc>
          <w:tcPr>
            <w:tcW w:w="1442" w:type="dxa"/>
            <w:vAlign w:val="center"/>
          </w:tcPr>
          <w:p w14:paraId="2BC1ACBB">
            <w:pPr>
              <w:rPr>
                <w:rFonts w:ascii="宋体" w:hAnsi="宋体" w:cs="宋体"/>
                <w:color w:val="auto"/>
                <w:sz w:val="24"/>
                <w:highlight w:val="none"/>
              </w:rPr>
            </w:pPr>
          </w:p>
        </w:tc>
        <w:tc>
          <w:tcPr>
            <w:tcW w:w="1187" w:type="dxa"/>
            <w:vAlign w:val="center"/>
          </w:tcPr>
          <w:p w14:paraId="443E1CA4">
            <w:pPr>
              <w:rPr>
                <w:rFonts w:ascii="宋体" w:hAnsi="宋体" w:cs="宋体"/>
                <w:color w:val="auto"/>
                <w:sz w:val="24"/>
                <w:highlight w:val="none"/>
              </w:rPr>
            </w:pPr>
          </w:p>
        </w:tc>
        <w:tc>
          <w:tcPr>
            <w:tcW w:w="968" w:type="dxa"/>
            <w:vAlign w:val="center"/>
          </w:tcPr>
          <w:p w14:paraId="4AA2CFD7">
            <w:pPr>
              <w:rPr>
                <w:rFonts w:ascii="宋体" w:hAnsi="宋体" w:cs="宋体"/>
                <w:color w:val="auto"/>
                <w:sz w:val="24"/>
                <w:highlight w:val="none"/>
              </w:rPr>
            </w:pPr>
          </w:p>
        </w:tc>
        <w:tc>
          <w:tcPr>
            <w:tcW w:w="1064" w:type="dxa"/>
            <w:vAlign w:val="center"/>
          </w:tcPr>
          <w:p w14:paraId="0198FEBA">
            <w:pPr>
              <w:rPr>
                <w:rFonts w:ascii="宋体" w:hAnsi="宋体" w:cs="宋体"/>
                <w:color w:val="auto"/>
                <w:sz w:val="24"/>
                <w:highlight w:val="none"/>
              </w:rPr>
            </w:pPr>
          </w:p>
        </w:tc>
        <w:tc>
          <w:tcPr>
            <w:tcW w:w="872" w:type="dxa"/>
          </w:tcPr>
          <w:p w14:paraId="0D90E155">
            <w:pPr>
              <w:rPr>
                <w:rFonts w:ascii="宋体" w:hAnsi="宋体" w:cs="宋体"/>
                <w:color w:val="auto"/>
                <w:sz w:val="24"/>
                <w:highlight w:val="none"/>
              </w:rPr>
            </w:pPr>
          </w:p>
        </w:tc>
        <w:tc>
          <w:tcPr>
            <w:tcW w:w="628" w:type="dxa"/>
            <w:vAlign w:val="center"/>
          </w:tcPr>
          <w:p w14:paraId="5598CDA3">
            <w:pPr>
              <w:spacing w:line="360" w:lineRule="auto"/>
              <w:jc w:val="center"/>
              <w:rPr>
                <w:rFonts w:hint="eastAsia" w:ascii="宋体" w:hAnsi="宋体" w:eastAsia="宋体" w:cs="宋体"/>
                <w:color w:val="auto"/>
                <w:sz w:val="24"/>
                <w:highlight w:val="none"/>
              </w:rPr>
            </w:pPr>
          </w:p>
        </w:tc>
        <w:tc>
          <w:tcPr>
            <w:tcW w:w="577" w:type="dxa"/>
            <w:vAlign w:val="center"/>
          </w:tcPr>
          <w:p w14:paraId="13633DCA">
            <w:pPr>
              <w:spacing w:line="360" w:lineRule="auto"/>
              <w:jc w:val="center"/>
              <w:rPr>
                <w:rFonts w:hint="eastAsia" w:ascii="宋体" w:hAnsi="宋体" w:eastAsia="宋体" w:cs="宋体"/>
                <w:color w:val="auto"/>
                <w:sz w:val="24"/>
                <w:highlight w:val="none"/>
              </w:rPr>
            </w:pPr>
          </w:p>
        </w:tc>
        <w:tc>
          <w:tcPr>
            <w:tcW w:w="718" w:type="dxa"/>
            <w:vAlign w:val="center"/>
          </w:tcPr>
          <w:p w14:paraId="6A6B0C54">
            <w:pPr>
              <w:rPr>
                <w:rFonts w:ascii="宋体" w:hAnsi="宋体" w:cs="宋体"/>
                <w:color w:val="auto"/>
                <w:sz w:val="24"/>
                <w:highlight w:val="none"/>
              </w:rPr>
            </w:pPr>
          </w:p>
        </w:tc>
        <w:tc>
          <w:tcPr>
            <w:tcW w:w="707" w:type="dxa"/>
            <w:vAlign w:val="center"/>
          </w:tcPr>
          <w:p w14:paraId="5F8959F6">
            <w:pPr>
              <w:rPr>
                <w:rFonts w:ascii="宋体" w:hAnsi="宋体" w:cs="宋体"/>
                <w:color w:val="auto"/>
                <w:sz w:val="24"/>
                <w:highlight w:val="none"/>
              </w:rPr>
            </w:pPr>
          </w:p>
        </w:tc>
      </w:tr>
      <w:tr w14:paraId="14C4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42" w:type="dxa"/>
            <w:gridSpan w:val="6"/>
            <w:vAlign w:val="center"/>
          </w:tcPr>
          <w:p w14:paraId="02DAA2D2">
            <w:pPr>
              <w:rPr>
                <w:rFonts w:ascii="宋体" w:hAnsi="宋体" w:cs="宋体"/>
                <w:color w:val="auto"/>
                <w:sz w:val="24"/>
                <w:highlight w:val="none"/>
              </w:rPr>
            </w:pPr>
            <w:r>
              <w:rPr>
                <w:rFonts w:hint="eastAsia" w:ascii="宋体" w:hAnsi="宋体" w:cs="宋体"/>
                <w:color w:val="auto"/>
                <w:sz w:val="24"/>
                <w:highlight w:val="none"/>
              </w:rPr>
              <w:t>合计大写（人民币）：</w:t>
            </w:r>
          </w:p>
        </w:tc>
        <w:tc>
          <w:tcPr>
            <w:tcW w:w="3502" w:type="dxa"/>
            <w:gridSpan w:val="5"/>
            <w:vAlign w:val="center"/>
          </w:tcPr>
          <w:p w14:paraId="7B46F6D8">
            <w:pPr>
              <w:rPr>
                <w:rFonts w:hint="default" w:ascii="宋体" w:hAnsi="宋体" w:cs="宋体"/>
                <w:color w:val="auto"/>
                <w:sz w:val="24"/>
                <w:highlight w:val="none"/>
                <w:lang w:val="en-US"/>
              </w:rPr>
            </w:pPr>
            <w:r>
              <w:rPr>
                <w:rFonts w:hint="eastAsia" w:ascii="宋体" w:hAnsi="宋体" w:cs="宋体"/>
                <w:color w:val="auto"/>
                <w:sz w:val="24"/>
                <w:highlight w:val="none"/>
                <w:lang w:eastAsia="zh-CN"/>
              </w:rPr>
              <w:t>小写：</w:t>
            </w:r>
            <w:r>
              <w:rPr>
                <w:rFonts w:hint="eastAsia" w:ascii="宋体" w:hAnsi="宋体" w:cs="宋体"/>
                <w:color w:val="auto"/>
                <w:sz w:val="24"/>
                <w:highlight w:val="none"/>
                <w:lang w:val="en-US" w:eastAsia="zh-CN"/>
              </w:rPr>
              <w:t xml:space="preserve">            </w:t>
            </w:r>
          </w:p>
        </w:tc>
      </w:tr>
    </w:tbl>
    <w:p w14:paraId="0E1CDBF3">
      <w:pPr>
        <w:numPr>
          <w:ilvl w:val="0"/>
          <w:numId w:val="16"/>
        </w:numPr>
        <w:ind w:left="-2" w:leftChars="-1" w:firstLine="480" w:firstLineChars="200"/>
        <w:rPr>
          <w:rFonts w:ascii="宋体" w:hAnsi="宋体" w:cs="微软雅黑"/>
          <w:color w:val="auto"/>
          <w:kern w:val="0"/>
          <w:sz w:val="24"/>
          <w:highlight w:val="none"/>
        </w:rPr>
      </w:pPr>
      <w:r>
        <w:rPr>
          <w:rFonts w:hint="eastAsia" w:ascii="宋体" w:hAnsi="宋体" w:cs="微软雅黑"/>
          <w:color w:val="auto"/>
          <w:kern w:val="0"/>
          <w:sz w:val="24"/>
          <w:highlight w:val="none"/>
        </w:rPr>
        <w:t>此表的合计总价应与开标一览表中投标报价总价一致。</w:t>
      </w:r>
    </w:p>
    <w:p w14:paraId="5CB2F03C">
      <w:pPr>
        <w:numPr>
          <w:ilvl w:val="0"/>
          <w:numId w:val="16"/>
        </w:numPr>
        <w:ind w:left="-2" w:leftChars="-1" w:firstLine="480" w:firstLineChars="200"/>
        <w:rPr>
          <w:rFonts w:ascii="宋体" w:hAnsi="宋体" w:cs="微软雅黑"/>
          <w:color w:val="auto"/>
          <w:kern w:val="0"/>
          <w:sz w:val="24"/>
          <w:highlight w:val="none"/>
          <w:lang w:val="zh-CN"/>
        </w:rPr>
      </w:pPr>
      <w:r>
        <w:rPr>
          <w:rFonts w:hint="eastAsia" w:ascii="宋体" w:hAnsi="宋体" w:cs="微软雅黑"/>
          <w:color w:val="auto"/>
          <w:kern w:val="0"/>
          <w:sz w:val="24"/>
          <w:highlight w:val="none"/>
          <w:lang w:val="zh-CN"/>
        </w:rPr>
        <w:t>投标人需按本表格式填写，如无对应内容，则填写：“无或/”。</w:t>
      </w:r>
    </w:p>
    <w:p w14:paraId="4161F6AB">
      <w:pPr>
        <w:spacing w:line="480" w:lineRule="auto"/>
        <w:ind w:left="420"/>
        <w:jc w:val="right"/>
        <w:rPr>
          <w:rFonts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013B9279">
      <w:pPr>
        <w:spacing w:line="480" w:lineRule="auto"/>
        <w:ind w:firstLine="424" w:firstLineChars="177"/>
        <w:jc w:val="right"/>
        <w:rPr>
          <w:rFonts w:hint="eastAsia" w:ascii="宋体" w:hAnsi="宋体" w:cs="微软雅黑"/>
          <w:color w:val="auto"/>
          <w:sz w:val="24"/>
          <w:highlight w:val="none"/>
        </w:rPr>
      </w:pPr>
      <w:r>
        <w:rPr>
          <w:rFonts w:hint="eastAsia" w:ascii="宋体" w:hAnsi="宋体" w:cs="微软雅黑"/>
          <w:color w:val="auto"/>
          <w:sz w:val="24"/>
          <w:highlight w:val="none"/>
        </w:rPr>
        <w:t>法定代表人或</w:t>
      </w:r>
      <w:r>
        <w:rPr>
          <w:rFonts w:hint="eastAsia" w:ascii="宋体" w:hAnsi="宋体" w:cs="微软雅黑"/>
          <w:color w:val="auto"/>
          <w:sz w:val="24"/>
          <w:highlight w:val="none"/>
          <w:lang w:eastAsia="zh-CN"/>
        </w:rPr>
        <w:t>授权委托代表</w:t>
      </w:r>
      <w:r>
        <w:rPr>
          <w:rFonts w:hint="eastAsia" w:ascii="宋体" w:hAnsi="宋体" w:cs="微软雅黑"/>
          <w:color w:val="auto"/>
          <w:sz w:val="24"/>
          <w:highlight w:val="none"/>
        </w:rPr>
        <w:t>（签字或盖章）：</w:t>
      </w:r>
    </w:p>
    <w:p w14:paraId="06970B0C">
      <w:pPr>
        <w:wordWrap w:val="0"/>
        <w:spacing w:line="480" w:lineRule="auto"/>
        <w:ind w:firstLine="424" w:firstLineChars="177"/>
        <w:jc w:val="right"/>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年 月   日</w:t>
      </w:r>
    </w:p>
    <w:p w14:paraId="1E93D2DC">
      <w:pPr>
        <w:keepNext w:val="0"/>
        <w:keepLines w:val="0"/>
        <w:pageBreakBefore/>
        <w:widowControl w:val="0"/>
        <w:kinsoku/>
        <w:wordWrap/>
        <w:overflowPunct/>
        <w:topLinePunct w:val="0"/>
        <w:autoSpaceDE/>
        <w:autoSpaceDN/>
        <w:bidi w:val="0"/>
        <w:adjustRightInd/>
        <w:snapToGrid/>
        <w:jc w:val="center"/>
        <w:textAlignment w:val="auto"/>
        <w:rPr>
          <w:rFonts w:ascii="Arial" w:hAnsi="Arial" w:eastAsia="新宋体" w:cs="Arial"/>
          <w:b/>
          <w:color w:val="auto"/>
          <w:sz w:val="24"/>
          <w:highlight w:val="none"/>
        </w:rPr>
      </w:pPr>
      <w:r>
        <w:rPr>
          <w:rFonts w:hint="eastAsia" w:cs="宋体" w:asciiTheme="minorEastAsia" w:hAnsiTheme="minorEastAsia" w:eastAsiaTheme="minorEastAsia"/>
          <w:b/>
          <w:bCs/>
          <w:color w:val="auto"/>
          <w:kern w:val="0"/>
          <w:sz w:val="32"/>
          <w:szCs w:val="32"/>
          <w:highlight w:val="none"/>
          <w:lang w:val="en-US" w:eastAsia="zh-CN"/>
        </w:rPr>
        <w:t xml:space="preserve">四、主要零配件、易损件、耗材的成本价供应价格表              </w:t>
      </w:r>
      <w:r>
        <w:rPr>
          <w:rFonts w:hint="eastAsia" w:ascii="Arial" w:hAnsi="Arial" w:cs="Arial"/>
          <w:b/>
          <w:color w:val="auto"/>
          <w:sz w:val="24"/>
          <w:highlight w:val="none"/>
          <w:lang w:val="en-US" w:eastAsia="zh-CN"/>
        </w:rPr>
        <w:t>项目</w:t>
      </w:r>
      <w:r>
        <w:rPr>
          <w:rFonts w:ascii="Arial" w:hAnsi="Arial" w:cs="Arial"/>
          <w:b/>
          <w:color w:val="auto"/>
          <w:sz w:val="24"/>
          <w:highlight w:val="none"/>
        </w:rPr>
        <w:t xml:space="preserve">编号: </w:t>
      </w:r>
      <w:r>
        <w:rPr>
          <w:rFonts w:hint="eastAsia" w:ascii="Arial" w:hAnsi="Arial" w:cs="Arial"/>
          <w:b/>
          <w:color w:val="auto"/>
          <w:sz w:val="24"/>
          <w:highlight w:val="none"/>
        </w:rPr>
        <w:t xml:space="preserve">                         </w:t>
      </w:r>
      <w:r>
        <w:rPr>
          <w:rFonts w:hint="eastAsia" w:ascii="Arial" w:hAnsi="Arial" w:cs="Arial"/>
          <w:b/>
          <w:color w:val="auto"/>
          <w:sz w:val="24"/>
          <w:highlight w:val="none"/>
          <w:lang w:val="en-US" w:eastAsia="zh-CN"/>
        </w:rPr>
        <w:t>标项号：</w:t>
      </w:r>
      <w:r>
        <w:rPr>
          <w:rFonts w:hint="eastAsia" w:ascii="Arial" w:hAnsi="Arial" w:cs="Arial"/>
          <w:b/>
          <w:color w:val="auto"/>
          <w:sz w:val="24"/>
          <w:highlight w:val="none"/>
        </w:rPr>
        <w:t xml:space="preserve"> </w:t>
      </w:r>
      <w:r>
        <w:rPr>
          <w:rFonts w:hint="eastAsia" w:ascii="Arial" w:hAnsi="Arial" w:cs="Arial"/>
          <w:b/>
          <w:color w:val="auto"/>
          <w:sz w:val="24"/>
          <w:highlight w:val="none"/>
          <w:lang w:val="en-US" w:eastAsia="zh-CN"/>
        </w:rPr>
        <w:t xml:space="preserve">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71"/>
        <w:gridCol w:w="1473"/>
        <w:gridCol w:w="2305"/>
        <w:gridCol w:w="2165"/>
        <w:gridCol w:w="1331"/>
      </w:tblGrid>
      <w:tr w14:paraId="5844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86" w:type="pct"/>
            <w:vAlign w:val="center"/>
          </w:tcPr>
          <w:p w14:paraId="4968283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776" w:type="pct"/>
            <w:vAlign w:val="center"/>
          </w:tcPr>
          <w:p w14:paraId="549AEFAE">
            <w:pPr>
              <w:jc w:val="center"/>
              <w:rPr>
                <w:rFonts w:ascii="宋体" w:hAnsi="宋体" w:cs="宋体"/>
                <w:b/>
                <w:bCs/>
                <w:color w:val="auto"/>
                <w:sz w:val="24"/>
                <w:highlight w:val="none"/>
              </w:rPr>
            </w:pPr>
            <w:r>
              <w:rPr>
                <w:rFonts w:hint="eastAsia" w:ascii="宋体" w:hAnsi="宋体" w:cs="宋体"/>
                <w:b/>
                <w:bCs/>
                <w:color w:val="auto"/>
                <w:sz w:val="24"/>
                <w:highlight w:val="none"/>
              </w:rPr>
              <w:t>零配件、易损件、耗材</w:t>
            </w:r>
          </w:p>
        </w:tc>
        <w:tc>
          <w:tcPr>
            <w:tcW w:w="777" w:type="pct"/>
            <w:vAlign w:val="center"/>
          </w:tcPr>
          <w:p w14:paraId="22E7FEAF">
            <w:pPr>
              <w:jc w:val="center"/>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品牌、</w:t>
            </w:r>
            <w:r>
              <w:rPr>
                <w:rFonts w:hint="eastAsia" w:ascii="宋体" w:hAnsi="宋体" w:cs="宋体"/>
                <w:b/>
                <w:bCs/>
                <w:color w:val="auto"/>
                <w:sz w:val="24"/>
                <w:highlight w:val="none"/>
              </w:rPr>
              <w:t>型号和规格</w:t>
            </w:r>
          </w:p>
        </w:tc>
        <w:tc>
          <w:tcPr>
            <w:tcW w:w="1216" w:type="pct"/>
            <w:vAlign w:val="center"/>
          </w:tcPr>
          <w:p w14:paraId="532CEB4F">
            <w:pPr>
              <w:jc w:val="center"/>
              <w:rPr>
                <w:rFonts w:ascii="宋体" w:hAnsi="宋体" w:cs="宋体"/>
                <w:b/>
                <w:bCs/>
                <w:color w:val="auto"/>
                <w:sz w:val="24"/>
                <w:highlight w:val="none"/>
              </w:rPr>
            </w:pPr>
            <w:r>
              <w:rPr>
                <w:rFonts w:hint="eastAsia" w:ascii="宋体" w:hAnsi="宋体" w:cs="宋体"/>
                <w:b/>
                <w:bCs/>
                <w:color w:val="auto"/>
                <w:sz w:val="24"/>
                <w:highlight w:val="none"/>
              </w:rPr>
              <w:t>制造商名称（全称）</w:t>
            </w:r>
          </w:p>
        </w:tc>
        <w:tc>
          <w:tcPr>
            <w:tcW w:w="1142" w:type="pct"/>
            <w:vAlign w:val="center"/>
          </w:tcPr>
          <w:p w14:paraId="61591933">
            <w:pPr>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单价（元，含税但不含安装等其他费用）</w:t>
            </w:r>
          </w:p>
        </w:tc>
        <w:tc>
          <w:tcPr>
            <w:tcW w:w="702" w:type="pct"/>
            <w:vAlign w:val="center"/>
          </w:tcPr>
          <w:p w14:paraId="1D9EC0FF">
            <w:pPr>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备注</w:t>
            </w:r>
          </w:p>
        </w:tc>
      </w:tr>
      <w:tr w14:paraId="0CD5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86" w:type="pct"/>
            <w:vAlign w:val="center"/>
          </w:tcPr>
          <w:p w14:paraId="2BBCD1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76" w:type="pct"/>
            <w:vAlign w:val="center"/>
          </w:tcPr>
          <w:p w14:paraId="41032142">
            <w:pPr>
              <w:widowControl/>
              <w:jc w:val="center"/>
              <w:rPr>
                <w:rFonts w:ascii="宋体" w:hAnsi="宋体" w:cs="宋体"/>
                <w:color w:val="auto"/>
                <w:sz w:val="24"/>
                <w:highlight w:val="none"/>
              </w:rPr>
            </w:pPr>
          </w:p>
        </w:tc>
        <w:tc>
          <w:tcPr>
            <w:tcW w:w="777" w:type="pct"/>
            <w:vAlign w:val="center"/>
          </w:tcPr>
          <w:p w14:paraId="737B4D3D">
            <w:pPr>
              <w:rPr>
                <w:rFonts w:ascii="宋体" w:hAnsi="宋体" w:cs="宋体"/>
                <w:color w:val="auto"/>
                <w:sz w:val="24"/>
                <w:highlight w:val="none"/>
              </w:rPr>
            </w:pPr>
          </w:p>
        </w:tc>
        <w:tc>
          <w:tcPr>
            <w:tcW w:w="1216" w:type="pct"/>
            <w:vAlign w:val="center"/>
          </w:tcPr>
          <w:p w14:paraId="1166C7DF">
            <w:pPr>
              <w:rPr>
                <w:rFonts w:ascii="宋体" w:hAnsi="宋体" w:cs="宋体"/>
                <w:color w:val="auto"/>
                <w:sz w:val="24"/>
                <w:highlight w:val="none"/>
              </w:rPr>
            </w:pPr>
          </w:p>
        </w:tc>
        <w:tc>
          <w:tcPr>
            <w:tcW w:w="1142" w:type="pct"/>
            <w:vAlign w:val="center"/>
          </w:tcPr>
          <w:p w14:paraId="65F896CC">
            <w:pPr>
              <w:rPr>
                <w:rFonts w:ascii="宋体" w:hAnsi="宋体" w:cs="宋体"/>
                <w:color w:val="auto"/>
                <w:sz w:val="24"/>
                <w:highlight w:val="none"/>
              </w:rPr>
            </w:pPr>
          </w:p>
        </w:tc>
        <w:tc>
          <w:tcPr>
            <w:tcW w:w="702" w:type="pct"/>
            <w:vAlign w:val="center"/>
          </w:tcPr>
          <w:p w14:paraId="745021C3">
            <w:pPr>
              <w:rPr>
                <w:rFonts w:ascii="宋体" w:hAnsi="宋体" w:cs="宋体"/>
                <w:color w:val="auto"/>
                <w:sz w:val="24"/>
                <w:highlight w:val="none"/>
              </w:rPr>
            </w:pPr>
          </w:p>
        </w:tc>
      </w:tr>
      <w:tr w14:paraId="2847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86" w:type="pct"/>
            <w:vAlign w:val="center"/>
          </w:tcPr>
          <w:p w14:paraId="0E4385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76" w:type="pct"/>
            <w:vAlign w:val="center"/>
          </w:tcPr>
          <w:p w14:paraId="3446BD09">
            <w:pPr>
              <w:widowControl/>
              <w:jc w:val="center"/>
              <w:rPr>
                <w:rFonts w:ascii="宋体" w:hAnsi="宋体" w:cs="宋体"/>
                <w:color w:val="auto"/>
                <w:sz w:val="24"/>
                <w:highlight w:val="none"/>
              </w:rPr>
            </w:pPr>
          </w:p>
        </w:tc>
        <w:tc>
          <w:tcPr>
            <w:tcW w:w="777" w:type="pct"/>
            <w:vAlign w:val="center"/>
          </w:tcPr>
          <w:p w14:paraId="1725A8F9">
            <w:pPr>
              <w:rPr>
                <w:rFonts w:ascii="宋体" w:hAnsi="宋体" w:cs="宋体"/>
                <w:color w:val="auto"/>
                <w:sz w:val="24"/>
                <w:highlight w:val="none"/>
              </w:rPr>
            </w:pPr>
          </w:p>
        </w:tc>
        <w:tc>
          <w:tcPr>
            <w:tcW w:w="1216" w:type="pct"/>
            <w:vAlign w:val="center"/>
          </w:tcPr>
          <w:p w14:paraId="2FB51B68">
            <w:pPr>
              <w:rPr>
                <w:rFonts w:ascii="宋体" w:hAnsi="宋体" w:cs="宋体"/>
                <w:color w:val="auto"/>
                <w:sz w:val="24"/>
                <w:highlight w:val="none"/>
              </w:rPr>
            </w:pPr>
          </w:p>
        </w:tc>
        <w:tc>
          <w:tcPr>
            <w:tcW w:w="1142" w:type="pct"/>
          </w:tcPr>
          <w:p w14:paraId="501E1E27">
            <w:pPr>
              <w:rPr>
                <w:rFonts w:ascii="宋体" w:hAnsi="宋体" w:cs="宋体"/>
                <w:color w:val="auto"/>
                <w:sz w:val="24"/>
                <w:highlight w:val="none"/>
              </w:rPr>
            </w:pPr>
          </w:p>
        </w:tc>
        <w:tc>
          <w:tcPr>
            <w:tcW w:w="702" w:type="pct"/>
            <w:vAlign w:val="center"/>
          </w:tcPr>
          <w:p w14:paraId="09242F16">
            <w:pPr>
              <w:rPr>
                <w:rFonts w:ascii="宋体" w:hAnsi="宋体" w:cs="宋体"/>
                <w:color w:val="auto"/>
                <w:sz w:val="24"/>
                <w:highlight w:val="none"/>
              </w:rPr>
            </w:pPr>
          </w:p>
        </w:tc>
      </w:tr>
      <w:tr w14:paraId="0E36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86" w:type="pct"/>
            <w:vAlign w:val="center"/>
          </w:tcPr>
          <w:p w14:paraId="398CF9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776" w:type="pct"/>
            <w:vAlign w:val="center"/>
          </w:tcPr>
          <w:p w14:paraId="7D37512D">
            <w:pPr>
              <w:widowControl/>
              <w:jc w:val="center"/>
              <w:rPr>
                <w:rFonts w:ascii="宋体" w:hAnsi="宋体" w:cs="宋体"/>
                <w:color w:val="auto"/>
                <w:sz w:val="24"/>
                <w:highlight w:val="none"/>
              </w:rPr>
            </w:pPr>
          </w:p>
        </w:tc>
        <w:tc>
          <w:tcPr>
            <w:tcW w:w="777" w:type="pct"/>
            <w:vAlign w:val="center"/>
          </w:tcPr>
          <w:p w14:paraId="4D390060">
            <w:pPr>
              <w:rPr>
                <w:rFonts w:ascii="宋体" w:hAnsi="宋体" w:cs="宋体"/>
                <w:color w:val="auto"/>
                <w:sz w:val="24"/>
                <w:highlight w:val="none"/>
              </w:rPr>
            </w:pPr>
          </w:p>
        </w:tc>
        <w:tc>
          <w:tcPr>
            <w:tcW w:w="1216" w:type="pct"/>
            <w:vAlign w:val="center"/>
          </w:tcPr>
          <w:p w14:paraId="68CE63AC">
            <w:pPr>
              <w:rPr>
                <w:rFonts w:ascii="宋体" w:hAnsi="宋体" w:cs="宋体"/>
                <w:color w:val="auto"/>
                <w:sz w:val="24"/>
                <w:highlight w:val="none"/>
              </w:rPr>
            </w:pPr>
          </w:p>
        </w:tc>
        <w:tc>
          <w:tcPr>
            <w:tcW w:w="1142" w:type="pct"/>
          </w:tcPr>
          <w:p w14:paraId="5F4FDE8F">
            <w:pPr>
              <w:rPr>
                <w:rFonts w:ascii="宋体" w:hAnsi="宋体" w:cs="宋体"/>
                <w:color w:val="auto"/>
                <w:sz w:val="24"/>
                <w:highlight w:val="none"/>
              </w:rPr>
            </w:pPr>
          </w:p>
        </w:tc>
        <w:tc>
          <w:tcPr>
            <w:tcW w:w="702" w:type="pct"/>
            <w:vAlign w:val="center"/>
          </w:tcPr>
          <w:p w14:paraId="5D3D8E1F">
            <w:pPr>
              <w:rPr>
                <w:rFonts w:ascii="宋体" w:hAnsi="宋体" w:cs="宋体"/>
                <w:color w:val="auto"/>
                <w:sz w:val="24"/>
                <w:highlight w:val="none"/>
              </w:rPr>
            </w:pPr>
          </w:p>
        </w:tc>
      </w:tr>
      <w:tr w14:paraId="0AAF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86" w:type="pct"/>
            <w:vAlign w:val="center"/>
          </w:tcPr>
          <w:p w14:paraId="52D106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76" w:type="pct"/>
            <w:vAlign w:val="center"/>
          </w:tcPr>
          <w:p w14:paraId="2BF70979">
            <w:pPr>
              <w:widowControl/>
              <w:jc w:val="center"/>
              <w:rPr>
                <w:rFonts w:ascii="宋体" w:hAnsi="宋体" w:cs="宋体"/>
                <w:color w:val="auto"/>
                <w:sz w:val="24"/>
                <w:highlight w:val="none"/>
              </w:rPr>
            </w:pPr>
          </w:p>
        </w:tc>
        <w:tc>
          <w:tcPr>
            <w:tcW w:w="777" w:type="pct"/>
            <w:vAlign w:val="center"/>
          </w:tcPr>
          <w:p w14:paraId="6709F8A2">
            <w:pPr>
              <w:rPr>
                <w:rFonts w:ascii="宋体" w:hAnsi="宋体" w:cs="宋体"/>
                <w:color w:val="auto"/>
                <w:sz w:val="24"/>
                <w:highlight w:val="none"/>
              </w:rPr>
            </w:pPr>
          </w:p>
        </w:tc>
        <w:tc>
          <w:tcPr>
            <w:tcW w:w="1216" w:type="pct"/>
            <w:vAlign w:val="center"/>
          </w:tcPr>
          <w:p w14:paraId="20781465">
            <w:pPr>
              <w:rPr>
                <w:rFonts w:ascii="宋体" w:hAnsi="宋体" w:cs="宋体"/>
                <w:color w:val="auto"/>
                <w:sz w:val="24"/>
                <w:highlight w:val="none"/>
              </w:rPr>
            </w:pPr>
          </w:p>
        </w:tc>
        <w:tc>
          <w:tcPr>
            <w:tcW w:w="1142" w:type="pct"/>
          </w:tcPr>
          <w:p w14:paraId="760F161A">
            <w:pPr>
              <w:rPr>
                <w:rFonts w:ascii="宋体" w:hAnsi="宋体" w:cs="宋体"/>
                <w:color w:val="auto"/>
                <w:sz w:val="24"/>
                <w:highlight w:val="none"/>
              </w:rPr>
            </w:pPr>
          </w:p>
        </w:tc>
        <w:tc>
          <w:tcPr>
            <w:tcW w:w="702" w:type="pct"/>
            <w:vAlign w:val="center"/>
          </w:tcPr>
          <w:p w14:paraId="7360B2A4">
            <w:pPr>
              <w:rPr>
                <w:rFonts w:ascii="宋体" w:hAnsi="宋体" w:cs="宋体"/>
                <w:color w:val="auto"/>
                <w:sz w:val="24"/>
                <w:highlight w:val="none"/>
              </w:rPr>
            </w:pPr>
          </w:p>
        </w:tc>
      </w:tr>
      <w:tr w14:paraId="5EC6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86" w:type="pct"/>
            <w:vAlign w:val="center"/>
          </w:tcPr>
          <w:p w14:paraId="1969FA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776" w:type="pct"/>
            <w:vAlign w:val="center"/>
          </w:tcPr>
          <w:p w14:paraId="4149DBE6">
            <w:pPr>
              <w:widowControl/>
              <w:jc w:val="center"/>
              <w:rPr>
                <w:rFonts w:ascii="宋体" w:hAnsi="宋体" w:cs="宋体"/>
                <w:color w:val="auto"/>
                <w:sz w:val="24"/>
                <w:highlight w:val="none"/>
              </w:rPr>
            </w:pPr>
          </w:p>
        </w:tc>
        <w:tc>
          <w:tcPr>
            <w:tcW w:w="777" w:type="pct"/>
            <w:vAlign w:val="center"/>
          </w:tcPr>
          <w:p w14:paraId="241D29B1">
            <w:pPr>
              <w:rPr>
                <w:rFonts w:ascii="宋体" w:hAnsi="宋体" w:cs="宋体"/>
                <w:color w:val="auto"/>
                <w:sz w:val="24"/>
                <w:highlight w:val="none"/>
              </w:rPr>
            </w:pPr>
          </w:p>
        </w:tc>
        <w:tc>
          <w:tcPr>
            <w:tcW w:w="1216" w:type="pct"/>
            <w:vAlign w:val="center"/>
          </w:tcPr>
          <w:p w14:paraId="04C173D7">
            <w:pPr>
              <w:rPr>
                <w:rFonts w:ascii="宋体" w:hAnsi="宋体" w:cs="宋体"/>
                <w:color w:val="auto"/>
                <w:sz w:val="24"/>
                <w:highlight w:val="none"/>
              </w:rPr>
            </w:pPr>
          </w:p>
        </w:tc>
        <w:tc>
          <w:tcPr>
            <w:tcW w:w="1142" w:type="pct"/>
          </w:tcPr>
          <w:p w14:paraId="4B58D26E">
            <w:pPr>
              <w:rPr>
                <w:rFonts w:ascii="宋体" w:hAnsi="宋体" w:cs="宋体"/>
                <w:color w:val="auto"/>
                <w:sz w:val="24"/>
                <w:highlight w:val="none"/>
              </w:rPr>
            </w:pPr>
          </w:p>
        </w:tc>
        <w:tc>
          <w:tcPr>
            <w:tcW w:w="702" w:type="pct"/>
            <w:vAlign w:val="center"/>
          </w:tcPr>
          <w:p w14:paraId="6C72F66F">
            <w:pPr>
              <w:rPr>
                <w:rFonts w:ascii="宋体" w:hAnsi="宋体" w:cs="宋体"/>
                <w:color w:val="auto"/>
                <w:sz w:val="24"/>
                <w:highlight w:val="none"/>
              </w:rPr>
            </w:pPr>
          </w:p>
        </w:tc>
      </w:tr>
      <w:tr w14:paraId="41D7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86" w:type="pct"/>
            <w:vAlign w:val="center"/>
          </w:tcPr>
          <w:p w14:paraId="7E433D3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776" w:type="pct"/>
            <w:vAlign w:val="center"/>
          </w:tcPr>
          <w:p w14:paraId="0C5EA035">
            <w:pPr>
              <w:widowControl/>
              <w:jc w:val="center"/>
              <w:rPr>
                <w:rFonts w:ascii="宋体" w:hAnsi="宋体" w:cs="宋体"/>
                <w:color w:val="auto"/>
                <w:sz w:val="24"/>
                <w:highlight w:val="none"/>
              </w:rPr>
            </w:pPr>
          </w:p>
        </w:tc>
        <w:tc>
          <w:tcPr>
            <w:tcW w:w="777" w:type="pct"/>
            <w:vAlign w:val="center"/>
          </w:tcPr>
          <w:p w14:paraId="66C4583F">
            <w:pPr>
              <w:rPr>
                <w:rFonts w:ascii="宋体" w:hAnsi="宋体" w:cs="宋体"/>
                <w:color w:val="auto"/>
                <w:sz w:val="24"/>
                <w:highlight w:val="none"/>
              </w:rPr>
            </w:pPr>
          </w:p>
        </w:tc>
        <w:tc>
          <w:tcPr>
            <w:tcW w:w="1216" w:type="pct"/>
            <w:vAlign w:val="center"/>
          </w:tcPr>
          <w:p w14:paraId="68CA7E1F">
            <w:pPr>
              <w:rPr>
                <w:rFonts w:ascii="宋体" w:hAnsi="宋体" w:cs="宋体"/>
                <w:color w:val="auto"/>
                <w:sz w:val="24"/>
                <w:highlight w:val="none"/>
              </w:rPr>
            </w:pPr>
          </w:p>
        </w:tc>
        <w:tc>
          <w:tcPr>
            <w:tcW w:w="1142" w:type="pct"/>
          </w:tcPr>
          <w:p w14:paraId="040B1C74">
            <w:pPr>
              <w:rPr>
                <w:rFonts w:ascii="宋体" w:hAnsi="宋体" w:cs="宋体"/>
                <w:color w:val="auto"/>
                <w:sz w:val="24"/>
                <w:highlight w:val="none"/>
              </w:rPr>
            </w:pPr>
          </w:p>
        </w:tc>
        <w:tc>
          <w:tcPr>
            <w:tcW w:w="702" w:type="pct"/>
            <w:vAlign w:val="center"/>
          </w:tcPr>
          <w:p w14:paraId="27B27920">
            <w:pPr>
              <w:rPr>
                <w:rFonts w:ascii="宋体" w:hAnsi="宋体" w:cs="宋体"/>
                <w:color w:val="auto"/>
                <w:sz w:val="24"/>
                <w:highlight w:val="none"/>
              </w:rPr>
            </w:pPr>
          </w:p>
        </w:tc>
      </w:tr>
      <w:tr w14:paraId="2652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86" w:type="pct"/>
            <w:vAlign w:val="center"/>
          </w:tcPr>
          <w:p w14:paraId="741D4C7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776" w:type="pct"/>
            <w:vAlign w:val="center"/>
          </w:tcPr>
          <w:p w14:paraId="6F58FF2C">
            <w:pPr>
              <w:widowControl/>
              <w:jc w:val="center"/>
              <w:rPr>
                <w:rFonts w:ascii="宋体" w:hAnsi="宋体" w:cs="宋体"/>
                <w:color w:val="auto"/>
                <w:sz w:val="24"/>
                <w:highlight w:val="none"/>
              </w:rPr>
            </w:pPr>
          </w:p>
        </w:tc>
        <w:tc>
          <w:tcPr>
            <w:tcW w:w="777" w:type="pct"/>
            <w:vAlign w:val="center"/>
          </w:tcPr>
          <w:p w14:paraId="56A6E8AD">
            <w:pPr>
              <w:rPr>
                <w:rFonts w:ascii="宋体" w:hAnsi="宋体" w:cs="宋体"/>
                <w:color w:val="auto"/>
                <w:sz w:val="24"/>
                <w:highlight w:val="none"/>
              </w:rPr>
            </w:pPr>
          </w:p>
        </w:tc>
        <w:tc>
          <w:tcPr>
            <w:tcW w:w="1216" w:type="pct"/>
            <w:vAlign w:val="center"/>
          </w:tcPr>
          <w:p w14:paraId="32833B0A">
            <w:pPr>
              <w:rPr>
                <w:rFonts w:ascii="宋体" w:hAnsi="宋体" w:cs="宋体"/>
                <w:color w:val="auto"/>
                <w:sz w:val="24"/>
                <w:highlight w:val="none"/>
              </w:rPr>
            </w:pPr>
          </w:p>
        </w:tc>
        <w:tc>
          <w:tcPr>
            <w:tcW w:w="1142" w:type="pct"/>
          </w:tcPr>
          <w:p w14:paraId="720B9F6E">
            <w:pPr>
              <w:rPr>
                <w:rFonts w:ascii="宋体" w:hAnsi="宋体" w:cs="宋体"/>
                <w:color w:val="auto"/>
                <w:sz w:val="24"/>
                <w:highlight w:val="none"/>
              </w:rPr>
            </w:pPr>
          </w:p>
        </w:tc>
        <w:tc>
          <w:tcPr>
            <w:tcW w:w="702" w:type="pct"/>
            <w:vAlign w:val="center"/>
          </w:tcPr>
          <w:p w14:paraId="5A31CD20">
            <w:pPr>
              <w:rPr>
                <w:rFonts w:ascii="宋体" w:hAnsi="宋体" w:cs="宋体"/>
                <w:color w:val="auto"/>
                <w:sz w:val="24"/>
                <w:highlight w:val="none"/>
              </w:rPr>
            </w:pPr>
          </w:p>
        </w:tc>
      </w:tr>
    </w:tbl>
    <w:p w14:paraId="3AFBD0AA">
      <w:pPr>
        <w:spacing w:line="480" w:lineRule="auto"/>
        <w:ind w:left="420"/>
        <w:jc w:val="right"/>
        <w:rPr>
          <w:rFonts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630C93F6">
      <w:pPr>
        <w:spacing w:line="480" w:lineRule="auto"/>
        <w:ind w:firstLine="424" w:firstLineChars="177"/>
        <w:jc w:val="right"/>
        <w:rPr>
          <w:rFonts w:hint="eastAsia" w:ascii="宋体" w:hAnsi="宋体" w:cs="微软雅黑"/>
          <w:color w:val="auto"/>
          <w:sz w:val="24"/>
          <w:highlight w:val="none"/>
        </w:rPr>
      </w:pPr>
      <w:r>
        <w:rPr>
          <w:rFonts w:hint="eastAsia" w:ascii="宋体" w:hAnsi="宋体" w:cs="微软雅黑"/>
          <w:color w:val="auto"/>
          <w:sz w:val="24"/>
          <w:highlight w:val="none"/>
        </w:rPr>
        <w:t>法定代表人或</w:t>
      </w:r>
      <w:r>
        <w:rPr>
          <w:rFonts w:hint="eastAsia" w:ascii="宋体" w:hAnsi="宋体" w:cs="微软雅黑"/>
          <w:color w:val="auto"/>
          <w:sz w:val="24"/>
          <w:highlight w:val="none"/>
          <w:lang w:eastAsia="zh-CN"/>
        </w:rPr>
        <w:t>授权委托代表</w:t>
      </w:r>
      <w:r>
        <w:rPr>
          <w:rFonts w:hint="eastAsia" w:ascii="宋体" w:hAnsi="宋体" w:cs="微软雅黑"/>
          <w:color w:val="auto"/>
          <w:sz w:val="24"/>
          <w:highlight w:val="none"/>
        </w:rPr>
        <w:t>（签字或盖章）：</w:t>
      </w:r>
    </w:p>
    <w:p w14:paraId="4C076E98">
      <w:pPr>
        <w:wordWrap w:val="0"/>
        <w:spacing w:line="480" w:lineRule="auto"/>
        <w:ind w:firstLine="424" w:firstLineChars="177"/>
        <w:jc w:val="right"/>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年 月   日</w:t>
      </w:r>
    </w:p>
    <w:p w14:paraId="0BD9251D">
      <w:pPr>
        <w:pStyle w:val="132"/>
        <w:pageBreakBefore/>
        <w:widowControl w:val="0"/>
        <w:snapToGrid w:val="0"/>
        <w:spacing w:after="156" w:line="480" w:lineRule="exact"/>
        <w:ind w:firstLine="422" w:firstLineChars="200"/>
        <w:rPr>
          <w:rFonts w:hint="default" w:ascii="仿宋" w:hAnsi="仿宋"/>
          <w:b/>
          <w:color w:val="auto"/>
          <w:szCs w:val="24"/>
          <w:highlight w:val="none"/>
          <w:lang w:val="en-GB"/>
        </w:rPr>
      </w:pPr>
      <w:r>
        <w:rPr>
          <w:rFonts w:hint="eastAsia" w:ascii="仿宋" w:hAnsi="仿宋"/>
          <w:b/>
          <w:color w:val="auto"/>
          <w:szCs w:val="24"/>
          <w:highlight w:val="none"/>
        </w:rPr>
        <w:t>投标文件解密结束，投标供应商通过电子邮件形式将经授权代表签署的《政府采购活动现场确认声明书》的扫描件（或图片）发至采购代理机构邮箱：zgtzfgs@163.com。开评标活动结束之前投标供应商拒不发送《政府采购活动现场确认声明书》的，由此产生的一切风险责任由供应商自行承担。</w:t>
      </w:r>
    </w:p>
    <w:p w14:paraId="30C8FB7F">
      <w:pPr>
        <w:pStyle w:val="20"/>
        <w:ind w:firstLine="210"/>
        <w:rPr>
          <w:rFonts w:asciiTheme="minorEastAsia" w:hAnsiTheme="minorEastAsia" w:eastAsiaTheme="minorEastAsia"/>
          <w:color w:val="auto"/>
          <w:highlight w:val="none"/>
          <w:lang w:val="en-GB"/>
        </w:rPr>
      </w:pPr>
    </w:p>
    <w:p w14:paraId="360F80C8">
      <w:pPr>
        <w:pStyle w:val="132"/>
        <w:widowControl w:val="0"/>
        <w:snapToGrid w:val="0"/>
        <w:spacing w:line="500" w:lineRule="exact"/>
        <w:ind w:firstLine="720"/>
        <w:jc w:val="center"/>
        <w:rPr>
          <w:rFonts w:hint="default"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政府采购活动现场确认声明书</w:t>
      </w:r>
    </w:p>
    <w:p w14:paraId="15EE99A9">
      <w:pPr>
        <w:pStyle w:val="132"/>
        <w:widowControl w:val="0"/>
        <w:snapToGrid w:val="0"/>
        <w:spacing w:line="440" w:lineRule="exact"/>
        <w:jc w:val="both"/>
        <w:rPr>
          <w:rFonts w:asciiTheme="minorEastAsia" w:hAnsiTheme="minorEastAsia" w:eastAsiaTheme="minorEastAsia"/>
          <w:b/>
          <w:color w:val="auto"/>
          <w:sz w:val="24"/>
          <w:szCs w:val="24"/>
          <w:highlight w:val="none"/>
        </w:rPr>
      </w:pPr>
      <w:r>
        <w:rPr>
          <w:rFonts w:asciiTheme="minorEastAsia" w:hAnsiTheme="minorEastAsia" w:eastAsiaTheme="minorEastAsia"/>
          <w:color w:val="auto"/>
          <w:kern w:val="0"/>
          <w:sz w:val="24"/>
          <w:szCs w:val="24"/>
          <w:highlight w:val="none"/>
          <w:u w:val="single"/>
        </w:rPr>
        <w:t>中冠工程管理咨询有限公司</w:t>
      </w:r>
      <w:r>
        <w:rPr>
          <w:rFonts w:asciiTheme="minorEastAsia" w:hAnsiTheme="minorEastAsia" w:eastAsiaTheme="minorEastAsia"/>
          <w:color w:val="auto"/>
          <w:kern w:val="0"/>
          <w:sz w:val="24"/>
          <w:szCs w:val="24"/>
          <w:highlight w:val="none"/>
        </w:rPr>
        <w:t>：</w:t>
      </w:r>
    </w:p>
    <w:p w14:paraId="46E20F49">
      <w:pPr>
        <w:pStyle w:val="132"/>
        <w:widowControl w:val="0"/>
        <w:snapToGrid w:val="0"/>
        <w:spacing w:line="440" w:lineRule="exact"/>
        <w:ind w:firstLine="504" w:firstLineChars="200"/>
        <w:jc w:val="both"/>
        <w:rPr>
          <w:rFonts w:asciiTheme="minorEastAsia" w:hAnsiTheme="minorEastAsia" w:eastAsiaTheme="minorEastAsia"/>
          <w:color w:val="auto"/>
          <w:spacing w:val="6"/>
          <w:sz w:val="24"/>
          <w:szCs w:val="24"/>
          <w:highlight w:val="none"/>
        </w:rPr>
      </w:pPr>
      <w:r>
        <w:rPr>
          <w:rFonts w:asciiTheme="minorEastAsia" w:hAnsiTheme="minorEastAsia" w:eastAsiaTheme="minorEastAsia"/>
          <w:color w:val="auto"/>
          <w:spacing w:val="6"/>
          <w:sz w:val="24"/>
          <w:szCs w:val="24"/>
          <w:highlight w:val="none"/>
        </w:rPr>
        <w:t>本人经由</w:t>
      </w:r>
      <w:r>
        <w:rPr>
          <w:rFonts w:asciiTheme="minorEastAsia" w:hAnsiTheme="minorEastAsia" w:eastAsiaTheme="minorEastAsia"/>
          <w:color w:val="auto"/>
          <w:spacing w:val="6"/>
          <w:sz w:val="24"/>
          <w:szCs w:val="24"/>
          <w:highlight w:val="none"/>
          <w:u w:val="single"/>
        </w:rPr>
        <w:t>（单位）</w:t>
      </w:r>
      <w:r>
        <w:rPr>
          <w:rFonts w:asciiTheme="minorEastAsia" w:hAnsiTheme="minorEastAsia" w:eastAsiaTheme="minorEastAsia"/>
          <w:color w:val="auto"/>
          <w:spacing w:val="6"/>
          <w:sz w:val="24"/>
          <w:szCs w:val="24"/>
          <w:highlight w:val="none"/>
        </w:rPr>
        <w:t>法人代表（负责人）</w:t>
      </w:r>
      <w:r>
        <w:rPr>
          <w:rFonts w:asciiTheme="minorEastAsia" w:hAnsiTheme="minorEastAsia" w:eastAsiaTheme="minorEastAsia"/>
          <w:color w:val="auto"/>
          <w:spacing w:val="6"/>
          <w:sz w:val="24"/>
          <w:szCs w:val="24"/>
          <w:highlight w:val="none"/>
          <w:u w:val="single"/>
        </w:rPr>
        <w:t>（姓名）</w:t>
      </w:r>
      <w:r>
        <w:rPr>
          <w:rFonts w:asciiTheme="minorEastAsia" w:hAnsiTheme="minorEastAsia" w:eastAsiaTheme="minorEastAsia"/>
          <w:color w:val="auto"/>
          <w:spacing w:val="6"/>
          <w:sz w:val="24"/>
          <w:szCs w:val="24"/>
          <w:highlight w:val="none"/>
        </w:rPr>
        <w:t>合法授权参加</w:t>
      </w:r>
      <w:r>
        <w:rPr>
          <w:rFonts w:asciiTheme="minorEastAsia" w:hAnsiTheme="minorEastAsia" w:eastAsiaTheme="minorEastAsia"/>
          <w:color w:val="auto"/>
          <w:spacing w:val="6"/>
          <w:sz w:val="24"/>
          <w:szCs w:val="24"/>
          <w:highlight w:val="none"/>
          <w:u w:val="single"/>
        </w:rPr>
        <w:t xml:space="preserve">            项目（编号：）       </w:t>
      </w:r>
      <w:r>
        <w:rPr>
          <w:rFonts w:asciiTheme="minorEastAsia" w:hAnsiTheme="minorEastAsia" w:eastAsiaTheme="minorEastAsia"/>
          <w:color w:val="auto"/>
          <w:spacing w:val="6"/>
          <w:sz w:val="24"/>
          <w:szCs w:val="24"/>
          <w:highlight w:val="none"/>
        </w:rPr>
        <w:t>政府采购活动，经与本单位法人代表（负责人）联系确认，现就有关公平竞争事项郑重声明如下：</w:t>
      </w:r>
    </w:p>
    <w:p w14:paraId="134E88B5">
      <w:pPr>
        <w:pStyle w:val="133"/>
        <w:widowControl/>
        <w:numPr>
          <w:ilvl w:val="0"/>
          <w:numId w:val="17"/>
        </w:numPr>
        <w:snapToGrid w:val="0"/>
        <w:spacing w:line="440" w:lineRule="exact"/>
        <w:ind w:firstLine="453" w:firstLineChars="189"/>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本单位与采购人之间</w:t>
      </w:r>
      <w:r>
        <w:rPr>
          <w:rFonts w:cs="宋体" w:asciiTheme="minorEastAsia" w:hAnsiTheme="minorEastAsia" w:eastAsiaTheme="minorEastAsia"/>
          <w:color w:val="auto"/>
          <w:kern w:val="0"/>
          <w:sz w:val="24"/>
          <w:szCs w:val="24"/>
          <w:highlight w:val="none"/>
        </w:rPr>
        <w:t>□</w:t>
      </w:r>
      <w:r>
        <w:rPr>
          <w:rFonts w:asciiTheme="minorEastAsia" w:hAnsiTheme="minorEastAsia" w:eastAsiaTheme="minorEastAsia"/>
          <w:color w:val="auto"/>
          <w:kern w:val="0"/>
          <w:sz w:val="24"/>
          <w:szCs w:val="24"/>
          <w:highlight w:val="none"/>
        </w:rPr>
        <w:t>不存在利害关系</w:t>
      </w:r>
      <w:r>
        <w:rPr>
          <w:rFonts w:cs="宋体" w:asciiTheme="minorEastAsia" w:hAnsiTheme="minorEastAsia" w:eastAsiaTheme="minorEastAsia"/>
          <w:color w:val="auto"/>
          <w:kern w:val="0"/>
          <w:sz w:val="24"/>
          <w:szCs w:val="24"/>
          <w:highlight w:val="none"/>
        </w:rPr>
        <w:t>□</w:t>
      </w:r>
      <w:r>
        <w:rPr>
          <w:rFonts w:asciiTheme="minorEastAsia" w:hAnsiTheme="minorEastAsia" w:eastAsiaTheme="minorEastAsia"/>
          <w:color w:val="auto"/>
          <w:kern w:val="0"/>
          <w:sz w:val="24"/>
          <w:szCs w:val="24"/>
          <w:highlight w:val="none"/>
        </w:rPr>
        <w:t>存在下列利害关系：</w:t>
      </w:r>
    </w:p>
    <w:p w14:paraId="6661F0EF">
      <w:pPr>
        <w:pStyle w:val="133"/>
        <w:widowControl/>
        <w:snapToGrid w:val="0"/>
        <w:spacing w:line="440" w:lineRule="exact"/>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 xml:space="preserve">  A.投资关系    B.行政隶属关系    C.业务指导关系</w:t>
      </w:r>
    </w:p>
    <w:p w14:paraId="7832A1AF">
      <w:pPr>
        <w:pStyle w:val="133"/>
        <w:widowControl/>
        <w:snapToGrid w:val="0"/>
        <w:spacing w:line="440" w:lineRule="exact"/>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 xml:space="preserve">  D.其他可能</w:t>
      </w:r>
      <w:r>
        <w:rPr>
          <w:rFonts w:asciiTheme="minorEastAsia" w:hAnsiTheme="minorEastAsia" w:eastAsiaTheme="minorEastAsia"/>
          <w:color w:val="auto"/>
          <w:sz w:val="24"/>
          <w:szCs w:val="24"/>
          <w:highlight w:val="none"/>
        </w:rPr>
        <w:t>影响采购公正的</w:t>
      </w:r>
      <w:r>
        <w:rPr>
          <w:rFonts w:asciiTheme="minorEastAsia" w:hAnsiTheme="minorEastAsia" w:eastAsiaTheme="minorEastAsia"/>
          <w:color w:val="auto"/>
          <w:kern w:val="0"/>
          <w:sz w:val="24"/>
          <w:szCs w:val="24"/>
          <w:highlight w:val="none"/>
        </w:rPr>
        <w:t>利害关系</w:t>
      </w:r>
      <w:r>
        <w:rPr>
          <w:rFonts w:asciiTheme="minorEastAsia" w:hAnsiTheme="minorEastAsia" w:eastAsiaTheme="minorEastAsia"/>
          <w:color w:val="auto"/>
          <w:kern w:val="0"/>
          <w:sz w:val="24"/>
          <w:szCs w:val="24"/>
          <w:highlight w:val="none"/>
          <w:u w:val="single"/>
        </w:rPr>
        <w:t>（如有，请如实说明）</w:t>
      </w:r>
      <w:r>
        <w:rPr>
          <w:rFonts w:asciiTheme="minorEastAsia" w:hAnsiTheme="minorEastAsia" w:eastAsiaTheme="minorEastAsia"/>
          <w:color w:val="auto"/>
          <w:kern w:val="0"/>
          <w:sz w:val="24"/>
          <w:szCs w:val="24"/>
          <w:highlight w:val="none"/>
        </w:rPr>
        <w:t>。</w:t>
      </w:r>
    </w:p>
    <w:p w14:paraId="657A5886">
      <w:pPr>
        <w:pStyle w:val="133"/>
        <w:widowControl/>
        <w:snapToGrid w:val="0"/>
        <w:spacing w:line="440" w:lineRule="exact"/>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spacing w:val="6"/>
          <w:sz w:val="24"/>
          <w:szCs w:val="24"/>
          <w:highlight w:val="none"/>
        </w:rPr>
        <w:t>二、</w:t>
      </w:r>
      <w:r>
        <w:rPr>
          <w:rFonts w:asciiTheme="minorEastAsia" w:hAnsiTheme="minorEastAsia" w:eastAsiaTheme="minorEastAsia"/>
          <w:color w:val="auto"/>
          <w:kern w:val="0"/>
          <w:sz w:val="24"/>
          <w:szCs w:val="24"/>
          <w:highlight w:val="none"/>
        </w:rPr>
        <w:t>现已清楚知道参加本项目采购活动的其他所有供应商名称，本单位</w:t>
      </w:r>
      <w:r>
        <w:rPr>
          <w:rFonts w:cs="宋体" w:asciiTheme="minorEastAsia" w:hAnsiTheme="minorEastAsia" w:eastAsiaTheme="minorEastAsia"/>
          <w:color w:val="auto"/>
          <w:kern w:val="0"/>
          <w:sz w:val="24"/>
          <w:szCs w:val="24"/>
          <w:highlight w:val="none"/>
        </w:rPr>
        <w:t>□与其他所有供应商之间均</w:t>
      </w:r>
      <w:r>
        <w:rPr>
          <w:rFonts w:asciiTheme="minorEastAsia" w:hAnsiTheme="minorEastAsia" w:eastAsiaTheme="minorEastAsia"/>
          <w:color w:val="auto"/>
          <w:kern w:val="0"/>
          <w:sz w:val="24"/>
          <w:szCs w:val="24"/>
          <w:highlight w:val="none"/>
        </w:rPr>
        <w:t>不存在利害关系</w:t>
      </w:r>
      <w:r>
        <w:rPr>
          <w:rFonts w:cs="宋体" w:asciiTheme="minorEastAsia" w:hAnsiTheme="minorEastAsia" w:eastAsiaTheme="minorEastAsia"/>
          <w:color w:val="auto"/>
          <w:kern w:val="0"/>
          <w:sz w:val="24"/>
          <w:szCs w:val="24"/>
          <w:highlight w:val="none"/>
        </w:rPr>
        <w:t>□与</w:t>
      </w:r>
      <w:r>
        <w:rPr>
          <w:rFonts w:cs="宋体" w:asciiTheme="minorEastAsia" w:hAnsiTheme="minorEastAsia" w:eastAsiaTheme="minorEastAsia"/>
          <w:color w:val="auto"/>
          <w:kern w:val="0"/>
          <w:sz w:val="24"/>
          <w:szCs w:val="24"/>
          <w:highlight w:val="none"/>
          <w:u w:val="single"/>
        </w:rPr>
        <w:t xml:space="preserve">           （供应商名称）</w:t>
      </w:r>
      <w:r>
        <w:rPr>
          <w:rFonts w:cs="宋体" w:asciiTheme="minorEastAsia" w:hAnsiTheme="minorEastAsia" w:eastAsiaTheme="minorEastAsia"/>
          <w:color w:val="auto"/>
          <w:kern w:val="0"/>
          <w:sz w:val="24"/>
          <w:szCs w:val="24"/>
          <w:highlight w:val="none"/>
        </w:rPr>
        <w:t>之间</w:t>
      </w:r>
      <w:r>
        <w:rPr>
          <w:rFonts w:asciiTheme="minorEastAsia" w:hAnsiTheme="minorEastAsia" w:eastAsiaTheme="minorEastAsia"/>
          <w:color w:val="auto"/>
          <w:kern w:val="0"/>
          <w:sz w:val="24"/>
          <w:szCs w:val="24"/>
          <w:highlight w:val="none"/>
        </w:rPr>
        <w:t>存在下列利害关系：</w:t>
      </w:r>
    </w:p>
    <w:p w14:paraId="01E57F41">
      <w:pPr>
        <w:pStyle w:val="132"/>
        <w:widowControl w:val="0"/>
        <w:snapToGrid w:val="0"/>
        <w:spacing w:line="440" w:lineRule="exact"/>
        <w:jc w:val="both"/>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 xml:space="preserve">  A.法定代表人或负责人或实际控制人是同一人；</w:t>
      </w:r>
    </w:p>
    <w:p w14:paraId="7268BBCD">
      <w:pPr>
        <w:pStyle w:val="132"/>
        <w:widowControl w:val="0"/>
        <w:snapToGrid w:val="0"/>
        <w:spacing w:line="440" w:lineRule="exact"/>
        <w:jc w:val="both"/>
        <w:rPr>
          <w:rFonts w:asciiTheme="minorEastAsia" w:hAnsiTheme="minorEastAsia" w:eastAsiaTheme="minorEastAsia"/>
          <w:color w:val="auto"/>
          <w:spacing w:val="6"/>
          <w:sz w:val="24"/>
          <w:szCs w:val="24"/>
          <w:highlight w:val="none"/>
        </w:rPr>
      </w:pPr>
      <w:r>
        <w:rPr>
          <w:rFonts w:asciiTheme="minorEastAsia" w:hAnsiTheme="minorEastAsia" w:eastAsiaTheme="minorEastAsia"/>
          <w:color w:val="auto"/>
          <w:kern w:val="0"/>
          <w:sz w:val="24"/>
          <w:szCs w:val="24"/>
          <w:highlight w:val="none"/>
        </w:rPr>
        <w:t xml:space="preserve">  B.法定代表人或负责人或实际控制人是夫妻关系；</w:t>
      </w:r>
    </w:p>
    <w:p w14:paraId="58B399DE">
      <w:pPr>
        <w:pStyle w:val="132"/>
        <w:widowControl w:val="0"/>
        <w:snapToGrid w:val="0"/>
        <w:spacing w:line="440" w:lineRule="exact"/>
        <w:jc w:val="both"/>
        <w:rPr>
          <w:rFonts w:asciiTheme="minorEastAsia" w:hAnsiTheme="minorEastAsia" w:eastAsiaTheme="minorEastAsia"/>
          <w:color w:val="auto"/>
          <w:spacing w:val="6"/>
          <w:sz w:val="24"/>
          <w:szCs w:val="24"/>
          <w:highlight w:val="none"/>
        </w:rPr>
      </w:pPr>
      <w:r>
        <w:rPr>
          <w:rFonts w:asciiTheme="minorEastAsia" w:hAnsiTheme="minorEastAsia" w:eastAsiaTheme="minorEastAsia"/>
          <w:color w:val="auto"/>
          <w:kern w:val="0"/>
          <w:sz w:val="24"/>
          <w:szCs w:val="24"/>
          <w:highlight w:val="none"/>
        </w:rPr>
        <w:t xml:space="preserve">  C.法定代表人或负责人或实际控制人是直系血亲关系；</w:t>
      </w:r>
    </w:p>
    <w:p w14:paraId="63A1E136">
      <w:pPr>
        <w:pStyle w:val="132"/>
        <w:widowControl w:val="0"/>
        <w:snapToGrid w:val="0"/>
        <w:spacing w:line="440" w:lineRule="exact"/>
        <w:jc w:val="both"/>
        <w:rPr>
          <w:rFonts w:asciiTheme="minorEastAsia" w:hAnsiTheme="minorEastAsia" w:eastAsiaTheme="minorEastAsia"/>
          <w:color w:val="auto"/>
          <w:spacing w:val="6"/>
          <w:sz w:val="24"/>
          <w:szCs w:val="24"/>
          <w:highlight w:val="none"/>
        </w:rPr>
      </w:pPr>
      <w:r>
        <w:rPr>
          <w:rFonts w:asciiTheme="minorEastAsia" w:hAnsiTheme="minorEastAsia" w:eastAsiaTheme="minorEastAsia"/>
          <w:color w:val="auto"/>
          <w:kern w:val="0"/>
          <w:sz w:val="24"/>
          <w:szCs w:val="24"/>
          <w:highlight w:val="none"/>
        </w:rPr>
        <w:t xml:space="preserve">  D.法定代表人或负责人或实际控制人存在三代以内旁系血亲关系；</w:t>
      </w:r>
    </w:p>
    <w:p w14:paraId="687D934E">
      <w:pPr>
        <w:pStyle w:val="132"/>
        <w:widowControl w:val="0"/>
        <w:snapToGrid w:val="0"/>
        <w:spacing w:line="440" w:lineRule="exact"/>
        <w:jc w:val="both"/>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 xml:space="preserve">  E.法定代表人或负责人或实际控制人存在近姻亲关系；</w:t>
      </w:r>
    </w:p>
    <w:p w14:paraId="120DD07D">
      <w:pPr>
        <w:pStyle w:val="132"/>
        <w:widowControl w:val="0"/>
        <w:snapToGrid w:val="0"/>
        <w:spacing w:line="440" w:lineRule="exact"/>
        <w:jc w:val="both"/>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 xml:space="preserve">  F.法定代表人或负责人或实际控制人存在股份控制或实际控制关系；</w:t>
      </w:r>
    </w:p>
    <w:p w14:paraId="014513D9">
      <w:pPr>
        <w:pStyle w:val="132"/>
        <w:widowControl w:val="0"/>
        <w:snapToGrid w:val="0"/>
        <w:spacing w:line="440" w:lineRule="exact"/>
        <w:jc w:val="both"/>
        <w:outlineLvl w:val="0"/>
        <w:rPr>
          <w:rFonts w:asciiTheme="minorEastAsia" w:hAnsiTheme="minorEastAsia" w:eastAsiaTheme="minorEastAsia"/>
          <w:color w:val="auto"/>
          <w:kern w:val="0"/>
          <w:sz w:val="24"/>
          <w:szCs w:val="24"/>
          <w:highlight w:val="none"/>
        </w:rPr>
      </w:pPr>
      <w:bookmarkStart w:id="141" w:name="_Toc2857"/>
      <w:bookmarkStart w:id="142" w:name="_Toc20365"/>
      <w:bookmarkStart w:id="143" w:name="_Toc21795"/>
      <w:bookmarkStart w:id="144" w:name="_Toc24072"/>
      <w:bookmarkStart w:id="145" w:name="_Toc15030"/>
      <w:bookmarkStart w:id="146" w:name="_Toc9367"/>
      <w:r>
        <w:rPr>
          <w:rFonts w:asciiTheme="minorEastAsia" w:hAnsiTheme="minorEastAsia" w:eastAsiaTheme="minorEastAsia"/>
          <w:color w:val="auto"/>
          <w:kern w:val="0"/>
          <w:sz w:val="24"/>
          <w:szCs w:val="24"/>
          <w:highlight w:val="none"/>
        </w:rPr>
        <w:t>G.存在共同直接或间接投资设立子公司、联营企业和合营企业情况；</w:t>
      </w:r>
      <w:bookmarkEnd w:id="141"/>
      <w:bookmarkEnd w:id="142"/>
      <w:bookmarkEnd w:id="143"/>
      <w:bookmarkEnd w:id="144"/>
      <w:bookmarkEnd w:id="145"/>
      <w:bookmarkEnd w:id="146"/>
    </w:p>
    <w:p w14:paraId="19D4F99F">
      <w:pPr>
        <w:pStyle w:val="132"/>
        <w:widowControl w:val="0"/>
        <w:snapToGrid w:val="0"/>
        <w:spacing w:line="440" w:lineRule="exact"/>
        <w:jc w:val="both"/>
        <w:rPr>
          <w:rFonts w:asciiTheme="minorEastAsia" w:hAnsiTheme="minorEastAsia" w:eastAsiaTheme="minorEastAsia"/>
          <w:color w:val="auto"/>
          <w:sz w:val="24"/>
          <w:szCs w:val="24"/>
          <w:highlight w:val="none"/>
        </w:rPr>
      </w:pPr>
      <w:r>
        <w:rPr>
          <w:rFonts w:asciiTheme="minorEastAsia" w:hAnsiTheme="minorEastAsia" w:eastAsiaTheme="minorEastAsia"/>
          <w:color w:val="auto"/>
          <w:kern w:val="0"/>
          <w:sz w:val="24"/>
          <w:szCs w:val="24"/>
          <w:highlight w:val="none"/>
        </w:rPr>
        <w:t xml:space="preserve">  H.存在分级代理或代销关系、同一生产制造商关系、</w:t>
      </w:r>
      <w:r>
        <w:rPr>
          <w:rFonts w:asciiTheme="minorEastAsia" w:hAnsiTheme="minorEastAsia" w:eastAsiaTheme="minorEastAsia"/>
          <w:color w:val="auto"/>
          <w:sz w:val="24"/>
          <w:szCs w:val="24"/>
          <w:highlight w:val="none"/>
        </w:rPr>
        <w:t>管理关系、重要业务（占主营业务收入50%以上）或重要财务往来关系（如融资）等其他实质性控制关系；</w:t>
      </w:r>
    </w:p>
    <w:p w14:paraId="5256D3A6">
      <w:pPr>
        <w:pStyle w:val="132"/>
        <w:widowControl w:val="0"/>
        <w:snapToGrid w:val="0"/>
        <w:spacing w:line="440" w:lineRule="exact"/>
        <w:jc w:val="both"/>
        <w:rPr>
          <w:rFonts w:asciiTheme="minorEastAsia" w:hAnsiTheme="minorEastAsia" w:eastAsiaTheme="minorEastAsia"/>
          <w:color w:val="auto"/>
          <w:spacing w:val="6"/>
          <w:sz w:val="24"/>
          <w:szCs w:val="24"/>
          <w:highlight w:val="none"/>
        </w:rPr>
      </w:pPr>
      <w:r>
        <w:rPr>
          <w:rFonts w:asciiTheme="minorEastAsia" w:hAnsiTheme="minorEastAsia" w:eastAsiaTheme="minorEastAsia"/>
          <w:color w:val="auto"/>
          <w:sz w:val="24"/>
          <w:szCs w:val="24"/>
          <w:highlight w:val="none"/>
        </w:rPr>
        <w:t xml:space="preserve">  I</w:t>
      </w:r>
      <w:r>
        <w:rPr>
          <w:rFonts w:asciiTheme="minorEastAsia" w:hAnsiTheme="minorEastAsia" w:eastAsiaTheme="minorEastAsia"/>
          <w:color w:val="auto"/>
          <w:kern w:val="0"/>
          <w:sz w:val="24"/>
          <w:szCs w:val="24"/>
          <w:highlight w:val="none"/>
        </w:rPr>
        <w:t>.</w:t>
      </w:r>
      <w:r>
        <w:rPr>
          <w:rFonts w:asciiTheme="minorEastAsia" w:hAnsiTheme="minorEastAsia" w:eastAsiaTheme="minorEastAsia"/>
          <w:color w:val="auto"/>
          <w:sz w:val="24"/>
          <w:szCs w:val="24"/>
          <w:highlight w:val="none"/>
        </w:rPr>
        <w:t>其他利害关系情况</w:t>
      </w:r>
      <w:r>
        <w:rPr>
          <w:rFonts w:asciiTheme="minorEastAsia" w:hAnsiTheme="minorEastAsia" w:eastAsiaTheme="minorEastAsia"/>
          <w:color w:val="auto"/>
          <w:kern w:val="0"/>
          <w:sz w:val="24"/>
          <w:szCs w:val="24"/>
          <w:highlight w:val="none"/>
        </w:rPr>
        <w:t>。</w:t>
      </w:r>
    </w:p>
    <w:p w14:paraId="2EC10B34">
      <w:pPr>
        <w:pStyle w:val="133"/>
        <w:widowControl/>
        <w:numPr>
          <w:ilvl w:val="0"/>
          <w:numId w:val="18"/>
        </w:numPr>
        <w:snapToGrid w:val="0"/>
        <w:spacing w:line="440" w:lineRule="exact"/>
        <w:ind w:firstLine="453" w:firstLineChars="189"/>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sz w:val="24"/>
          <w:szCs w:val="24"/>
          <w:highlight w:val="none"/>
        </w:rPr>
        <w:t>现已清楚知道并</w:t>
      </w:r>
      <w:r>
        <w:rPr>
          <w:rFonts w:asciiTheme="minorEastAsia" w:hAnsiTheme="minorEastAsia" w:eastAsiaTheme="minorEastAsia"/>
          <w:color w:val="auto"/>
          <w:kern w:val="0"/>
          <w:sz w:val="24"/>
          <w:szCs w:val="24"/>
          <w:highlight w:val="none"/>
        </w:rPr>
        <w:t>严格遵守政府采购法律法规和现场纪律。</w:t>
      </w:r>
    </w:p>
    <w:p w14:paraId="325DCFD8">
      <w:pPr>
        <w:pStyle w:val="133"/>
        <w:widowControl/>
        <w:numPr>
          <w:ilvl w:val="0"/>
          <w:numId w:val="18"/>
        </w:numPr>
        <w:snapToGrid w:val="0"/>
        <w:spacing w:line="440" w:lineRule="exact"/>
        <w:ind w:firstLine="453" w:firstLineChars="189"/>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我发现供应商</w:t>
      </w:r>
      <w:r>
        <w:rPr>
          <w:rFonts w:asciiTheme="minorEastAsia" w:hAnsiTheme="minorEastAsia" w:eastAsiaTheme="minorEastAsia"/>
          <w:color w:val="auto"/>
          <w:kern w:val="0"/>
          <w:sz w:val="24"/>
          <w:szCs w:val="24"/>
          <w:highlight w:val="none"/>
          <w:u w:val="single"/>
        </w:rPr>
        <w:t xml:space="preserve">                     之间</w:t>
      </w:r>
      <w:r>
        <w:rPr>
          <w:rFonts w:asciiTheme="minorEastAsia" w:hAnsiTheme="minorEastAsia" w:eastAsiaTheme="minorEastAsia"/>
          <w:color w:val="auto"/>
          <w:kern w:val="0"/>
          <w:sz w:val="24"/>
          <w:szCs w:val="24"/>
          <w:highlight w:val="none"/>
        </w:rPr>
        <w:t>存在或可能存在上述第二条第项利害关系。</w:t>
      </w:r>
    </w:p>
    <w:p w14:paraId="30A28DDC">
      <w:pPr>
        <w:pStyle w:val="132"/>
        <w:widowControl w:val="0"/>
        <w:snapToGrid w:val="0"/>
        <w:spacing w:line="440" w:lineRule="exact"/>
        <w:ind w:firstLine="480" w:firstLineChars="200"/>
        <w:jc w:val="righ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（供应商代表签名）：</w:t>
      </w:r>
    </w:p>
    <w:p w14:paraId="4B5441D6">
      <w:pPr>
        <w:pStyle w:val="132"/>
        <w:widowControl w:val="0"/>
        <w:snapToGrid w:val="0"/>
        <w:spacing w:line="440" w:lineRule="exact"/>
        <w:ind w:firstLine="480" w:firstLineChars="200"/>
        <w:jc w:val="right"/>
        <w:rPr>
          <w:rFonts w:hint="default" w:asciiTheme="minorEastAsia" w:hAnsiTheme="minorEastAsia" w:eastAsiaTheme="minorEastAsia"/>
          <w:color w:val="auto"/>
          <w:sz w:val="24"/>
          <w:szCs w:val="24"/>
          <w:highlight w:val="none"/>
        </w:rPr>
      </w:pPr>
    </w:p>
    <w:sectPr>
      <w:footerReference r:id="rId10" w:type="default"/>
      <w:pgSz w:w="11906" w:h="16838"/>
      <w:pgMar w:top="1440" w:right="1349" w:bottom="1440" w:left="129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decorative"/>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DE8D2">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79F7">
    <w:pPr>
      <w:pStyle w:val="3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EFAEA">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43EFAEA">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67B2D">
    <w:pPr>
      <w:pStyle w:val="31"/>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352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335280"/>
                      </a:xfrm>
                      <a:prstGeom prst="rect">
                        <a:avLst/>
                      </a:prstGeom>
                      <a:noFill/>
                      <a:ln>
                        <a:noFill/>
                      </a:ln>
                      <a:effectLst/>
                    </wps:spPr>
                    <wps:txbx>
                      <w:txbxContent>
                        <w:sdt>
                          <w:sdtPr>
                            <w:id w:val="-423036709"/>
                          </w:sdtPr>
                          <w:sdtContent>
                            <w:p w14:paraId="70BBBBE4">
                              <w:pPr>
                                <w:pStyle w:val="31"/>
                                <w:jc w:val="right"/>
                              </w:pPr>
                              <w:r>
                                <w:fldChar w:fldCharType="begin"/>
                              </w:r>
                              <w:r>
                                <w:instrText xml:space="preserve">PAGE   \* MERGEFORMAT</w:instrText>
                              </w:r>
                              <w:r>
                                <w:fldChar w:fldCharType="separate"/>
                              </w:r>
                              <w:r>
                                <w:rPr>
                                  <w:lang w:val="zh-CN"/>
                                </w:rPr>
                                <w:t>6</w:t>
                              </w:r>
                              <w:r>
                                <w:rPr>
                                  <w:lang w:val="zh-CN"/>
                                </w:rPr>
                                <w:fldChar w:fldCharType="end"/>
                              </w:r>
                            </w:p>
                          </w:sdtContent>
                        </w:sdt>
                        <w:p w14:paraId="0CE0B6D8"/>
                      </w:txbxContent>
                    </wps:txbx>
                    <wps:bodyPr wrap="none" lIns="0" tIns="0" rIns="0" bIns="0" upright="1">
                      <a:spAutoFit/>
                    </wps:bodyPr>
                  </wps:wsp>
                </a:graphicData>
              </a:graphic>
            </wp:anchor>
          </w:drawing>
        </mc:Choice>
        <mc:Fallback>
          <w:pict>
            <v:shape id="_x0000_s1026" o:spid="_x0000_s1026" o:spt="202" type="#_x0000_t202" style="position:absolute;left:0pt;margin-top:0pt;height:26.4pt;width:9.05pt;mso-position-horizontal:center;mso-position-horizontal-relative:margin;mso-wrap-style:none;z-index:251663360;mso-width-relative:page;mso-height-relative:page;" filled="f" stroked="f" coordsize="21600,21600" o:gfxdata="UEsDBAoAAAAAAIdO4kAAAAAAAAAAAAAAAAAEAAAAZHJzL1BLAwQUAAAACACHTuJAWYPIqdAAAAAD&#10;AQAADwAAAGRycy9kb3ducmV2LnhtbE2PwWrDMBBE74X8g9hCb43sQFvjWM4hkEtvTUuht421sUyl&#10;lZEUx/77Kr20l4Vhhpm3zW52VkwU4uBZQbkuQBB3Xg/cK/h4PzxWIGJC1mg9k4KFIuza1V2DtfZX&#10;fqPpmHqRSzjWqMCkNNZSxs6Qw7j2I3H2zj44TFmGXuqA11zurNwUxbN0OHBeMDjS3lD3fbw4BS/z&#10;p6cx0p6+zlMXzLBU9nVR6uG+LLYgEs3pLww3/IwObWY6+QvrKKyC/Ej6vTevKkGcFDxtKpBtI/+z&#10;tz9QSwMEFAAAAAgAh07iQAjk/FXUAQAApQMAAA4AAABkcnMvZTJvRG9jLnhtbK1TS27bMBDdF8gd&#10;CO5j+dMYiWA5aGGkKFC0BdIcgKZIiwB/4NCWfIH2Bl11033P5XN0SEnOp5ssuqGGw+Gb9x5Hq9vO&#10;aHIQAZSzFZ1NppQIy12t7K6iD9/uLq8pgchszbSzoqJHAfR2ffFm1fpSzF3jdC0CQRALZesr2sTo&#10;y6IA3gjDYOK8sHgoXTAs4jbsijqwFtGNLubT6bJoXah9cFwAYHbTH9IBMbwG0EmpuNg4vjfCxh41&#10;CM0iSoJGeaDrzFZKweMXKUFEoiuKSmNesQnG27QW6xUrd4H5RvGBAnsNhReaDFMWm56hNiwysg/q&#10;HyijeHDgZJxwZ4peSHYEVcymL7y5b5gXWQtaDf5sOvw/WP758DUQVVd0SYllBh/89PPH6def0+/v&#10;ZJnsaT2UWHXvsS52712HQzPmAZNJdSeDSV/UQ/AczT2ezRVdJDxdmr29WVxRwvFosbiaX2fzi8fL&#10;PkD8IJwhKahowLfLlrLDJ4hIBEvHktTLujuldX4/bZ8lsLDPiDwAw+2ko+ebothtu0Hc1tVH1Nbi&#10;EFTU4sxToj9a9DjNyxiEMdiOwd4HtWuQ6CyzBP9uH5FSZpo69LBIO23w9bKAYdLSeDzd56rHv2v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mDyKnQAAAAAwEAAA8AAAAAAAAAAQAgAAAAIgAAAGRy&#10;cy9kb3ducmV2LnhtbFBLAQIUABQAAAAIAIdO4kAI5PxV1AEAAKUDAAAOAAAAAAAAAAEAIAAAAB8B&#10;AABkcnMvZTJvRG9jLnhtbFBLBQYAAAAABgAGAFkBAABlBQAAAAA=&#10;">
              <v:fill on="f" focussize="0,0"/>
              <v:stroke on="f"/>
              <v:imagedata o:title=""/>
              <o:lock v:ext="edit" aspectratio="f"/>
              <v:textbox inset="0mm,0mm,0mm,0mm" style="mso-fit-shape-to-text:t;">
                <w:txbxContent>
                  <w:sdt>
                    <w:sdtPr>
                      <w:id w:val="-423036709"/>
                    </w:sdtPr>
                    <w:sdtContent>
                      <w:p w14:paraId="70BBBBE4">
                        <w:pPr>
                          <w:pStyle w:val="31"/>
                          <w:jc w:val="right"/>
                        </w:pPr>
                        <w:r>
                          <w:fldChar w:fldCharType="begin"/>
                        </w:r>
                        <w:r>
                          <w:instrText xml:space="preserve">PAGE   \* MERGEFORMAT</w:instrText>
                        </w:r>
                        <w:r>
                          <w:fldChar w:fldCharType="separate"/>
                        </w:r>
                        <w:r>
                          <w:rPr>
                            <w:lang w:val="zh-CN"/>
                          </w:rPr>
                          <w:t>6</w:t>
                        </w:r>
                        <w:r>
                          <w:rPr>
                            <w:lang w:val="zh-CN"/>
                          </w:rPr>
                          <w:fldChar w:fldCharType="end"/>
                        </w:r>
                      </w:p>
                    </w:sdtContent>
                  </w:sdt>
                  <w:p w14:paraId="0CE0B6D8"/>
                </w:txbxContent>
              </v:textbox>
            </v:shape>
          </w:pict>
        </mc:Fallback>
      </mc:AlternateContent>
    </w:r>
  </w:p>
  <w:p w14:paraId="4A9570DB">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4DF7">
    <w:pPr>
      <w:pStyle w:val="31"/>
      <w:ind w:firstLine="44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050"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0050" cy="154940"/>
                      </a:xfrm>
                      <a:prstGeom prst="rect">
                        <a:avLst/>
                      </a:prstGeom>
                      <a:noFill/>
                      <a:ln w="6350">
                        <a:noFill/>
                      </a:ln>
                      <a:effectLst/>
                    </wps:spPr>
                    <wps:txbx>
                      <w:txbxContent>
                        <w:p w14:paraId="03987769">
                          <w:pPr>
                            <w:pStyle w:val="31"/>
                            <w:ind w:firstLine="440"/>
                            <w:jc w:val="right"/>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31.5pt;mso-position-horizontal:center;mso-position-horizontal-relative:margin;mso-wrap-style:none;z-index:251659264;mso-width-relative:page;mso-height-relative:page;" filled="f" stroked="f" coordsize="21600,21600" o:gfxdata="UEsDBAoAAAAAAIdO4kAAAAAAAAAAAAAAAAAEAAAAZHJzL1BLAwQUAAAACACHTuJAZkxBC9EAAAAD&#10;AQAADwAAAGRycy9kb3ducmV2LnhtbE2PwU7DMBBE70j8g7VI3KjTNqpQiFOJinBEoumBoxsvSVp7&#10;HdluGv6ehQtcRhrNauZtuZ2dFROGOHhSsFxkIJBabwbqFBya+uERREyajLaeUMEXRthWtzelLoy/&#10;0jtO+9QJLqFYaAV9SmMhZWx7dDou/IjE2acPTie2oZMm6CuXOytXWbaRTg/EC70ecddje95fnIJd&#10;3TRhwhjsB77W69Pbc44vs1L3d8vsCUTCOf0dww8+o0PFTEd/IROFVcCPpF/lbLNmd1SwynOQVSn/&#10;s1ffUEsDBBQAAAAIAIdO4kDni7wH2wEAAK4DAAAOAAAAZHJzL2Uyb0RvYy54bWytU0tu2zAQ3Rfo&#10;HQjua8mpHTSC6aCFkSBA0RZIegCaoiwC/IFDW/IF2ht01U33PZfPkSElOW26yaIbaTgzevPe42h1&#10;3RtNDjKAcpbR+aykRFrhamV3jH59uHnzjhKI3NZcOysZPUqg1+vXr1adr+SFa52uZSAIYqHqPKNt&#10;jL4qChCtNBxmzkuLxcYFwyMew66oA+8Q3ejioiwvi86F2gcnJABmN0ORjojhJYCuaZSQGyf2Rto4&#10;oAapeURJ0CoPdJ3ZNo0U8XPTgIxEM4pKY37iEIy36VmsV7zaBe5bJUYK/CUUnmkyXFkceoba8MjJ&#10;Pqh/oIwSwYFr4kw4UwxCsiOoYl4+8+a+5V5mLWg1+LPp8P9gxafDl0BUzeiSEssNXvjpx/fTz9+n&#10;X9/IMtnTeaiw695jX+w/uB6XZsoDJpPqvgkmvVEPwTqaezybK/tIBCYXZVkusSKwNF8urhbZ/OLp&#10;Yx8g3kpnSAoYDXh32VJ++AgRiWDr1JJmWXejtM73py3pGL18i/B/VfALbVNG5k0YYZKggXiKYr/t&#10;R5VbVx9RZIfbwKjF5adE31k0Oy3OFIQp2E7B3ge1a5HxPE8H/34fkVumnCYMsMg/HfAas5Jx5dKe&#10;/HnOXU+/2f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kxBC9EAAAADAQAADwAAAAAAAAABACAA&#10;AAAiAAAAZHJzL2Rvd25yZXYueG1sUEsBAhQAFAAAAAgAh07iQOeLvAfbAQAArgMAAA4AAAAAAAAA&#10;AQAgAAAAIAEAAGRycy9lMm9Eb2MueG1sUEsFBgAAAAAGAAYAWQEAAG0FAAAAAA==&#10;">
              <v:fill on="f" focussize="0,0"/>
              <v:stroke on="f" weight="0.5pt"/>
              <v:imagedata o:title=""/>
              <o:lock v:ext="edit" aspectratio="f"/>
              <v:textbox inset="0mm,0mm,0mm,0mm" style="mso-fit-shape-to-text:t;">
                <w:txbxContent>
                  <w:p w14:paraId="03987769">
                    <w:pPr>
                      <w:pStyle w:val="31"/>
                      <w:ind w:firstLine="440"/>
                      <w:jc w:val="right"/>
                    </w:pPr>
                    <w:r>
                      <w:fldChar w:fldCharType="begin"/>
                    </w:r>
                    <w:r>
                      <w:instrText xml:space="preserve"> PAGE  \* MERGEFORMAT </w:instrText>
                    </w:r>
                    <w:r>
                      <w:fldChar w:fldCharType="separate"/>
                    </w:r>
                    <w:r>
                      <w:t>60</w:t>
                    </w:r>
                    <w:r>
                      <w:fldChar w:fldCharType="end"/>
                    </w:r>
                  </w:p>
                </w:txbxContent>
              </v:textbox>
            </v:shape>
          </w:pict>
        </mc:Fallback>
      </mc:AlternateContent>
    </w:r>
  </w:p>
  <w:p w14:paraId="1ED9618D">
    <w:pPr>
      <w:pStyle w:val="31"/>
      <w:ind w:firstLine="4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4ED4">
    <w:pPr>
      <w:pStyle w:val="31"/>
      <w:ind w:firstLine="44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0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0050" cy="154940"/>
                      </a:xfrm>
                      <a:prstGeom prst="rect">
                        <a:avLst/>
                      </a:prstGeom>
                      <a:noFill/>
                      <a:ln w="6350">
                        <a:noFill/>
                      </a:ln>
                      <a:effectLst/>
                    </wps:spPr>
                    <wps:txbx>
                      <w:txbxContent>
                        <w:p w14:paraId="3093F188">
                          <w:pPr>
                            <w:pStyle w:val="31"/>
                            <w:ind w:firstLine="440"/>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31.5pt;mso-position-horizontal:center;mso-position-horizontal-relative:margin;mso-wrap-style:none;z-index:251662336;mso-width-relative:page;mso-height-relative:page;" filled="f" stroked="f" coordsize="21600,21600" o:gfxdata="UEsDBAoAAAAAAIdO4kAAAAAAAAAAAAAAAAAEAAAAZHJzL1BLAwQUAAAACACHTuJAZkxBC9EAAAAD&#10;AQAADwAAAGRycy9kb3ducmV2LnhtbE2PwU7DMBBE70j8g7VI3KjTNqpQiFOJinBEoumBoxsvSVp7&#10;HdluGv6ehQtcRhrNauZtuZ2dFROGOHhSsFxkIJBabwbqFBya+uERREyajLaeUMEXRthWtzelLoy/&#10;0jtO+9QJLqFYaAV9SmMhZWx7dDou/IjE2acPTie2oZMm6CuXOytXWbaRTg/EC70ecddje95fnIJd&#10;3TRhwhjsB77W69Pbc44vs1L3d8vsCUTCOf0dww8+o0PFTEd/IROFVcCPpF/lbLNmd1SwynOQVSn/&#10;s1ffUEsDBBQAAAAIAIdO4kAA8cfB2wEAAK4DAAAOAAAAZHJzL2Uyb0RvYy54bWytU82O0zAQviPx&#10;DpbvNOmSXUHUdAWqFiEhQFp4ANexG0v+k8dt0heAN+DEhTvP1efYsZN02d3LHrgk45nJN9/3ebK6&#10;HowmBxFAOdvQ5aKkRFjuWmV3Df3+7ebVG0ogMtsy7axo6FEAvV6/fLHqfS0uXOd0KwJBEAt17xva&#10;xejrogDeCcNg4bywWJQuGBbxGHZFG1iP6EYXF2V5VfQutD44LgAwuxmLdEIMzwF0UiouNo7vjbBx&#10;RA1Cs4iSoFMe6DqzlVLw+EVKEJHohqLSmJ84BONtehbrFat3gflO8YkCew6FR5oMUxaHnqE2LDKy&#10;D+oJlFE8OHAyLrgzxSgkO4IqluUjb2475kXWglaDP5sO/w+Wfz58DUS1Da0osczghZ9+/Tz9/nv6&#10;84NUyZ7eQ41dtx774vDeDbg0cx4wmVQPMpj0Rj0E62ju8WyuGCLhmKzKsrzECsfS8rJ6W2Xzi/uP&#10;fYD4QThDUtDQgHeXLWWHTxCRCLbOLWmWdTdK63x/2pK+oVevEf5BBb/QNmVE3oQJJgkaiacoDtth&#10;Url17RFF9rgNDbW4/JTojxbNToszB2EOtnOw90HtOmS8zNPBv9tH5JYppwkjLPJPB7zGrGRaubQn&#10;/55z1/1vtr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kxBC9EAAAADAQAADwAAAAAAAAABACAA&#10;AAAiAAAAZHJzL2Rvd25yZXYueG1sUEsBAhQAFAAAAAgAh07iQADxx8HbAQAArgMAAA4AAAAAAAAA&#10;AQAgAAAAIAEAAGRycy9lMm9Eb2MueG1sUEsFBgAAAAAGAAYAWQEAAG0FAAAAAA==&#10;">
              <v:fill on="f" focussize="0,0"/>
              <v:stroke on="f" weight="0.5pt"/>
              <v:imagedata o:title=""/>
              <o:lock v:ext="edit" aspectratio="f"/>
              <v:textbox inset="0mm,0mm,0mm,0mm" style="mso-fit-shape-to-text:t;">
                <w:txbxContent>
                  <w:p w14:paraId="3093F188">
                    <w:pPr>
                      <w:pStyle w:val="31"/>
                      <w:ind w:firstLine="440"/>
                    </w:pPr>
                    <w:r>
                      <w:fldChar w:fldCharType="begin"/>
                    </w:r>
                    <w:r>
                      <w:instrText xml:space="preserve"> PAGE  \* MERGEFORMAT </w:instrText>
                    </w:r>
                    <w:r>
                      <w:fldChar w:fldCharType="separate"/>
                    </w:r>
                    <w:r>
                      <w:t>72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94335" cy="3352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4335" cy="335280"/>
                      </a:xfrm>
                      <a:prstGeom prst="rect">
                        <a:avLst/>
                      </a:prstGeom>
                      <a:noFill/>
                      <a:ln w="6350">
                        <a:noFill/>
                      </a:ln>
                      <a:effectLst/>
                    </wps:spPr>
                    <wps:txbx>
                      <w:txbxContent>
                        <w:p w14:paraId="01B5B78A">
                          <w:pPr>
                            <w:ind w:firstLine="440"/>
                            <w:jc w:val="center"/>
                          </w:pPr>
                        </w:p>
                        <w:p w14:paraId="5EF4063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6.4pt;width:31.05pt;mso-position-horizontal:center;mso-position-horizontal-relative:margin;mso-wrap-style:none;z-index:251661312;mso-width-relative:page;mso-height-relative:page;" filled="f" stroked="f" coordsize="21600,21600" o:gfxdata="UEsDBAoAAAAAAIdO4kAAAAAAAAAAAAAAAAAEAAAAZHJzL1BLAwQUAAAACACHTuJA0KF1adIAAAAD&#10;AQAADwAAAGRycy9kb3ducmV2LnhtbE2PwU7DMBBE70j8g7VI3KiTAFUVsqlERTgi0XDg6MZLErDX&#10;ke2m4e8xXOhlpdGMZt5W28UaMZMPo2OEfJWBIO6cHrlHeGubmw2IEBVrZRwTwjcF2NaXF5UqtTvx&#10;K8372ItUwqFUCEOMUyll6AayKqzcRJy8D+etikn6XmqvTqncGllk2VpaNXJaGNREu4G6r/3RIuya&#10;tvUzBW/e6bm5/Xx5vKOnBfH6Ks8eQERa4n8YfvETOtSJ6eCOrIMwCOmR+HeTty5yEAeE+2IDsq7k&#10;OXv9A1BLAwQUAAAACACHTuJAK2V6mjYCAABhBAAADgAAAGRycy9lMm9Eb2MueG1srVTNjtMwEL4j&#10;8Q6W7zT9YVdL1XRVtipCqtiVCuLsOk4TyX+y3SblAeANOHHhznP1OfjsNF20cNgDF+ezZzwz3+eZ&#10;zG5bJclBOF8bndPRYEiJ0NwUtd7l9NPH1asbSnxgumDSaJHTo/D0dv7yxayxUzE2lZGFcARBtJ82&#10;NqdVCHaaZZ5XQjE/MFZoGEvjFAvYul1WONYgupLZeDi8zhrjCusMF97jdNkZ6Tmie05AU5Y1F0vD&#10;90ro0EV1QrIASr6qrafzVG1ZCh7uy9KLQGROwTSkFUmAt3HN5jM23Tlmq5qfS2DPKeEJJ8VqjaSX&#10;UEsWGNm7+q9QqubOeFOGATcq64gkRcBiNHyizaZiViQukNrbi+j+/4XlHw4PjtRFTieUaKbw4Kfv&#10;304/fp1+fiWTKE9j/RReGwu/0L41LZqmP/c4jKzb0qn4BR8CO8Q9XsQVbSAch5M3ryeTK0o4TADj&#10;myR+9njZOh/eCaNIBDl1eLskKTusfUAhcO1dYi5tVrWU6f2kJk1OrydXw3ThYsENqaOvSJ1wDhMJ&#10;dYVHFNpte2a5NcURJJ3pusRbvqpRypr58MAc2gK8MDjhHkspDVKaM6KkMu7Lv86jP14LVkoatFlO&#10;NaaKEvle4xVjR/bA9WDbA71XdwZ9O8JAWp4gLrgge1g6oz5jmhYxB0xMc2TKaejhXehaHdPIxWKR&#10;nNB3loW13lgeQ0d5vF3sA+RMKkdROiUgedyg85L45ymJrf3nPnk9/hn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oXVp0gAAAAMBAAAPAAAAAAAAAAEAIAAAACIAAABkcnMvZG93bnJldi54bWxQ&#10;SwECFAAUAAAACACHTuJAK2V6mjYCAABhBAAADgAAAAAAAAABACAAAAAhAQAAZHJzL2Uyb0RvYy54&#10;bWxQSwUGAAAAAAYABgBZAQAAyQUAAAAA&#10;">
              <v:fill on="f" focussize="0,0"/>
              <v:stroke on="f" weight="0.5pt"/>
              <v:imagedata o:title=""/>
              <o:lock v:ext="edit" aspectratio="f"/>
              <v:textbox inset="0mm,0mm,0mm,0mm" style="mso-fit-shape-to-text:t;">
                <w:txbxContent>
                  <w:p w14:paraId="01B5B78A">
                    <w:pPr>
                      <w:ind w:firstLine="440"/>
                      <w:jc w:val="center"/>
                    </w:pPr>
                  </w:p>
                  <w:p w14:paraId="5EF4063E"/>
                </w:txbxContent>
              </v:textbox>
            </v:shape>
          </w:pict>
        </mc:Fallback>
      </mc:AlternateContent>
    </w:r>
  </w:p>
  <w:p w14:paraId="681244EE">
    <w:pPr>
      <w:pStyle w:val="31"/>
      <w:ind w:firstLine="4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113C">
    <w:pPr>
      <w:pStyle w:val="31"/>
      <w:ind w:firstLine="44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400050" cy="1549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0050" cy="154940"/>
                      </a:xfrm>
                      <a:prstGeom prst="rect">
                        <a:avLst/>
                      </a:prstGeom>
                      <a:noFill/>
                      <a:ln w="6350">
                        <a:noFill/>
                      </a:ln>
                      <a:effectLst/>
                    </wps:spPr>
                    <wps:txbx>
                      <w:txbxContent>
                        <w:p w14:paraId="5B3C1FC7">
                          <w:pPr>
                            <w:pStyle w:val="31"/>
                            <w:ind w:firstLine="440"/>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31.5pt;mso-position-horizontal:center;mso-position-horizontal-relative:margin;mso-wrap-style:none;z-index:251668480;mso-width-relative:page;mso-height-relative:page;" filled="f" stroked="f" coordsize="21600,21600" o:gfxdata="UEsDBAoAAAAAAIdO4kAAAAAAAAAAAAAAAAAEAAAAZHJzL1BLAwQUAAAACACHTuJAZkxBC9EAAAAD&#10;AQAADwAAAGRycy9kb3ducmV2LnhtbE2PwU7DMBBE70j8g7VI3KjTNqpQiFOJinBEoumBoxsvSVp7&#10;HdluGv6ehQtcRhrNauZtuZ2dFROGOHhSsFxkIJBabwbqFBya+uERREyajLaeUMEXRthWtzelLoy/&#10;0jtO+9QJLqFYaAV9SmMhZWx7dDou/IjE2acPTie2oZMm6CuXOytXWbaRTg/EC70ecddje95fnIJd&#10;3TRhwhjsB77W69Pbc44vs1L3d8vsCUTCOf0dww8+o0PFTEd/IROFVcCPpF/lbLNmd1SwynOQVSn/&#10;s1ffUEsDBBQAAAAIAIdO4kBoeDtQ2wEAAK4DAAAOAAAAZHJzL2Uyb0RvYy54bWytU0tu2zAQ3Rfo&#10;HQjua8mp86lgOUhhpChQtAHSHoCmSIsAf+DQlnyB9gZdddN9z+VzZEhJTptusshGGs6M3rz3OFpe&#10;90aTvQignK3pfFZSIix3jbLbmn77evvmihKIzDZMOytqehBAr1evXy07X4kz1zrdiEAQxELV+Zq2&#10;MfqqKIC3wjCYOS8sFqULhkU8hm3RBNYhutHFWVleFJ0LjQ+OCwDMrociHRHDcwCdlIqLteM7I2wc&#10;UIPQLKIkaJUHuspspRQ8fpESRCS6pqg05icOwXiTnsVqyaptYL5VfKTAnkPhiSbDlMWhJ6g1i4zs&#10;gvoPyigeHDgZZ9yZYhCSHUEV8/KJN/ct8yJrQavBn0yHl4Pln/d3gaimppeUWGbwwo8/fxx//Tn+&#10;/k4ukz2dhwq77j32xf6963FppjxgMqnuZTDpjXoI1tHcw8lc0UfCMbkoy/IcKxxL8/PFu0U2v3j8&#10;2AeIH4QzJAU1DXh32VK2/wQRiWDr1JJmWXertM73py3panrxFuH/qeAX2qaMyJswwiRBA/EUxX7T&#10;jyo3rjmgyA63oaYWl58S/dGi2WlxpiBMwWYKdj6obYuM53k6+JtdRG6ZcpowwCL/dMBrzErGlUt7&#10;8vc5dz3+Zq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kxBC9EAAAADAQAADwAAAAAAAAABACAA&#10;AAAiAAAAZHJzL2Rvd25yZXYueG1sUEsBAhQAFAAAAAgAh07iQGh4O1DbAQAArgMAAA4AAAAAAAAA&#10;AQAgAAAAIAEAAGRycy9lMm9Eb2MueG1sUEsFBgAAAAAGAAYAWQEAAG0FAAAAAA==&#10;">
              <v:fill on="f" focussize="0,0"/>
              <v:stroke on="f" weight="0.5pt"/>
              <v:imagedata o:title=""/>
              <o:lock v:ext="edit" aspectratio="f"/>
              <v:textbox inset="0mm,0mm,0mm,0mm" style="mso-fit-shape-to-text:t;">
                <w:txbxContent>
                  <w:p w14:paraId="5B3C1FC7">
                    <w:pPr>
                      <w:pStyle w:val="31"/>
                      <w:ind w:firstLine="440"/>
                    </w:pPr>
                    <w:r>
                      <w:fldChar w:fldCharType="begin"/>
                    </w:r>
                    <w:r>
                      <w:instrText xml:space="preserve"> PAGE  \* MERGEFORMAT </w:instrText>
                    </w:r>
                    <w:r>
                      <w:fldChar w:fldCharType="separate"/>
                    </w:r>
                    <w:r>
                      <w:t>72</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94335" cy="3352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394335" cy="335280"/>
                      </a:xfrm>
                      <a:prstGeom prst="rect">
                        <a:avLst/>
                      </a:prstGeom>
                      <a:noFill/>
                      <a:ln w="6350">
                        <a:noFill/>
                      </a:ln>
                      <a:effectLst/>
                    </wps:spPr>
                    <wps:txbx>
                      <w:txbxContent>
                        <w:p w14:paraId="68DF92F1">
                          <w:pPr>
                            <w:ind w:firstLine="440"/>
                            <w:jc w:val="center"/>
                          </w:pPr>
                        </w:p>
                        <w:p w14:paraId="151A1FF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6.4pt;width:31.05pt;mso-position-horizontal:center;mso-position-horizontal-relative:margin;mso-wrap-style:none;z-index:251667456;mso-width-relative:page;mso-height-relative:page;" filled="f" stroked="f" coordsize="21600,21600" o:gfxdata="UEsDBAoAAAAAAIdO4kAAAAAAAAAAAAAAAAAEAAAAZHJzL1BLAwQUAAAACACHTuJA0KF1adIAAAAD&#10;AQAADwAAAGRycy9kb3ducmV2LnhtbE2PwU7DMBBE70j8g7VI3KiTAFUVsqlERTgi0XDg6MZLErDX&#10;ke2m4e8xXOhlpdGMZt5W28UaMZMPo2OEfJWBIO6cHrlHeGubmw2IEBVrZRwTwjcF2NaXF5UqtTvx&#10;K8372ItUwqFUCEOMUyll6AayKqzcRJy8D+etikn6XmqvTqncGllk2VpaNXJaGNREu4G6r/3RIuya&#10;tvUzBW/e6bm5/Xx5vKOnBfH6Ks8eQERa4n8YfvETOtSJ6eCOrIMwCOmR+HeTty5yEAeE+2IDsq7k&#10;OXv9A1BLAwQUAAAACACHTuJAq0gtZjUCAABjBAAADgAAAGRycy9lMm9Eb2MueG1srVRLjhMxEN0j&#10;cQfLe9L5MKMhSmcUJgpCipiRAmLtuN3plvyT7aQ7HABuwIoNe86Vc/DsTmfQwGIWbDrlqnJVvedX&#10;md22SpKDcL42OqejwZASobkpar3L6aePq1c3lPjAdMGk0SKnR+Hp7fzli1ljp2JsKiML4QiKaD9t&#10;bE6rEOw0yzyvhGJ+YKzQCJbGKRZwdLuscKxBdSWz8XB4nTXGFdYZLryHd9kF6bmie05BU5Y1F0vD&#10;90ro0FV1QrIASL6qrafzNG1ZCh7uy9KLQGROgTSkL5rA3sZvNp+x6c4xW9X8PAJ7zghPMClWazS9&#10;lFqywMje1X+VUjV3xpsyDLhRWQckMQIUo+ETbjYVsyJhAdXeXkj3/68s/3B4cKQuoIQrSjRTePHT&#10;92+nH79OP78S+EBQY/0UeRuLzNC+NS2Se7+HM+JuS6fiLxARxEHv8UKvaAPhcE7evJ5M0IUjBGN8&#10;k+jPHi9b58M7YRSJRk4dXi+Ryg5rHzAIUvuU2EubVS1lekGpSZPT68nVMF24RHBD6pgrkhbOZSKg&#10;bvBohXbbnlFuTXEESGc6nXjLVzVGWTMfHpiDMIALqxPu8SmlQUtztiipjPvyL3/Mx3shSkkDoeVU&#10;Y68oke813jFqsjdcb2x7Q+/VnYFyR1hJy5OJCy7I3iydUZ+xT4vYAyGmOTrlNPTmXejEjn3kYrFI&#10;SVCeZWGtN5bH0pEebxf7ADoTy5GUjglQHg/QXiL/vCdR3H+eU9bjf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hdWnSAAAAAwEAAA8AAAAAAAAAAQAgAAAAIgAAAGRycy9kb3ducmV2LnhtbFBL&#10;AQIUABQAAAAIAIdO4kCrSC1mNQIAAGMEAAAOAAAAAAAAAAEAIAAAACEBAABkcnMvZTJvRG9jLnht&#10;bFBLBQYAAAAABgAGAFkBAADIBQAAAAA=&#10;">
              <v:fill on="f" focussize="0,0"/>
              <v:stroke on="f" weight="0.5pt"/>
              <v:imagedata o:title=""/>
              <o:lock v:ext="edit" aspectratio="f"/>
              <v:textbox inset="0mm,0mm,0mm,0mm" style="mso-fit-shape-to-text:t;">
                <w:txbxContent>
                  <w:p w14:paraId="68DF92F1">
                    <w:pPr>
                      <w:ind w:firstLine="440"/>
                      <w:jc w:val="center"/>
                    </w:pPr>
                  </w:p>
                  <w:p w14:paraId="151A1FF9"/>
                </w:txbxContent>
              </v:textbox>
            </v:shape>
          </w:pict>
        </mc:Fallback>
      </mc:AlternateContent>
    </w:r>
  </w:p>
  <w:p w14:paraId="2088A1B4">
    <w:pPr>
      <w:pStyle w:val="31"/>
      <w:ind w:firstLine="4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5DFF">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78FBD708">
                          <w:pPr>
                            <w:pStyle w:val="31"/>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wec2q2gEAAK4DAAAOAAAAZHJzL2Uyb0RvYy54bWytU82O0zAQviPx&#10;DpbvNGnYrSBqugJVi5AQIC08gOvYjSX/yeM26QvAG3Diwp3n6nPs2Em6sFz2wMUZe8bffN/nyfpm&#10;MJocRQDlbEOXi5ISYblrld039OuX2xevKIHIbMu0s6KhJwH0ZvP82br3tahc53QrAkEQC3XvG9rF&#10;6OuiAN4Jw2DhvLCYlC4YFnEb9kUbWI/oRhdVWa6K3oXWB8cFAJ5uxySdEMNTAJ2Uiout4wcjbBxR&#10;g9AsoiTolAe6yWylFDx+khJEJLqhqDTmFZtgvEtrsVmzeh+Y7xSfKLCnUHikyTBlsekFassiI4eg&#10;/oEyigcHTsYFd6YYhWRHUMWyfOTNXce8yFrQavAX0+H/wfKPx8+BqLahFSWWGXzw84/v55+/z7++&#10;kSrZ03uoserOY10c3roBh2Y+BzxMqgcZTPqiHoJ5NPd0MVcMkfB0qSpX15jhmFpeX72+yuYXD5d9&#10;gPhOOENS0NCAb5ctZccPEJEIls4lqZd1t0rr/H7akr6hq5cI/1cGb2ibTkSehAkmCRqJpygOu2FS&#10;uXPtCUX2OA0NtTj8lOj3Fs1OgzMHYQ52c3DwQe07ZLzM3cG/OUTklimnDiMs8k8bfMasZBq5NCd/&#10;7nPVw2+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cHnNqtoBAACuAwAADgAAAAAAAAAB&#10;ACAAAAAgAQAAZHJzL2Uyb0RvYy54bWxQSwUGAAAAAAYABgBZAQAAbAUAAAAA&#10;">
              <v:fill on="f" focussize="0,0"/>
              <v:stroke on="f" weight="0.5pt"/>
              <v:imagedata o:title=""/>
              <o:lock v:ext="edit" aspectratio="f"/>
              <v:textbox inset="0mm,0mm,0mm,0mm" style="mso-fit-shape-to-text:t;">
                <w:txbxContent>
                  <w:p w14:paraId="78FBD708">
                    <w:pPr>
                      <w:pStyle w:val="31"/>
                    </w:pPr>
                    <w:r>
                      <w:fldChar w:fldCharType="begin"/>
                    </w:r>
                    <w:r>
                      <w:instrText xml:space="preserve"> PAGE  \* MERGEFORMAT </w:instrText>
                    </w:r>
                    <w:r>
                      <w:fldChar w:fldCharType="separate"/>
                    </w:r>
                    <w:r>
                      <w:t>78</w:t>
                    </w:r>
                    <w:r>
                      <w:fldChar w:fldCharType="end"/>
                    </w:r>
                  </w:p>
                </w:txbxContent>
              </v:textbox>
            </v:shape>
          </w:pict>
        </mc:Fallback>
      </mc:AlternateContent>
    </w:r>
  </w:p>
  <w:p w14:paraId="7A2A1141">
    <w:pPr>
      <w:pStyle w:val="3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103E0">
    <w:pPr>
      <w:pStyle w:val="32"/>
      <w:pBdr>
        <w:bottom w:val="none" w:color="auto" w:sz="0" w:space="0"/>
      </w:pBdr>
      <w:tabs>
        <w:tab w:val="right" w:pos="9813"/>
        <w:tab w:val="clear" w:pos="4153"/>
        <w:tab w:val="clear" w:pos="8306"/>
      </w:tabs>
      <w:ind w:left="-966" w:right="-968"/>
      <w:rPr>
        <w:rFonts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69F1E"/>
    <w:multiLevelType w:val="singleLevel"/>
    <w:tmpl w:val="DA069F1E"/>
    <w:lvl w:ilvl="0" w:tentative="0">
      <w:start w:val="1"/>
      <w:numFmt w:val="decimal"/>
      <w:pStyle w:val="13"/>
      <w:lvlText w:val="%1."/>
      <w:lvlJc w:val="left"/>
      <w:pPr>
        <w:tabs>
          <w:tab w:val="left" w:pos="780"/>
        </w:tabs>
        <w:ind w:left="780" w:hanging="360"/>
      </w:pPr>
    </w:lvl>
  </w:abstractNum>
  <w:abstractNum w:abstractNumId="1">
    <w:nsid w:val="DADFD21D"/>
    <w:multiLevelType w:val="singleLevel"/>
    <w:tmpl w:val="DADFD21D"/>
    <w:lvl w:ilvl="0" w:tentative="0">
      <w:start w:val="1"/>
      <w:numFmt w:val="decimal"/>
      <w:pStyle w:val="269"/>
      <w:suff w:val="nothing"/>
      <w:lvlText w:val="%1、"/>
      <w:lvlJc w:val="left"/>
    </w:lvl>
  </w:abstractNum>
  <w:abstractNum w:abstractNumId="2">
    <w:nsid w:val="DE2B8928"/>
    <w:multiLevelType w:val="singleLevel"/>
    <w:tmpl w:val="DE2B8928"/>
    <w:lvl w:ilvl="0" w:tentative="0">
      <w:start w:val="1"/>
      <w:numFmt w:val="decimal"/>
      <w:lvlText w:val="(%1)"/>
      <w:lvlJc w:val="left"/>
      <w:pPr>
        <w:tabs>
          <w:tab w:val="left" w:pos="312"/>
        </w:tabs>
      </w:pPr>
    </w:lvl>
  </w:abstractNum>
  <w:abstractNum w:abstractNumId="3">
    <w:nsid w:val="E0815403"/>
    <w:multiLevelType w:val="singleLevel"/>
    <w:tmpl w:val="E0815403"/>
    <w:lvl w:ilvl="0" w:tentative="0">
      <w:start w:val="7"/>
      <w:numFmt w:val="chineseCounting"/>
      <w:suff w:val="nothing"/>
      <w:lvlText w:val="%1、"/>
      <w:lvlJc w:val="left"/>
      <w:rPr>
        <w:rFonts w:hint="eastAsia"/>
      </w:rPr>
    </w:lvl>
  </w:abstractNum>
  <w:abstractNum w:abstractNumId="4">
    <w:nsid w:val="07A97BC2"/>
    <w:multiLevelType w:val="multilevel"/>
    <w:tmpl w:val="07A97BC2"/>
    <w:lvl w:ilvl="0" w:tentative="0">
      <w:start w:val="1"/>
      <w:numFmt w:val="bullet"/>
      <w:pStyle w:val="273"/>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096053A7"/>
    <w:multiLevelType w:val="singleLevel"/>
    <w:tmpl w:val="096053A7"/>
    <w:lvl w:ilvl="0" w:tentative="0">
      <w:start w:val="3"/>
      <w:numFmt w:val="chineseCounting"/>
      <w:suff w:val="nothing"/>
      <w:lvlText w:val="（%1）"/>
      <w:lvlJc w:val="left"/>
      <w:rPr>
        <w:rFonts w:hint="eastAsia"/>
      </w:rPr>
    </w:lvl>
  </w:abstractNum>
  <w:abstractNum w:abstractNumId="6">
    <w:nsid w:val="098211DB"/>
    <w:multiLevelType w:val="singleLevel"/>
    <w:tmpl w:val="098211DB"/>
    <w:lvl w:ilvl="0" w:tentative="0">
      <w:start w:val="2"/>
      <w:numFmt w:val="chineseCounting"/>
      <w:suff w:val="nothing"/>
      <w:lvlText w:val="%1、"/>
      <w:lvlJc w:val="left"/>
      <w:rPr>
        <w:rFonts w:hint="eastAsia"/>
      </w:rPr>
    </w:lvl>
  </w:abstractNum>
  <w:abstractNum w:abstractNumId="7">
    <w:nsid w:val="0BF23559"/>
    <w:multiLevelType w:val="singleLevel"/>
    <w:tmpl w:val="0BF23559"/>
    <w:lvl w:ilvl="0" w:tentative="0">
      <w:start w:val="1"/>
      <w:numFmt w:val="decimal"/>
      <w:lvlText w:val="(%1)"/>
      <w:lvlJc w:val="left"/>
      <w:pPr>
        <w:tabs>
          <w:tab w:val="left" w:pos="312"/>
        </w:tabs>
      </w:pPr>
    </w:lvl>
  </w:abstractNum>
  <w:abstractNum w:abstractNumId="8">
    <w:nsid w:val="0CB72DF1"/>
    <w:multiLevelType w:val="singleLevel"/>
    <w:tmpl w:val="0CB72DF1"/>
    <w:lvl w:ilvl="0" w:tentative="0">
      <w:start w:val="12"/>
      <w:numFmt w:val="chineseCounting"/>
      <w:suff w:val="nothing"/>
      <w:lvlText w:val="%1、"/>
      <w:lvlJc w:val="left"/>
      <w:rPr>
        <w:rFonts w:hint="eastAsia"/>
      </w:rPr>
    </w:lvl>
  </w:abstractNum>
  <w:abstractNum w:abstractNumId="9">
    <w:nsid w:val="42EB7995"/>
    <w:multiLevelType w:val="singleLevel"/>
    <w:tmpl w:val="42EB7995"/>
    <w:lvl w:ilvl="0" w:tentative="0">
      <w:start w:val="2"/>
      <w:numFmt w:val="chineseCounting"/>
      <w:suff w:val="nothing"/>
      <w:lvlText w:val="（%1）"/>
      <w:lvlJc w:val="left"/>
      <w:rPr>
        <w:rFonts w:hint="eastAsia"/>
      </w:rPr>
    </w:lvl>
  </w:abstractNum>
  <w:abstractNum w:abstractNumId="10">
    <w:nsid w:val="468D9129"/>
    <w:multiLevelType w:val="singleLevel"/>
    <w:tmpl w:val="468D9129"/>
    <w:lvl w:ilvl="0" w:tentative="0">
      <w:start w:val="1"/>
      <w:numFmt w:val="decimal"/>
      <w:suff w:val="nothing"/>
      <w:lvlText w:val="%1、"/>
      <w:lvlJc w:val="left"/>
    </w:lvl>
  </w:abstractNum>
  <w:abstractNum w:abstractNumId="11">
    <w:nsid w:val="4E3EF080"/>
    <w:multiLevelType w:val="singleLevel"/>
    <w:tmpl w:val="4E3EF080"/>
    <w:lvl w:ilvl="0" w:tentative="0">
      <w:start w:val="1"/>
      <w:numFmt w:val="decimal"/>
      <w:lvlText w:val="%1."/>
      <w:lvlJc w:val="left"/>
      <w:pPr>
        <w:tabs>
          <w:tab w:val="left" w:pos="312"/>
        </w:tabs>
      </w:pPr>
    </w:lvl>
  </w:abstractNum>
  <w:abstractNum w:abstractNumId="12">
    <w:nsid w:val="520C8405"/>
    <w:multiLevelType w:val="singleLevel"/>
    <w:tmpl w:val="520C8405"/>
    <w:lvl w:ilvl="0" w:tentative="0">
      <w:start w:val="1"/>
      <w:numFmt w:val="chineseCounting"/>
      <w:pStyle w:val="266"/>
      <w:suff w:val="nothing"/>
      <w:lvlText w:val="%1、"/>
      <w:lvlJc w:val="left"/>
      <w:rPr>
        <w:rFonts w:hint="eastAsia"/>
      </w:rPr>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5DC2298"/>
    <w:multiLevelType w:val="multilevel"/>
    <w:tmpl w:val="55DC2298"/>
    <w:lvl w:ilvl="0" w:tentative="0">
      <w:start w:val="1"/>
      <w:numFmt w:val="chineseCountingThousand"/>
      <w:pStyle w:val="44"/>
      <w:lvlText w:val="第%1章"/>
      <w:lvlJc w:val="left"/>
      <w:pPr>
        <w:ind w:left="990" w:hanging="425"/>
      </w:pPr>
      <w:rPr>
        <w:rFonts w:hint="eastAsia"/>
      </w:rPr>
    </w:lvl>
    <w:lvl w:ilvl="1" w:tentative="0">
      <w:start w:val="1"/>
      <w:numFmt w:val="decimal"/>
      <w:lvlText w:val="%1.%2"/>
      <w:lvlJc w:val="left"/>
      <w:pPr>
        <w:ind w:left="1557" w:hanging="567"/>
      </w:pPr>
      <w:rPr>
        <w:rFonts w:hint="eastAsia"/>
      </w:rPr>
    </w:lvl>
    <w:lvl w:ilvl="2" w:tentative="0">
      <w:start w:val="1"/>
      <w:numFmt w:val="decimal"/>
      <w:lvlText w:val="%1.%2.%3"/>
      <w:lvlJc w:val="left"/>
      <w:pPr>
        <w:ind w:left="1983" w:hanging="567"/>
      </w:pPr>
      <w:rPr>
        <w:rFonts w:hint="eastAsia"/>
      </w:rPr>
    </w:lvl>
    <w:lvl w:ilvl="3" w:tentative="0">
      <w:start w:val="1"/>
      <w:numFmt w:val="decimal"/>
      <w:lvlText w:val="%1.%2.%3.%4"/>
      <w:lvlJc w:val="left"/>
      <w:pPr>
        <w:ind w:left="2549" w:hanging="708"/>
      </w:pPr>
      <w:rPr>
        <w:rFonts w:hint="eastAsia"/>
      </w:rPr>
    </w:lvl>
    <w:lvl w:ilvl="4" w:tentative="0">
      <w:start w:val="1"/>
      <w:numFmt w:val="decimal"/>
      <w:lvlText w:val="%1.%2.%3.%4.%5"/>
      <w:lvlJc w:val="left"/>
      <w:pPr>
        <w:ind w:left="3116" w:hanging="850"/>
      </w:pPr>
      <w:rPr>
        <w:rFonts w:hint="eastAsia"/>
      </w:rPr>
    </w:lvl>
    <w:lvl w:ilvl="5" w:tentative="0">
      <w:start w:val="1"/>
      <w:numFmt w:val="decimal"/>
      <w:lvlText w:val="%1.%2.%3.%4.%5.%6"/>
      <w:lvlJc w:val="left"/>
      <w:pPr>
        <w:ind w:left="3825" w:hanging="1134"/>
      </w:pPr>
      <w:rPr>
        <w:rFonts w:hint="eastAsia"/>
      </w:rPr>
    </w:lvl>
    <w:lvl w:ilvl="6" w:tentative="0">
      <w:start w:val="1"/>
      <w:numFmt w:val="decimal"/>
      <w:lvlText w:val="%1.%2.%3.%4.%5.%6.%7"/>
      <w:lvlJc w:val="left"/>
      <w:pPr>
        <w:ind w:left="4392" w:hanging="1276"/>
      </w:pPr>
      <w:rPr>
        <w:rFonts w:hint="eastAsia"/>
      </w:rPr>
    </w:lvl>
    <w:lvl w:ilvl="7" w:tentative="0">
      <w:start w:val="1"/>
      <w:numFmt w:val="decimal"/>
      <w:lvlText w:val="%1.%2.%3.%4.%5.%6.%7.%8"/>
      <w:lvlJc w:val="left"/>
      <w:pPr>
        <w:ind w:left="4959" w:hanging="1418"/>
      </w:pPr>
      <w:rPr>
        <w:rFonts w:hint="eastAsia"/>
      </w:rPr>
    </w:lvl>
    <w:lvl w:ilvl="8" w:tentative="0">
      <w:start w:val="1"/>
      <w:numFmt w:val="decimal"/>
      <w:lvlText w:val="%1.%2.%3.%4.%5.%6.%7.%8.%9"/>
      <w:lvlJc w:val="left"/>
      <w:pPr>
        <w:ind w:left="5667" w:hanging="1700"/>
      </w:pPr>
      <w:rPr>
        <w:rFonts w:hint="eastAsia"/>
      </w:rPr>
    </w:lvl>
  </w:abstractNum>
  <w:abstractNum w:abstractNumId="16">
    <w:nsid w:val="76587A4C"/>
    <w:multiLevelType w:val="singleLevel"/>
    <w:tmpl w:val="76587A4C"/>
    <w:lvl w:ilvl="0" w:tentative="0">
      <w:start w:val="3"/>
      <w:numFmt w:val="decimal"/>
      <w:lvlText w:val="%1."/>
      <w:lvlJc w:val="left"/>
      <w:pPr>
        <w:tabs>
          <w:tab w:val="left" w:pos="312"/>
        </w:tabs>
      </w:pPr>
    </w:lvl>
  </w:abstractNum>
  <w:abstractNum w:abstractNumId="17">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5"/>
  </w:num>
  <w:num w:numId="3">
    <w:abstractNumId w:val="12"/>
  </w:num>
  <w:num w:numId="4">
    <w:abstractNumId w:val="1"/>
  </w:num>
  <w:num w:numId="5">
    <w:abstractNumId w:val="4"/>
  </w:num>
  <w:num w:numId="6">
    <w:abstractNumId w:val="2"/>
  </w:num>
  <w:num w:numId="7">
    <w:abstractNumId w:val="7"/>
  </w:num>
  <w:num w:numId="8">
    <w:abstractNumId w:val="6"/>
  </w:num>
  <w:num w:numId="9">
    <w:abstractNumId w:val="5"/>
  </w:num>
  <w:num w:numId="10">
    <w:abstractNumId w:val="9"/>
  </w:num>
  <w:num w:numId="11">
    <w:abstractNumId w:val="16"/>
  </w:num>
  <w:num w:numId="12">
    <w:abstractNumId w:val="8"/>
  </w:num>
  <w:num w:numId="13">
    <w:abstractNumId w:val="10"/>
  </w:num>
  <w:num w:numId="14">
    <w:abstractNumId w:val="17"/>
  </w:num>
  <w:num w:numId="15">
    <w:abstractNumId w:val="3"/>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2QyYTIzNGZjNjBkZDUwNmUyNzY0ZDk1YzdhNDMifQ=="/>
    <w:docVar w:name="KSO_WPS_MARK_KEY" w:val="8a0c89e6-ed9b-4421-8040-6b767f61daa1"/>
  </w:docVars>
  <w:rsids>
    <w:rsidRoot w:val="00F42B94"/>
    <w:rsid w:val="00000762"/>
    <w:rsid w:val="00001465"/>
    <w:rsid w:val="00001C6A"/>
    <w:rsid w:val="000044C6"/>
    <w:rsid w:val="00004E7D"/>
    <w:rsid w:val="00010975"/>
    <w:rsid w:val="00011EB0"/>
    <w:rsid w:val="00012B18"/>
    <w:rsid w:val="0002041D"/>
    <w:rsid w:val="00023D21"/>
    <w:rsid w:val="00023E3A"/>
    <w:rsid w:val="00024F27"/>
    <w:rsid w:val="00025B3B"/>
    <w:rsid w:val="000272BF"/>
    <w:rsid w:val="0002734A"/>
    <w:rsid w:val="000303FA"/>
    <w:rsid w:val="00031543"/>
    <w:rsid w:val="0003158D"/>
    <w:rsid w:val="00031FF1"/>
    <w:rsid w:val="000329DA"/>
    <w:rsid w:val="00033FAF"/>
    <w:rsid w:val="0003440F"/>
    <w:rsid w:val="00034A15"/>
    <w:rsid w:val="0003720C"/>
    <w:rsid w:val="000378E8"/>
    <w:rsid w:val="00041935"/>
    <w:rsid w:val="0004250C"/>
    <w:rsid w:val="000447C4"/>
    <w:rsid w:val="00044E85"/>
    <w:rsid w:val="00050830"/>
    <w:rsid w:val="00051171"/>
    <w:rsid w:val="000515CF"/>
    <w:rsid w:val="0005221F"/>
    <w:rsid w:val="000522A6"/>
    <w:rsid w:val="000525A0"/>
    <w:rsid w:val="00057655"/>
    <w:rsid w:val="00057E21"/>
    <w:rsid w:val="00062441"/>
    <w:rsid w:val="00062E7B"/>
    <w:rsid w:val="00063713"/>
    <w:rsid w:val="00064543"/>
    <w:rsid w:val="000725D0"/>
    <w:rsid w:val="00075589"/>
    <w:rsid w:val="00080445"/>
    <w:rsid w:val="00081011"/>
    <w:rsid w:val="00081DA6"/>
    <w:rsid w:val="00081F5F"/>
    <w:rsid w:val="00084226"/>
    <w:rsid w:val="00084F20"/>
    <w:rsid w:val="00085E3C"/>
    <w:rsid w:val="00086D54"/>
    <w:rsid w:val="00087829"/>
    <w:rsid w:val="00090559"/>
    <w:rsid w:val="00090924"/>
    <w:rsid w:val="0009183B"/>
    <w:rsid w:val="0009269F"/>
    <w:rsid w:val="0009417B"/>
    <w:rsid w:val="000946F7"/>
    <w:rsid w:val="000957AF"/>
    <w:rsid w:val="000978B4"/>
    <w:rsid w:val="000A1A77"/>
    <w:rsid w:val="000A21E3"/>
    <w:rsid w:val="000A281E"/>
    <w:rsid w:val="000A31AB"/>
    <w:rsid w:val="000A5353"/>
    <w:rsid w:val="000A6BE6"/>
    <w:rsid w:val="000A7AB5"/>
    <w:rsid w:val="000B2495"/>
    <w:rsid w:val="000B29CD"/>
    <w:rsid w:val="000B4522"/>
    <w:rsid w:val="000B5823"/>
    <w:rsid w:val="000C121D"/>
    <w:rsid w:val="000C13B4"/>
    <w:rsid w:val="000C4E1D"/>
    <w:rsid w:val="000C729C"/>
    <w:rsid w:val="000C72D6"/>
    <w:rsid w:val="000C78F3"/>
    <w:rsid w:val="000D0268"/>
    <w:rsid w:val="000D1F81"/>
    <w:rsid w:val="000D5278"/>
    <w:rsid w:val="000D625F"/>
    <w:rsid w:val="000D6668"/>
    <w:rsid w:val="000E0D3F"/>
    <w:rsid w:val="000E349E"/>
    <w:rsid w:val="000E38FD"/>
    <w:rsid w:val="000E7353"/>
    <w:rsid w:val="000E745A"/>
    <w:rsid w:val="000F01DF"/>
    <w:rsid w:val="000F0690"/>
    <w:rsid w:val="000F2CFB"/>
    <w:rsid w:val="000F2DF2"/>
    <w:rsid w:val="000F753C"/>
    <w:rsid w:val="00106871"/>
    <w:rsid w:val="001068E5"/>
    <w:rsid w:val="00110BCF"/>
    <w:rsid w:val="00113970"/>
    <w:rsid w:val="00114B62"/>
    <w:rsid w:val="0011513E"/>
    <w:rsid w:val="00115531"/>
    <w:rsid w:val="00123CD3"/>
    <w:rsid w:val="0012467F"/>
    <w:rsid w:val="00124913"/>
    <w:rsid w:val="001249DF"/>
    <w:rsid w:val="00124DAE"/>
    <w:rsid w:val="00124E03"/>
    <w:rsid w:val="00126BAF"/>
    <w:rsid w:val="00127235"/>
    <w:rsid w:val="00130D18"/>
    <w:rsid w:val="00134577"/>
    <w:rsid w:val="00141870"/>
    <w:rsid w:val="00141C37"/>
    <w:rsid w:val="00141C72"/>
    <w:rsid w:val="00144D6E"/>
    <w:rsid w:val="00150508"/>
    <w:rsid w:val="001535A6"/>
    <w:rsid w:val="00153D99"/>
    <w:rsid w:val="00154745"/>
    <w:rsid w:val="00156755"/>
    <w:rsid w:val="00157FB4"/>
    <w:rsid w:val="0016003C"/>
    <w:rsid w:val="00161A82"/>
    <w:rsid w:val="00162879"/>
    <w:rsid w:val="00162B57"/>
    <w:rsid w:val="001647C6"/>
    <w:rsid w:val="00164AAD"/>
    <w:rsid w:val="00170457"/>
    <w:rsid w:val="00172416"/>
    <w:rsid w:val="00176000"/>
    <w:rsid w:val="00176CC4"/>
    <w:rsid w:val="00177BB0"/>
    <w:rsid w:val="001800E2"/>
    <w:rsid w:val="00180F85"/>
    <w:rsid w:val="001822AF"/>
    <w:rsid w:val="00182D33"/>
    <w:rsid w:val="00183CA1"/>
    <w:rsid w:val="00186101"/>
    <w:rsid w:val="001868FC"/>
    <w:rsid w:val="00187118"/>
    <w:rsid w:val="00187FC2"/>
    <w:rsid w:val="0019104C"/>
    <w:rsid w:val="00192965"/>
    <w:rsid w:val="00193604"/>
    <w:rsid w:val="00194A69"/>
    <w:rsid w:val="00195202"/>
    <w:rsid w:val="001956C2"/>
    <w:rsid w:val="00195846"/>
    <w:rsid w:val="00196C48"/>
    <w:rsid w:val="001A01C0"/>
    <w:rsid w:val="001A028D"/>
    <w:rsid w:val="001A44B8"/>
    <w:rsid w:val="001A4529"/>
    <w:rsid w:val="001A56C1"/>
    <w:rsid w:val="001A7117"/>
    <w:rsid w:val="001B018C"/>
    <w:rsid w:val="001B057E"/>
    <w:rsid w:val="001C1C84"/>
    <w:rsid w:val="001C1DCA"/>
    <w:rsid w:val="001C2573"/>
    <w:rsid w:val="001C43B5"/>
    <w:rsid w:val="001C6223"/>
    <w:rsid w:val="001C7A2C"/>
    <w:rsid w:val="001C7A91"/>
    <w:rsid w:val="001D1C0E"/>
    <w:rsid w:val="001D6B71"/>
    <w:rsid w:val="001E1F3B"/>
    <w:rsid w:val="001E20DE"/>
    <w:rsid w:val="001E2571"/>
    <w:rsid w:val="001E291B"/>
    <w:rsid w:val="001E41F2"/>
    <w:rsid w:val="001E5719"/>
    <w:rsid w:val="001E5FC6"/>
    <w:rsid w:val="001E69A1"/>
    <w:rsid w:val="001F17FE"/>
    <w:rsid w:val="001F1A18"/>
    <w:rsid w:val="001F4F2F"/>
    <w:rsid w:val="001F6C0A"/>
    <w:rsid w:val="00211A93"/>
    <w:rsid w:val="00211B56"/>
    <w:rsid w:val="00213322"/>
    <w:rsid w:val="002137CE"/>
    <w:rsid w:val="00215E1F"/>
    <w:rsid w:val="00217476"/>
    <w:rsid w:val="00217E4A"/>
    <w:rsid w:val="00221130"/>
    <w:rsid w:val="00222A02"/>
    <w:rsid w:val="002234ED"/>
    <w:rsid w:val="0022407A"/>
    <w:rsid w:val="002272C8"/>
    <w:rsid w:val="00231B55"/>
    <w:rsid w:val="00232245"/>
    <w:rsid w:val="002356D6"/>
    <w:rsid w:val="002369B3"/>
    <w:rsid w:val="00237B9D"/>
    <w:rsid w:val="00242142"/>
    <w:rsid w:val="00242C32"/>
    <w:rsid w:val="0024483F"/>
    <w:rsid w:val="00247CB5"/>
    <w:rsid w:val="002507EA"/>
    <w:rsid w:val="0025201A"/>
    <w:rsid w:val="00252549"/>
    <w:rsid w:val="00253737"/>
    <w:rsid w:val="00253D22"/>
    <w:rsid w:val="00254DB5"/>
    <w:rsid w:val="002570D2"/>
    <w:rsid w:val="00257E3F"/>
    <w:rsid w:val="00261BE8"/>
    <w:rsid w:val="002620E8"/>
    <w:rsid w:val="002625BC"/>
    <w:rsid w:val="0026420C"/>
    <w:rsid w:val="00267AA7"/>
    <w:rsid w:val="00270E12"/>
    <w:rsid w:val="00272161"/>
    <w:rsid w:val="002722B2"/>
    <w:rsid w:val="002733B8"/>
    <w:rsid w:val="00274300"/>
    <w:rsid w:val="002746DA"/>
    <w:rsid w:val="002749D3"/>
    <w:rsid w:val="00277380"/>
    <w:rsid w:val="0027787C"/>
    <w:rsid w:val="00277BA0"/>
    <w:rsid w:val="00277BFD"/>
    <w:rsid w:val="00277DD5"/>
    <w:rsid w:val="00277F46"/>
    <w:rsid w:val="00280EC2"/>
    <w:rsid w:val="002825A0"/>
    <w:rsid w:val="0028388C"/>
    <w:rsid w:val="002838DD"/>
    <w:rsid w:val="002857A1"/>
    <w:rsid w:val="002860C9"/>
    <w:rsid w:val="00287152"/>
    <w:rsid w:val="0029051E"/>
    <w:rsid w:val="00290A0C"/>
    <w:rsid w:val="00295357"/>
    <w:rsid w:val="00297B67"/>
    <w:rsid w:val="002A43F4"/>
    <w:rsid w:val="002A68F3"/>
    <w:rsid w:val="002B6004"/>
    <w:rsid w:val="002C0105"/>
    <w:rsid w:val="002C3455"/>
    <w:rsid w:val="002C4C38"/>
    <w:rsid w:val="002C5065"/>
    <w:rsid w:val="002C5303"/>
    <w:rsid w:val="002C573D"/>
    <w:rsid w:val="002C738A"/>
    <w:rsid w:val="002D0B8F"/>
    <w:rsid w:val="002D232C"/>
    <w:rsid w:val="002D2674"/>
    <w:rsid w:val="002D3E6B"/>
    <w:rsid w:val="002D4BBD"/>
    <w:rsid w:val="002D779E"/>
    <w:rsid w:val="002E0A6B"/>
    <w:rsid w:val="002E0EBD"/>
    <w:rsid w:val="002E241B"/>
    <w:rsid w:val="002E2865"/>
    <w:rsid w:val="002E41DD"/>
    <w:rsid w:val="002E46D1"/>
    <w:rsid w:val="002E4736"/>
    <w:rsid w:val="002E4E75"/>
    <w:rsid w:val="002E631F"/>
    <w:rsid w:val="002E6ABA"/>
    <w:rsid w:val="002F062F"/>
    <w:rsid w:val="002F0BD5"/>
    <w:rsid w:val="002F2ECB"/>
    <w:rsid w:val="002F661B"/>
    <w:rsid w:val="002F6AFC"/>
    <w:rsid w:val="002F74D6"/>
    <w:rsid w:val="00302F15"/>
    <w:rsid w:val="00304513"/>
    <w:rsid w:val="003055D7"/>
    <w:rsid w:val="00310946"/>
    <w:rsid w:val="00310A55"/>
    <w:rsid w:val="00310C05"/>
    <w:rsid w:val="00312039"/>
    <w:rsid w:val="00313163"/>
    <w:rsid w:val="0031472D"/>
    <w:rsid w:val="003149EA"/>
    <w:rsid w:val="003177C2"/>
    <w:rsid w:val="00317A78"/>
    <w:rsid w:val="00317D0C"/>
    <w:rsid w:val="00317D8D"/>
    <w:rsid w:val="00320468"/>
    <w:rsid w:val="003209C5"/>
    <w:rsid w:val="003209F9"/>
    <w:rsid w:val="0032224E"/>
    <w:rsid w:val="003228EA"/>
    <w:rsid w:val="003232DE"/>
    <w:rsid w:val="00323C23"/>
    <w:rsid w:val="00324383"/>
    <w:rsid w:val="003269A6"/>
    <w:rsid w:val="00326DD4"/>
    <w:rsid w:val="00326DE6"/>
    <w:rsid w:val="003277B2"/>
    <w:rsid w:val="00330A07"/>
    <w:rsid w:val="0033126E"/>
    <w:rsid w:val="00331DB0"/>
    <w:rsid w:val="0033204F"/>
    <w:rsid w:val="003327A3"/>
    <w:rsid w:val="003345F4"/>
    <w:rsid w:val="00337289"/>
    <w:rsid w:val="00337C2C"/>
    <w:rsid w:val="00342C3D"/>
    <w:rsid w:val="00346440"/>
    <w:rsid w:val="003479BA"/>
    <w:rsid w:val="0035123E"/>
    <w:rsid w:val="003519A9"/>
    <w:rsid w:val="0035267F"/>
    <w:rsid w:val="00353831"/>
    <w:rsid w:val="0035399B"/>
    <w:rsid w:val="00354382"/>
    <w:rsid w:val="00354749"/>
    <w:rsid w:val="0035796B"/>
    <w:rsid w:val="003609B1"/>
    <w:rsid w:val="0036350A"/>
    <w:rsid w:val="0036389C"/>
    <w:rsid w:val="00365BDA"/>
    <w:rsid w:val="0036727F"/>
    <w:rsid w:val="00367B6A"/>
    <w:rsid w:val="00370621"/>
    <w:rsid w:val="00370E02"/>
    <w:rsid w:val="003713C2"/>
    <w:rsid w:val="0037290E"/>
    <w:rsid w:val="00374306"/>
    <w:rsid w:val="003766CE"/>
    <w:rsid w:val="003813FC"/>
    <w:rsid w:val="00385F28"/>
    <w:rsid w:val="003866B1"/>
    <w:rsid w:val="003875C5"/>
    <w:rsid w:val="00387B33"/>
    <w:rsid w:val="003902BD"/>
    <w:rsid w:val="00390887"/>
    <w:rsid w:val="00390F6B"/>
    <w:rsid w:val="00391CC3"/>
    <w:rsid w:val="00391EA6"/>
    <w:rsid w:val="00392B38"/>
    <w:rsid w:val="00394155"/>
    <w:rsid w:val="003942A0"/>
    <w:rsid w:val="00395CB7"/>
    <w:rsid w:val="003963B5"/>
    <w:rsid w:val="00397575"/>
    <w:rsid w:val="003A0E12"/>
    <w:rsid w:val="003A0F16"/>
    <w:rsid w:val="003A24DC"/>
    <w:rsid w:val="003A3B05"/>
    <w:rsid w:val="003A4948"/>
    <w:rsid w:val="003A4D65"/>
    <w:rsid w:val="003A6341"/>
    <w:rsid w:val="003B14F7"/>
    <w:rsid w:val="003B4A60"/>
    <w:rsid w:val="003B5C60"/>
    <w:rsid w:val="003B6332"/>
    <w:rsid w:val="003C1C96"/>
    <w:rsid w:val="003C3F61"/>
    <w:rsid w:val="003C6E3E"/>
    <w:rsid w:val="003D033B"/>
    <w:rsid w:val="003D0637"/>
    <w:rsid w:val="003D1FF1"/>
    <w:rsid w:val="003D23CF"/>
    <w:rsid w:val="003D389C"/>
    <w:rsid w:val="003D4077"/>
    <w:rsid w:val="003D6662"/>
    <w:rsid w:val="003E0108"/>
    <w:rsid w:val="003E0AAF"/>
    <w:rsid w:val="003E1977"/>
    <w:rsid w:val="003E578B"/>
    <w:rsid w:val="003F0351"/>
    <w:rsid w:val="003F0866"/>
    <w:rsid w:val="003F2136"/>
    <w:rsid w:val="003F2DBD"/>
    <w:rsid w:val="003F4F19"/>
    <w:rsid w:val="003F6380"/>
    <w:rsid w:val="003F63CE"/>
    <w:rsid w:val="003F7EA9"/>
    <w:rsid w:val="00401A5F"/>
    <w:rsid w:val="00401D7D"/>
    <w:rsid w:val="00406ACE"/>
    <w:rsid w:val="0041063D"/>
    <w:rsid w:val="00411617"/>
    <w:rsid w:val="004142D5"/>
    <w:rsid w:val="00414C3A"/>
    <w:rsid w:val="004168DA"/>
    <w:rsid w:val="00420AFF"/>
    <w:rsid w:val="004221E8"/>
    <w:rsid w:val="0042490D"/>
    <w:rsid w:val="004301EE"/>
    <w:rsid w:val="00430ADD"/>
    <w:rsid w:val="00433E25"/>
    <w:rsid w:val="00435601"/>
    <w:rsid w:val="0043611A"/>
    <w:rsid w:val="004425C5"/>
    <w:rsid w:val="00446139"/>
    <w:rsid w:val="00446CF0"/>
    <w:rsid w:val="00451D12"/>
    <w:rsid w:val="00452A91"/>
    <w:rsid w:val="00456619"/>
    <w:rsid w:val="00456841"/>
    <w:rsid w:val="004640BA"/>
    <w:rsid w:val="00464FC9"/>
    <w:rsid w:val="00467261"/>
    <w:rsid w:val="004721C8"/>
    <w:rsid w:val="00472C47"/>
    <w:rsid w:val="0047423D"/>
    <w:rsid w:val="004749F7"/>
    <w:rsid w:val="00475306"/>
    <w:rsid w:val="004761BC"/>
    <w:rsid w:val="00480E69"/>
    <w:rsid w:val="00490404"/>
    <w:rsid w:val="00490E81"/>
    <w:rsid w:val="00493FFC"/>
    <w:rsid w:val="0049507A"/>
    <w:rsid w:val="0049521C"/>
    <w:rsid w:val="004977CB"/>
    <w:rsid w:val="004A03D5"/>
    <w:rsid w:val="004A12F0"/>
    <w:rsid w:val="004A2219"/>
    <w:rsid w:val="004A2962"/>
    <w:rsid w:val="004A2993"/>
    <w:rsid w:val="004A42D8"/>
    <w:rsid w:val="004A458E"/>
    <w:rsid w:val="004A48D8"/>
    <w:rsid w:val="004A61DE"/>
    <w:rsid w:val="004A6426"/>
    <w:rsid w:val="004A6837"/>
    <w:rsid w:val="004A73DF"/>
    <w:rsid w:val="004B2C6F"/>
    <w:rsid w:val="004B4539"/>
    <w:rsid w:val="004B573B"/>
    <w:rsid w:val="004B5D86"/>
    <w:rsid w:val="004C0A3E"/>
    <w:rsid w:val="004C14C9"/>
    <w:rsid w:val="004C2A8F"/>
    <w:rsid w:val="004C4B33"/>
    <w:rsid w:val="004C6066"/>
    <w:rsid w:val="004C710F"/>
    <w:rsid w:val="004C725B"/>
    <w:rsid w:val="004D5A0C"/>
    <w:rsid w:val="004E206A"/>
    <w:rsid w:val="004E505D"/>
    <w:rsid w:val="004E5E2F"/>
    <w:rsid w:val="004E729F"/>
    <w:rsid w:val="004F1A04"/>
    <w:rsid w:val="004F3C8E"/>
    <w:rsid w:val="004F4817"/>
    <w:rsid w:val="004F538F"/>
    <w:rsid w:val="004F5EB3"/>
    <w:rsid w:val="005002AE"/>
    <w:rsid w:val="00502DE4"/>
    <w:rsid w:val="0050600C"/>
    <w:rsid w:val="00507199"/>
    <w:rsid w:val="0051429F"/>
    <w:rsid w:val="00514835"/>
    <w:rsid w:val="00516B48"/>
    <w:rsid w:val="00517525"/>
    <w:rsid w:val="00522DD9"/>
    <w:rsid w:val="00525C8F"/>
    <w:rsid w:val="005316F9"/>
    <w:rsid w:val="005317C5"/>
    <w:rsid w:val="00532AD2"/>
    <w:rsid w:val="00544C4F"/>
    <w:rsid w:val="0054717C"/>
    <w:rsid w:val="00550394"/>
    <w:rsid w:val="00553ABE"/>
    <w:rsid w:val="00554490"/>
    <w:rsid w:val="00554CDB"/>
    <w:rsid w:val="0055551D"/>
    <w:rsid w:val="00556CC9"/>
    <w:rsid w:val="0055716F"/>
    <w:rsid w:val="005575BC"/>
    <w:rsid w:val="0055797F"/>
    <w:rsid w:val="00560972"/>
    <w:rsid w:val="00561C5E"/>
    <w:rsid w:val="0056261A"/>
    <w:rsid w:val="00563842"/>
    <w:rsid w:val="00564F64"/>
    <w:rsid w:val="005703A3"/>
    <w:rsid w:val="005708AE"/>
    <w:rsid w:val="00572043"/>
    <w:rsid w:val="00572C95"/>
    <w:rsid w:val="005733D5"/>
    <w:rsid w:val="00576723"/>
    <w:rsid w:val="005771F4"/>
    <w:rsid w:val="00577DD0"/>
    <w:rsid w:val="00577F99"/>
    <w:rsid w:val="00581C39"/>
    <w:rsid w:val="00583B79"/>
    <w:rsid w:val="00583EAB"/>
    <w:rsid w:val="00584495"/>
    <w:rsid w:val="00585B19"/>
    <w:rsid w:val="00586ED9"/>
    <w:rsid w:val="00586EE9"/>
    <w:rsid w:val="00590196"/>
    <w:rsid w:val="00591DE4"/>
    <w:rsid w:val="005925AE"/>
    <w:rsid w:val="005925F5"/>
    <w:rsid w:val="00593681"/>
    <w:rsid w:val="00594BD6"/>
    <w:rsid w:val="00595FB1"/>
    <w:rsid w:val="005969AF"/>
    <w:rsid w:val="005972DE"/>
    <w:rsid w:val="005A174A"/>
    <w:rsid w:val="005A7169"/>
    <w:rsid w:val="005A78A2"/>
    <w:rsid w:val="005B1A53"/>
    <w:rsid w:val="005B4095"/>
    <w:rsid w:val="005B4183"/>
    <w:rsid w:val="005B593D"/>
    <w:rsid w:val="005C0BE9"/>
    <w:rsid w:val="005C3827"/>
    <w:rsid w:val="005D0B93"/>
    <w:rsid w:val="005D0D4C"/>
    <w:rsid w:val="005D0DC2"/>
    <w:rsid w:val="005D1999"/>
    <w:rsid w:val="005D4E6D"/>
    <w:rsid w:val="005D5686"/>
    <w:rsid w:val="005E0B31"/>
    <w:rsid w:val="005E1E55"/>
    <w:rsid w:val="005E4BA6"/>
    <w:rsid w:val="005E66E0"/>
    <w:rsid w:val="005E675D"/>
    <w:rsid w:val="005E7C9A"/>
    <w:rsid w:val="005E7CD1"/>
    <w:rsid w:val="005F0574"/>
    <w:rsid w:val="005F0684"/>
    <w:rsid w:val="005F1B6F"/>
    <w:rsid w:val="005F502F"/>
    <w:rsid w:val="005F56B9"/>
    <w:rsid w:val="005F58C5"/>
    <w:rsid w:val="005F7C84"/>
    <w:rsid w:val="00601A1C"/>
    <w:rsid w:val="00604D11"/>
    <w:rsid w:val="00604DBE"/>
    <w:rsid w:val="006066D7"/>
    <w:rsid w:val="00606964"/>
    <w:rsid w:val="00610815"/>
    <w:rsid w:val="00611781"/>
    <w:rsid w:val="00616DA5"/>
    <w:rsid w:val="006211D0"/>
    <w:rsid w:val="00621DCB"/>
    <w:rsid w:val="00623C00"/>
    <w:rsid w:val="00623D7C"/>
    <w:rsid w:val="00625A2E"/>
    <w:rsid w:val="00625B17"/>
    <w:rsid w:val="00626001"/>
    <w:rsid w:val="00630EEB"/>
    <w:rsid w:val="0063109A"/>
    <w:rsid w:val="00634454"/>
    <w:rsid w:val="00635507"/>
    <w:rsid w:val="00642438"/>
    <w:rsid w:val="006458EA"/>
    <w:rsid w:val="0064591D"/>
    <w:rsid w:val="0064698F"/>
    <w:rsid w:val="006469E1"/>
    <w:rsid w:val="00650D5F"/>
    <w:rsid w:val="00650E52"/>
    <w:rsid w:val="00651A29"/>
    <w:rsid w:val="006522EB"/>
    <w:rsid w:val="00656C13"/>
    <w:rsid w:val="00660E54"/>
    <w:rsid w:val="00661651"/>
    <w:rsid w:val="00664F13"/>
    <w:rsid w:val="006711DD"/>
    <w:rsid w:val="00671E19"/>
    <w:rsid w:val="00675120"/>
    <w:rsid w:val="00675A83"/>
    <w:rsid w:val="00677E4E"/>
    <w:rsid w:val="006826E2"/>
    <w:rsid w:val="00684BF9"/>
    <w:rsid w:val="00686166"/>
    <w:rsid w:val="006870EC"/>
    <w:rsid w:val="00690164"/>
    <w:rsid w:val="006938D8"/>
    <w:rsid w:val="006A0F62"/>
    <w:rsid w:val="006A1419"/>
    <w:rsid w:val="006A21BA"/>
    <w:rsid w:val="006A410B"/>
    <w:rsid w:val="006A42C9"/>
    <w:rsid w:val="006A75F9"/>
    <w:rsid w:val="006B49B4"/>
    <w:rsid w:val="006B53A3"/>
    <w:rsid w:val="006B5891"/>
    <w:rsid w:val="006B70E3"/>
    <w:rsid w:val="006B791F"/>
    <w:rsid w:val="006C14E1"/>
    <w:rsid w:val="006C240C"/>
    <w:rsid w:val="006C3FB0"/>
    <w:rsid w:val="006C4AD3"/>
    <w:rsid w:val="006C606A"/>
    <w:rsid w:val="006D0873"/>
    <w:rsid w:val="006D0CC0"/>
    <w:rsid w:val="006D2AAC"/>
    <w:rsid w:val="006D2C83"/>
    <w:rsid w:val="006E1834"/>
    <w:rsid w:val="006E3A64"/>
    <w:rsid w:val="006E43C4"/>
    <w:rsid w:val="006E573E"/>
    <w:rsid w:val="006E5966"/>
    <w:rsid w:val="006E6AFB"/>
    <w:rsid w:val="006F033F"/>
    <w:rsid w:val="006F10F0"/>
    <w:rsid w:val="0070103E"/>
    <w:rsid w:val="00701D18"/>
    <w:rsid w:val="0070240C"/>
    <w:rsid w:val="0070447E"/>
    <w:rsid w:val="00705017"/>
    <w:rsid w:val="007053B8"/>
    <w:rsid w:val="00705768"/>
    <w:rsid w:val="0070592F"/>
    <w:rsid w:val="007075CA"/>
    <w:rsid w:val="00711234"/>
    <w:rsid w:val="0071289F"/>
    <w:rsid w:val="00713030"/>
    <w:rsid w:val="007160FD"/>
    <w:rsid w:val="00721AEE"/>
    <w:rsid w:val="00721BA5"/>
    <w:rsid w:val="0072329D"/>
    <w:rsid w:val="007238A4"/>
    <w:rsid w:val="007240DF"/>
    <w:rsid w:val="007241BD"/>
    <w:rsid w:val="007255F3"/>
    <w:rsid w:val="00727E49"/>
    <w:rsid w:val="00731694"/>
    <w:rsid w:val="00732E8F"/>
    <w:rsid w:val="00734B19"/>
    <w:rsid w:val="00734D60"/>
    <w:rsid w:val="007401DA"/>
    <w:rsid w:val="00740886"/>
    <w:rsid w:val="00742C30"/>
    <w:rsid w:val="00742DBD"/>
    <w:rsid w:val="00742E10"/>
    <w:rsid w:val="00743FE9"/>
    <w:rsid w:val="0074513B"/>
    <w:rsid w:val="00751FAE"/>
    <w:rsid w:val="007522C4"/>
    <w:rsid w:val="007531FB"/>
    <w:rsid w:val="007532EB"/>
    <w:rsid w:val="00754C56"/>
    <w:rsid w:val="007562E3"/>
    <w:rsid w:val="0076083E"/>
    <w:rsid w:val="00763688"/>
    <w:rsid w:val="00763753"/>
    <w:rsid w:val="007639B0"/>
    <w:rsid w:val="00764FD1"/>
    <w:rsid w:val="00766DA6"/>
    <w:rsid w:val="007671DE"/>
    <w:rsid w:val="00773F23"/>
    <w:rsid w:val="00773FD0"/>
    <w:rsid w:val="0077709A"/>
    <w:rsid w:val="00782568"/>
    <w:rsid w:val="00782FF3"/>
    <w:rsid w:val="00784CF3"/>
    <w:rsid w:val="00786122"/>
    <w:rsid w:val="00790DE6"/>
    <w:rsid w:val="00791758"/>
    <w:rsid w:val="0079254E"/>
    <w:rsid w:val="0079537E"/>
    <w:rsid w:val="00795EBD"/>
    <w:rsid w:val="007A1A54"/>
    <w:rsid w:val="007A20FF"/>
    <w:rsid w:val="007A273C"/>
    <w:rsid w:val="007A3536"/>
    <w:rsid w:val="007A595C"/>
    <w:rsid w:val="007A7900"/>
    <w:rsid w:val="007B05F1"/>
    <w:rsid w:val="007B229C"/>
    <w:rsid w:val="007B4029"/>
    <w:rsid w:val="007C1957"/>
    <w:rsid w:val="007C2328"/>
    <w:rsid w:val="007C32C2"/>
    <w:rsid w:val="007C3D11"/>
    <w:rsid w:val="007C43D5"/>
    <w:rsid w:val="007C4640"/>
    <w:rsid w:val="007C5CFC"/>
    <w:rsid w:val="007C5F2D"/>
    <w:rsid w:val="007C6213"/>
    <w:rsid w:val="007D0C3B"/>
    <w:rsid w:val="007D2B5D"/>
    <w:rsid w:val="007D48FC"/>
    <w:rsid w:val="007D4BFD"/>
    <w:rsid w:val="007D6A51"/>
    <w:rsid w:val="007D6EEE"/>
    <w:rsid w:val="007D7A2E"/>
    <w:rsid w:val="007E0254"/>
    <w:rsid w:val="007E0B08"/>
    <w:rsid w:val="007E198F"/>
    <w:rsid w:val="007E419C"/>
    <w:rsid w:val="007E6992"/>
    <w:rsid w:val="007E74BE"/>
    <w:rsid w:val="007F011F"/>
    <w:rsid w:val="007F0317"/>
    <w:rsid w:val="007F0D37"/>
    <w:rsid w:val="007F1FCD"/>
    <w:rsid w:val="007F22DF"/>
    <w:rsid w:val="007F354E"/>
    <w:rsid w:val="007F4EC1"/>
    <w:rsid w:val="0080077C"/>
    <w:rsid w:val="0080205A"/>
    <w:rsid w:val="00804FE3"/>
    <w:rsid w:val="00807101"/>
    <w:rsid w:val="00810BA5"/>
    <w:rsid w:val="008117CB"/>
    <w:rsid w:val="00814657"/>
    <w:rsid w:val="00814AD5"/>
    <w:rsid w:val="00815A93"/>
    <w:rsid w:val="00817386"/>
    <w:rsid w:val="0082276F"/>
    <w:rsid w:val="008239E5"/>
    <w:rsid w:val="00823F1F"/>
    <w:rsid w:val="008243A9"/>
    <w:rsid w:val="008251E2"/>
    <w:rsid w:val="008310E7"/>
    <w:rsid w:val="00831724"/>
    <w:rsid w:val="00833716"/>
    <w:rsid w:val="00833D52"/>
    <w:rsid w:val="00834C1D"/>
    <w:rsid w:val="00842393"/>
    <w:rsid w:val="00843E29"/>
    <w:rsid w:val="00844B53"/>
    <w:rsid w:val="00844FC2"/>
    <w:rsid w:val="00850131"/>
    <w:rsid w:val="00851160"/>
    <w:rsid w:val="00851BC3"/>
    <w:rsid w:val="00851DC4"/>
    <w:rsid w:val="0085381B"/>
    <w:rsid w:val="00853B8C"/>
    <w:rsid w:val="00856A63"/>
    <w:rsid w:val="0085769B"/>
    <w:rsid w:val="00860899"/>
    <w:rsid w:val="00860E07"/>
    <w:rsid w:val="00865378"/>
    <w:rsid w:val="008665A7"/>
    <w:rsid w:val="008729D7"/>
    <w:rsid w:val="008745B2"/>
    <w:rsid w:val="00874BA3"/>
    <w:rsid w:val="008805F2"/>
    <w:rsid w:val="008813B0"/>
    <w:rsid w:val="00883B1D"/>
    <w:rsid w:val="00884BAD"/>
    <w:rsid w:val="008857C7"/>
    <w:rsid w:val="00885AED"/>
    <w:rsid w:val="0088762C"/>
    <w:rsid w:val="00891752"/>
    <w:rsid w:val="00891C31"/>
    <w:rsid w:val="00893B62"/>
    <w:rsid w:val="00894E2D"/>
    <w:rsid w:val="0089583E"/>
    <w:rsid w:val="00895CBC"/>
    <w:rsid w:val="008A0DD5"/>
    <w:rsid w:val="008A2FAA"/>
    <w:rsid w:val="008A3AA8"/>
    <w:rsid w:val="008A4071"/>
    <w:rsid w:val="008A4EDE"/>
    <w:rsid w:val="008B08B9"/>
    <w:rsid w:val="008B0DFB"/>
    <w:rsid w:val="008B23FB"/>
    <w:rsid w:val="008B2957"/>
    <w:rsid w:val="008B3459"/>
    <w:rsid w:val="008B38B7"/>
    <w:rsid w:val="008B44B6"/>
    <w:rsid w:val="008B45C2"/>
    <w:rsid w:val="008B5509"/>
    <w:rsid w:val="008B7616"/>
    <w:rsid w:val="008C0D03"/>
    <w:rsid w:val="008C3614"/>
    <w:rsid w:val="008C7643"/>
    <w:rsid w:val="008C780E"/>
    <w:rsid w:val="008C79AF"/>
    <w:rsid w:val="008D089D"/>
    <w:rsid w:val="008D092F"/>
    <w:rsid w:val="008D3909"/>
    <w:rsid w:val="008D4142"/>
    <w:rsid w:val="008D4424"/>
    <w:rsid w:val="008D5FE6"/>
    <w:rsid w:val="008E0A80"/>
    <w:rsid w:val="008E0D1A"/>
    <w:rsid w:val="008E1A30"/>
    <w:rsid w:val="008E25B8"/>
    <w:rsid w:val="008E377F"/>
    <w:rsid w:val="008E4BD9"/>
    <w:rsid w:val="008E56B0"/>
    <w:rsid w:val="008E6025"/>
    <w:rsid w:val="008F00B1"/>
    <w:rsid w:val="008F2A14"/>
    <w:rsid w:val="008F33F6"/>
    <w:rsid w:val="008F627D"/>
    <w:rsid w:val="00901CE5"/>
    <w:rsid w:val="00901D20"/>
    <w:rsid w:val="009037A1"/>
    <w:rsid w:val="00903A3E"/>
    <w:rsid w:val="00907009"/>
    <w:rsid w:val="00911B44"/>
    <w:rsid w:val="0091275D"/>
    <w:rsid w:val="009137F2"/>
    <w:rsid w:val="00913D22"/>
    <w:rsid w:val="00913F90"/>
    <w:rsid w:val="009163D8"/>
    <w:rsid w:val="00916416"/>
    <w:rsid w:val="00920F02"/>
    <w:rsid w:val="00921873"/>
    <w:rsid w:val="009223E9"/>
    <w:rsid w:val="00922D01"/>
    <w:rsid w:val="00925D43"/>
    <w:rsid w:val="00927143"/>
    <w:rsid w:val="00930BB8"/>
    <w:rsid w:val="00930CD7"/>
    <w:rsid w:val="00932D2D"/>
    <w:rsid w:val="00934821"/>
    <w:rsid w:val="00937B05"/>
    <w:rsid w:val="009407A6"/>
    <w:rsid w:val="00942899"/>
    <w:rsid w:val="00942DC1"/>
    <w:rsid w:val="009475EB"/>
    <w:rsid w:val="00947D27"/>
    <w:rsid w:val="00952878"/>
    <w:rsid w:val="00953D11"/>
    <w:rsid w:val="009566A2"/>
    <w:rsid w:val="0095694E"/>
    <w:rsid w:val="00957F94"/>
    <w:rsid w:val="00960431"/>
    <w:rsid w:val="00960CC2"/>
    <w:rsid w:val="00961CB3"/>
    <w:rsid w:val="00963D96"/>
    <w:rsid w:val="00964DE7"/>
    <w:rsid w:val="00965F81"/>
    <w:rsid w:val="009679CA"/>
    <w:rsid w:val="00967EC9"/>
    <w:rsid w:val="0097006C"/>
    <w:rsid w:val="009706E4"/>
    <w:rsid w:val="009737F3"/>
    <w:rsid w:val="00974CA2"/>
    <w:rsid w:val="009753E3"/>
    <w:rsid w:val="00977797"/>
    <w:rsid w:val="00981CDB"/>
    <w:rsid w:val="009829B7"/>
    <w:rsid w:val="00984E8C"/>
    <w:rsid w:val="0098538E"/>
    <w:rsid w:val="00985B84"/>
    <w:rsid w:val="00986433"/>
    <w:rsid w:val="00987EF2"/>
    <w:rsid w:val="00992117"/>
    <w:rsid w:val="00993966"/>
    <w:rsid w:val="00993F17"/>
    <w:rsid w:val="009952D4"/>
    <w:rsid w:val="00995D34"/>
    <w:rsid w:val="009A01B5"/>
    <w:rsid w:val="009A1762"/>
    <w:rsid w:val="009A1904"/>
    <w:rsid w:val="009A409A"/>
    <w:rsid w:val="009A48AB"/>
    <w:rsid w:val="009A5C63"/>
    <w:rsid w:val="009A6ED7"/>
    <w:rsid w:val="009B1321"/>
    <w:rsid w:val="009B190C"/>
    <w:rsid w:val="009B5197"/>
    <w:rsid w:val="009B5739"/>
    <w:rsid w:val="009B68A2"/>
    <w:rsid w:val="009B7859"/>
    <w:rsid w:val="009C04C9"/>
    <w:rsid w:val="009C1F1F"/>
    <w:rsid w:val="009C77A5"/>
    <w:rsid w:val="009C7ABE"/>
    <w:rsid w:val="009D1086"/>
    <w:rsid w:val="009D1C85"/>
    <w:rsid w:val="009D2010"/>
    <w:rsid w:val="009D29A4"/>
    <w:rsid w:val="009D3A94"/>
    <w:rsid w:val="009D5013"/>
    <w:rsid w:val="009E1BEA"/>
    <w:rsid w:val="009E28CE"/>
    <w:rsid w:val="009E3674"/>
    <w:rsid w:val="009E376D"/>
    <w:rsid w:val="009E68B7"/>
    <w:rsid w:val="009E6AA3"/>
    <w:rsid w:val="009F10EC"/>
    <w:rsid w:val="009F20EF"/>
    <w:rsid w:val="009F257E"/>
    <w:rsid w:val="009F2DC0"/>
    <w:rsid w:val="009F4D9C"/>
    <w:rsid w:val="00A04F3B"/>
    <w:rsid w:val="00A0529C"/>
    <w:rsid w:val="00A06C62"/>
    <w:rsid w:val="00A07EFF"/>
    <w:rsid w:val="00A07F01"/>
    <w:rsid w:val="00A133E0"/>
    <w:rsid w:val="00A14E81"/>
    <w:rsid w:val="00A16C9F"/>
    <w:rsid w:val="00A20021"/>
    <w:rsid w:val="00A20754"/>
    <w:rsid w:val="00A20BF9"/>
    <w:rsid w:val="00A2365A"/>
    <w:rsid w:val="00A238F6"/>
    <w:rsid w:val="00A25268"/>
    <w:rsid w:val="00A3167C"/>
    <w:rsid w:val="00A4018D"/>
    <w:rsid w:val="00A4153D"/>
    <w:rsid w:val="00A425A3"/>
    <w:rsid w:val="00A43989"/>
    <w:rsid w:val="00A47467"/>
    <w:rsid w:val="00A478F9"/>
    <w:rsid w:val="00A51C09"/>
    <w:rsid w:val="00A53F4E"/>
    <w:rsid w:val="00A549B1"/>
    <w:rsid w:val="00A55F44"/>
    <w:rsid w:val="00A57559"/>
    <w:rsid w:val="00A57ABF"/>
    <w:rsid w:val="00A60962"/>
    <w:rsid w:val="00A62948"/>
    <w:rsid w:val="00A64A86"/>
    <w:rsid w:val="00A651F1"/>
    <w:rsid w:val="00A655C7"/>
    <w:rsid w:val="00A66EF1"/>
    <w:rsid w:val="00A763ED"/>
    <w:rsid w:val="00A765EA"/>
    <w:rsid w:val="00A80403"/>
    <w:rsid w:val="00A81283"/>
    <w:rsid w:val="00A81B7C"/>
    <w:rsid w:val="00A81D91"/>
    <w:rsid w:val="00A8252D"/>
    <w:rsid w:val="00A83497"/>
    <w:rsid w:val="00A842DE"/>
    <w:rsid w:val="00A8430A"/>
    <w:rsid w:val="00A86FC5"/>
    <w:rsid w:val="00A93AF1"/>
    <w:rsid w:val="00A96F98"/>
    <w:rsid w:val="00A97848"/>
    <w:rsid w:val="00AA1679"/>
    <w:rsid w:val="00AA5793"/>
    <w:rsid w:val="00AA7279"/>
    <w:rsid w:val="00AB0DB5"/>
    <w:rsid w:val="00AB2E55"/>
    <w:rsid w:val="00AB41CA"/>
    <w:rsid w:val="00AC006D"/>
    <w:rsid w:val="00AC1129"/>
    <w:rsid w:val="00AC140E"/>
    <w:rsid w:val="00AC5339"/>
    <w:rsid w:val="00AC6CCF"/>
    <w:rsid w:val="00AD026D"/>
    <w:rsid w:val="00AD04FF"/>
    <w:rsid w:val="00AD7DE0"/>
    <w:rsid w:val="00AE02B8"/>
    <w:rsid w:val="00AE0C04"/>
    <w:rsid w:val="00AE21C1"/>
    <w:rsid w:val="00AE2394"/>
    <w:rsid w:val="00AE42D6"/>
    <w:rsid w:val="00AF1AF8"/>
    <w:rsid w:val="00AF2F72"/>
    <w:rsid w:val="00AF4A04"/>
    <w:rsid w:val="00AF5CAC"/>
    <w:rsid w:val="00B00A76"/>
    <w:rsid w:val="00B02819"/>
    <w:rsid w:val="00B0530B"/>
    <w:rsid w:val="00B06CFD"/>
    <w:rsid w:val="00B071E8"/>
    <w:rsid w:val="00B13F29"/>
    <w:rsid w:val="00B14AE3"/>
    <w:rsid w:val="00B1505C"/>
    <w:rsid w:val="00B152B8"/>
    <w:rsid w:val="00B15ACB"/>
    <w:rsid w:val="00B16D03"/>
    <w:rsid w:val="00B17A51"/>
    <w:rsid w:val="00B211FD"/>
    <w:rsid w:val="00B225B5"/>
    <w:rsid w:val="00B24C84"/>
    <w:rsid w:val="00B25410"/>
    <w:rsid w:val="00B2699E"/>
    <w:rsid w:val="00B3034C"/>
    <w:rsid w:val="00B3053E"/>
    <w:rsid w:val="00B31108"/>
    <w:rsid w:val="00B32314"/>
    <w:rsid w:val="00B32609"/>
    <w:rsid w:val="00B41018"/>
    <w:rsid w:val="00B411A8"/>
    <w:rsid w:val="00B43197"/>
    <w:rsid w:val="00B43594"/>
    <w:rsid w:val="00B437DC"/>
    <w:rsid w:val="00B4401B"/>
    <w:rsid w:val="00B44477"/>
    <w:rsid w:val="00B463E0"/>
    <w:rsid w:val="00B47938"/>
    <w:rsid w:val="00B54498"/>
    <w:rsid w:val="00B55EF0"/>
    <w:rsid w:val="00B60268"/>
    <w:rsid w:val="00B6213C"/>
    <w:rsid w:val="00B62CE4"/>
    <w:rsid w:val="00B64F0C"/>
    <w:rsid w:val="00B65265"/>
    <w:rsid w:val="00B660E2"/>
    <w:rsid w:val="00B70DF4"/>
    <w:rsid w:val="00B7117E"/>
    <w:rsid w:val="00B711BC"/>
    <w:rsid w:val="00B72288"/>
    <w:rsid w:val="00B75537"/>
    <w:rsid w:val="00B75F3E"/>
    <w:rsid w:val="00B7658B"/>
    <w:rsid w:val="00B77002"/>
    <w:rsid w:val="00B81FBC"/>
    <w:rsid w:val="00B82373"/>
    <w:rsid w:val="00B826F9"/>
    <w:rsid w:val="00B8365A"/>
    <w:rsid w:val="00B85623"/>
    <w:rsid w:val="00B8588F"/>
    <w:rsid w:val="00B85C73"/>
    <w:rsid w:val="00B93BCF"/>
    <w:rsid w:val="00B9556B"/>
    <w:rsid w:val="00B973AD"/>
    <w:rsid w:val="00B97CED"/>
    <w:rsid w:val="00BA0104"/>
    <w:rsid w:val="00BA0131"/>
    <w:rsid w:val="00BA13D4"/>
    <w:rsid w:val="00BA1C31"/>
    <w:rsid w:val="00BA4119"/>
    <w:rsid w:val="00BA733A"/>
    <w:rsid w:val="00BB0099"/>
    <w:rsid w:val="00BB299B"/>
    <w:rsid w:val="00BB3681"/>
    <w:rsid w:val="00BB59B6"/>
    <w:rsid w:val="00BB7E72"/>
    <w:rsid w:val="00BC2028"/>
    <w:rsid w:val="00BC3AF8"/>
    <w:rsid w:val="00BC61A2"/>
    <w:rsid w:val="00BC62F5"/>
    <w:rsid w:val="00BC672B"/>
    <w:rsid w:val="00BD0697"/>
    <w:rsid w:val="00BD09AE"/>
    <w:rsid w:val="00BD344D"/>
    <w:rsid w:val="00BD58EF"/>
    <w:rsid w:val="00BD7E52"/>
    <w:rsid w:val="00BE1BA4"/>
    <w:rsid w:val="00BE2E03"/>
    <w:rsid w:val="00BE37D8"/>
    <w:rsid w:val="00BE4B57"/>
    <w:rsid w:val="00BE59A1"/>
    <w:rsid w:val="00BE68AA"/>
    <w:rsid w:val="00BE7BBD"/>
    <w:rsid w:val="00BF2743"/>
    <w:rsid w:val="00BF2AC8"/>
    <w:rsid w:val="00BF3932"/>
    <w:rsid w:val="00BF4580"/>
    <w:rsid w:val="00C014FC"/>
    <w:rsid w:val="00C019C7"/>
    <w:rsid w:val="00C027B0"/>
    <w:rsid w:val="00C03602"/>
    <w:rsid w:val="00C07E1E"/>
    <w:rsid w:val="00C1497B"/>
    <w:rsid w:val="00C15F57"/>
    <w:rsid w:val="00C17A2F"/>
    <w:rsid w:val="00C21BBB"/>
    <w:rsid w:val="00C231BA"/>
    <w:rsid w:val="00C23A01"/>
    <w:rsid w:val="00C2421A"/>
    <w:rsid w:val="00C26967"/>
    <w:rsid w:val="00C269E2"/>
    <w:rsid w:val="00C27343"/>
    <w:rsid w:val="00C31813"/>
    <w:rsid w:val="00C32976"/>
    <w:rsid w:val="00C329FA"/>
    <w:rsid w:val="00C345A3"/>
    <w:rsid w:val="00C34B47"/>
    <w:rsid w:val="00C36186"/>
    <w:rsid w:val="00C41926"/>
    <w:rsid w:val="00C42D07"/>
    <w:rsid w:val="00C43984"/>
    <w:rsid w:val="00C45F03"/>
    <w:rsid w:val="00C4766C"/>
    <w:rsid w:val="00C47E33"/>
    <w:rsid w:val="00C517F5"/>
    <w:rsid w:val="00C539B2"/>
    <w:rsid w:val="00C54D00"/>
    <w:rsid w:val="00C57529"/>
    <w:rsid w:val="00C602EF"/>
    <w:rsid w:val="00C615B1"/>
    <w:rsid w:val="00C61FF9"/>
    <w:rsid w:val="00C6244E"/>
    <w:rsid w:val="00C646D8"/>
    <w:rsid w:val="00C648AB"/>
    <w:rsid w:val="00C650D5"/>
    <w:rsid w:val="00C65633"/>
    <w:rsid w:val="00C65F22"/>
    <w:rsid w:val="00C71893"/>
    <w:rsid w:val="00C73CDC"/>
    <w:rsid w:val="00C773F3"/>
    <w:rsid w:val="00C80696"/>
    <w:rsid w:val="00C81C0A"/>
    <w:rsid w:val="00C821CB"/>
    <w:rsid w:val="00C84E3F"/>
    <w:rsid w:val="00C87E9D"/>
    <w:rsid w:val="00C90400"/>
    <w:rsid w:val="00C93364"/>
    <w:rsid w:val="00C93C23"/>
    <w:rsid w:val="00C95B7F"/>
    <w:rsid w:val="00C96354"/>
    <w:rsid w:val="00C970A1"/>
    <w:rsid w:val="00C97DDA"/>
    <w:rsid w:val="00CA04D8"/>
    <w:rsid w:val="00CA63E9"/>
    <w:rsid w:val="00CB097C"/>
    <w:rsid w:val="00CB1EE2"/>
    <w:rsid w:val="00CB2124"/>
    <w:rsid w:val="00CB4368"/>
    <w:rsid w:val="00CB7F6A"/>
    <w:rsid w:val="00CC0FC1"/>
    <w:rsid w:val="00CC1DF7"/>
    <w:rsid w:val="00CC6862"/>
    <w:rsid w:val="00CC73B3"/>
    <w:rsid w:val="00CD0A0F"/>
    <w:rsid w:val="00CD6FEE"/>
    <w:rsid w:val="00CD76AF"/>
    <w:rsid w:val="00CE093E"/>
    <w:rsid w:val="00CE28AA"/>
    <w:rsid w:val="00CE5321"/>
    <w:rsid w:val="00CE5BF4"/>
    <w:rsid w:val="00CE5F28"/>
    <w:rsid w:val="00CE77E7"/>
    <w:rsid w:val="00CF034D"/>
    <w:rsid w:val="00CF30D4"/>
    <w:rsid w:val="00CF38F0"/>
    <w:rsid w:val="00CF49F9"/>
    <w:rsid w:val="00CF4CE7"/>
    <w:rsid w:val="00D0000F"/>
    <w:rsid w:val="00D008CE"/>
    <w:rsid w:val="00D02536"/>
    <w:rsid w:val="00D03C0C"/>
    <w:rsid w:val="00D069CC"/>
    <w:rsid w:val="00D07288"/>
    <w:rsid w:val="00D073DA"/>
    <w:rsid w:val="00D11019"/>
    <w:rsid w:val="00D112C3"/>
    <w:rsid w:val="00D121D3"/>
    <w:rsid w:val="00D1226E"/>
    <w:rsid w:val="00D12E9F"/>
    <w:rsid w:val="00D16291"/>
    <w:rsid w:val="00D207EA"/>
    <w:rsid w:val="00D208AC"/>
    <w:rsid w:val="00D2112C"/>
    <w:rsid w:val="00D25F14"/>
    <w:rsid w:val="00D276FF"/>
    <w:rsid w:val="00D27AB0"/>
    <w:rsid w:val="00D308B2"/>
    <w:rsid w:val="00D31D08"/>
    <w:rsid w:val="00D31E2E"/>
    <w:rsid w:val="00D32A29"/>
    <w:rsid w:val="00D336D8"/>
    <w:rsid w:val="00D33C0E"/>
    <w:rsid w:val="00D356D8"/>
    <w:rsid w:val="00D36106"/>
    <w:rsid w:val="00D361D2"/>
    <w:rsid w:val="00D40054"/>
    <w:rsid w:val="00D414C5"/>
    <w:rsid w:val="00D42786"/>
    <w:rsid w:val="00D45554"/>
    <w:rsid w:val="00D52217"/>
    <w:rsid w:val="00D537EE"/>
    <w:rsid w:val="00D53A16"/>
    <w:rsid w:val="00D54514"/>
    <w:rsid w:val="00D54BA5"/>
    <w:rsid w:val="00D56085"/>
    <w:rsid w:val="00D561C7"/>
    <w:rsid w:val="00D57AA5"/>
    <w:rsid w:val="00D60BD6"/>
    <w:rsid w:val="00D65454"/>
    <w:rsid w:val="00D6626F"/>
    <w:rsid w:val="00D66B22"/>
    <w:rsid w:val="00D70EED"/>
    <w:rsid w:val="00D71655"/>
    <w:rsid w:val="00D7172C"/>
    <w:rsid w:val="00D74E84"/>
    <w:rsid w:val="00D75617"/>
    <w:rsid w:val="00D75D8F"/>
    <w:rsid w:val="00D76A8B"/>
    <w:rsid w:val="00D77126"/>
    <w:rsid w:val="00D84762"/>
    <w:rsid w:val="00D865B5"/>
    <w:rsid w:val="00D9067A"/>
    <w:rsid w:val="00D94555"/>
    <w:rsid w:val="00D9648E"/>
    <w:rsid w:val="00D966C7"/>
    <w:rsid w:val="00D96EB9"/>
    <w:rsid w:val="00D96F6A"/>
    <w:rsid w:val="00D979C0"/>
    <w:rsid w:val="00DA35B0"/>
    <w:rsid w:val="00DA3C45"/>
    <w:rsid w:val="00DA5BA7"/>
    <w:rsid w:val="00DA6962"/>
    <w:rsid w:val="00DA7EA8"/>
    <w:rsid w:val="00DB00E1"/>
    <w:rsid w:val="00DB1124"/>
    <w:rsid w:val="00DB212C"/>
    <w:rsid w:val="00DB2774"/>
    <w:rsid w:val="00DB6CDA"/>
    <w:rsid w:val="00DC16C3"/>
    <w:rsid w:val="00DC2DA0"/>
    <w:rsid w:val="00DC31F6"/>
    <w:rsid w:val="00DC43D0"/>
    <w:rsid w:val="00DC4F0D"/>
    <w:rsid w:val="00DC5183"/>
    <w:rsid w:val="00DC7C14"/>
    <w:rsid w:val="00DD2096"/>
    <w:rsid w:val="00DD3483"/>
    <w:rsid w:val="00DD4183"/>
    <w:rsid w:val="00DD64EA"/>
    <w:rsid w:val="00DD678B"/>
    <w:rsid w:val="00DD7AB6"/>
    <w:rsid w:val="00DE22DC"/>
    <w:rsid w:val="00DE2CC1"/>
    <w:rsid w:val="00DE3856"/>
    <w:rsid w:val="00DE3D22"/>
    <w:rsid w:val="00DE4755"/>
    <w:rsid w:val="00DE77DC"/>
    <w:rsid w:val="00DE7B09"/>
    <w:rsid w:val="00DF5969"/>
    <w:rsid w:val="00DF63BB"/>
    <w:rsid w:val="00DF738A"/>
    <w:rsid w:val="00DF7CDB"/>
    <w:rsid w:val="00E027F6"/>
    <w:rsid w:val="00E04243"/>
    <w:rsid w:val="00E07027"/>
    <w:rsid w:val="00E070F0"/>
    <w:rsid w:val="00E11426"/>
    <w:rsid w:val="00E24664"/>
    <w:rsid w:val="00E252E4"/>
    <w:rsid w:val="00E2767E"/>
    <w:rsid w:val="00E27F61"/>
    <w:rsid w:val="00E328E2"/>
    <w:rsid w:val="00E33B95"/>
    <w:rsid w:val="00E35445"/>
    <w:rsid w:val="00E35B09"/>
    <w:rsid w:val="00E35D80"/>
    <w:rsid w:val="00E35DD7"/>
    <w:rsid w:val="00E422A1"/>
    <w:rsid w:val="00E4369A"/>
    <w:rsid w:val="00E448D9"/>
    <w:rsid w:val="00E46839"/>
    <w:rsid w:val="00E46A5B"/>
    <w:rsid w:val="00E52E2D"/>
    <w:rsid w:val="00E556DF"/>
    <w:rsid w:val="00E55B09"/>
    <w:rsid w:val="00E56CCE"/>
    <w:rsid w:val="00E60AEE"/>
    <w:rsid w:val="00E61956"/>
    <w:rsid w:val="00E61E9E"/>
    <w:rsid w:val="00E65C33"/>
    <w:rsid w:val="00E66E53"/>
    <w:rsid w:val="00E672A2"/>
    <w:rsid w:val="00E67C5A"/>
    <w:rsid w:val="00E70DD7"/>
    <w:rsid w:val="00E71993"/>
    <w:rsid w:val="00E73D04"/>
    <w:rsid w:val="00E73D06"/>
    <w:rsid w:val="00E7465E"/>
    <w:rsid w:val="00E74E46"/>
    <w:rsid w:val="00E7789B"/>
    <w:rsid w:val="00E84A26"/>
    <w:rsid w:val="00E90030"/>
    <w:rsid w:val="00E9026C"/>
    <w:rsid w:val="00E904F8"/>
    <w:rsid w:val="00E91A73"/>
    <w:rsid w:val="00E92A85"/>
    <w:rsid w:val="00E9313A"/>
    <w:rsid w:val="00E93347"/>
    <w:rsid w:val="00E938FD"/>
    <w:rsid w:val="00E9418E"/>
    <w:rsid w:val="00E94F9D"/>
    <w:rsid w:val="00E95041"/>
    <w:rsid w:val="00E96DB5"/>
    <w:rsid w:val="00EA08EF"/>
    <w:rsid w:val="00EA3FB8"/>
    <w:rsid w:val="00EA475D"/>
    <w:rsid w:val="00EA4B26"/>
    <w:rsid w:val="00EA5E60"/>
    <w:rsid w:val="00EB01C8"/>
    <w:rsid w:val="00EB03EE"/>
    <w:rsid w:val="00EB24D7"/>
    <w:rsid w:val="00EB4186"/>
    <w:rsid w:val="00EC0CFF"/>
    <w:rsid w:val="00EC1F22"/>
    <w:rsid w:val="00EC4FDE"/>
    <w:rsid w:val="00EC779A"/>
    <w:rsid w:val="00ED1487"/>
    <w:rsid w:val="00ED24B0"/>
    <w:rsid w:val="00ED5E1D"/>
    <w:rsid w:val="00ED646B"/>
    <w:rsid w:val="00ED7581"/>
    <w:rsid w:val="00EE0202"/>
    <w:rsid w:val="00EE3477"/>
    <w:rsid w:val="00EE368F"/>
    <w:rsid w:val="00EE7E38"/>
    <w:rsid w:val="00EF4039"/>
    <w:rsid w:val="00EF4505"/>
    <w:rsid w:val="00EF5E77"/>
    <w:rsid w:val="00EF6198"/>
    <w:rsid w:val="00EF648F"/>
    <w:rsid w:val="00EF7389"/>
    <w:rsid w:val="00F004F4"/>
    <w:rsid w:val="00F0104B"/>
    <w:rsid w:val="00F01DD8"/>
    <w:rsid w:val="00F03A7C"/>
    <w:rsid w:val="00F0617B"/>
    <w:rsid w:val="00F0726F"/>
    <w:rsid w:val="00F078D7"/>
    <w:rsid w:val="00F1048F"/>
    <w:rsid w:val="00F10FDB"/>
    <w:rsid w:val="00F144A6"/>
    <w:rsid w:val="00F14522"/>
    <w:rsid w:val="00F14560"/>
    <w:rsid w:val="00F24753"/>
    <w:rsid w:val="00F25729"/>
    <w:rsid w:val="00F30DC9"/>
    <w:rsid w:val="00F33248"/>
    <w:rsid w:val="00F34FC9"/>
    <w:rsid w:val="00F366B2"/>
    <w:rsid w:val="00F37182"/>
    <w:rsid w:val="00F378D2"/>
    <w:rsid w:val="00F42849"/>
    <w:rsid w:val="00F42B94"/>
    <w:rsid w:val="00F43CA5"/>
    <w:rsid w:val="00F43DED"/>
    <w:rsid w:val="00F50CDF"/>
    <w:rsid w:val="00F51C11"/>
    <w:rsid w:val="00F52E62"/>
    <w:rsid w:val="00F54293"/>
    <w:rsid w:val="00F57BE6"/>
    <w:rsid w:val="00F62819"/>
    <w:rsid w:val="00F64FF6"/>
    <w:rsid w:val="00F67021"/>
    <w:rsid w:val="00F670FA"/>
    <w:rsid w:val="00F72F00"/>
    <w:rsid w:val="00F73705"/>
    <w:rsid w:val="00F761A0"/>
    <w:rsid w:val="00F77391"/>
    <w:rsid w:val="00F77727"/>
    <w:rsid w:val="00F81E63"/>
    <w:rsid w:val="00F87444"/>
    <w:rsid w:val="00F87FAC"/>
    <w:rsid w:val="00F904EA"/>
    <w:rsid w:val="00F92506"/>
    <w:rsid w:val="00F92566"/>
    <w:rsid w:val="00F93151"/>
    <w:rsid w:val="00F94050"/>
    <w:rsid w:val="00F97261"/>
    <w:rsid w:val="00F973FD"/>
    <w:rsid w:val="00FA07D1"/>
    <w:rsid w:val="00FA141D"/>
    <w:rsid w:val="00FA2609"/>
    <w:rsid w:val="00FB210A"/>
    <w:rsid w:val="00FB2824"/>
    <w:rsid w:val="00FB34A4"/>
    <w:rsid w:val="00FB4C18"/>
    <w:rsid w:val="00FB6049"/>
    <w:rsid w:val="00FC266C"/>
    <w:rsid w:val="00FC40A7"/>
    <w:rsid w:val="00FC4686"/>
    <w:rsid w:val="00FD077C"/>
    <w:rsid w:val="00FE0FC1"/>
    <w:rsid w:val="00FE24C8"/>
    <w:rsid w:val="00FE2B74"/>
    <w:rsid w:val="00FE45A4"/>
    <w:rsid w:val="00FE522D"/>
    <w:rsid w:val="00FE536A"/>
    <w:rsid w:val="00FE5FF3"/>
    <w:rsid w:val="00FE6234"/>
    <w:rsid w:val="00FE6360"/>
    <w:rsid w:val="00FE63B0"/>
    <w:rsid w:val="00FE7F4C"/>
    <w:rsid w:val="00FF2180"/>
    <w:rsid w:val="00FF3D98"/>
    <w:rsid w:val="00FF5EA5"/>
    <w:rsid w:val="00FF7F46"/>
    <w:rsid w:val="010959E2"/>
    <w:rsid w:val="012904BF"/>
    <w:rsid w:val="012E1C2C"/>
    <w:rsid w:val="01401144"/>
    <w:rsid w:val="01903F7B"/>
    <w:rsid w:val="01BB5A85"/>
    <w:rsid w:val="01E2604D"/>
    <w:rsid w:val="02524569"/>
    <w:rsid w:val="02757725"/>
    <w:rsid w:val="027D13B9"/>
    <w:rsid w:val="02836FD5"/>
    <w:rsid w:val="02DF13AE"/>
    <w:rsid w:val="02E0514E"/>
    <w:rsid w:val="03AF1619"/>
    <w:rsid w:val="03B74811"/>
    <w:rsid w:val="04286688"/>
    <w:rsid w:val="042D7AD6"/>
    <w:rsid w:val="043851F9"/>
    <w:rsid w:val="044F0764"/>
    <w:rsid w:val="046D5F75"/>
    <w:rsid w:val="049923CC"/>
    <w:rsid w:val="04DB24DE"/>
    <w:rsid w:val="052851DF"/>
    <w:rsid w:val="054F4E62"/>
    <w:rsid w:val="05806142"/>
    <w:rsid w:val="05832C2A"/>
    <w:rsid w:val="05924D4E"/>
    <w:rsid w:val="05C16B02"/>
    <w:rsid w:val="05C3315A"/>
    <w:rsid w:val="05C8651C"/>
    <w:rsid w:val="05DB04A3"/>
    <w:rsid w:val="05E71039"/>
    <w:rsid w:val="065A4846"/>
    <w:rsid w:val="068848E9"/>
    <w:rsid w:val="06986594"/>
    <w:rsid w:val="069D39AB"/>
    <w:rsid w:val="06A43047"/>
    <w:rsid w:val="06C67807"/>
    <w:rsid w:val="06ED6FA7"/>
    <w:rsid w:val="07094E78"/>
    <w:rsid w:val="07132099"/>
    <w:rsid w:val="07434B4F"/>
    <w:rsid w:val="07434BE5"/>
    <w:rsid w:val="085165BD"/>
    <w:rsid w:val="08712E62"/>
    <w:rsid w:val="088A5DF8"/>
    <w:rsid w:val="09150170"/>
    <w:rsid w:val="095F3199"/>
    <w:rsid w:val="09DA18A6"/>
    <w:rsid w:val="0A402FCB"/>
    <w:rsid w:val="0A4E6541"/>
    <w:rsid w:val="0A521BF4"/>
    <w:rsid w:val="0A5C2382"/>
    <w:rsid w:val="0A6C019B"/>
    <w:rsid w:val="0A7F39CB"/>
    <w:rsid w:val="0A9D1AC2"/>
    <w:rsid w:val="0AC7367C"/>
    <w:rsid w:val="0B3A2110"/>
    <w:rsid w:val="0C437EE4"/>
    <w:rsid w:val="0C685EC7"/>
    <w:rsid w:val="0C7A3C79"/>
    <w:rsid w:val="0C8B0C29"/>
    <w:rsid w:val="0D2902BE"/>
    <w:rsid w:val="0D662D48"/>
    <w:rsid w:val="0DA815B3"/>
    <w:rsid w:val="0DEE7279"/>
    <w:rsid w:val="0DF442BC"/>
    <w:rsid w:val="0E1A06E3"/>
    <w:rsid w:val="0E2E40B0"/>
    <w:rsid w:val="0E59189D"/>
    <w:rsid w:val="0E616B8F"/>
    <w:rsid w:val="0E6179B4"/>
    <w:rsid w:val="0E655D57"/>
    <w:rsid w:val="0F276507"/>
    <w:rsid w:val="0F663740"/>
    <w:rsid w:val="0FA142EA"/>
    <w:rsid w:val="0FA67D74"/>
    <w:rsid w:val="0FD30808"/>
    <w:rsid w:val="0FD7617F"/>
    <w:rsid w:val="0FDF7F47"/>
    <w:rsid w:val="10016948"/>
    <w:rsid w:val="10062829"/>
    <w:rsid w:val="10156CA8"/>
    <w:rsid w:val="10331FC2"/>
    <w:rsid w:val="10991687"/>
    <w:rsid w:val="10B84590"/>
    <w:rsid w:val="10BC5375"/>
    <w:rsid w:val="10D954D4"/>
    <w:rsid w:val="10E807DF"/>
    <w:rsid w:val="10F8527C"/>
    <w:rsid w:val="10FB40F0"/>
    <w:rsid w:val="115713E8"/>
    <w:rsid w:val="11745B42"/>
    <w:rsid w:val="120E1FB6"/>
    <w:rsid w:val="121171AE"/>
    <w:rsid w:val="126006AE"/>
    <w:rsid w:val="126246A3"/>
    <w:rsid w:val="126A5950"/>
    <w:rsid w:val="12B60853"/>
    <w:rsid w:val="12BD663E"/>
    <w:rsid w:val="12CC5073"/>
    <w:rsid w:val="12FB7214"/>
    <w:rsid w:val="13041871"/>
    <w:rsid w:val="13211E55"/>
    <w:rsid w:val="139B1132"/>
    <w:rsid w:val="13C36177"/>
    <w:rsid w:val="13E3036E"/>
    <w:rsid w:val="13FF3EF7"/>
    <w:rsid w:val="14171668"/>
    <w:rsid w:val="14514B1B"/>
    <w:rsid w:val="146124BC"/>
    <w:rsid w:val="14AF3D90"/>
    <w:rsid w:val="14BC3B96"/>
    <w:rsid w:val="14C501E8"/>
    <w:rsid w:val="14EF1875"/>
    <w:rsid w:val="15237771"/>
    <w:rsid w:val="1551102B"/>
    <w:rsid w:val="155707AA"/>
    <w:rsid w:val="15746C69"/>
    <w:rsid w:val="15B241E3"/>
    <w:rsid w:val="15C23272"/>
    <w:rsid w:val="160B7C2E"/>
    <w:rsid w:val="160D6AE3"/>
    <w:rsid w:val="16C65C69"/>
    <w:rsid w:val="16C827C1"/>
    <w:rsid w:val="173C6014"/>
    <w:rsid w:val="17A03013"/>
    <w:rsid w:val="17CE1649"/>
    <w:rsid w:val="17DB2585"/>
    <w:rsid w:val="17FE6F5A"/>
    <w:rsid w:val="18162D91"/>
    <w:rsid w:val="18383533"/>
    <w:rsid w:val="1859119D"/>
    <w:rsid w:val="185C1918"/>
    <w:rsid w:val="18652B72"/>
    <w:rsid w:val="186B56B7"/>
    <w:rsid w:val="1890511D"/>
    <w:rsid w:val="189C5406"/>
    <w:rsid w:val="19197809"/>
    <w:rsid w:val="197930F0"/>
    <w:rsid w:val="19940C3D"/>
    <w:rsid w:val="1A0D03C5"/>
    <w:rsid w:val="1A120A17"/>
    <w:rsid w:val="1A3F34E6"/>
    <w:rsid w:val="1AC04186"/>
    <w:rsid w:val="1AFD0A64"/>
    <w:rsid w:val="1B5E7755"/>
    <w:rsid w:val="1B662AAD"/>
    <w:rsid w:val="1C3C7BE3"/>
    <w:rsid w:val="1D167BBB"/>
    <w:rsid w:val="1D4C0356"/>
    <w:rsid w:val="1D533E31"/>
    <w:rsid w:val="1D886D0B"/>
    <w:rsid w:val="1DC93D34"/>
    <w:rsid w:val="1E1867BD"/>
    <w:rsid w:val="1E364E1C"/>
    <w:rsid w:val="1E375F29"/>
    <w:rsid w:val="1E571928"/>
    <w:rsid w:val="1EA23DFC"/>
    <w:rsid w:val="1EC87804"/>
    <w:rsid w:val="1F106342"/>
    <w:rsid w:val="1F52137F"/>
    <w:rsid w:val="1F5F584A"/>
    <w:rsid w:val="1F6E53CE"/>
    <w:rsid w:val="1F7E6617"/>
    <w:rsid w:val="1F8D0609"/>
    <w:rsid w:val="1FD9384E"/>
    <w:rsid w:val="20126D60"/>
    <w:rsid w:val="204836CE"/>
    <w:rsid w:val="204A1236"/>
    <w:rsid w:val="206536DB"/>
    <w:rsid w:val="20B87907"/>
    <w:rsid w:val="20B901F1"/>
    <w:rsid w:val="20E420DA"/>
    <w:rsid w:val="21162880"/>
    <w:rsid w:val="213C3B04"/>
    <w:rsid w:val="2152508B"/>
    <w:rsid w:val="219A6D4B"/>
    <w:rsid w:val="21FB36D9"/>
    <w:rsid w:val="223B6DC1"/>
    <w:rsid w:val="22DB198C"/>
    <w:rsid w:val="230230BC"/>
    <w:rsid w:val="231D7594"/>
    <w:rsid w:val="233A0AA7"/>
    <w:rsid w:val="23605E1A"/>
    <w:rsid w:val="23847554"/>
    <w:rsid w:val="23BD6FE3"/>
    <w:rsid w:val="23C31FB6"/>
    <w:rsid w:val="23EB3F49"/>
    <w:rsid w:val="240370EB"/>
    <w:rsid w:val="24514B11"/>
    <w:rsid w:val="246163AE"/>
    <w:rsid w:val="249D61A7"/>
    <w:rsid w:val="24B4029C"/>
    <w:rsid w:val="24BC729A"/>
    <w:rsid w:val="24EF1480"/>
    <w:rsid w:val="24F53F45"/>
    <w:rsid w:val="24F66C50"/>
    <w:rsid w:val="250A2D0A"/>
    <w:rsid w:val="25330177"/>
    <w:rsid w:val="25777D91"/>
    <w:rsid w:val="25A53741"/>
    <w:rsid w:val="25AE752B"/>
    <w:rsid w:val="26104A0C"/>
    <w:rsid w:val="263D698F"/>
    <w:rsid w:val="263E65FC"/>
    <w:rsid w:val="265D576D"/>
    <w:rsid w:val="26633E71"/>
    <w:rsid w:val="268B1320"/>
    <w:rsid w:val="268E0D00"/>
    <w:rsid w:val="26AA79A0"/>
    <w:rsid w:val="273720EB"/>
    <w:rsid w:val="273D198C"/>
    <w:rsid w:val="273F4ECE"/>
    <w:rsid w:val="2772267C"/>
    <w:rsid w:val="277F75BE"/>
    <w:rsid w:val="27870033"/>
    <w:rsid w:val="27C561AE"/>
    <w:rsid w:val="27FF7BCA"/>
    <w:rsid w:val="28610884"/>
    <w:rsid w:val="288E0F4E"/>
    <w:rsid w:val="289F3105"/>
    <w:rsid w:val="28B163DE"/>
    <w:rsid w:val="28F973C4"/>
    <w:rsid w:val="290B259E"/>
    <w:rsid w:val="29791BFE"/>
    <w:rsid w:val="29F21998"/>
    <w:rsid w:val="2A18144E"/>
    <w:rsid w:val="2A266037"/>
    <w:rsid w:val="2A49488E"/>
    <w:rsid w:val="2A68414C"/>
    <w:rsid w:val="2AE65473"/>
    <w:rsid w:val="2B082C47"/>
    <w:rsid w:val="2B111DFB"/>
    <w:rsid w:val="2B22674D"/>
    <w:rsid w:val="2B45623B"/>
    <w:rsid w:val="2B5401A6"/>
    <w:rsid w:val="2B8C5C18"/>
    <w:rsid w:val="2BA62A7F"/>
    <w:rsid w:val="2BE87E6F"/>
    <w:rsid w:val="2BF951A1"/>
    <w:rsid w:val="2C0F23A5"/>
    <w:rsid w:val="2C1C00BB"/>
    <w:rsid w:val="2C2E0A7D"/>
    <w:rsid w:val="2C312A5B"/>
    <w:rsid w:val="2C934D84"/>
    <w:rsid w:val="2CD51841"/>
    <w:rsid w:val="2D0B67E9"/>
    <w:rsid w:val="2D3E5F4B"/>
    <w:rsid w:val="2D5902D2"/>
    <w:rsid w:val="2D5C6F01"/>
    <w:rsid w:val="2D7B6970"/>
    <w:rsid w:val="2D895C4C"/>
    <w:rsid w:val="2DDF67DB"/>
    <w:rsid w:val="2DEB3174"/>
    <w:rsid w:val="2E5F7614"/>
    <w:rsid w:val="2E796126"/>
    <w:rsid w:val="2EA94D33"/>
    <w:rsid w:val="2EF42085"/>
    <w:rsid w:val="2F63276B"/>
    <w:rsid w:val="2F8310E0"/>
    <w:rsid w:val="2FB62817"/>
    <w:rsid w:val="2FFA2FC8"/>
    <w:rsid w:val="301902AB"/>
    <w:rsid w:val="305E79C7"/>
    <w:rsid w:val="30627A5C"/>
    <w:rsid w:val="307F5D50"/>
    <w:rsid w:val="3083447C"/>
    <w:rsid w:val="30E06BCF"/>
    <w:rsid w:val="30E77528"/>
    <w:rsid w:val="30F5600E"/>
    <w:rsid w:val="30FA7AC8"/>
    <w:rsid w:val="311E4793"/>
    <w:rsid w:val="31363A0A"/>
    <w:rsid w:val="313D2FFD"/>
    <w:rsid w:val="315E00CE"/>
    <w:rsid w:val="31BE3045"/>
    <w:rsid w:val="31ED3189"/>
    <w:rsid w:val="32290665"/>
    <w:rsid w:val="322D761C"/>
    <w:rsid w:val="32461E7F"/>
    <w:rsid w:val="327D62BB"/>
    <w:rsid w:val="32B36180"/>
    <w:rsid w:val="33354C61"/>
    <w:rsid w:val="33F614CC"/>
    <w:rsid w:val="33F64577"/>
    <w:rsid w:val="3428494C"/>
    <w:rsid w:val="34313801"/>
    <w:rsid w:val="347A791D"/>
    <w:rsid w:val="35011425"/>
    <w:rsid w:val="353F3CFB"/>
    <w:rsid w:val="354D466A"/>
    <w:rsid w:val="35552E2C"/>
    <w:rsid w:val="361F2655"/>
    <w:rsid w:val="36614130"/>
    <w:rsid w:val="367B5207"/>
    <w:rsid w:val="36C4095C"/>
    <w:rsid w:val="370F76FD"/>
    <w:rsid w:val="37202E07"/>
    <w:rsid w:val="37270EEB"/>
    <w:rsid w:val="37677539"/>
    <w:rsid w:val="37707FF7"/>
    <w:rsid w:val="37797999"/>
    <w:rsid w:val="378E0F6A"/>
    <w:rsid w:val="37AE274C"/>
    <w:rsid w:val="37D42E21"/>
    <w:rsid w:val="380A6843"/>
    <w:rsid w:val="384F4255"/>
    <w:rsid w:val="386323E1"/>
    <w:rsid w:val="386D2F8D"/>
    <w:rsid w:val="38777D3A"/>
    <w:rsid w:val="38A071A7"/>
    <w:rsid w:val="38A764F8"/>
    <w:rsid w:val="38A97D79"/>
    <w:rsid w:val="38C8070F"/>
    <w:rsid w:val="38E466B3"/>
    <w:rsid w:val="390C333B"/>
    <w:rsid w:val="394223A4"/>
    <w:rsid w:val="395051B1"/>
    <w:rsid w:val="39747DC4"/>
    <w:rsid w:val="39943292"/>
    <w:rsid w:val="39C86C2B"/>
    <w:rsid w:val="39D10437"/>
    <w:rsid w:val="3A173499"/>
    <w:rsid w:val="3A211C22"/>
    <w:rsid w:val="3ACE495E"/>
    <w:rsid w:val="3BA543FB"/>
    <w:rsid w:val="3BB840E2"/>
    <w:rsid w:val="3BD64F66"/>
    <w:rsid w:val="3BDD30D2"/>
    <w:rsid w:val="3BF9665A"/>
    <w:rsid w:val="3C073099"/>
    <w:rsid w:val="3C1D0A16"/>
    <w:rsid w:val="3C5C711F"/>
    <w:rsid w:val="3C601127"/>
    <w:rsid w:val="3C7324DC"/>
    <w:rsid w:val="3C785B51"/>
    <w:rsid w:val="3CF4186F"/>
    <w:rsid w:val="3D194F1C"/>
    <w:rsid w:val="3D5F66E9"/>
    <w:rsid w:val="3D625961"/>
    <w:rsid w:val="3D814A07"/>
    <w:rsid w:val="3DAC214A"/>
    <w:rsid w:val="3DBC64D7"/>
    <w:rsid w:val="3E153CC6"/>
    <w:rsid w:val="3E452695"/>
    <w:rsid w:val="3E6E6CED"/>
    <w:rsid w:val="3EA6028E"/>
    <w:rsid w:val="3EAE2BB2"/>
    <w:rsid w:val="3F0D4E6A"/>
    <w:rsid w:val="3F497405"/>
    <w:rsid w:val="3F6644B1"/>
    <w:rsid w:val="3F6B31A5"/>
    <w:rsid w:val="3F7722BD"/>
    <w:rsid w:val="3F7A66FA"/>
    <w:rsid w:val="3FF35E0E"/>
    <w:rsid w:val="3FFF64D9"/>
    <w:rsid w:val="40107744"/>
    <w:rsid w:val="40730CFD"/>
    <w:rsid w:val="40FC3CFB"/>
    <w:rsid w:val="41313092"/>
    <w:rsid w:val="415031E6"/>
    <w:rsid w:val="418B7E82"/>
    <w:rsid w:val="41D65556"/>
    <w:rsid w:val="41E8409F"/>
    <w:rsid w:val="41FF0A9A"/>
    <w:rsid w:val="421F634F"/>
    <w:rsid w:val="422F4D7D"/>
    <w:rsid w:val="42521C54"/>
    <w:rsid w:val="42870A90"/>
    <w:rsid w:val="42A258CA"/>
    <w:rsid w:val="42D36674"/>
    <w:rsid w:val="4303280C"/>
    <w:rsid w:val="430C7EDB"/>
    <w:rsid w:val="431C38CE"/>
    <w:rsid w:val="432F53AF"/>
    <w:rsid w:val="433F4264"/>
    <w:rsid w:val="43605CF6"/>
    <w:rsid w:val="44224F14"/>
    <w:rsid w:val="44524977"/>
    <w:rsid w:val="44760467"/>
    <w:rsid w:val="44775FA6"/>
    <w:rsid w:val="44E07E8F"/>
    <w:rsid w:val="45725A27"/>
    <w:rsid w:val="459B423E"/>
    <w:rsid w:val="45C66607"/>
    <w:rsid w:val="45D93CF8"/>
    <w:rsid w:val="46253E14"/>
    <w:rsid w:val="46271B24"/>
    <w:rsid w:val="463F1DAD"/>
    <w:rsid w:val="46641F97"/>
    <w:rsid w:val="46A329BF"/>
    <w:rsid w:val="46B406AE"/>
    <w:rsid w:val="46B52A48"/>
    <w:rsid w:val="46F26E87"/>
    <w:rsid w:val="46FC49AC"/>
    <w:rsid w:val="471276F7"/>
    <w:rsid w:val="47217705"/>
    <w:rsid w:val="47844841"/>
    <w:rsid w:val="48852883"/>
    <w:rsid w:val="4887761A"/>
    <w:rsid w:val="48FE7EA6"/>
    <w:rsid w:val="49306654"/>
    <w:rsid w:val="49380D36"/>
    <w:rsid w:val="494A7626"/>
    <w:rsid w:val="496B3256"/>
    <w:rsid w:val="49843F7B"/>
    <w:rsid w:val="49E50EBD"/>
    <w:rsid w:val="49E77D5C"/>
    <w:rsid w:val="49F34CAA"/>
    <w:rsid w:val="4A09730A"/>
    <w:rsid w:val="4A121587"/>
    <w:rsid w:val="4A435283"/>
    <w:rsid w:val="4A7632D0"/>
    <w:rsid w:val="4A833F01"/>
    <w:rsid w:val="4AE253FD"/>
    <w:rsid w:val="4AE50A49"/>
    <w:rsid w:val="4AEE1477"/>
    <w:rsid w:val="4B562034"/>
    <w:rsid w:val="4BA07FCD"/>
    <w:rsid w:val="4BF215FE"/>
    <w:rsid w:val="4BFF2B4A"/>
    <w:rsid w:val="4C5B5467"/>
    <w:rsid w:val="4C7B1665"/>
    <w:rsid w:val="4C924FEE"/>
    <w:rsid w:val="4C9E0B40"/>
    <w:rsid w:val="4C9E7102"/>
    <w:rsid w:val="4CB10B61"/>
    <w:rsid w:val="4CE97906"/>
    <w:rsid w:val="4D4C4DB0"/>
    <w:rsid w:val="4D6E000D"/>
    <w:rsid w:val="4D966D13"/>
    <w:rsid w:val="4D98130A"/>
    <w:rsid w:val="4D9F1FC2"/>
    <w:rsid w:val="4DD13EA7"/>
    <w:rsid w:val="4E2B0DEE"/>
    <w:rsid w:val="4E4A12EF"/>
    <w:rsid w:val="4E6D46B7"/>
    <w:rsid w:val="4E7D2DE3"/>
    <w:rsid w:val="4E8E3F55"/>
    <w:rsid w:val="4EAF55F6"/>
    <w:rsid w:val="4ECC4578"/>
    <w:rsid w:val="4ED272F7"/>
    <w:rsid w:val="4ED33865"/>
    <w:rsid w:val="4EF300E4"/>
    <w:rsid w:val="4FEA7D3C"/>
    <w:rsid w:val="50502E09"/>
    <w:rsid w:val="5061170B"/>
    <w:rsid w:val="506C4D2A"/>
    <w:rsid w:val="51022355"/>
    <w:rsid w:val="51171C09"/>
    <w:rsid w:val="51565AE5"/>
    <w:rsid w:val="51CA77C6"/>
    <w:rsid w:val="51D368DB"/>
    <w:rsid w:val="52B357C1"/>
    <w:rsid w:val="52F21F55"/>
    <w:rsid w:val="52F25D4B"/>
    <w:rsid w:val="53083574"/>
    <w:rsid w:val="531463D8"/>
    <w:rsid w:val="5362003E"/>
    <w:rsid w:val="53B8319F"/>
    <w:rsid w:val="53B92FEC"/>
    <w:rsid w:val="53EC29B6"/>
    <w:rsid w:val="53F36189"/>
    <w:rsid w:val="542E2AEA"/>
    <w:rsid w:val="543C16DA"/>
    <w:rsid w:val="544A6CFB"/>
    <w:rsid w:val="545253A1"/>
    <w:rsid w:val="545F6D80"/>
    <w:rsid w:val="54623230"/>
    <w:rsid w:val="5468129D"/>
    <w:rsid w:val="54D51B2F"/>
    <w:rsid w:val="55064017"/>
    <w:rsid w:val="559F1C89"/>
    <w:rsid w:val="55C13454"/>
    <w:rsid w:val="55DA4455"/>
    <w:rsid w:val="5627572A"/>
    <w:rsid w:val="562E772E"/>
    <w:rsid w:val="56390724"/>
    <w:rsid w:val="56B03EFA"/>
    <w:rsid w:val="56BF6C9D"/>
    <w:rsid w:val="57203535"/>
    <w:rsid w:val="572751B4"/>
    <w:rsid w:val="573568B4"/>
    <w:rsid w:val="574165B4"/>
    <w:rsid w:val="57AA508F"/>
    <w:rsid w:val="584741BA"/>
    <w:rsid w:val="586138B6"/>
    <w:rsid w:val="587055E6"/>
    <w:rsid w:val="589D2551"/>
    <w:rsid w:val="58DA5913"/>
    <w:rsid w:val="58E467E4"/>
    <w:rsid w:val="58E77090"/>
    <w:rsid w:val="58F409A6"/>
    <w:rsid w:val="59125193"/>
    <w:rsid w:val="59412DE1"/>
    <w:rsid w:val="59AE5E06"/>
    <w:rsid w:val="59B520CD"/>
    <w:rsid w:val="5A1A0B70"/>
    <w:rsid w:val="5A3D7F5A"/>
    <w:rsid w:val="5A8C7682"/>
    <w:rsid w:val="5A9E2D45"/>
    <w:rsid w:val="5AA224B3"/>
    <w:rsid w:val="5AE527D9"/>
    <w:rsid w:val="5B15744D"/>
    <w:rsid w:val="5B81163A"/>
    <w:rsid w:val="5B8B3B5F"/>
    <w:rsid w:val="5B9462A0"/>
    <w:rsid w:val="5BD43CF8"/>
    <w:rsid w:val="5BE16C31"/>
    <w:rsid w:val="5C237623"/>
    <w:rsid w:val="5C6D5445"/>
    <w:rsid w:val="5CF5624F"/>
    <w:rsid w:val="5D3A69D3"/>
    <w:rsid w:val="5D942DE1"/>
    <w:rsid w:val="5DA56542"/>
    <w:rsid w:val="5DB74FEB"/>
    <w:rsid w:val="5DCA5BD8"/>
    <w:rsid w:val="5DF147B6"/>
    <w:rsid w:val="5E295461"/>
    <w:rsid w:val="5E55596E"/>
    <w:rsid w:val="5E5C2144"/>
    <w:rsid w:val="5E6443B5"/>
    <w:rsid w:val="5E665260"/>
    <w:rsid w:val="5E9A21E6"/>
    <w:rsid w:val="5E9F11E3"/>
    <w:rsid w:val="5F1D2B10"/>
    <w:rsid w:val="5F640DCC"/>
    <w:rsid w:val="5F8E327C"/>
    <w:rsid w:val="5F915E38"/>
    <w:rsid w:val="5F9C39F1"/>
    <w:rsid w:val="5FA647F3"/>
    <w:rsid w:val="605C33D5"/>
    <w:rsid w:val="605E5A20"/>
    <w:rsid w:val="60F02E08"/>
    <w:rsid w:val="610F2531"/>
    <w:rsid w:val="61330309"/>
    <w:rsid w:val="613C40F3"/>
    <w:rsid w:val="614C49CB"/>
    <w:rsid w:val="61513664"/>
    <w:rsid w:val="615F10FE"/>
    <w:rsid w:val="619E6B26"/>
    <w:rsid w:val="61CD1AFF"/>
    <w:rsid w:val="61F0643A"/>
    <w:rsid w:val="61F5073C"/>
    <w:rsid w:val="62061579"/>
    <w:rsid w:val="620A1069"/>
    <w:rsid w:val="623E1BE4"/>
    <w:rsid w:val="626B2DA4"/>
    <w:rsid w:val="6291178B"/>
    <w:rsid w:val="62975F54"/>
    <w:rsid w:val="62AF7E63"/>
    <w:rsid w:val="62BE5969"/>
    <w:rsid w:val="62D13935"/>
    <w:rsid w:val="62D3168C"/>
    <w:rsid w:val="62EF5343"/>
    <w:rsid w:val="63115F63"/>
    <w:rsid w:val="63193FCB"/>
    <w:rsid w:val="63350368"/>
    <w:rsid w:val="638C2CB2"/>
    <w:rsid w:val="639A354F"/>
    <w:rsid w:val="63B85DE7"/>
    <w:rsid w:val="63F863BF"/>
    <w:rsid w:val="64090851"/>
    <w:rsid w:val="640E6778"/>
    <w:rsid w:val="641000A9"/>
    <w:rsid w:val="6431165A"/>
    <w:rsid w:val="647E5015"/>
    <w:rsid w:val="65680BE6"/>
    <w:rsid w:val="658A270C"/>
    <w:rsid w:val="659D0447"/>
    <w:rsid w:val="65C27403"/>
    <w:rsid w:val="65D62A40"/>
    <w:rsid w:val="65F31E15"/>
    <w:rsid w:val="663810E8"/>
    <w:rsid w:val="664B7983"/>
    <w:rsid w:val="667565E0"/>
    <w:rsid w:val="66A55F62"/>
    <w:rsid w:val="66A576EF"/>
    <w:rsid w:val="66C13CC1"/>
    <w:rsid w:val="66EA3218"/>
    <w:rsid w:val="6703005F"/>
    <w:rsid w:val="673E5311"/>
    <w:rsid w:val="675F3C06"/>
    <w:rsid w:val="6780592A"/>
    <w:rsid w:val="67C7309F"/>
    <w:rsid w:val="67D068B1"/>
    <w:rsid w:val="67DD1EAC"/>
    <w:rsid w:val="6810792E"/>
    <w:rsid w:val="681D2462"/>
    <w:rsid w:val="686176C3"/>
    <w:rsid w:val="687C2595"/>
    <w:rsid w:val="68C379AA"/>
    <w:rsid w:val="68C8761D"/>
    <w:rsid w:val="690507DD"/>
    <w:rsid w:val="693C3AD3"/>
    <w:rsid w:val="69674FF3"/>
    <w:rsid w:val="698C57EB"/>
    <w:rsid w:val="699E794C"/>
    <w:rsid w:val="69BE2739"/>
    <w:rsid w:val="69C02083"/>
    <w:rsid w:val="69CF4947"/>
    <w:rsid w:val="69DA25B2"/>
    <w:rsid w:val="6A130CD7"/>
    <w:rsid w:val="6A3C2823"/>
    <w:rsid w:val="6A99742E"/>
    <w:rsid w:val="6A9D4EF8"/>
    <w:rsid w:val="6AC82FF8"/>
    <w:rsid w:val="6B5E5D06"/>
    <w:rsid w:val="6B611B24"/>
    <w:rsid w:val="6B673089"/>
    <w:rsid w:val="6B6E668D"/>
    <w:rsid w:val="6BEA5A68"/>
    <w:rsid w:val="6C1605B1"/>
    <w:rsid w:val="6C382D0F"/>
    <w:rsid w:val="6C603C39"/>
    <w:rsid w:val="6CC10EBE"/>
    <w:rsid w:val="6CCE3F39"/>
    <w:rsid w:val="6D914313"/>
    <w:rsid w:val="6D9D753F"/>
    <w:rsid w:val="6DA5433C"/>
    <w:rsid w:val="6DBA7718"/>
    <w:rsid w:val="6DBC7BBE"/>
    <w:rsid w:val="6DD7186B"/>
    <w:rsid w:val="6E8E2038"/>
    <w:rsid w:val="6E9F2B3A"/>
    <w:rsid w:val="6EB8444E"/>
    <w:rsid w:val="6EDC1FE0"/>
    <w:rsid w:val="6EE53D51"/>
    <w:rsid w:val="70076BE8"/>
    <w:rsid w:val="70D43EF5"/>
    <w:rsid w:val="70FB3751"/>
    <w:rsid w:val="70FB5C89"/>
    <w:rsid w:val="71236BD3"/>
    <w:rsid w:val="712800F7"/>
    <w:rsid w:val="712A6CFC"/>
    <w:rsid w:val="7131774A"/>
    <w:rsid w:val="715220E5"/>
    <w:rsid w:val="715D01A9"/>
    <w:rsid w:val="716E7255"/>
    <w:rsid w:val="71B132B0"/>
    <w:rsid w:val="71C23ED8"/>
    <w:rsid w:val="7220748C"/>
    <w:rsid w:val="722717C4"/>
    <w:rsid w:val="72454484"/>
    <w:rsid w:val="726B131A"/>
    <w:rsid w:val="729151A3"/>
    <w:rsid w:val="72A13F26"/>
    <w:rsid w:val="72E17BC5"/>
    <w:rsid w:val="73A232F3"/>
    <w:rsid w:val="73E657E4"/>
    <w:rsid w:val="746E713C"/>
    <w:rsid w:val="74707483"/>
    <w:rsid w:val="749173F7"/>
    <w:rsid w:val="74AC4237"/>
    <w:rsid w:val="74AC7CAB"/>
    <w:rsid w:val="74D226FF"/>
    <w:rsid w:val="74D774D1"/>
    <w:rsid w:val="74DD616A"/>
    <w:rsid w:val="74F05A3A"/>
    <w:rsid w:val="750153D4"/>
    <w:rsid w:val="75BB7F12"/>
    <w:rsid w:val="75BF5EA0"/>
    <w:rsid w:val="75D03F20"/>
    <w:rsid w:val="75EC2B69"/>
    <w:rsid w:val="75FF51DA"/>
    <w:rsid w:val="764036A6"/>
    <w:rsid w:val="76667385"/>
    <w:rsid w:val="76925B55"/>
    <w:rsid w:val="76C9109B"/>
    <w:rsid w:val="76D47875"/>
    <w:rsid w:val="76DF08BF"/>
    <w:rsid w:val="76EC4D8A"/>
    <w:rsid w:val="76F57F2D"/>
    <w:rsid w:val="7704554E"/>
    <w:rsid w:val="77333684"/>
    <w:rsid w:val="7798668A"/>
    <w:rsid w:val="77BA4E88"/>
    <w:rsid w:val="77FFB9A8"/>
    <w:rsid w:val="78347044"/>
    <w:rsid w:val="7845162D"/>
    <w:rsid w:val="78C87131"/>
    <w:rsid w:val="78F10436"/>
    <w:rsid w:val="78FE09FA"/>
    <w:rsid w:val="79294073"/>
    <w:rsid w:val="79565C8F"/>
    <w:rsid w:val="798219D5"/>
    <w:rsid w:val="79E32474"/>
    <w:rsid w:val="79EA0367"/>
    <w:rsid w:val="79EE027B"/>
    <w:rsid w:val="79F8306B"/>
    <w:rsid w:val="7A340F22"/>
    <w:rsid w:val="7A48387A"/>
    <w:rsid w:val="7A897042"/>
    <w:rsid w:val="7A960FFF"/>
    <w:rsid w:val="7B095807"/>
    <w:rsid w:val="7B1407E6"/>
    <w:rsid w:val="7B18473D"/>
    <w:rsid w:val="7B2745E3"/>
    <w:rsid w:val="7B531669"/>
    <w:rsid w:val="7B564D14"/>
    <w:rsid w:val="7B5B4CBD"/>
    <w:rsid w:val="7B6470F5"/>
    <w:rsid w:val="7BB32964"/>
    <w:rsid w:val="7BC1326E"/>
    <w:rsid w:val="7BD758DA"/>
    <w:rsid w:val="7BF57793"/>
    <w:rsid w:val="7C0B180E"/>
    <w:rsid w:val="7C315D0E"/>
    <w:rsid w:val="7C345209"/>
    <w:rsid w:val="7C372603"/>
    <w:rsid w:val="7C3E7E36"/>
    <w:rsid w:val="7C442F72"/>
    <w:rsid w:val="7C5E2986"/>
    <w:rsid w:val="7C5F5737"/>
    <w:rsid w:val="7C836E5A"/>
    <w:rsid w:val="7CAF27C5"/>
    <w:rsid w:val="7CC421F3"/>
    <w:rsid w:val="7CF63249"/>
    <w:rsid w:val="7D0270B5"/>
    <w:rsid w:val="7D1A5098"/>
    <w:rsid w:val="7D272678"/>
    <w:rsid w:val="7D597A11"/>
    <w:rsid w:val="7D8C033F"/>
    <w:rsid w:val="7DC94B4F"/>
    <w:rsid w:val="7E173F7D"/>
    <w:rsid w:val="7E3F60E7"/>
    <w:rsid w:val="7E456BA8"/>
    <w:rsid w:val="7F6776A3"/>
    <w:rsid w:val="7F82470C"/>
    <w:rsid w:val="7FD14B1D"/>
    <w:rsid w:val="7FD91C23"/>
    <w:rsid w:val="8F6F66FF"/>
    <w:rsid w:val="DDBD4760"/>
    <w:rsid w:val="FF7EF9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宋体" w:cs="Times New Roman"/>
      <w:kern w:val="2"/>
      <w:sz w:val="21"/>
      <w:szCs w:val="24"/>
      <w:lang w:val="en-US" w:eastAsia="zh-CN" w:bidi="ar-SA"/>
    </w:rPr>
  </w:style>
  <w:style w:type="paragraph" w:styleId="3">
    <w:name w:val="heading 1"/>
    <w:basedOn w:val="1"/>
    <w:next w:val="1"/>
    <w:link w:val="60"/>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2"/>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6">
    <w:name w:val="heading 4"/>
    <w:basedOn w:val="1"/>
    <w:next w:val="1"/>
    <w:link w:val="63"/>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64"/>
    <w:autoRedefine/>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8">
    <w:name w:val="heading 6"/>
    <w:basedOn w:val="1"/>
    <w:next w:val="1"/>
    <w:link w:val="6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6"/>
    <w:autoRedefine/>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10">
    <w:name w:val="heading 8"/>
    <w:basedOn w:val="1"/>
    <w:next w:val="1"/>
    <w:link w:val="6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70"/>
    <w:autoRedefine/>
    <w:qFormat/>
    <w:uiPriority w:val="0"/>
    <w:pPr>
      <w:ind w:firstLine="420" w:firstLineChars="200"/>
    </w:pPr>
  </w:style>
  <w:style w:type="paragraph" w:styleId="12">
    <w:name w:val="List 3"/>
    <w:basedOn w:val="1"/>
    <w:autoRedefine/>
    <w:unhideWhenUsed/>
    <w:qFormat/>
    <w:uiPriority w:val="99"/>
    <w:pPr>
      <w:ind w:left="100" w:leftChars="400" w:hanging="200" w:hangingChars="200"/>
      <w:contextualSpacing/>
    </w:pPr>
  </w:style>
  <w:style w:type="paragraph" w:styleId="13">
    <w:name w:val="List Number 2"/>
    <w:basedOn w:val="1"/>
    <w:autoRedefine/>
    <w:semiHidden/>
    <w:unhideWhenUsed/>
    <w:qFormat/>
    <w:uiPriority w:val="99"/>
    <w:pPr>
      <w:numPr>
        <w:ilvl w:val="0"/>
        <w:numId w:val="1"/>
      </w:numPr>
      <w:tabs>
        <w:tab w:val="left" w:pos="360"/>
        <w:tab w:val="clear" w:pos="780"/>
      </w:tabs>
      <w:ind w:left="0" w:firstLine="0"/>
    </w:pPr>
  </w:style>
  <w:style w:type="paragraph" w:styleId="14">
    <w:name w:val="List Number"/>
    <w:basedOn w:val="1"/>
    <w:link w:val="69"/>
    <w:autoRedefine/>
    <w:qFormat/>
    <w:uiPriority w:val="0"/>
    <w:pPr>
      <w:tabs>
        <w:tab w:val="left" w:pos="360"/>
      </w:tabs>
      <w:spacing w:line="360" w:lineRule="auto"/>
      <w:ind w:left="360" w:hanging="360" w:hangingChars="200"/>
    </w:pPr>
    <w:rPr>
      <w:rFonts w:eastAsia="楷体_GB2312"/>
      <w:sz w:val="24"/>
    </w:rPr>
  </w:style>
  <w:style w:type="paragraph" w:styleId="15">
    <w:name w:val="caption"/>
    <w:basedOn w:val="1"/>
    <w:next w:val="1"/>
    <w:link w:val="71"/>
    <w:autoRedefine/>
    <w:qFormat/>
    <w:uiPriority w:val="0"/>
    <w:pPr>
      <w:spacing w:before="152" w:after="160"/>
    </w:pPr>
    <w:rPr>
      <w:rFonts w:ascii="Arial" w:hAnsi="Arial" w:eastAsia="黑体" w:cs="Arial"/>
      <w:sz w:val="20"/>
      <w:szCs w:val="20"/>
    </w:rPr>
  </w:style>
  <w:style w:type="paragraph" w:styleId="16">
    <w:name w:val="Document Map"/>
    <w:basedOn w:val="1"/>
    <w:link w:val="72"/>
    <w:autoRedefine/>
    <w:qFormat/>
    <w:uiPriority w:val="0"/>
    <w:rPr>
      <w:rFonts w:ascii="宋体" w:hAnsi="Calibri" w:eastAsiaTheme="minorEastAsia" w:cstheme="minorBidi"/>
      <w:sz w:val="18"/>
      <w:szCs w:val="18"/>
    </w:rPr>
  </w:style>
  <w:style w:type="paragraph" w:styleId="17">
    <w:name w:val="annotation text"/>
    <w:basedOn w:val="1"/>
    <w:link w:val="73"/>
    <w:autoRedefine/>
    <w:qFormat/>
    <w:uiPriority w:val="0"/>
    <w:pPr>
      <w:jc w:val="left"/>
    </w:pPr>
    <w:rPr>
      <w:rFonts w:cs="Lucida Sans" w:asciiTheme="minorHAnsi" w:hAnsiTheme="minorHAnsi"/>
      <w:szCs w:val="22"/>
    </w:rPr>
  </w:style>
  <w:style w:type="paragraph" w:styleId="18">
    <w:name w:val="Body Text 3"/>
    <w:basedOn w:val="1"/>
    <w:link w:val="74"/>
    <w:autoRedefine/>
    <w:qFormat/>
    <w:uiPriority w:val="0"/>
    <w:pPr>
      <w:spacing w:after="120"/>
    </w:pPr>
    <w:rPr>
      <w:rFonts w:asciiTheme="minorHAnsi" w:hAnsiTheme="minorHAnsi" w:eastAsiaTheme="minorEastAsia" w:cstheme="minorBidi"/>
      <w:sz w:val="16"/>
      <w:szCs w:val="16"/>
    </w:rPr>
  </w:style>
  <w:style w:type="paragraph" w:styleId="19">
    <w:name w:val="Body Text"/>
    <w:basedOn w:val="1"/>
    <w:next w:val="20"/>
    <w:link w:val="75"/>
    <w:autoRedefine/>
    <w:unhideWhenUsed/>
    <w:qFormat/>
    <w:uiPriority w:val="99"/>
    <w:pPr>
      <w:spacing w:after="120"/>
    </w:pPr>
  </w:style>
  <w:style w:type="paragraph" w:styleId="20">
    <w:name w:val="Body Text First Indent"/>
    <w:basedOn w:val="19"/>
    <w:next w:val="1"/>
    <w:link w:val="91"/>
    <w:autoRedefine/>
    <w:unhideWhenUsed/>
    <w:qFormat/>
    <w:uiPriority w:val="99"/>
    <w:pPr>
      <w:ind w:firstLine="420" w:firstLineChars="100"/>
    </w:pPr>
  </w:style>
  <w:style w:type="paragraph" w:styleId="21">
    <w:name w:val="Body Text Indent"/>
    <w:basedOn w:val="1"/>
    <w:next w:val="1"/>
    <w:link w:val="59"/>
    <w:autoRedefine/>
    <w:qFormat/>
    <w:uiPriority w:val="0"/>
    <w:pPr>
      <w:spacing w:line="480" w:lineRule="atLeast"/>
      <w:ind w:firstLine="570"/>
    </w:pPr>
    <w:rPr>
      <w:rFonts w:ascii="??" w:hAnsi="??" w:eastAsia="??" w:cs="宋体"/>
      <w:sz w:val="28"/>
      <w:szCs w:val="28"/>
    </w:rPr>
  </w:style>
  <w:style w:type="paragraph" w:styleId="22">
    <w:name w:val="List 2"/>
    <w:basedOn w:val="1"/>
    <w:autoRedefine/>
    <w:unhideWhenUsed/>
    <w:qFormat/>
    <w:uiPriority w:val="0"/>
    <w:pPr>
      <w:ind w:left="100" w:leftChars="200" w:hanging="200" w:hangingChars="200"/>
      <w:contextualSpacing/>
    </w:pPr>
  </w:style>
  <w:style w:type="paragraph" w:styleId="23">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4">
    <w:name w:val="toc 5"/>
    <w:basedOn w:val="1"/>
    <w:next w:val="1"/>
    <w:autoRedefine/>
    <w:qFormat/>
    <w:uiPriority w:val="0"/>
    <w:pPr>
      <w:ind w:left="840"/>
      <w:jc w:val="left"/>
    </w:pPr>
    <w:rPr>
      <w:rFonts w:ascii="Times New Roman" w:hAnsi="Times New Roman"/>
      <w:sz w:val="18"/>
      <w:szCs w:val="18"/>
    </w:rPr>
  </w:style>
  <w:style w:type="paragraph" w:styleId="25">
    <w:name w:val="toc 3"/>
    <w:basedOn w:val="1"/>
    <w:next w:val="1"/>
    <w:link w:val="76"/>
    <w:autoRedefine/>
    <w:qFormat/>
    <w:uiPriority w:val="39"/>
    <w:pPr>
      <w:tabs>
        <w:tab w:val="left" w:pos="1440"/>
        <w:tab w:val="right" w:leader="dot" w:pos="8302"/>
      </w:tabs>
      <w:ind w:left="718" w:leftChars="342" w:firstLine="120" w:firstLineChars="60"/>
    </w:pPr>
    <w:rPr>
      <w:rFonts w:ascii="Arial" w:hAnsi="Arial"/>
      <w:smallCaps/>
      <w:sz w:val="20"/>
    </w:rPr>
  </w:style>
  <w:style w:type="paragraph" w:styleId="26">
    <w:name w:val="Plain Text"/>
    <w:basedOn w:val="1"/>
    <w:link w:val="78"/>
    <w:autoRedefine/>
    <w:qFormat/>
    <w:uiPriority w:val="0"/>
    <w:rPr>
      <w:rFonts w:ascii="??" w:hAnsi="??" w:eastAsia="??" w:cs="宋体"/>
      <w:szCs w:val="21"/>
    </w:rPr>
  </w:style>
  <w:style w:type="paragraph" w:styleId="27">
    <w:name w:val="toc 8"/>
    <w:basedOn w:val="1"/>
    <w:next w:val="1"/>
    <w:autoRedefine/>
    <w:unhideWhenUsed/>
    <w:qFormat/>
    <w:uiPriority w:val="39"/>
    <w:pPr>
      <w:ind w:left="2940" w:leftChars="1400"/>
    </w:pPr>
  </w:style>
  <w:style w:type="paragraph" w:styleId="28">
    <w:name w:val="Date"/>
    <w:basedOn w:val="1"/>
    <w:next w:val="1"/>
    <w:link w:val="77"/>
    <w:autoRedefine/>
    <w:unhideWhenUsed/>
    <w:qFormat/>
    <w:uiPriority w:val="0"/>
    <w:pPr>
      <w:ind w:left="100" w:leftChars="2500"/>
    </w:pPr>
  </w:style>
  <w:style w:type="paragraph" w:styleId="29">
    <w:name w:val="Body Text Indent 2"/>
    <w:basedOn w:val="1"/>
    <w:link w:val="79"/>
    <w:autoRedefine/>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0">
    <w:name w:val="Balloon Text"/>
    <w:basedOn w:val="1"/>
    <w:link w:val="80"/>
    <w:autoRedefine/>
    <w:unhideWhenUsed/>
    <w:qFormat/>
    <w:uiPriority w:val="0"/>
    <w:rPr>
      <w:sz w:val="18"/>
      <w:szCs w:val="18"/>
    </w:rPr>
  </w:style>
  <w:style w:type="paragraph" w:styleId="31">
    <w:name w:val="footer"/>
    <w:basedOn w:val="1"/>
    <w:link w:val="81"/>
    <w:autoRedefine/>
    <w:unhideWhenUsed/>
    <w:qFormat/>
    <w:uiPriority w:val="99"/>
    <w:pPr>
      <w:tabs>
        <w:tab w:val="center" w:pos="4153"/>
        <w:tab w:val="right" w:pos="8306"/>
      </w:tabs>
      <w:snapToGrid w:val="0"/>
      <w:jc w:val="left"/>
    </w:pPr>
    <w:rPr>
      <w:sz w:val="18"/>
      <w:szCs w:val="18"/>
    </w:rPr>
  </w:style>
  <w:style w:type="paragraph" w:styleId="32">
    <w:name w:val="header"/>
    <w:basedOn w:val="1"/>
    <w:link w:val="8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right" w:leader="middleDot" w:pos="8789"/>
      </w:tabs>
      <w:spacing w:line="360" w:lineRule="auto"/>
    </w:pPr>
    <w:rPr>
      <w:rFonts w:ascii="Times New Roman" w:hAnsi="Times New Roman"/>
      <w:sz w:val="24"/>
      <w:szCs w:val="20"/>
    </w:rPr>
  </w:style>
  <w:style w:type="paragraph" w:styleId="34">
    <w:name w:val="toc 4"/>
    <w:basedOn w:val="1"/>
    <w:next w:val="1"/>
    <w:autoRedefine/>
    <w:qFormat/>
    <w:uiPriority w:val="39"/>
    <w:pPr>
      <w:spacing w:line="360" w:lineRule="auto"/>
      <w:ind w:left="300" w:leftChars="300" w:firstLine="200" w:firstLineChars="200"/>
    </w:pPr>
    <w:rPr>
      <w:rFonts w:ascii="Times New Roman" w:hAnsi="Times New Roman"/>
      <w:sz w:val="24"/>
    </w:rPr>
  </w:style>
  <w:style w:type="paragraph" w:styleId="35">
    <w:name w:val="Subtitle"/>
    <w:basedOn w:val="1"/>
    <w:next w:val="1"/>
    <w:link w:val="83"/>
    <w:autoRedefine/>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uiPriority w:val="0"/>
    <w:pPr>
      <w:ind w:left="200" w:hanging="200" w:hangingChars="200"/>
    </w:pPr>
    <w:rPr>
      <w:rFonts w:ascii="Times New Roman" w:hAnsi="Times New Roman"/>
      <w:sz w:val="28"/>
    </w:rPr>
  </w:style>
  <w:style w:type="paragraph" w:styleId="37">
    <w:name w:val="footnote text"/>
    <w:basedOn w:val="1"/>
    <w:link w:val="84"/>
    <w:autoRedefine/>
    <w:qFormat/>
    <w:uiPriority w:val="0"/>
    <w:pPr>
      <w:snapToGrid w:val="0"/>
      <w:jc w:val="left"/>
    </w:pPr>
    <w:rPr>
      <w:rFonts w:ascii="Times New Roman" w:hAnsi="Times New Roman" w:eastAsia="仿宋_GB2312"/>
      <w:sz w:val="18"/>
      <w:szCs w:val="20"/>
    </w:rPr>
  </w:style>
  <w:style w:type="paragraph" w:styleId="38">
    <w:name w:val="toc 6"/>
    <w:basedOn w:val="1"/>
    <w:next w:val="1"/>
    <w:autoRedefine/>
    <w:unhideWhenUsed/>
    <w:qFormat/>
    <w:uiPriority w:val="39"/>
    <w:pPr>
      <w:ind w:left="2100" w:leftChars="1000"/>
    </w:pPr>
  </w:style>
  <w:style w:type="paragraph" w:styleId="39">
    <w:name w:val="Body Text Indent 3"/>
    <w:basedOn w:val="1"/>
    <w:link w:val="85"/>
    <w:autoRedefine/>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autoRedefine/>
    <w:qFormat/>
    <w:uiPriority w:val="39"/>
    <w:pPr>
      <w:tabs>
        <w:tab w:val="right" w:leader="middleDot" w:pos="8948"/>
      </w:tabs>
      <w:spacing w:before="60" w:after="60"/>
      <w:ind w:left="210"/>
    </w:pPr>
    <w:rPr>
      <w:smallCaps/>
    </w:rPr>
  </w:style>
  <w:style w:type="paragraph" w:styleId="41">
    <w:name w:val="Body Text 2"/>
    <w:basedOn w:val="1"/>
    <w:link w:val="86"/>
    <w:autoRedefine/>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link w:val="88"/>
    <w:autoRedefine/>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2"/>
    <w:autoRedefine/>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7"/>
    <w:next w:val="17"/>
    <w:link w:val="90"/>
    <w:autoRedefine/>
    <w:qFormat/>
    <w:uiPriority w:val="0"/>
    <w:rPr>
      <w:rFonts w:ascii="Times New Roman" w:hAnsi="Times New Roman" w:cs="Times New Roman"/>
      <w:b/>
      <w:bCs/>
      <w:szCs w:val="24"/>
    </w:rPr>
  </w:style>
  <w:style w:type="paragraph" w:styleId="46">
    <w:name w:val="Body Text First Indent 2"/>
    <w:basedOn w:val="21"/>
    <w:next w:val="1"/>
    <w:link w:val="92"/>
    <w:autoRedefine/>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0"/>
    <w:rPr>
      <w:b/>
    </w:rPr>
  </w:style>
  <w:style w:type="character" w:styleId="51">
    <w:name w:val="page number"/>
    <w:basedOn w:val="49"/>
    <w:autoRedefine/>
    <w:qFormat/>
    <w:uiPriority w:val="0"/>
  </w:style>
  <w:style w:type="character" w:styleId="52">
    <w:name w:val="FollowedHyperlink"/>
    <w:basedOn w:val="49"/>
    <w:autoRedefine/>
    <w:qFormat/>
    <w:uiPriority w:val="0"/>
    <w:rPr>
      <w:color w:val="800080" w:themeColor="followedHyperlink"/>
      <w:u w:val="single"/>
      <w14:textFill>
        <w14:solidFill>
          <w14:schemeClr w14:val="folHlink"/>
        </w14:solidFill>
      </w14:textFill>
    </w:rPr>
  </w:style>
  <w:style w:type="character" w:styleId="53">
    <w:name w:val="Emphasis"/>
    <w:autoRedefine/>
    <w:qFormat/>
    <w:uiPriority w:val="20"/>
    <w:rPr>
      <w:i/>
      <w:iCs/>
    </w:rPr>
  </w:style>
  <w:style w:type="character" w:styleId="54">
    <w:name w:val="HTML Typewriter"/>
    <w:autoRedefine/>
    <w:qFormat/>
    <w:uiPriority w:val="0"/>
    <w:rPr>
      <w:rFonts w:hint="eastAsia" w:ascii="黑体" w:hAnsi="Courier New" w:eastAsia="黑体" w:cs="Times New Roman"/>
      <w:sz w:val="14"/>
      <w:szCs w:val="24"/>
    </w:rPr>
  </w:style>
  <w:style w:type="character" w:styleId="55">
    <w:name w:val="Hyperlink"/>
    <w:autoRedefine/>
    <w:qFormat/>
    <w:uiPriority w:val="99"/>
    <w:rPr>
      <w:color w:val="0000FF"/>
      <w:u w:val="single"/>
    </w:rPr>
  </w:style>
  <w:style w:type="character" w:styleId="56">
    <w:name w:val="annotation reference"/>
    <w:basedOn w:val="49"/>
    <w:autoRedefine/>
    <w:qFormat/>
    <w:uiPriority w:val="0"/>
    <w:rPr>
      <w:sz w:val="21"/>
      <w:szCs w:val="21"/>
    </w:rPr>
  </w:style>
  <w:style w:type="character" w:styleId="57">
    <w:name w:val="footnote reference"/>
    <w:autoRedefine/>
    <w:qFormat/>
    <w:uiPriority w:val="0"/>
    <w:rPr>
      <w:vertAlign w:val="superscript"/>
    </w:rPr>
  </w:style>
  <w:style w:type="paragraph" w:customStyle="1" w:styleId="58">
    <w:name w:val="l正文"/>
    <w:basedOn w:val="1"/>
    <w:autoRedefine/>
    <w:qFormat/>
    <w:uiPriority w:val="0"/>
    <w:pPr>
      <w:widowControl w:val="0"/>
      <w:overflowPunct/>
      <w:autoSpaceDE/>
      <w:autoSpaceDN/>
      <w:adjustRightInd/>
      <w:spacing w:line="300" w:lineRule="auto"/>
      <w:ind w:firstLine="200" w:firstLineChars="200"/>
    </w:pPr>
    <w:rPr>
      <w:rFonts w:ascii="楷体_GB2312" w:hAnsi="Times" w:eastAsia="楷体_GB2312"/>
      <w:kern w:val="2"/>
      <w:sz w:val="24"/>
    </w:rPr>
  </w:style>
  <w:style w:type="character" w:customStyle="1" w:styleId="59">
    <w:name w:val="正文文本缩进 Char"/>
    <w:basedOn w:val="49"/>
    <w:link w:val="21"/>
    <w:autoRedefine/>
    <w:qFormat/>
    <w:uiPriority w:val="0"/>
    <w:rPr>
      <w:rFonts w:ascii="??" w:hAnsi="??" w:eastAsia="??" w:cs="宋体"/>
      <w:sz w:val="28"/>
      <w:szCs w:val="28"/>
    </w:rPr>
  </w:style>
  <w:style w:type="character" w:customStyle="1" w:styleId="60">
    <w:name w:val="标题 1 Char"/>
    <w:basedOn w:val="49"/>
    <w:link w:val="3"/>
    <w:autoRedefine/>
    <w:qFormat/>
    <w:uiPriority w:val="0"/>
    <w:rPr>
      <w:rFonts w:ascii="等线" w:hAnsi="等线" w:eastAsia="宋体" w:cs="Times New Roman"/>
      <w:b/>
      <w:bCs/>
      <w:kern w:val="44"/>
      <w:sz w:val="44"/>
      <w:szCs w:val="44"/>
    </w:rPr>
  </w:style>
  <w:style w:type="character" w:customStyle="1" w:styleId="61">
    <w:name w:val="标题 2 Char"/>
    <w:basedOn w:val="49"/>
    <w:link w:val="4"/>
    <w:autoRedefine/>
    <w:qFormat/>
    <w:uiPriority w:val="8"/>
    <w:rPr>
      <w:rFonts w:asciiTheme="majorHAnsi" w:hAnsiTheme="majorHAnsi" w:eastAsiaTheme="majorEastAsia" w:cstheme="majorBidi"/>
      <w:b/>
      <w:bCs/>
      <w:sz w:val="32"/>
      <w:szCs w:val="32"/>
    </w:rPr>
  </w:style>
  <w:style w:type="character" w:customStyle="1" w:styleId="62">
    <w:name w:val="标题 3 Char"/>
    <w:basedOn w:val="49"/>
    <w:link w:val="5"/>
    <w:autoRedefine/>
    <w:qFormat/>
    <w:uiPriority w:val="0"/>
    <w:rPr>
      <w:rFonts w:ascii="Times New Roman" w:hAnsi="Times New Roman" w:eastAsia="??" w:cs="Times New Roman"/>
      <w:b/>
      <w:kern w:val="0"/>
      <w:sz w:val="32"/>
      <w:szCs w:val="28"/>
    </w:rPr>
  </w:style>
  <w:style w:type="character" w:customStyle="1" w:styleId="63">
    <w:name w:val="标题 4 Char"/>
    <w:basedOn w:val="49"/>
    <w:link w:val="6"/>
    <w:autoRedefine/>
    <w:qFormat/>
    <w:uiPriority w:val="0"/>
    <w:rPr>
      <w:rFonts w:ascii="Cambria" w:hAnsi="Cambria" w:eastAsia="宋体" w:cs="Times New Roman"/>
      <w:b/>
      <w:bCs/>
      <w:sz w:val="28"/>
      <w:szCs w:val="28"/>
    </w:rPr>
  </w:style>
  <w:style w:type="character" w:customStyle="1" w:styleId="64">
    <w:name w:val="标题 5 Char"/>
    <w:basedOn w:val="49"/>
    <w:link w:val="7"/>
    <w:autoRedefine/>
    <w:qFormat/>
    <w:uiPriority w:val="0"/>
    <w:rPr>
      <w:rFonts w:ascii="Times New Roman" w:hAnsi="Times New Roman" w:eastAsia="宋体" w:cs="Times New Roman"/>
      <w:b/>
      <w:bCs/>
      <w:kern w:val="0"/>
      <w:sz w:val="28"/>
      <w:szCs w:val="28"/>
    </w:rPr>
  </w:style>
  <w:style w:type="character" w:customStyle="1" w:styleId="65">
    <w:name w:val="标题 6 Char"/>
    <w:basedOn w:val="49"/>
    <w:link w:val="8"/>
    <w:autoRedefine/>
    <w:qFormat/>
    <w:uiPriority w:val="0"/>
    <w:rPr>
      <w:rFonts w:ascii="Arial" w:hAnsi="Arial" w:eastAsia="黑体" w:cs="Times New Roman"/>
      <w:b/>
      <w:bCs/>
      <w:kern w:val="0"/>
      <w:sz w:val="24"/>
      <w:szCs w:val="24"/>
    </w:rPr>
  </w:style>
  <w:style w:type="character" w:customStyle="1" w:styleId="66">
    <w:name w:val="标题 7 Char"/>
    <w:basedOn w:val="49"/>
    <w:link w:val="9"/>
    <w:autoRedefine/>
    <w:qFormat/>
    <w:uiPriority w:val="0"/>
    <w:rPr>
      <w:rFonts w:ascii="Times New Roman" w:hAnsi="Times New Roman" w:eastAsia="宋体" w:cs="Times New Roman"/>
      <w:b/>
      <w:bCs/>
      <w:kern w:val="0"/>
      <w:sz w:val="24"/>
      <w:szCs w:val="24"/>
    </w:rPr>
  </w:style>
  <w:style w:type="character" w:customStyle="1" w:styleId="67">
    <w:name w:val="标题 8 Char"/>
    <w:basedOn w:val="49"/>
    <w:link w:val="10"/>
    <w:autoRedefine/>
    <w:qFormat/>
    <w:uiPriority w:val="0"/>
    <w:rPr>
      <w:rFonts w:ascii="Arial" w:hAnsi="Arial" w:eastAsia="黑体" w:cs="Times New Roman"/>
      <w:kern w:val="0"/>
      <w:sz w:val="24"/>
      <w:szCs w:val="24"/>
    </w:rPr>
  </w:style>
  <w:style w:type="character" w:customStyle="1" w:styleId="68">
    <w:name w:val="标题 9 Char"/>
    <w:basedOn w:val="49"/>
    <w:link w:val="11"/>
    <w:autoRedefine/>
    <w:qFormat/>
    <w:uiPriority w:val="0"/>
    <w:rPr>
      <w:rFonts w:ascii="Arial" w:hAnsi="Arial" w:eastAsia="黑体" w:cs="Times New Roman"/>
      <w:kern w:val="0"/>
      <w:szCs w:val="21"/>
    </w:rPr>
  </w:style>
  <w:style w:type="character" w:customStyle="1" w:styleId="69">
    <w:name w:val="列表编号 Char"/>
    <w:link w:val="14"/>
    <w:autoRedefine/>
    <w:qFormat/>
    <w:uiPriority w:val="0"/>
    <w:rPr>
      <w:rFonts w:ascii="等线" w:hAnsi="等线" w:eastAsia="楷体_GB2312" w:cs="Times New Roman"/>
      <w:sz w:val="24"/>
      <w:szCs w:val="24"/>
    </w:rPr>
  </w:style>
  <w:style w:type="character" w:customStyle="1" w:styleId="70">
    <w:name w:val="正文缩进 Char"/>
    <w:link w:val="2"/>
    <w:autoRedefine/>
    <w:qFormat/>
    <w:uiPriority w:val="0"/>
    <w:rPr>
      <w:rFonts w:ascii="等线" w:hAnsi="等线" w:eastAsia="宋体" w:cs="Times New Roman"/>
      <w:szCs w:val="24"/>
    </w:rPr>
  </w:style>
  <w:style w:type="character" w:customStyle="1" w:styleId="71">
    <w:name w:val="题注 Char"/>
    <w:link w:val="15"/>
    <w:autoRedefine/>
    <w:qFormat/>
    <w:uiPriority w:val="0"/>
    <w:rPr>
      <w:rFonts w:ascii="Arial" w:hAnsi="Arial" w:eastAsia="黑体" w:cs="Arial"/>
      <w:kern w:val="2"/>
    </w:rPr>
  </w:style>
  <w:style w:type="character" w:customStyle="1" w:styleId="72">
    <w:name w:val="文档结构图 Char2"/>
    <w:basedOn w:val="49"/>
    <w:link w:val="16"/>
    <w:autoRedefine/>
    <w:qFormat/>
    <w:uiPriority w:val="0"/>
    <w:rPr>
      <w:rFonts w:ascii="宋体" w:hAnsi="Calibri"/>
      <w:sz w:val="18"/>
      <w:szCs w:val="18"/>
    </w:rPr>
  </w:style>
  <w:style w:type="character" w:customStyle="1" w:styleId="73">
    <w:name w:val="批注文字 Char"/>
    <w:basedOn w:val="49"/>
    <w:link w:val="17"/>
    <w:autoRedefine/>
    <w:qFormat/>
    <w:uiPriority w:val="0"/>
    <w:rPr>
      <w:rFonts w:eastAsia="宋体" w:cs="Lucida Sans"/>
    </w:rPr>
  </w:style>
  <w:style w:type="character" w:customStyle="1" w:styleId="74">
    <w:name w:val="正文文本 3 Char1"/>
    <w:basedOn w:val="49"/>
    <w:link w:val="18"/>
    <w:autoRedefine/>
    <w:qFormat/>
    <w:uiPriority w:val="0"/>
    <w:rPr>
      <w:sz w:val="16"/>
      <w:szCs w:val="16"/>
    </w:rPr>
  </w:style>
  <w:style w:type="character" w:customStyle="1" w:styleId="75">
    <w:name w:val="正文文本 Char"/>
    <w:basedOn w:val="49"/>
    <w:link w:val="19"/>
    <w:autoRedefine/>
    <w:qFormat/>
    <w:uiPriority w:val="0"/>
    <w:rPr>
      <w:rFonts w:ascii="等线" w:hAnsi="等线" w:eastAsia="宋体" w:cs="Times New Roman"/>
      <w:szCs w:val="24"/>
    </w:rPr>
  </w:style>
  <w:style w:type="character" w:customStyle="1" w:styleId="76">
    <w:name w:val="目录 3 Char"/>
    <w:link w:val="25"/>
    <w:autoRedefine/>
    <w:qFormat/>
    <w:uiPriority w:val="39"/>
    <w:rPr>
      <w:rFonts w:ascii="Arial" w:hAnsi="Arial" w:eastAsia="宋体" w:cs="Times New Roman"/>
      <w:smallCaps/>
      <w:kern w:val="2"/>
      <w:szCs w:val="24"/>
    </w:rPr>
  </w:style>
  <w:style w:type="character" w:customStyle="1" w:styleId="77">
    <w:name w:val="日期 Char"/>
    <w:basedOn w:val="49"/>
    <w:link w:val="28"/>
    <w:autoRedefine/>
    <w:qFormat/>
    <w:uiPriority w:val="0"/>
    <w:rPr>
      <w:rFonts w:ascii="等线" w:hAnsi="等线" w:eastAsia="宋体" w:cs="Times New Roman"/>
      <w:szCs w:val="24"/>
    </w:rPr>
  </w:style>
  <w:style w:type="character" w:customStyle="1" w:styleId="78">
    <w:name w:val="纯文本 Char1"/>
    <w:link w:val="26"/>
    <w:autoRedefine/>
    <w:qFormat/>
    <w:uiPriority w:val="0"/>
    <w:rPr>
      <w:rFonts w:ascii="??" w:hAnsi="??" w:eastAsia="??" w:cs="宋体"/>
      <w:szCs w:val="21"/>
    </w:rPr>
  </w:style>
  <w:style w:type="character" w:customStyle="1" w:styleId="79">
    <w:name w:val="正文文本缩进 2 Char1"/>
    <w:basedOn w:val="49"/>
    <w:link w:val="29"/>
    <w:qFormat/>
    <w:uiPriority w:val="0"/>
    <w:rPr>
      <w:rFonts w:ascii="宋体"/>
      <w:color w:val="000000"/>
      <w:kern w:val="0"/>
      <w:sz w:val="24"/>
      <w:szCs w:val="20"/>
    </w:rPr>
  </w:style>
  <w:style w:type="character" w:customStyle="1" w:styleId="80">
    <w:name w:val="批注框文本 Char"/>
    <w:basedOn w:val="49"/>
    <w:link w:val="30"/>
    <w:autoRedefine/>
    <w:qFormat/>
    <w:uiPriority w:val="99"/>
    <w:rPr>
      <w:rFonts w:ascii="等线" w:hAnsi="等线" w:eastAsia="宋体" w:cs="Times New Roman"/>
      <w:sz w:val="18"/>
      <w:szCs w:val="18"/>
    </w:rPr>
  </w:style>
  <w:style w:type="character" w:customStyle="1" w:styleId="81">
    <w:name w:val="页脚 Char"/>
    <w:basedOn w:val="49"/>
    <w:link w:val="31"/>
    <w:autoRedefine/>
    <w:qFormat/>
    <w:uiPriority w:val="0"/>
    <w:rPr>
      <w:sz w:val="18"/>
      <w:szCs w:val="18"/>
    </w:rPr>
  </w:style>
  <w:style w:type="character" w:customStyle="1" w:styleId="82">
    <w:name w:val="页眉 Char"/>
    <w:basedOn w:val="49"/>
    <w:link w:val="32"/>
    <w:autoRedefine/>
    <w:qFormat/>
    <w:uiPriority w:val="0"/>
    <w:rPr>
      <w:sz w:val="18"/>
      <w:szCs w:val="18"/>
    </w:rPr>
  </w:style>
  <w:style w:type="character" w:customStyle="1" w:styleId="83">
    <w:name w:val="副标题 Char"/>
    <w:basedOn w:val="49"/>
    <w:link w:val="35"/>
    <w:autoRedefine/>
    <w:qFormat/>
    <w:uiPriority w:val="0"/>
    <w:rPr>
      <w:rFonts w:ascii="Cambria" w:hAnsi="Cambria" w:eastAsia="宋体" w:cs="Times New Roman"/>
      <w:b/>
      <w:bCs/>
      <w:kern w:val="28"/>
      <w:sz w:val="32"/>
      <w:szCs w:val="32"/>
    </w:rPr>
  </w:style>
  <w:style w:type="character" w:customStyle="1" w:styleId="84">
    <w:name w:val="脚注文本 Char"/>
    <w:basedOn w:val="49"/>
    <w:link w:val="37"/>
    <w:autoRedefine/>
    <w:qFormat/>
    <w:uiPriority w:val="0"/>
    <w:rPr>
      <w:rFonts w:ascii="Times New Roman" w:hAnsi="Times New Roman" w:eastAsia="仿宋_GB2312" w:cs="Times New Roman"/>
      <w:sz w:val="18"/>
      <w:szCs w:val="20"/>
    </w:rPr>
  </w:style>
  <w:style w:type="character" w:customStyle="1" w:styleId="85">
    <w:name w:val="正文文本缩进 3 Char1"/>
    <w:basedOn w:val="49"/>
    <w:link w:val="39"/>
    <w:autoRedefine/>
    <w:qFormat/>
    <w:uiPriority w:val="0"/>
    <w:rPr>
      <w:rFonts w:ascii="宋体"/>
      <w:b/>
      <w:color w:val="000000"/>
      <w:kern w:val="0"/>
      <w:sz w:val="36"/>
      <w:szCs w:val="24"/>
    </w:rPr>
  </w:style>
  <w:style w:type="character" w:customStyle="1" w:styleId="86">
    <w:name w:val="正文文本 2 Char1"/>
    <w:basedOn w:val="49"/>
    <w:link w:val="41"/>
    <w:autoRedefine/>
    <w:qFormat/>
    <w:uiPriority w:val="0"/>
    <w:rPr>
      <w:rFonts w:ascii="宋体"/>
      <w:color w:val="000000"/>
      <w:kern w:val="0"/>
      <w:sz w:val="24"/>
      <w:szCs w:val="24"/>
    </w:rPr>
  </w:style>
  <w:style w:type="character" w:customStyle="1" w:styleId="87">
    <w:name w:val="HTML 预设格式 Char"/>
    <w:basedOn w:val="49"/>
    <w:link w:val="42"/>
    <w:autoRedefine/>
    <w:qFormat/>
    <w:uiPriority w:val="0"/>
    <w:rPr>
      <w:rFonts w:ascii="宋体" w:hAnsi="宋体" w:eastAsia="宋体" w:cs="宋体"/>
      <w:kern w:val="0"/>
      <w:sz w:val="24"/>
      <w:szCs w:val="24"/>
    </w:rPr>
  </w:style>
  <w:style w:type="character" w:customStyle="1" w:styleId="88">
    <w:name w:val="普通(网站) Char"/>
    <w:link w:val="43"/>
    <w:autoRedefine/>
    <w:qFormat/>
    <w:uiPriority w:val="99"/>
    <w:rPr>
      <w:rFonts w:ascii="??" w:hAnsi="??" w:eastAsia="??" w:cs="宋体"/>
      <w:sz w:val="24"/>
      <w:szCs w:val="24"/>
    </w:rPr>
  </w:style>
  <w:style w:type="character" w:customStyle="1" w:styleId="89">
    <w:name w:val="标题 Char"/>
    <w:basedOn w:val="49"/>
    <w:link w:val="44"/>
    <w:autoRedefine/>
    <w:qFormat/>
    <w:uiPriority w:val="10"/>
    <w:rPr>
      <w:rFonts w:eastAsia="宋体" w:asciiTheme="majorHAnsi" w:hAnsiTheme="majorHAnsi" w:cstheme="majorBidi"/>
      <w:b/>
      <w:bCs/>
      <w:sz w:val="36"/>
      <w:szCs w:val="32"/>
    </w:rPr>
  </w:style>
  <w:style w:type="character" w:customStyle="1" w:styleId="90">
    <w:name w:val="批注主题 Char"/>
    <w:basedOn w:val="73"/>
    <w:link w:val="45"/>
    <w:autoRedefine/>
    <w:qFormat/>
    <w:uiPriority w:val="0"/>
    <w:rPr>
      <w:rFonts w:ascii="Times New Roman" w:hAnsi="Times New Roman" w:eastAsia="宋体" w:cs="Times New Roman"/>
      <w:b/>
      <w:bCs/>
      <w:szCs w:val="24"/>
    </w:rPr>
  </w:style>
  <w:style w:type="character" w:customStyle="1" w:styleId="91">
    <w:name w:val="正文首行缩进 Char"/>
    <w:basedOn w:val="75"/>
    <w:link w:val="20"/>
    <w:autoRedefine/>
    <w:qFormat/>
    <w:uiPriority w:val="99"/>
    <w:rPr>
      <w:rFonts w:ascii="等线" w:hAnsi="等线" w:eastAsia="宋体" w:cs="Times New Roman"/>
      <w:szCs w:val="24"/>
    </w:rPr>
  </w:style>
  <w:style w:type="character" w:customStyle="1" w:styleId="92">
    <w:name w:val="正文首行缩进 2 Char"/>
    <w:basedOn w:val="59"/>
    <w:link w:val="46"/>
    <w:autoRedefine/>
    <w:qFormat/>
    <w:uiPriority w:val="0"/>
    <w:rPr>
      <w:rFonts w:ascii="等线" w:hAnsi="等线" w:eastAsia="宋体" w:cs="Times New Roman"/>
      <w:sz w:val="28"/>
      <w:szCs w:val="24"/>
    </w:rPr>
  </w:style>
  <w:style w:type="character" w:customStyle="1" w:styleId="93">
    <w:name w:val="纯文本 Char"/>
    <w:basedOn w:val="49"/>
    <w:autoRedefine/>
    <w:qFormat/>
    <w:uiPriority w:val="0"/>
    <w:rPr>
      <w:rFonts w:ascii="宋体" w:hAnsi="Courier New" w:eastAsia="宋体" w:cs="Courier New"/>
      <w:szCs w:val="21"/>
    </w:rPr>
  </w:style>
  <w:style w:type="character" w:customStyle="1" w:styleId="94">
    <w:name w:val="*正文 Char"/>
    <w:link w:val="95"/>
    <w:autoRedefine/>
    <w:qFormat/>
    <w:uiPriority w:val="0"/>
    <w:rPr>
      <w:rFonts w:ascii="宋体" w:hAnsi="宋体"/>
      <w:sz w:val="22"/>
    </w:rPr>
  </w:style>
  <w:style w:type="paragraph" w:customStyle="1" w:styleId="95">
    <w:name w:val="*正文"/>
    <w:basedOn w:val="1"/>
    <w:link w:val="94"/>
    <w:autoRedefine/>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6">
    <w:name w:val="表格用"/>
    <w:basedOn w:val="1"/>
    <w:autoRedefine/>
    <w:qFormat/>
    <w:uiPriority w:val="0"/>
    <w:rPr>
      <w:kern w:val="0"/>
    </w:rPr>
  </w:style>
  <w:style w:type="character" w:customStyle="1" w:styleId="97">
    <w:name w:val="文档结构图 Char"/>
    <w:basedOn w:val="49"/>
    <w:autoRedefine/>
    <w:qFormat/>
    <w:uiPriority w:val="0"/>
    <w:rPr>
      <w:rFonts w:ascii="宋体" w:hAnsi="等线" w:eastAsia="宋体" w:cs="Times New Roman"/>
      <w:sz w:val="18"/>
      <w:szCs w:val="18"/>
    </w:rPr>
  </w:style>
  <w:style w:type="character" w:customStyle="1" w:styleId="98">
    <w:name w:val="正文文本 3 Char"/>
    <w:basedOn w:val="49"/>
    <w:autoRedefine/>
    <w:qFormat/>
    <w:uiPriority w:val="0"/>
    <w:rPr>
      <w:rFonts w:ascii="等线" w:hAnsi="等线" w:eastAsia="宋体" w:cs="Times New Roman"/>
      <w:sz w:val="16"/>
      <w:szCs w:val="16"/>
    </w:rPr>
  </w:style>
  <w:style w:type="character" w:customStyle="1" w:styleId="99">
    <w:name w:val="正文文本缩进 2 Char"/>
    <w:basedOn w:val="49"/>
    <w:autoRedefine/>
    <w:qFormat/>
    <w:uiPriority w:val="0"/>
    <w:rPr>
      <w:rFonts w:ascii="等线" w:hAnsi="等线" w:eastAsia="宋体" w:cs="Times New Roman"/>
      <w:szCs w:val="24"/>
    </w:rPr>
  </w:style>
  <w:style w:type="character" w:customStyle="1" w:styleId="100">
    <w:name w:val="正文文本缩进 3 Char"/>
    <w:basedOn w:val="49"/>
    <w:autoRedefine/>
    <w:qFormat/>
    <w:uiPriority w:val="0"/>
    <w:rPr>
      <w:rFonts w:ascii="等线" w:hAnsi="等线" w:eastAsia="宋体" w:cs="Times New Roman"/>
      <w:sz w:val="16"/>
      <w:szCs w:val="16"/>
    </w:rPr>
  </w:style>
  <w:style w:type="character" w:customStyle="1" w:styleId="101">
    <w:name w:val="正文文本 2 Char"/>
    <w:basedOn w:val="49"/>
    <w:autoRedefine/>
    <w:qFormat/>
    <w:uiPriority w:val="0"/>
    <w:rPr>
      <w:rFonts w:ascii="等线" w:hAnsi="等线" w:eastAsia="宋体" w:cs="Times New Roman"/>
      <w:szCs w:val="24"/>
    </w:rPr>
  </w:style>
  <w:style w:type="paragraph" w:customStyle="1" w:styleId="10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3">
    <w:name w:val="列出段落1"/>
    <w:basedOn w:val="1"/>
    <w:autoRedefine/>
    <w:qFormat/>
    <w:uiPriority w:val="34"/>
    <w:pPr>
      <w:snapToGrid w:val="0"/>
      <w:spacing w:line="276" w:lineRule="auto"/>
      <w:ind w:firstLine="420" w:firstLineChars="200"/>
    </w:pPr>
    <w:rPr>
      <w:rFonts w:ascii="Calibri" w:hAnsi="Calibri" w:eastAsia="微软雅黑"/>
      <w:sz w:val="24"/>
      <w:szCs w:val="21"/>
    </w:rPr>
  </w:style>
  <w:style w:type="paragraph" w:customStyle="1" w:styleId="104">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105">
    <w:name w:val="Default"/>
    <w:next w:val="31"/>
    <w:link w:val="10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Default Char"/>
    <w:link w:val="105"/>
    <w:autoRedefine/>
    <w:qFormat/>
    <w:uiPriority w:val="0"/>
    <w:rPr>
      <w:rFonts w:ascii="宋体" w:hAnsi="Times New Roman" w:eastAsia="宋体" w:cs="宋体"/>
      <w:color w:val="000000"/>
      <w:sz w:val="24"/>
      <w:szCs w:val="24"/>
    </w:rPr>
  </w:style>
  <w:style w:type="character" w:customStyle="1" w:styleId="107">
    <w:name w:val="正文文本缩进 Char1"/>
    <w:basedOn w:val="49"/>
    <w:autoRedefine/>
    <w:qFormat/>
    <w:uiPriority w:val="99"/>
    <w:rPr>
      <w:rFonts w:ascii="等线" w:hAnsi="等线" w:eastAsia="宋体" w:cs="Times New Roman"/>
      <w:szCs w:val="24"/>
    </w:rPr>
  </w:style>
  <w:style w:type="paragraph" w:customStyle="1" w:styleId="108">
    <w:name w:val="WPSOffice手动目录 1"/>
    <w:autoRedefine/>
    <w:qFormat/>
    <w:uiPriority w:val="0"/>
    <w:rPr>
      <w:rFonts w:ascii="Times New Roman" w:hAnsi="Times New Roman" w:eastAsia="宋体" w:cs="Times New Roman"/>
      <w:lang w:val="en-US" w:eastAsia="zh-CN" w:bidi="ar-SA"/>
    </w:rPr>
  </w:style>
  <w:style w:type="character" w:customStyle="1" w:styleId="109">
    <w:name w:val="正文2 Char"/>
    <w:link w:val="110"/>
    <w:autoRedefine/>
    <w:qFormat/>
    <w:locked/>
    <w:uiPriority w:val="0"/>
    <w:rPr>
      <w:rFonts w:eastAsia="??"/>
      <w:sz w:val="24"/>
      <w:szCs w:val="28"/>
    </w:rPr>
  </w:style>
  <w:style w:type="paragraph" w:customStyle="1" w:styleId="110">
    <w:name w:val="正文2"/>
    <w:basedOn w:val="1"/>
    <w:link w:val="109"/>
    <w:autoRedefine/>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1">
    <w:name w:val="批注文字 Char1"/>
    <w:basedOn w:val="49"/>
    <w:autoRedefine/>
    <w:semiHidden/>
    <w:qFormat/>
    <w:uiPriority w:val="99"/>
    <w:rPr>
      <w:rFonts w:ascii="等线" w:hAnsi="等线" w:eastAsia="宋体" w:cs="Times New Roman"/>
      <w:szCs w:val="24"/>
    </w:rPr>
  </w:style>
  <w:style w:type="paragraph" w:styleId="112">
    <w:name w:val="List Paragraph"/>
    <w:basedOn w:val="1"/>
    <w:link w:val="113"/>
    <w:autoRedefine/>
    <w:qFormat/>
    <w:uiPriority w:val="34"/>
    <w:pPr>
      <w:widowControl/>
      <w:ind w:firstLine="200" w:firstLineChars="200"/>
      <w:jc w:val="left"/>
    </w:pPr>
    <w:rPr>
      <w:rFonts w:ascii="??" w:hAnsi="??" w:eastAsia="??" w:cs="??"/>
      <w:kern w:val="0"/>
      <w:sz w:val="24"/>
    </w:rPr>
  </w:style>
  <w:style w:type="character" w:customStyle="1" w:styleId="113">
    <w:name w:val="列出段落 Char"/>
    <w:link w:val="112"/>
    <w:autoRedefine/>
    <w:qFormat/>
    <w:uiPriority w:val="34"/>
    <w:rPr>
      <w:rFonts w:ascii="??" w:hAnsi="??" w:eastAsia="??" w:cs="??"/>
      <w:kern w:val="0"/>
      <w:sz w:val="24"/>
      <w:szCs w:val="24"/>
    </w:rPr>
  </w:style>
  <w:style w:type="paragraph" w:customStyle="1" w:styleId="114">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16">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11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14"/>
    <w:autoRedefine/>
    <w:qFormat/>
    <w:uiPriority w:val="0"/>
    <w:rPr>
      <w:rFonts w:ascii="Times New Roman" w:hAnsi="Times New Roman" w:eastAsia="宋体" w:cs="Times New Roman"/>
      <w:sz w:val="21"/>
      <w:szCs w:val="22"/>
      <w:lang w:val="en-US" w:eastAsia="zh-CN" w:bidi="ar-SA"/>
    </w:rPr>
  </w:style>
  <w:style w:type="paragraph" w:customStyle="1" w:styleId="12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纯文本_3"/>
    <w:basedOn w:val="122"/>
    <w:link w:val="124"/>
    <w:autoRedefine/>
    <w:qFormat/>
    <w:uiPriority w:val="0"/>
    <w:pPr>
      <w:widowControl/>
      <w:jc w:val="left"/>
    </w:pPr>
    <w:rPr>
      <w:rFonts w:ascii="宋体" w:hAnsi="Courier New" w:eastAsiaTheme="minorEastAsia" w:cstheme="minorBidi"/>
      <w:szCs w:val="21"/>
    </w:rPr>
  </w:style>
  <w:style w:type="character" w:customStyle="1" w:styleId="124">
    <w:name w:val="纯文本 Char_3"/>
    <w:link w:val="123"/>
    <w:autoRedefine/>
    <w:qFormat/>
    <w:uiPriority w:val="0"/>
    <w:rPr>
      <w:rFonts w:ascii="宋体" w:hAnsi="Courier New"/>
      <w:szCs w:val="21"/>
    </w:rPr>
  </w:style>
  <w:style w:type="paragraph" w:customStyle="1" w:styleId="125">
    <w:name w:val="纯文本_0_1"/>
    <w:basedOn w:val="1"/>
    <w:link w:val="126"/>
    <w:autoRedefine/>
    <w:qFormat/>
    <w:uiPriority w:val="0"/>
    <w:pPr>
      <w:widowControl/>
      <w:jc w:val="left"/>
    </w:pPr>
    <w:rPr>
      <w:rFonts w:ascii="宋体" w:hAnsi="Courier New" w:eastAsiaTheme="minorEastAsia" w:cstheme="minorBidi"/>
      <w:szCs w:val="21"/>
    </w:rPr>
  </w:style>
  <w:style w:type="character" w:customStyle="1" w:styleId="126">
    <w:name w:val="纯文本 Char_1_0"/>
    <w:link w:val="125"/>
    <w:autoRedefine/>
    <w:qFormat/>
    <w:uiPriority w:val="0"/>
    <w:rPr>
      <w:rFonts w:ascii="宋体" w:hAnsi="Courier New"/>
      <w:szCs w:val="21"/>
    </w:rPr>
  </w:style>
  <w:style w:type="paragraph" w:customStyle="1" w:styleId="12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0">
    <w:name w:val="纯文本 Char_1"/>
    <w:link w:val="131"/>
    <w:autoRedefine/>
    <w:qFormat/>
    <w:uiPriority w:val="0"/>
    <w:rPr>
      <w:rFonts w:ascii="宋体" w:hAnsi="Courier New"/>
      <w:szCs w:val="21"/>
    </w:rPr>
  </w:style>
  <w:style w:type="paragraph" w:customStyle="1" w:styleId="131">
    <w:name w:val="纯文本_1"/>
    <w:basedOn w:val="1"/>
    <w:link w:val="130"/>
    <w:autoRedefine/>
    <w:qFormat/>
    <w:uiPriority w:val="0"/>
    <w:pPr>
      <w:widowControl/>
      <w:jc w:val="left"/>
    </w:pPr>
    <w:rPr>
      <w:rFonts w:ascii="宋体" w:hAnsi="Courier New" w:eastAsiaTheme="minorEastAsia" w:cstheme="minorBidi"/>
      <w:szCs w:val="21"/>
    </w:rPr>
  </w:style>
  <w:style w:type="paragraph" w:customStyle="1" w:styleId="132">
    <w:name w:val="纯文本1"/>
    <w:basedOn w:val="133"/>
    <w:autoRedefine/>
    <w:qFormat/>
    <w:uiPriority w:val="0"/>
    <w:pPr>
      <w:widowControl/>
      <w:jc w:val="left"/>
    </w:pPr>
    <w:rPr>
      <w:rFonts w:ascii="宋体" w:hAnsi="Courier New"/>
    </w:rPr>
  </w:style>
  <w:style w:type="paragraph" w:customStyle="1" w:styleId="13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4">
    <w:name w:val="p0"/>
    <w:basedOn w:val="1"/>
    <w:autoRedefine/>
    <w:qFormat/>
    <w:uiPriority w:val="0"/>
    <w:pPr>
      <w:widowControl/>
    </w:pPr>
    <w:rPr>
      <w:rFonts w:ascii="宋体" w:hAnsi="宋体" w:cs="宋体"/>
      <w:kern w:val="0"/>
      <w:szCs w:val="21"/>
    </w:rPr>
  </w:style>
  <w:style w:type="paragraph" w:customStyle="1" w:styleId="135">
    <w:name w:val="_Style 2"/>
    <w:autoRedefine/>
    <w:qFormat/>
    <w:uiPriority w:val="0"/>
    <w:pPr>
      <w:adjustRightInd w:val="0"/>
      <w:snapToGrid w:val="0"/>
    </w:pPr>
    <w:rPr>
      <w:rFonts w:ascii="Tahoma" w:hAnsi="Tahoma" w:eastAsia="微软雅黑" w:cs="Tahoma"/>
      <w:sz w:val="22"/>
      <w:szCs w:val="22"/>
      <w:lang w:val="en-US" w:eastAsia="zh-CN" w:bidi="ar-SA"/>
    </w:rPr>
  </w:style>
  <w:style w:type="character" w:customStyle="1" w:styleId="136">
    <w:name w:val="内容文本 Char"/>
    <w:link w:val="137"/>
    <w:autoRedefine/>
    <w:qFormat/>
    <w:uiPriority w:val="0"/>
    <w:rPr>
      <w:rFonts w:ascii="宋体" w:hAnsi="宋体"/>
      <w:sz w:val="24"/>
      <w:szCs w:val="24"/>
      <w:lang w:eastAsia="en-US" w:bidi="en-US"/>
    </w:rPr>
  </w:style>
  <w:style w:type="paragraph" w:customStyle="1" w:styleId="137">
    <w:name w:val="内容文本"/>
    <w:basedOn w:val="1"/>
    <w:link w:val="136"/>
    <w:autoRedefine/>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8">
    <w:name w:val="样式1 Char_1"/>
    <w:link w:val="139"/>
    <w:autoRedefine/>
    <w:qFormat/>
    <w:uiPriority w:val="0"/>
    <w:rPr>
      <w:rFonts w:ascii="宋体" w:hAnsi="Arial"/>
      <w:b/>
      <w:sz w:val="32"/>
    </w:rPr>
  </w:style>
  <w:style w:type="paragraph" w:customStyle="1" w:styleId="139">
    <w:name w:val="样式1_1"/>
    <w:basedOn w:val="1"/>
    <w:link w:val="13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40">
    <w:name w:val="列出段落 Char1"/>
    <w:basedOn w:val="49"/>
    <w:autoRedefine/>
    <w:qFormat/>
    <w:uiPriority w:val="34"/>
  </w:style>
  <w:style w:type="character" w:customStyle="1" w:styleId="141">
    <w:name w:val="标题 4 Char1"/>
    <w:autoRedefine/>
    <w:qFormat/>
    <w:uiPriority w:val="0"/>
    <w:rPr>
      <w:rFonts w:ascii="Cambria" w:hAnsi="Cambria" w:eastAsia="宋体" w:cs="Times New Roman"/>
      <w:b/>
      <w:bCs/>
      <w:sz w:val="28"/>
      <w:szCs w:val="28"/>
    </w:rPr>
  </w:style>
  <w:style w:type="character" w:customStyle="1" w:styleId="142">
    <w:name w:val="p141"/>
    <w:autoRedefine/>
    <w:qFormat/>
    <w:uiPriority w:val="0"/>
    <w:rPr>
      <w:sz w:val="21"/>
      <w:szCs w:val="21"/>
    </w:rPr>
  </w:style>
  <w:style w:type="character" w:customStyle="1" w:styleId="143">
    <w:name w:val="样式5 Char"/>
    <w:link w:val="144"/>
    <w:autoRedefine/>
    <w:qFormat/>
    <w:uiPriority w:val="0"/>
    <w:rPr>
      <w:rFonts w:ascii="方正书宋简体" w:hAnsi="Calibri" w:eastAsia="方正书宋简体" w:cs="黑体"/>
    </w:rPr>
  </w:style>
  <w:style w:type="paragraph" w:customStyle="1" w:styleId="144">
    <w:name w:val="样式5"/>
    <w:basedOn w:val="1"/>
    <w:link w:val="143"/>
    <w:autoRedefine/>
    <w:qFormat/>
    <w:uiPriority w:val="0"/>
    <w:pPr>
      <w:spacing w:line="340" w:lineRule="exact"/>
      <w:ind w:firstLine="420" w:firstLineChars="200"/>
    </w:pPr>
    <w:rPr>
      <w:rFonts w:ascii="方正书宋简体" w:hAnsi="Calibri" w:eastAsia="方正书宋简体" w:cs="黑体"/>
      <w:szCs w:val="22"/>
    </w:rPr>
  </w:style>
  <w:style w:type="character" w:customStyle="1" w:styleId="145">
    <w:name w:val="正文文本 Char1"/>
    <w:autoRedefine/>
    <w:qFormat/>
    <w:uiPriority w:val="99"/>
    <w:rPr>
      <w:rFonts w:eastAsia="Times New Roman"/>
      <w:kern w:val="2"/>
      <w:sz w:val="24"/>
      <w:szCs w:val="24"/>
    </w:rPr>
  </w:style>
  <w:style w:type="character" w:customStyle="1" w:styleId="146">
    <w:name w:val="日期 Char1"/>
    <w:autoRedefine/>
    <w:qFormat/>
    <w:uiPriority w:val="99"/>
    <w:rPr>
      <w:rFonts w:ascii="Calibri" w:hAnsi="Calibri" w:eastAsia="楷体_GB2312"/>
      <w:kern w:val="2"/>
      <w:sz w:val="32"/>
      <w:szCs w:val="22"/>
    </w:rPr>
  </w:style>
  <w:style w:type="character" w:customStyle="1" w:styleId="147">
    <w:name w:val="标题 Char1"/>
    <w:autoRedefine/>
    <w:qFormat/>
    <w:uiPriority w:val="10"/>
    <w:rPr>
      <w:rFonts w:ascii="Cambria" w:hAnsi="Cambria" w:eastAsia="Times New Roman"/>
      <w:b/>
      <w:bCs/>
      <w:kern w:val="2"/>
      <w:sz w:val="32"/>
      <w:szCs w:val="32"/>
    </w:rPr>
  </w:style>
  <w:style w:type="character" w:customStyle="1" w:styleId="148">
    <w:name w:val="标题 3 Char1"/>
    <w:autoRedefine/>
    <w:qFormat/>
    <w:uiPriority w:val="9"/>
    <w:rPr>
      <w:b/>
      <w:bCs/>
      <w:sz w:val="32"/>
      <w:szCs w:val="32"/>
    </w:rPr>
  </w:style>
  <w:style w:type="paragraph" w:customStyle="1" w:styleId="149">
    <w:name w:val="正文首行缩进1"/>
    <w:basedOn w:val="19"/>
    <w:next w:val="1"/>
    <w:autoRedefine/>
    <w:qFormat/>
    <w:uiPriority w:val="0"/>
    <w:pPr>
      <w:widowControl/>
      <w:ind w:firstLine="420" w:firstLineChars="100"/>
      <w:jc w:val="left"/>
    </w:pPr>
    <w:rPr>
      <w:rFonts w:ascii="Calibri" w:hAnsi="Calibri" w:eastAsia="Times New Roman" w:cs="黑体"/>
      <w:szCs w:val="22"/>
    </w:rPr>
  </w:style>
  <w:style w:type="character" w:customStyle="1" w:styleId="150">
    <w:name w:val="样式1 Char"/>
    <w:link w:val="151"/>
    <w:autoRedefine/>
    <w:qFormat/>
    <w:uiPriority w:val="0"/>
    <w:rPr>
      <w:rFonts w:ascii="宋体" w:hAnsi="Arial"/>
      <w:b/>
      <w:sz w:val="32"/>
    </w:rPr>
  </w:style>
  <w:style w:type="paragraph" w:customStyle="1" w:styleId="151">
    <w:name w:val="样式1_0"/>
    <w:basedOn w:val="1"/>
    <w:link w:val="150"/>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2">
    <w:name w:val="样式44 Char"/>
    <w:basedOn w:val="63"/>
    <w:link w:val="153"/>
    <w:autoRedefine/>
    <w:qFormat/>
    <w:uiPriority w:val="0"/>
    <w:rPr>
      <w:rFonts w:ascii="Cambria" w:hAnsi="Cambria" w:eastAsia="宋体" w:cs="Times New Roman"/>
      <w:sz w:val="28"/>
      <w:szCs w:val="28"/>
    </w:rPr>
  </w:style>
  <w:style w:type="paragraph" w:customStyle="1" w:styleId="153">
    <w:name w:val="样式44"/>
    <w:basedOn w:val="6"/>
    <w:link w:val="152"/>
    <w:autoRedefine/>
    <w:qFormat/>
    <w:uiPriority w:val="0"/>
  </w:style>
  <w:style w:type="character" w:customStyle="1" w:styleId="154">
    <w:name w:val="apple-converted-space"/>
    <w:basedOn w:val="49"/>
    <w:autoRedefine/>
    <w:qFormat/>
    <w:uiPriority w:val="0"/>
  </w:style>
  <w:style w:type="character" w:customStyle="1" w:styleId="155">
    <w:name w:val="纯文本 Char_0_0"/>
    <w:link w:val="156"/>
    <w:autoRedefine/>
    <w:qFormat/>
    <w:locked/>
    <w:uiPriority w:val="0"/>
    <w:rPr>
      <w:rFonts w:ascii="宋体" w:hAnsi="Courier New"/>
      <w:szCs w:val="21"/>
    </w:rPr>
  </w:style>
  <w:style w:type="paragraph" w:customStyle="1" w:styleId="156">
    <w:name w:val="纯文本_0"/>
    <w:basedOn w:val="1"/>
    <w:link w:val="155"/>
    <w:autoRedefine/>
    <w:unhideWhenUsed/>
    <w:qFormat/>
    <w:uiPriority w:val="0"/>
    <w:pPr>
      <w:widowControl/>
      <w:jc w:val="left"/>
    </w:pPr>
    <w:rPr>
      <w:rFonts w:ascii="宋体" w:hAnsi="Courier New" w:eastAsiaTheme="minorEastAsia" w:cstheme="minorBidi"/>
      <w:szCs w:val="21"/>
    </w:rPr>
  </w:style>
  <w:style w:type="character" w:customStyle="1" w:styleId="157">
    <w:name w:val="文档结构图 Char1"/>
    <w:autoRedefine/>
    <w:qFormat/>
    <w:uiPriority w:val="99"/>
    <w:rPr>
      <w:rFonts w:ascii="宋体" w:hAnsi="Calibri"/>
      <w:kern w:val="2"/>
      <w:sz w:val="18"/>
      <w:szCs w:val="18"/>
    </w:rPr>
  </w:style>
  <w:style w:type="character" w:styleId="158">
    <w:name w:val="Placeholder Text"/>
    <w:autoRedefine/>
    <w:semiHidden/>
    <w:qFormat/>
    <w:uiPriority w:val="99"/>
    <w:rPr>
      <w:color w:val="808080"/>
    </w:rPr>
  </w:style>
  <w:style w:type="character" w:customStyle="1" w:styleId="159">
    <w:name w:val="日期 Char2"/>
    <w:basedOn w:val="49"/>
    <w:autoRedefine/>
    <w:semiHidden/>
    <w:qFormat/>
    <w:uiPriority w:val="99"/>
    <w:rPr>
      <w:kern w:val="2"/>
      <w:sz w:val="21"/>
    </w:rPr>
  </w:style>
  <w:style w:type="character" w:customStyle="1" w:styleId="160">
    <w:name w:val="批注文字 Char2"/>
    <w:basedOn w:val="49"/>
    <w:autoRedefine/>
    <w:qFormat/>
    <w:uiPriority w:val="0"/>
    <w:rPr>
      <w:kern w:val="2"/>
      <w:sz w:val="21"/>
    </w:rPr>
  </w:style>
  <w:style w:type="character" w:customStyle="1" w:styleId="161">
    <w:name w:val="批注主题 Char1"/>
    <w:basedOn w:val="160"/>
    <w:autoRedefine/>
    <w:semiHidden/>
    <w:qFormat/>
    <w:uiPriority w:val="99"/>
    <w:rPr>
      <w:b/>
      <w:bCs/>
      <w:kern w:val="2"/>
      <w:sz w:val="21"/>
    </w:rPr>
  </w:style>
  <w:style w:type="character" w:customStyle="1" w:styleId="162">
    <w:name w:val="正文文本缩进 Char2"/>
    <w:basedOn w:val="49"/>
    <w:autoRedefine/>
    <w:qFormat/>
    <w:uiPriority w:val="0"/>
    <w:rPr>
      <w:kern w:val="2"/>
      <w:sz w:val="21"/>
    </w:rPr>
  </w:style>
  <w:style w:type="character" w:customStyle="1" w:styleId="163">
    <w:name w:val="正文首行缩进 2 Char1"/>
    <w:basedOn w:val="59"/>
    <w:autoRedefine/>
    <w:qFormat/>
    <w:uiPriority w:val="0"/>
    <w:rPr>
      <w:rFonts w:ascii="??" w:hAnsi="??" w:eastAsia="??" w:cs="宋体"/>
      <w:kern w:val="2"/>
      <w:sz w:val="21"/>
      <w:szCs w:val="28"/>
    </w:rPr>
  </w:style>
  <w:style w:type="character" w:customStyle="1" w:styleId="164">
    <w:name w:val="页脚 Char1"/>
    <w:basedOn w:val="49"/>
    <w:autoRedefine/>
    <w:semiHidden/>
    <w:qFormat/>
    <w:uiPriority w:val="99"/>
    <w:rPr>
      <w:kern w:val="2"/>
      <w:sz w:val="18"/>
      <w:szCs w:val="18"/>
    </w:rPr>
  </w:style>
  <w:style w:type="character" w:customStyle="1" w:styleId="165">
    <w:name w:val="正文首行缩进 Char1"/>
    <w:basedOn w:val="75"/>
    <w:autoRedefine/>
    <w:qFormat/>
    <w:uiPriority w:val="99"/>
    <w:rPr>
      <w:rFonts w:ascii="等线" w:hAnsi="等线" w:eastAsia="宋体" w:cs="Times New Roman"/>
      <w:kern w:val="2"/>
      <w:sz w:val="21"/>
      <w:szCs w:val="24"/>
    </w:rPr>
  </w:style>
  <w:style w:type="character" w:customStyle="1" w:styleId="166">
    <w:name w:val="页眉 Char1"/>
    <w:basedOn w:val="49"/>
    <w:autoRedefine/>
    <w:qFormat/>
    <w:uiPriority w:val="0"/>
    <w:rPr>
      <w:kern w:val="2"/>
      <w:sz w:val="18"/>
      <w:szCs w:val="18"/>
    </w:rPr>
  </w:style>
  <w:style w:type="character" w:customStyle="1" w:styleId="167">
    <w:name w:val="标题 Char2"/>
    <w:basedOn w:val="49"/>
    <w:qFormat/>
    <w:uiPriority w:val="10"/>
    <w:rPr>
      <w:rFonts w:asciiTheme="majorHAnsi" w:hAnsiTheme="majorHAnsi" w:cstheme="majorBidi"/>
      <w:b/>
      <w:bCs/>
      <w:kern w:val="2"/>
      <w:sz w:val="32"/>
      <w:szCs w:val="32"/>
    </w:rPr>
  </w:style>
  <w:style w:type="character" w:customStyle="1" w:styleId="168">
    <w:name w:val="批注框文本 Char1"/>
    <w:basedOn w:val="49"/>
    <w:autoRedefine/>
    <w:semiHidden/>
    <w:qFormat/>
    <w:uiPriority w:val="99"/>
    <w:rPr>
      <w:kern w:val="2"/>
      <w:sz w:val="18"/>
      <w:szCs w:val="18"/>
    </w:rPr>
  </w:style>
  <w:style w:type="character" w:customStyle="1" w:styleId="169">
    <w:name w:val="纯文本 Char2"/>
    <w:basedOn w:val="49"/>
    <w:autoRedefine/>
    <w:semiHidden/>
    <w:qFormat/>
    <w:uiPriority w:val="99"/>
    <w:rPr>
      <w:rFonts w:ascii="宋体" w:hAnsi="Courier New" w:cs="Courier New"/>
      <w:kern w:val="2"/>
      <w:sz w:val="21"/>
      <w:szCs w:val="21"/>
    </w:rPr>
  </w:style>
  <w:style w:type="paragraph" w:customStyle="1" w:styleId="17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1">
    <w:name w:val="默认段落字体 Para Char Char Char Char Char Char Char Char Char1 Char Char Char Char"/>
    <w:basedOn w:val="1"/>
    <w:autoRedefine/>
    <w:qFormat/>
    <w:uiPriority w:val="0"/>
    <w:rPr>
      <w:rFonts w:ascii="Tahoma" w:hAnsi="Tahoma"/>
      <w:sz w:val="24"/>
      <w:szCs w:val="20"/>
    </w:rPr>
  </w:style>
  <w:style w:type="paragraph" w:customStyle="1" w:styleId="172">
    <w:name w:val="Char Char1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173">
    <w:name w:val="1"/>
    <w:basedOn w:val="1"/>
    <w:next w:val="26"/>
    <w:autoRedefine/>
    <w:qFormat/>
    <w:uiPriority w:val="0"/>
    <w:rPr>
      <w:rFonts w:ascii="宋体" w:hAnsi="Courier New"/>
      <w:szCs w:val="22"/>
    </w:rPr>
  </w:style>
  <w:style w:type="paragraph" w:customStyle="1" w:styleId="17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
    <w:basedOn w:val="1"/>
    <w:autoRedefine/>
    <w:qFormat/>
    <w:uiPriority w:val="99"/>
    <w:pPr>
      <w:spacing w:beforeLines="50" w:afterLines="50"/>
      <w:ind w:firstLine="200" w:firstLineChars="200"/>
    </w:pPr>
    <w:rPr>
      <w:rFonts w:ascii="Calibri" w:hAnsi="Calibri"/>
      <w:szCs w:val="22"/>
    </w:rPr>
  </w:style>
  <w:style w:type="paragraph" w:customStyle="1" w:styleId="176">
    <w:name w:val="列出段落3"/>
    <w:basedOn w:val="1"/>
    <w:qFormat/>
    <w:uiPriority w:val="99"/>
    <w:pPr>
      <w:ind w:firstLine="420" w:firstLineChars="200"/>
    </w:pPr>
    <w:rPr>
      <w:rFonts w:ascii="Calibri" w:hAnsi="Calibri"/>
      <w:szCs w:val="22"/>
    </w:rPr>
  </w:style>
  <w:style w:type="paragraph" w:customStyle="1" w:styleId="177">
    <w:name w:val="_Style 22"/>
    <w:basedOn w:val="1"/>
    <w:autoRedefine/>
    <w:qFormat/>
    <w:uiPriority w:val="0"/>
    <w:rPr>
      <w:rFonts w:ascii="Times New Roman" w:hAnsi="Times New Roman"/>
    </w:rPr>
  </w:style>
  <w:style w:type="paragraph" w:customStyle="1" w:styleId="178">
    <w:name w:val="自定义正文"/>
    <w:basedOn w:val="1"/>
    <w:autoRedefine/>
    <w:qFormat/>
    <w:uiPriority w:val="0"/>
    <w:pPr>
      <w:spacing w:before="120" w:after="60" w:line="400" w:lineRule="exact"/>
      <w:ind w:firstLine="200" w:firstLineChars="200"/>
    </w:pPr>
    <w:rPr>
      <w:rFonts w:ascii="仿宋_GB2312" w:hAnsi="Times New Roman" w:eastAsia="仿宋_GB2312"/>
    </w:rPr>
  </w:style>
  <w:style w:type="paragraph" w:customStyle="1" w:styleId="179">
    <w:name w:val="DAS正文"/>
    <w:basedOn w:val="1"/>
    <w:autoRedefine/>
    <w:qFormat/>
    <w:uiPriority w:val="0"/>
    <w:pPr>
      <w:spacing w:line="360" w:lineRule="auto"/>
      <w:ind w:right="181" w:firstLine="480" w:firstLineChars="200"/>
    </w:pPr>
    <w:rPr>
      <w:rFonts w:ascii="Verdana" w:hAnsi="Verdana"/>
      <w:sz w:val="24"/>
      <w:szCs w:val="21"/>
    </w:rPr>
  </w:style>
  <w:style w:type="paragraph" w:customStyle="1" w:styleId="18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Char1"/>
    <w:basedOn w:val="1"/>
    <w:autoRedefine/>
    <w:qFormat/>
    <w:uiPriority w:val="0"/>
    <w:rPr>
      <w:rFonts w:ascii="Tahoma" w:hAnsi="Tahoma"/>
      <w:sz w:val="24"/>
      <w:szCs w:val="20"/>
    </w:rPr>
  </w:style>
  <w:style w:type="paragraph" w:customStyle="1" w:styleId="182">
    <w:name w:val="列出段落11"/>
    <w:basedOn w:val="1"/>
    <w:autoRedefine/>
    <w:qFormat/>
    <w:uiPriority w:val="0"/>
    <w:pPr>
      <w:ind w:firstLine="200" w:firstLineChars="200"/>
    </w:pPr>
    <w:rPr>
      <w:rFonts w:ascii="Calibri" w:hAnsi="Calibri"/>
    </w:rPr>
  </w:style>
  <w:style w:type="paragraph" w:customStyle="1" w:styleId="183">
    <w:name w:val="Char"/>
    <w:basedOn w:val="1"/>
    <w:autoRedefine/>
    <w:qFormat/>
    <w:uiPriority w:val="0"/>
    <w:rPr>
      <w:rFonts w:ascii="Times New Roman" w:hAnsi="Times New Roman"/>
    </w:rPr>
  </w:style>
  <w:style w:type="paragraph" w:customStyle="1" w:styleId="184">
    <w:name w:val="WW-正文文字缩进 2"/>
    <w:basedOn w:val="1"/>
    <w:autoRedefine/>
    <w:qFormat/>
    <w:uiPriority w:val="0"/>
    <w:pPr>
      <w:suppressAutoHyphens/>
      <w:ind w:firstLine="420"/>
    </w:pPr>
    <w:rPr>
      <w:rFonts w:ascii="Times New Roman" w:hAnsi="Times New Roman"/>
      <w:kern w:val="1"/>
      <w:szCs w:val="20"/>
    </w:rPr>
  </w:style>
  <w:style w:type="paragraph" w:customStyle="1" w:styleId="185">
    <w:name w:val="列出段落2"/>
    <w:autoRedefine/>
    <w:qFormat/>
    <w:uiPriority w:val="34"/>
    <w:pPr>
      <w:ind w:firstLine="420" w:firstLineChars="200"/>
    </w:pPr>
    <w:rPr>
      <w:rFonts w:ascii="Times New Roman" w:hAnsi="Times New Roman" w:eastAsia="宋体" w:cs="Times New Roman"/>
      <w:lang w:val="en-US" w:eastAsia="zh-CN" w:bidi="ar-SA"/>
    </w:rPr>
  </w:style>
  <w:style w:type="paragraph" w:customStyle="1" w:styleId="186">
    <w:name w:val="此正文"/>
    <w:basedOn w:val="1"/>
    <w:autoRedefine/>
    <w:qFormat/>
    <w:uiPriority w:val="99"/>
    <w:pPr>
      <w:spacing w:line="360" w:lineRule="auto"/>
      <w:ind w:firstLine="200" w:firstLineChars="200"/>
    </w:pPr>
    <w:rPr>
      <w:rFonts w:ascii="Times New Roman" w:hAnsi="Times New Roman"/>
      <w:sz w:val="24"/>
    </w:rPr>
  </w:style>
  <w:style w:type="paragraph" w:customStyle="1" w:styleId="187">
    <w:name w:val="标题 41"/>
    <w:basedOn w:val="1"/>
    <w:next w:val="1"/>
    <w:autoRedefine/>
    <w:unhideWhenUsed/>
    <w:qFormat/>
    <w:uiPriority w:val="9"/>
    <w:pPr>
      <w:keepNext/>
      <w:keepLines/>
      <w:spacing w:before="280" w:after="290" w:line="376" w:lineRule="auto"/>
      <w:outlineLvl w:val="3"/>
    </w:pPr>
    <w:rPr>
      <w:rFonts w:ascii="Cambria" w:hAnsi="Cambria"/>
      <w:b/>
      <w:bCs/>
      <w:sz w:val="28"/>
      <w:szCs w:val="28"/>
    </w:rPr>
  </w:style>
  <w:style w:type="paragraph" w:customStyle="1" w:styleId="188">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9">
    <w:name w:val="列出段落61"/>
    <w:basedOn w:val="1"/>
    <w:autoRedefine/>
    <w:unhideWhenUsed/>
    <w:qFormat/>
    <w:uiPriority w:val="0"/>
    <w:pPr>
      <w:ind w:firstLine="420" w:firstLineChars="200"/>
    </w:pPr>
    <w:rPr>
      <w:rFonts w:ascii="Calibri" w:hAnsi="Calibri" w:cs="黑体"/>
      <w:szCs w:val="22"/>
    </w:rPr>
  </w:style>
  <w:style w:type="table" w:customStyle="1" w:styleId="190">
    <w:name w:val="网格型1"/>
    <w:basedOn w:val="47"/>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1">
    <w:name w:val="font11"/>
    <w:autoRedefine/>
    <w:qFormat/>
    <w:uiPriority w:val="0"/>
    <w:rPr>
      <w:rFonts w:hint="eastAsia" w:ascii="宋体" w:hAnsi="宋体" w:eastAsia="宋体" w:cs="宋体"/>
      <w:color w:val="000000"/>
      <w:sz w:val="24"/>
      <w:szCs w:val="24"/>
      <w:u w:val="none"/>
    </w:rPr>
  </w:style>
  <w:style w:type="character" w:customStyle="1" w:styleId="192">
    <w:name w:val="无间隔 Char"/>
    <w:link w:val="193"/>
    <w:autoRedefine/>
    <w:qFormat/>
    <w:uiPriority w:val="1"/>
  </w:style>
  <w:style w:type="paragraph" w:styleId="193">
    <w:name w:val="No Spacing"/>
    <w:link w:val="192"/>
    <w:autoRedefine/>
    <w:qFormat/>
    <w:uiPriority w:val="1"/>
    <w:pPr>
      <w:widowControl w:val="0"/>
      <w:autoSpaceDE w:val="0"/>
      <w:autoSpaceDN w:val="0"/>
      <w:adjustRightInd w:val="0"/>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4">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表格文字"/>
    <w:basedOn w:val="26"/>
    <w:next w:val="19"/>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96">
    <w:name w:val="￥正文"/>
    <w:basedOn w:val="1"/>
    <w:autoRedefine/>
    <w:qFormat/>
    <w:uiPriority w:val="0"/>
    <w:pPr>
      <w:spacing w:line="360" w:lineRule="auto"/>
      <w:ind w:firstLine="200" w:firstLineChars="200"/>
    </w:pPr>
    <w:rPr>
      <w:rFonts w:ascii="Calibri" w:hAnsi="Calibri"/>
    </w:rPr>
  </w:style>
  <w:style w:type="paragraph" w:customStyle="1" w:styleId="197">
    <w:name w:val="正文空格"/>
    <w:basedOn w:val="1"/>
    <w:next w:val="1"/>
    <w:autoRedefine/>
    <w:qFormat/>
    <w:uiPriority w:val="0"/>
    <w:pPr>
      <w:spacing w:line="400" w:lineRule="exact"/>
      <w:ind w:firstLine="200" w:firstLineChars="200"/>
    </w:pPr>
    <w:rPr>
      <w:sz w:val="24"/>
      <w:szCs w:val="22"/>
    </w:rPr>
  </w:style>
  <w:style w:type="paragraph" w:customStyle="1" w:styleId="198">
    <w:name w:val="_Style 116"/>
    <w:autoRedefine/>
    <w:qFormat/>
    <w:uiPriority w:val="99"/>
    <w:rPr>
      <w:rFonts w:ascii="Times New Roman" w:hAnsi="Times New Roman" w:eastAsia="宋体" w:cs="Times New Roman"/>
      <w:sz w:val="24"/>
      <w:szCs w:val="22"/>
      <w:lang w:val="en-US" w:eastAsia="zh-CN" w:bidi="ar-SA"/>
    </w:rPr>
  </w:style>
  <w:style w:type="paragraph" w:customStyle="1" w:styleId="199">
    <w:name w:val="样式 首行缩进:  0 字符"/>
    <w:basedOn w:val="1"/>
    <w:link w:val="200"/>
    <w:qFormat/>
    <w:uiPriority w:val="0"/>
    <w:rPr>
      <w:rFonts w:ascii="Times New Roman" w:hAnsi="Times New Roman"/>
    </w:rPr>
  </w:style>
  <w:style w:type="character" w:customStyle="1" w:styleId="200">
    <w:name w:val="样式 首行缩进:  0 字符 Char"/>
    <w:link w:val="199"/>
    <w:autoRedefine/>
    <w:qFormat/>
    <w:uiPriority w:val="0"/>
    <w:rPr>
      <w:rFonts w:ascii="Times New Roman" w:hAnsi="Times New Roman" w:eastAsia="宋体" w:cs="Times New Roman"/>
      <w:kern w:val="2"/>
      <w:sz w:val="21"/>
      <w:szCs w:val="24"/>
    </w:rPr>
  </w:style>
  <w:style w:type="paragraph" w:customStyle="1" w:styleId="201">
    <w:name w:val="表格内正文"/>
    <w:basedOn w:val="19"/>
    <w:autoRedefine/>
    <w:qFormat/>
    <w:uiPriority w:val="0"/>
    <w:rPr>
      <w:rFonts w:ascii="Times New Roman" w:hAnsi="Times New Roman"/>
    </w:rPr>
  </w:style>
  <w:style w:type="paragraph" w:customStyle="1" w:styleId="202">
    <w:name w:val="标题1"/>
    <w:basedOn w:val="1"/>
    <w:next w:val="1"/>
    <w:autoRedefine/>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3">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4">
    <w:name w:val="明显引用 Char"/>
    <w:autoRedefine/>
    <w:qFormat/>
    <w:uiPriority w:val="0"/>
    <w:rPr>
      <w:b/>
      <w:bCs/>
      <w:i/>
      <w:iCs/>
      <w:color w:val="4F81BD"/>
      <w:kern w:val="2"/>
      <w:sz w:val="21"/>
      <w:szCs w:val="22"/>
    </w:rPr>
  </w:style>
  <w:style w:type="paragraph" w:styleId="205">
    <w:name w:val="Intense Quote"/>
    <w:basedOn w:val="1"/>
    <w:next w:val="1"/>
    <w:link w:val="206"/>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6">
    <w:name w:val="明显引用 Char1"/>
    <w:basedOn w:val="49"/>
    <w:link w:val="205"/>
    <w:qFormat/>
    <w:uiPriority w:val="30"/>
    <w:rPr>
      <w:rFonts w:ascii="Calibri" w:hAnsi="Calibri" w:eastAsia="宋体" w:cs="Times New Roman"/>
      <w:b/>
      <w:bCs/>
      <w:i/>
      <w:iCs/>
      <w:color w:val="4F81BD"/>
    </w:rPr>
  </w:style>
  <w:style w:type="character" w:customStyle="1" w:styleId="207">
    <w:name w:val="标题5 Char Char"/>
    <w:link w:val="208"/>
    <w:qFormat/>
    <w:uiPriority w:val="0"/>
    <w:rPr>
      <w:rFonts w:ascii="Arial" w:hAnsi="Arial"/>
      <w:b/>
      <w:bCs/>
      <w:sz w:val="24"/>
      <w:szCs w:val="32"/>
    </w:rPr>
  </w:style>
  <w:style w:type="paragraph" w:customStyle="1" w:styleId="208">
    <w:name w:val="标题5"/>
    <w:basedOn w:val="5"/>
    <w:link w:val="207"/>
    <w:autoRedefine/>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9">
    <w:name w:val="普通文字 Char1"/>
    <w:basedOn w:val="49"/>
    <w:qFormat/>
    <w:uiPriority w:val="0"/>
    <w:rPr>
      <w:rFonts w:ascii="宋体" w:hAnsi="Courier New" w:eastAsia="宋体"/>
      <w:kern w:val="2"/>
      <w:sz w:val="21"/>
      <w:szCs w:val="24"/>
      <w:lang w:val="en-US" w:eastAsia="zh-CN" w:bidi="ar-SA"/>
    </w:rPr>
  </w:style>
  <w:style w:type="character" w:customStyle="1" w:styleId="210">
    <w:name w:val="二 Char1"/>
    <w:autoRedefine/>
    <w:qFormat/>
    <w:uiPriority w:val="0"/>
    <w:rPr>
      <w:rFonts w:eastAsia="宋体"/>
      <w:kern w:val="2"/>
      <w:sz w:val="21"/>
      <w:szCs w:val="24"/>
      <w:lang w:val="en-US" w:eastAsia="zh-CN" w:bidi="ar-SA"/>
    </w:rPr>
  </w:style>
  <w:style w:type="character" w:customStyle="1" w:styleId="211">
    <w:name w:val="二 Char11"/>
    <w:autoRedefine/>
    <w:qFormat/>
    <w:uiPriority w:val="0"/>
    <w:rPr>
      <w:rFonts w:eastAsia="宋体"/>
      <w:kern w:val="2"/>
      <w:sz w:val="21"/>
      <w:szCs w:val="24"/>
      <w:lang w:val="en-US" w:eastAsia="zh-CN" w:bidi="ar-SA"/>
    </w:rPr>
  </w:style>
  <w:style w:type="character" w:customStyle="1" w:styleId="212">
    <w:name w:val="Char Char1"/>
    <w:basedOn w:val="49"/>
    <w:autoRedefine/>
    <w:qFormat/>
    <w:uiPriority w:val="0"/>
    <w:rPr>
      <w:rFonts w:ascii="Arial" w:hAnsi="Arial" w:eastAsia="黑体"/>
      <w:b/>
      <w:bCs/>
      <w:kern w:val="2"/>
      <w:sz w:val="32"/>
      <w:szCs w:val="32"/>
      <w:lang w:val="en-US" w:eastAsia="zh-CN" w:bidi="ar-SA"/>
    </w:rPr>
  </w:style>
  <w:style w:type="character" w:customStyle="1" w:styleId="213">
    <w:name w:val="引用 Char"/>
    <w:autoRedefine/>
    <w:qFormat/>
    <w:uiPriority w:val="0"/>
    <w:rPr>
      <w:i/>
      <w:iCs/>
      <w:color w:val="000000"/>
      <w:kern w:val="2"/>
      <w:sz w:val="21"/>
      <w:szCs w:val="22"/>
    </w:rPr>
  </w:style>
  <w:style w:type="paragraph" w:styleId="214">
    <w:name w:val="Quote"/>
    <w:basedOn w:val="1"/>
    <w:next w:val="1"/>
    <w:link w:val="215"/>
    <w:qFormat/>
    <w:uiPriority w:val="0"/>
    <w:rPr>
      <w:rFonts w:ascii="Calibri" w:hAnsi="Calibri"/>
      <w:i/>
      <w:iCs/>
      <w:color w:val="000000"/>
      <w:szCs w:val="22"/>
    </w:rPr>
  </w:style>
  <w:style w:type="character" w:customStyle="1" w:styleId="215">
    <w:name w:val="引用 Char1"/>
    <w:basedOn w:val="49"/>
    <w:link w:val="214"/>
    <w:autoRedefine/>
    <w:qFormat/>
    <w:uiPriority w:val="29"/>
    <w:rPr>
      <w:rFonts w:ascii="Calibri" w:hAnsi="Calibri" w:eastAsia="宋体" w:cs="Times New Roman"/>
      <w:i/>
      <w:iCs/>
      <w:color w:val="000000"/>
    </w:rPr>
  </w:style>
  <w:style w:type="character" w:customStyle="1" w:styleId="216">
    <w:name w:val="font161"/>
    <w:basedOn w:val="49"/>
    <w:autoRedefine/>
    <w:qFormat/>
    <w:uiPriority w:val="0"/>
    <w:rPr>
      <w:b/>
      <w:bCs/>
      <w:sz w:val="32"/>
      <w:szCs w:val="32"/>
    </w:rPr>
  </w:style>
  <w:style w:type="character" w:customStyle="1" w:styleId="217">
    <w:name w:val="fx_label"/>
    <w:basedOn w:val="49"/>
    <w:autoRedefine/>
    <w:qFormat/>
    <w:uiPriority w:val="0"/>
  </w:style>
  <w:style w:type="character" w:customStyle="1" w:styleId="218">
    <w:name w:val="正文文字4 Char Char"/>
    <w:autoRedefine/>
    <w:qFormat/>
    <w:uiPriority w:val="0"/>
    <w:rPr>
      <w:rFonts w:eastAsia="宋体"/>
      <w:kern w:val="2"/>
      <w:sz w:val="21"/>
      <w:szCs w:val="24"/>
      <w:lang w:val="en-US" w:eastAsia="zh-CN" w:bidi="ar-SA"/>
    </w:rPr>
  </w:style>
  <w:style w:type="character" w:customStyle="1" w:styleId="219">
    <w:name w:val="htd01"/>
    <w:basedOn w:val="49"/>
    <w:autoRedefine/>
    <w:qFormat/>
    <w:uiPriority w:val="0"/>
  </w:style>
  <w:style w:type="character" w:customStyle="1" w:styleId="220">
    <w:name w:val="标题4 Char Char"/>
    <w:link w:val="221"/>
    <w:autoRedefine/>
    <w:qFormat/>
    <w:uiPriority w:val="0"/>
    <w:rPr>
      <w:rFonts w:eastAsia="仿宋_GB2312"/>
      <w:sz w:val="32"/>
    </w:rPr>
  </w:style>
  <w:style w:type="paragraph" w:customStyle="1" w:styleId="221">
    <w:name w:val="标题4"/>
    <w:basedOn w:val="1"/>
    <w:link w:val="220"/>
    <w:autoRedefine/>
    <w:qFormat/>
    <w:uiPriority w:val="0"/>
    <w:rPr>
      <w:rFonts w:eastAsia="仿宋_GB2312" w:asciiTheme="minorHAnsi" w:hAnsiTheme="minorHAnsi" w:cstheme="minorBidi"/>
      <w:sz w:val="32"/>
      <w:szCs w:val="22"/>
    </w:rPr>
  </w:style>
  <w:style w:type="character" w:customStyle="1" w:styleId="222">
    <w:name w:val="副标题 Char1"/>
    <w:basedOn w:val="49"/>
    <w:autoRedefine/>
    <w:qFormat/>
    <w:uiPriority w:val="11"/>
    <w:rPr>
      <w:rFonts w:ascii="Cambria" w:hAnsi="Cambria" w:eastAsia="宋体" w:cs="Times New Roman"/>
      <w:b/>
      <w:bCs/>
      <w:kern w:val="28"/>
      <w:sz w:val="32"/>
      <w:szCs w:val="32"/>
    </w:rPr>
  </w:style>
  <w:style w:type="character" w:customStyle="1" w:styleId="223">
    <w:name w:val="Char Char28"/>
    <w:autoRedefine/>
    <w:qFormat/>
    <w:uiPriority w:val="0"/>
    <w:rPr>
      <w:rFonts w:ascii="Arial" w:hAnsi="Arial" w:eastAsia="黑体"/>
      <w:b/>
      <w:bCs/>
      <w:sz w:val="32"/>
      <w:szCs w:val="32"/>
      <w:lang w:val="en-US" w:eastAsia="zh-CN" w:bidi="ar-SA"/>
    </w:rPr>
  </w:style>
  <w:style w:type="paragraph" w:customStyle="1" w:styleId="224">
    <w:name w:val="正文 + 宋体"/>
    <w:basedOn w:val="1"/>
    <w:autoRedefine/>
    <w:qFormat/>
    <w:uiPriority w:val="0"/>
    <w:pPr>
      <w:spacing w:line="360" w:lineRule="auto"/>
    </w:pPr>
    <w:rPr>
      <w:rFonts w:ascii="宋体" w:hAnsi="宋体"/>
      <w:kern w:val="0"/>
      <w:sz w:val="28"/>
      <w:szCs w:val="28"/>
    </w:rPr>
  </w:style>
  <w:style w:type="paragraph" w:customStyle="1" w:styleId="225">
    <w:name w:val="_Style 164"/>
    <w:basedOn w:val="1"/>
    <w:autoRedefine/>
    <w:qFormat/>
    <w:uiPriority w:val="0"/>
    <w:pPr>
      <w:widowControl/>
      <w:spacing w:line="360" w:lineRule="auto"/>
      <w:ind w:firstLine="200" w:firstLineChars="200"/>
    </w:pPr>
    <w:rPr>
      <w:rFonts w:ascii="Tahoma" w:hAnsi="Tahoma" w:cs="Arial"/>
      <w:sz w:val="24"/>
      <w:szCs w:val="20"/>
    </w:rPr>
  </w:style>
  <w:style w:type="paragraph" w:customStyle="1" w:styleId="226">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227">
    <w:name w:val="样式 标题 3 + 段前: 7.8 磅"/>
    <w:basedOn w:val="5"/>
    <w:autoRedefine/>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8">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229">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230">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1">
    <w:name w:val="样式 标题 3 + Arial"/>
    <w:basedOn w:val="5"/>
    <w:autoRedefine/>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2">
    <w:name w:val="样式 标题 3 + (中文) 黑体 小四 非加粗 段前: 7.8 磅 段后: 0 磅 行距: 固定值 20 磅"/>
    <w:basedOn w:val="5"/>
    <w:autoRedefine/>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3">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4">
    <w:name w:val="表格"/>
    <w:basedOn w:val="1"/>
    <w:autoRedefine/>
    <w:qFormat/>
    <w:uiPriority w:val="0"/>
    <w:pPr>
      <w:jc w:val="center"/>
      <w:textAlignment w:val="center"/>
    </w:pPr>
    <w:rPr>
      <w:rFonts w:ascii="华文细黑" w:hAnsi="华文细黑"/>
      <w:kern w:val="0"/>
      <w:szCs w:val="20"/>
    </w:rPr>
  </w:style>
  <w:style w:type="paragraph" w:customStyle="1" w:styleId="235">
    <w:name w:val="样式 样式 样式1 + 首行缩进:  2 字符 + 左侧:  0.74 厘米"/>
    <w:basedOn w:val="226"/>
    <w:autoRedefine/>
    <w:qFormat/>
    <w:uiPriority w:val="0"/>
    <w:pPr>
      <w:ind w:firstLine="200"/>
    </w:pPr>
  </w:style>
  <w:style w:type="paragraph" w:customStyle="1" w:styleId="236">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8">
    <w:name w:val="Char2"/>
    <w:basedOn w:val="1"/>
    <w:autoRedefine/>
    <w:qFormat/>
    <w:uiPriority w:val="0"/>
    <w:rPr>
      <w:rFonts w:ascii="仿宋_GB2312" w:hAnsi="Times New Roman" w:eastAsia="仿宋_GB2312"/>
      <w:b/>
      <w:sz w:val="32"/>
      <w:szCs w:val="32"/>
    </w:rPr>
  </w:style>
  <w:style w:type="paragraph" w:customStyle="1" w:styleId="239">
    <w:name w:val="列出段落4"/>
    <w:basedOn w:val="1"/>
    <w:autoRedefine/>
    <w:qFormat/>
    <w:uiPriority w:val="99"/>
    <w:pPr>
      <w:ind w:firstLine="420" w:firstLineChars="200"/>
    </w:pPr>
    <w:rPr>
      <w:rFonts w:ascii="Times New Roman" w:hAnsi="Times New Roman"/>
    </w:rPr>
  </w:style>
  <w:style w:type="character" w:customStyle="1" w:styleId="240">
    <w:name w:val="font31"/>
    <w:basedOn w:val="49"/>
    <w:autoRedefine/>
    <w:qFormat/>
    <w:uiPriority w:val="0"/>
    <w:rPr>
      <w:rFonts w:hint="eastAsia" w:ascii="宋体" w:hAnsi="宋体" w:eastAsia="宋体" w:cs="宋体"/>
      <w:color w:val="000000"/>
      <w:sz w:val="20"/>
      <w:szCs w:val="20"/>
      <w:u w:val="none"/>
    </w:rPr>
  </w:style>
  <w:style w:type="character" w:customStyle="1" w:styleId="241">
    <w:name w:val="font41"/>
    <w:basedOn w:val="49"/>
    <w:autoRedefine/>
    <w:qFormat/>
    <w:uiPriority w:val="0"/>
    <w:rPr>
      <w:rFonts w:ascii="宋体" w:hAnsi="宋体" w:eastAsia="宋体" w:cs="宋体"/>
      <w:color w:val="000000"/>
      <w:sz w:val="20"/>
      <w:szCs w:val="20"/>
      <w:u w:val="none"/>
    </w:rPr>
  </w:style>
  <w:style w:type="character" w:customStyle="1" w:styleId="242">
    <w:name w:val="font51"/>
    <w:basedOn w:val="49"/>
    <w:autoRedefine/>
    <w:qFormat/>
    <w:uiPriority w:val="0"/>
    <w:rPr>
      <w:rFonts w:hint="default" w:ascii="Times New Roman" w:hAnsi="Times New Roman" w:cs="Times New Roman"/>
      <w:color w:val="000000"/>
      <w:sz w:val="21"/>
      <w:szCs w:val="21"/>
      <w:u w:val="none"/>
    </w:rPr>
  </w:style>
  <w:style w:type="character" w:customStyle="1" w:styleId="243">
    <w:name w:val="font71"/>
    <w:basedOn w:val="49"/>
    <w:autoRedefine/>
    <w:qFormat/>
    <w:uiPriority w:val="0"/>
    <w:rPr>
      <w:rFonts w:ascii="宋体" w:hAnsi="宋体" w:eastAsia="宋体" w:cs="宋体"/>
      <w:color w:val="000000"/>
      <w:sz w:val="21"/>
      <w:szCs w:val="21"/>
      <w:u w:val="none"/>
    </w:rPr>
  </w:style>
  <w:style w:type="character" w:customStyle="1" w:styleId="244">
    <w:name w:val="font61"/>
    <w:basedOn w:val="49"/>
    <w:autoRedefine/>
    <w:qFormat/>
    <w:uiPriority w:val="0"/>
    <w:rPr>
      <w:rFonts w:ascii="宋体" w:hAnsi="宋体" w:eastAsia="宋体" w:cs="宋体"/>
      <w:color w:val="000000"/>
      <w:sz w:val="20"/>
      <w:szCs w:val="20"/>
      <w:u w:val="none"/>
    </w:rPr>
  </w:style>
  <w:style w:type="character" w:customStyle="1" w:styleId="245">
    <w:name w:val="font21"/>
    <w:basedOn w:val="49"/>
    <w:autoRedefine/>
    <w:qFormat/>
    <w:uiPriority w:val="0"/>
    <w:rPr>
      <w:rFonts w:hint="default" w:ascii="Times New Roman" w:hAnsi="Times New Roman" w:cs="Times New Roman"/>
      <w:color w:val="000000"/>
      <w:sz w:val="21"/>
      <w:szCs w:val="21"/>
      <w:u w:val="none"/>
    </w:rPr>
  </w:style>
  <w:style w:type="character" w:customStyle="1" w:styleId="246">
    <w:name w:val="NormalCharacter"/>
    <w:autoRedefine/>
    <w:qFormat/>
    <w:uiPriority w:val="0"/>
    <w:rPr>
      <w:rFonts w:ascii="Calibri" w:hAnsi="Calibri" w:eastAsia="宋体" w:cs="Times New Roman"/>
      <w:kern w:val="2"/>
      <w:sz w:val="21"/>
      <w:szCs w:val="24"/>
      <w:lang w:val="en-US" w:eastAsia="zh-CN" w:bidi="ar-SA"/>
    </w:rPr>
  </w:style>
  <w:style w:type="paragraph" w:customStyle="1" w:styleId="247">
    <w:name w:val="Table Paragraph"/>
    <w:basedOn w:val="1"/>
    <w:autoRedefine/>
    <w:qFormat/>
    <w:uiPriority w:val="1"/>
    <w:rPr>
      <w:rFonts w:ascii="Times New Roman" w:hAnsi="Times New Roman"/>
      <w:szCs w:val="21"/>
    </w:rPr>
  </w:style>
  <w:style w:type="paragraph" w:customStyle="1" w:styleId="248">
    <w:name w:val="正文-MINE"/>
    <w:basedOn w:val="1"/>
    <w:autoRedefine/>
    <w:qFormat/>
    <w:uiPriority w:val="0"/>
    <w:pPr>
      <w:adjustRightInd w:val="0"/>
      <w:snapToGrid w:val="0"/>
      <w:spacing w:beforeLines="50" w:afterLines="50"/>
      <w:ind w:firstLine="482"/>
    </w:pPr>
    <w:rPr>
      <w:rFonts w:ascii="微软雅黑" w:hAnsi="微软雅黑" w:eastAsia="微软雅黑"/>
      <w:szCs w:val="21"/>
    </w:rPr>
  </w:style>
  <w:style w:type="character" w:customStyle="1" w:styleId="249">
    <w:name w:val="Page Number1"/>
    <w:autoRedefine/>
    <w:qFormat/>
    <w:uiPriority w:val="99"/>
    <w:rPr>
      <w:rFonts w:ascii="仿宋_GB2312" w:cs="Times New Roman"/>
      <w:b/>
      <w:kern w:val="0"/>
      <w:sz w:val="32"/>
      <w:szCs w:val="32"/>
    </w:rPr>
  </w:style>
  <w:style w:type="paragraph" w:customStyle="1" w:styleId="250">
    <w:name w:val="Char Char Char Char Char Char Char"/>
    <w:basedOn w:val="1"/>
    <w:autoRedefine/>
    <w:qFormat/>
    <w:uiPriority w:val="0"/>
    <w:rPr>
      <w:szCs w:val="20"/>
    </w:rPr>
  </w:style>
  <w:style w:type="character" w:customStyle="1" w:styleId="251">
    <w:name w:val="正文文本缩进 2 字符"/>
    <w:autoRedefine/>
    <w:qFormat/>
    <w:uiPriority w:val="0"/>
    <w:rPr>
      <w:rFonts w:ascii="宋体"/>
      <w:sz w:val="24"/>
    </w:rPr>
  </w:style>
  <w:style w:type="character" w:customStyle="1" w:styleId="252">
    <w:name w:val="列表段落 字符2"/>
    <w:link w:val="253"/>
    <w:autoRedefine/>
    <w:qFormat/>
    <w:uiPriority w:val="34"/>
    <w:rPr>
      <w:szCs w:val="24"/>
    </w:rPr>
  </w:style>
  <w:style w:type="paragraph" w:customStyle="1" w:styleId="253">
    <w:name w:val="_Style 240"/>
    <w:basedOn w:val="1"/>
    <w:next w:val="112"/>
    <w:link w:val="252"/>
    <w:autoRedefine/>
    <w:qFormat/>
    <w:uiPriority w:val="34"/>
    <w:pPr>
      <w:ind w:firstLine="420" w:firstLineChars="200"/>
    </w:pPr>
    <w:rPr>
      <w:rFonts w:asciiTheme="minorHAnsi" w:hAnsiTheme="minorHAnsi" w:eastAsiaTheme="minorEastAsia" w:cstheme="minorBidi"/>
    </w:rPr>
  </w:style>
  <w:style w:type="paragraph" w:customStyle="1" w:styleId="254">
    <w:name w:val="缩进"/>
    <w:basedOn w:val="1"/>
    <w:next w:val="1"/>
    <w:autoRedefine/>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5">
    <w:name w:val="列出段落6"/>
    <w:basedOn w:val="1"/>
    <w:autoRedefine/>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6">
    <w:name w:val="Char Char11"/>
    <w:basedOn w:val="1"/>
    <w:autoRedefine/>
    <w:qFormat/>
    <w:uiPriority w:val="0"/>
    <w:rPr>
      <w:rFonts w:ascii="Tahoma" w:hAnsi="Tahoma"/>
      <w:kern w:val="0"/>
      <w:sz w:val="24"/>
      <w:szCs w:val="20"/>
    </w:rPr>
  </w:style>
  <w:style w:type="paragraph" w:customStyle="1" w:styleId="257">
    <w:name w:val="纯文本2"/>
    <w:basedOn w:val="1"/>
    <w:autoRedefine/>
    <w:qFormat/>
    <w:uiPriority w:val="0"/>
    <w:pPr>
      <w:adjustRightInd w:val="0"/>
      <w:spacing w:line="360" w:lineRule="atLeast"/>
      <w:jc w:val="left"/>
    </w:pPr>
    <w:rPr>
      <w:rFonts w:ascii="宋体" w:hAnsi="Courier New"/>
      <w:kern w:val="0"/>
      <w:szCs w:val="21"/>
    </w:rPr>
  </w:style>
  <w:style w:type="paragraph" w:customStyle="1" w:styleId="258">
    <w:name w:val="样式 样式 样式 标题 2 + 两端对齐 段前: 18 磅 + 首行缩进:  2 字符 + 首行缩进:  2 字符 段后: 0..."/>
    <w:basedOn w:val="1"/>
    <w:autoRedefine/>
    <w:qFormat/>
    <w:uiPriority w:val="0"/>
    <w:pPr>
      <w:spacing w:afterLines="50" w:line="360" w:lineRule="auto"/>
    </w:pPr>
    <w:rPr>
      <w:rFonts w:cs="宋体"/>
      <w:b/>
      <w:bCs/>
      <w:sz w:val="24"/>
      <w:szCs w:val="20"/>
    </w:rPr>
  </w:style>
  <w:style w:type="paragraph" w:customStyle="1" w:styleId="259">
    <w:name w:val="标准正文"/>
    <w:basedOn w:val="1"/>
    <w:autoRedefine/>
    <w:qFormat/>
    <w:uiPriority w:val="0"/>
    <w:pPr>
      <w:spacing w:line="360" w:lineRule="auto"/>
      <w:ind w:firstLine="200" w:firstLineChars="200"/>
    </w:pPr>
    <w:rPr>
      <w:rFonts w:ascii="宋体" w:hAnsi="Courier New"/>
      <w:kern w:val="0"/>
      <w:sz w:val="24"/>
      <w:szCs w:val="32"/>
    </w:rPr>
  </w:style>
  <w:style w:type="character" w:customStyle="1" w:styleId="260">
    <w:name w:val="font01"/>
    <w:basedOn w:val="49"/>
    <w:autoRedefine/>
    <w:qFormat/>
    <w:uiPriority w:val="0"/>
    <w:rPr>
      <w:rFonts w:hint="eastAsia" w:ascii="宋体" w:hAnsi="宋体" w:eastAsia="宋体" w:cs="宋体"/>
      <w:color w:val="FF0000"/>
      <w:sz w:val="20"/>
      <w:szCs w:val="20"/>
      <w:u w:val="none"/>
    </w:rPr>
  </w:style>
  <w:style w:type="paragraph" w:customStyle="1" w:styleId="261">
    <w:name w:val="正文首行缩进 21"/>
    <w:autoRedefine/>
    <w:qFormat/>
    <w:uiPriority w:val="0"/>
    <w:pPr>
      <w:ind w:firstLine="420"/>
    </w:pPr>
    <w:rPr>
      <w:rFonts w:ascii="Times New Roman" w:hAnsi="Times New Roman" w:eastAsia="Times New Roman" w:cs="Times New Roman"/>
      <w:sz w:val="21"/>
      <w:szCs w:val="22"/>
      <w:lang w:val="en-US" w:eastAsia="zh-CN" w:bidi="ar-SA"/>
    </w:rPr>
  </w:style>
  <w:style w:type="character" w:customStyle="1" w:styleId="262">
    <w:name w:val="页眉 字符1"/>
    <w:autoRedefine/>
    <w:qFormat/>
    <w:uiPriority w:val="0"/>
    <w:rPr>
      <w:kern w:val="2"/>
      <w:sz w:val="18"/>
      <w:szCs w:val="18"/>
    </w:rPr>
  </w:style>
  <w:style w:type="character" w:customStyle="1" w:styleId="263">
    <w:name w:val="标题 字符1"/>
    <w:autoRedefine/>
    <w:qFormat/>
    <w:uiPriority w:val="0"/>
    <w:rPr>
      <w:rFonts w:ascii="Cambria" w:hAnsi="Cambria"/>
      <w:b/>
      <w:bCs/>
      <w:kern w:val="2"/>
      <w:sz w:val="32"/>
      <w:szCs w:val="32"/>
    </w:rPr>
  </w:style>
  <w:style w:type="character" w:customStyle="1" w:styleId="264">
    <w:name w:val="标题 2 字符1"/>
    <w:link w:val="265"/>
    <w:autoRedefine/>
    <w:qFormat/>
    <w:uiPriority w:val="0"/>
    <w:rPr>
      <w:rFonts w:ascii="Arial" w:hAnsi="Arial" w:eastAsia="黑体"/>
      <w:bCs/>
      <w:kern w:val="2"/>
      <w:sz w:val="36"/>
      <w:szCs w:val="36"/>
    </w:rPr>
  </w:style>
  <w:style w:type="paragraph" w:customStyle="1" w:styleId="265">
    <w:name w:val="标题 21"/>
    <w:basedOn w:val="1"/>
    <w:next w:val="1"/>
    <w:link w:val="264"/>
    <w:autoRedefine/>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6">
    <w:name w:val="编号，小四"/>
    <w:basedOn w:val="267"/>
    <w:autoRedefine/>
    <w:qFormat/>
    <w:uiPriority w:val="0"/>
    <w:pPr>
      <w:numPr>
        <w:ilvl w:val="0"/>
        <w:numId w:val="3"/>
      </w:numPr>
      <w:ind w:firstLine="0" w:firstLineChars="0"/>
    </w:pPr>
    <w:rPr>
      <w:sz w:val="24"/>
    </w:rPr>
  </w:style>
  <w:style w:type="paragraph" w:customStyle="1" w:styleId="267">
    <w:name w:val="正文四号"/>
    <w:basedOn w:val="1"/>
    <w:link w:val="268"/>
    <w:autoRedefine/>
    <w:qFormat/>
    <w:uiPriority w:val="0"/>
    <w:pPr>
      <w:spacing w:line="360" w:lineRule="auto"/>
      <w:ind w:firstLine="200" w:firstLineChars="200"/>
    </w:pPr>
    <w:rPr>
      <w:rFonts w:ascii="Times New Roman" w:hAnsi="Times New Roman" w:cs="宋体"/>
      <w:sz w:val="28"/>
      <w:szCs w:val="20"/>
    </w:rPr>
  </w:style>
  <w:style w:type="character" w:customStyle="1" w:styleId="268">
    <w:name w:val="正文四号 Char"/>
    <w:link w:val="267"/>
    <w:autoRedefine/>
    <w:qFormat/>
    <w:locked/>
    <w:uiPriority w:val="0"/>
    <w:rPr>
      <w:rFonts w:ascii="Times New Roman" w:hAnsi="Times New Roman" w:eastAsia="宋体" w:cs="宋体"/>
      <w:kern w:val="2"/>
      <w:sz w:val="28"/>
    </w:rPr>
  </w:style>
  <w:style w:type="paragraph" w:customStyle="1" w:styleId="269">
    <w:name w:val="编号，四号"/>
    <w:basedOn w:val="266"/>
    <w:autoRedefine/>
    <w:qFormat/>
    <w:uiPriority w:val="0"/>
    <w:pPr>
      <w:numPr>
        <w:ilvl w:val="0"/>
        <w:numId w:val="4"/>
      </w:numPr>
    </w:pPr>
    <w:rPr>
      <w:sz w:val="28"/>
    </w:rPr>
  </w:style>
  <w:style w:type="paragraph" w:customStyle="1" w:styleId="270">
    <w:name w:val="表格表头"/>
    <w:basedOn w:val="1"/>
    <w:qFormat/>
    <w:uiPriority w:val="0"/>
    <w:pPr>
      <w:spacing w:line="360" w:lineRule="auto"/>
      <w:jc w:val="center"/>
    </w:pPr>
    <w:rPr>
      <w:rFonts w:ascii="宋体" w:hAnsi="宋体" w:eastAsia="黑体"/>
      <w:sz w:val="24"/>
      <w:szCs w:val="21"/>
    </w:rPr>
  </w:style>
  <w:style w:type="paragraph" w:customStyle="1" w:styleId="271">
    <w:name w:val="表格正文"/>
    <w:basedOn w:val="1"/>
    <w:link w:val="272"/>
    <w:autoRedefine/>
    <w:qFormat/>
    <w:uiPriority w:val="0"/>
    <w:pPr>
      <w:spacing w:line="360" w:lineRule="auto"/>
      <w:ind w:firstLine="200" w:firstLineChars="200"/>
      <w:jc w:val="left"/>
    </w:pPr>
    <w:rPr>
      <w:rFonts w:ascii="Times New Roman" w:hAnsi="Times New Roman"/>
    </w:rPr>
  </w:style>
  <w:style w:type="character" w:customStyle="1" w:styleId="272">
    <w:name w:val="表格正文 Char"/>
    <w:link w:val="271"/>
    <w:autoRedefine/>
    <w:qFormat/>
    <w:uiPriority w:val="0"/>
    <w:rPr>
      <w:rFonts w:ascii="Times New Roman" w:hAnsi="Times New Roman" w:eastAsia="宋体" w:cs="Times New Roman"/>
      <w:kern w:val="2"/>
      <w:sz w:val="21"/>
      <w:szCs w:val="24"/>
    </w:rPr>
  </w:style>
  <w:style w:type="paragraph" w:customStyle="1" w:styleId="273">
    <w:name w:val="表1"/>
    <w:basedOn w:val="1"/>
    <w:autoRedefine/>
    <w:qFormat/>
    <w:uiPriority w:val="0"/>
    <w:pPr>
      <w:numPr>
        <w:ilvl w:val="0"/>
        <w:numId w:val="5"/>
      </w:numPr>
      <w:spacing w:line="360" w:lineRule="auto"/>
      <w:jc w:val="center"/>
    </w:pPr>
    <w:rPr>
      <w:rFonts w:ascii="Times New Roman" w:hAnsi="Times New Roman"/>
    </w:rPr>
  </w:style>
  <w:style w:type="paragraph" w:customStyle="1" w:styleId="274">
    <w:name w:val="CM51"/>
    <w:basedOn w:val="105"/>
    <w:next w:val="105"/>
    <w:qFormat/>
    <w:uiPriority w:val="0"/>
    <w:pPr>
      <w:spacing w:after="103"/>
    </w:pPr>
    <w:rPr>
      <w:rFonts w:ascii="黑体" w:hAnsi="Calibri" w:eastAsia="黑体" w:cs="Times New Roman"/>
      <w:color w:val="auto"/>
    </w:rPr>
  </w:style>
  <w:style w:type="character" w:customStyle="1" w:styleId="275">
    <w:name w:val="*正文 Char Char"/>
    <w:autoRedefine/>
    <w:qFormat/>
    <w:uiPriority w:val="0"/>
    <w:rPr>
      <w:rFonts w:ascii="仿宋_GB2312" w:eastAsia="仿宋_GB2312"/>
      <w:kern w:val="2"/>
      <w:sz w:val="24"/>
      <w:szCs w:val="28"/>
    </w:rPr>
  </w:style>
  <w:style w:type="paragraph" w:customStyle="1" w:styleId="276">
    <w:name w:val="paragraph1"/>
    <w:basedOn w:val="1"/>
    <w:link w:val="277"/>
    <w:autoRedefine/>
    <w:qFormat/>
    <w:uiPriority w:val="0"/>
    <w:pPr>
      <w:spacing w:afterLines="30" w:line="360" w:lineRule="auto"/>
      <w:ind w:firstLine="480" w:firstLineChars="200"/>
    </w:pPr>
    <w:rPr>
      <w:rFonts w:ascii="Verdana" w:hAnsi="Verdana"/>
      <w:sz w:val="24"/>
      <w:lang w:eastAsia="en-US"/>
    </w:rPr>
  </w:style>
  <w:style w:type="character" w:customStyle="1" w:styleId="277">
    <w:name w:val="paragraph1 Char"/>
    <w:link w:val="276"/>
    <w:qFormat/>
    <w:uiPriority w:val="0"/>
    <w:rPr>
      <w:rFonts w:ascii="Verdana" w:hAnsi="Verdana" w:eastAsia="宋体" w:cs="Times New Roman"/>
      <w:kern w:val="2"/>
      <w:sz w:val="24"/>
      <w:szCs w:val="24"/>
      <w:lang w:eastAsia="en-US"/>
    </w:rPr>
  </w:style>
  <w:style w:type="paragraph" w:customStyle="1" w:styleId="278">
    <w:name w:val="number1"/>
    <w:basedOn w:val="1"/>
    <w:link w:val="279"/>
    <w:autoRedefine/>
    <w:qFormat/>
    <w:uiPriority w:val="0"/>
    <w:pPr>
      <w:tabs>
        <w:tab w:val="left" w:pos="840"/>
      </w:tabs>
      <w:spacing w:afterLines="30" w:line="360" w:lineRule="auto"/>
      <w:ind w:left="840" w:hanging="420"/>
    </w:pPr>
    <w:rPr>
      <w:rFonts w:ascii="Verdana" w:hAnsi="Verdana"/>
      <w:sz w:val="24"/>
      <w:lang w:eastAsia="en-US"/>
    </w:rPr>
  </w:style>
  <w:style w:type="character" w:customStyle="1" w:styleId="279">
    <w:name w:val="number1 Char"/>
    <w:link w:val="278"/>
    <w:autoRedefine/>
    <w:qFormat/>
    <w:uiPriority w:val="0"/>
    <w:rPr>
      <w:rFonts w:ascii="Verdana" w:hAnsi="Verdana" w:eastAsia="宋体" w:cs="Times New Roman"/>
      <w:kern w:val="2"/>
      <w:sz w:val="24"/>
      <w:szCs w:val="24"/>
      <w:lang w:eastAsia="en-US"/>
    </w:rPr>
  </w:style>
  <w:style w:type="paragraph" w:customStyle="1" w:styleId="280">
    <w:name w:val="number"/>
    <w:basedOn w:val="1"/>
    <w:qFormat/>
    <w:uiPriority w:val="99"/>
    <w:pPr>
      <w:tabs>
        <w:tab w:val="left" w:pos="360"/>
      </w:tabs>
      <w:spacing w:beforeLines="20" w:afterLines="30" w:line="360" w:lineRule="auto"/>
    </w:pPr>
    <w:rPr>
      <w:rFonts w:ascii="Arial" w:hAnsi="Arial"/>
      <w:sz w:val="24"/>
    </w:rPr>
  </w:style>
  <w:style w:type="paragraph" w:customStyle="1" w:styleId="281">
    <w:name w:val="样式 number1 + (符号) 宋体"/>
    <w:basedOn w:val="278"/>
    <w:link w:val="282"/>
    <w:qFormat/>
    <w:uiPriority w:val="0"/>
    <w:pPr>
      <w:tabs>
        <w:tab w:val="left" w:pos="902"/>
        <w:tab w:val="clear" w:pos="840"/>
      </w:tabs>
      <w:spacing w:after="30"/>
      <w:ind w:left="400" w:leftChars="200" w:hanging="200" w:hangingChars="200"/>
    </w:pPr>
    <w:rPr>
      <w:rFonts w:cs="Arial"/>
    </w:rPr>
  </w:style>
  <w:style w:type="character" w:customStyle="1" w:styleId="282">
    <w:name w:val="样式 number1 + (符号) 宋体 Char"/>
    <w:link w:val="281"/>
    <w:autoRedefine/>
    <w:qFormat/>
    <w:uiPriority w:val="0"/>
    <w:rPr>
      <w:rFonts w:ascii="Verdana" w:hAnsi="Verdana" w:eastAsia="宋体" w:cs="Arial"/>
      <w:kern w:val="2"/>
      <w:sz w:val="24"/>
      <w:szCs w:val="24"/>
      <w:lang w:eastAsia="en-US"/>
    </w:rPr>
  </w:style>
  <w:style w:type="paragraph" w:customStyle="1" w:styleId="283">
    <w:name w:val="正文22"/>
    <w:basedOn w:val="1"/>
    <w:link w:val="284"/>
    <w:autoRedefine/>
    <w:qFormat/>
    <w:uiPriority w:val="0"/>
    <w:pPr>
      <w:spacing w:line="360" w:lineRule="auto"/>
      <w:ind w:firstLine="200" w:firstLineChars="200"/>
      <w:jc w:val="left"/>
    </w:pPr>
    <w:rPr>
      <w:rFonts w:ascii="宋体" w:hAnsi="宋体"/>
      <w:sz w:val="24"/>
    </w:rPr>
  </w:style>
  <w:style w:type="character" w:customStyle="1" w:styleId="284">
    <w:name w:val="正文22 字符"/>
    <w:link w:val="283"/>
    <w:qFormat/>
    <w:uiPriority w:val="0"/>
    <w:rPr>
      <w:rFonts w:ascii="宋体" w:hAnsi="宋体" w:eastAsia="宋体" w:cs="Times New Roman"/>
      <w:kern w:val="2"/>
      <w:sz w:val="24"/>
      <w:szCs w:val="24"/>
    </w:rPr>
  </w:style>
  <w:style w:type="paragraph" w:customStyle="1" w:styleId="285">
    <w:name w:val="正文00"/>
    <w:basedOn w:val="25"/>
    <w:link w:val="286"/>
    <w:autoRedefine/>
    <w:qFormat/>
    <w:uiPriority w:val="0"/>
    <w:pPr>
      <w:tabs>
        <w:tab w:val="clear" w:pos="1440"/>
      </w:tabs>
      <w:ind w:left="0" w:leftChars="0" w:firstLine="0" w:firstLineChars="0"/>
      <w:jc w:val="left"/>
    </w:pPr>
    <w:rPr>
      <w:rFonts w:ascii="宋体" w:hAnsi="宋体"/>
      <w:smallCaps w:val="0"/>
      <w:sz w:val="24"/>
      <w:szCs w:val="32"/>
    </w:rPr>
  </w:style>
  <w:style w:type="character" w:customStyle="1" w:styleId="286">
    <w:name w:val="正文00 字符"/>
    <w:link w:val="285"/>
    <w:autoRedefine/>
    <w:qFormat/>
    <w:uiPriority w:val="0"/>
    <w:rPr>
      <w:rFonts w:ascii="宋体" w:hAnsi="宋体" w:eastAsia="宋体" w:cs="Times New Roman"/>
      <w:kern w:val="2"/>
      <w:sz w:val="24"/>
      <w:szCs w:val="32"/>
      <w:lang w:val="en-US" w:eastAsia="zh-CN"/>
    </w:rPr>
  </w:style>
  <w:style w:type="character" w:customStyle="1" w:styleId="287">
    <w:name w:val="fontstyle01"/>
    <w:qFormat/>
    <w:uiPriority w:val="0"/>
    <w:rPr>
      <w:rFonts w:hint="default" w:ascii="仿宋" w:hAnsi="仿宋" w:eastAsia="宋体"/>
      <w:color w:val="000000"/>
      <w:sz w:val="24"/>
      <w:szCs w:val="24"/>
      <w:lang w:val="en-US" w:eastAsia="en-US" w:bidi="ar-SA"/>
    </w:rPr>
  </w:style>
  <w:style w:type="paragraph" w:customStyle="1" w:styleId="288">
    <w:name w:val="样式 标题9 +"/>
    <w:basedOn w:val="1"/>
    <w:autoRedefine/>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9">
    <w:name w:val="样式 标题 7PIM 7（1）L71.1.1.1.1.1.1标题 7H7Legal Level 1.1.lette..."/>
    <w:basedOn w:val="9"/>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90">
    <w:name w:val="正文文本 31"/>
    <w:basedOn w:val="1"/>
    <w:next w:val="18"/>
    <w:link w:val="291"/>
    <w:autoRedefine/>
    <w:qFormat/>
    <w:uiPriority w:val="0"/>
    <w:pPr>
      <w:spacing w:after="120"/>
    </w:pPr>
    <w:rPr>
      <w:rFonts w:ascii="Verdana" w:hAnsi="Verdana"/>
      <w:kern w:val="0"/>
      <w:sz w:val="16"/>
      <w:szCs w:val="16"/>
      <w:lang w:eastAsia="en-US"/>
    </w:rPr>
  </w:style>
  <w:style w:type="character" w:customStyle="1" w:styleId="291">
    <w:name w:val="正文文本 3 字符"/>
    <w:link w:val="290"/>
    <w:qFormat/>
    <w:uiPriority w:val="0"/>
    <w:rPr>
      <w:rFonts w:ascii="Verdana" w:hAnsi="Verdana" w:eastAsia="宋体" w:cs="Times New Roman"/>
      <w:sz w:val="16"/>
      <w:szCs w:val="16"/>
      <w:lang w:eastAsia="en-US"/>
    </w:rPr>
  </w:style>
  <w:style w:type="paragraph" w:customStyle="1" w:styleId="292">
    <w:name w:val="日期1"/>
    <w:basedOn w:val="1"/>
    <w:next w:val="1"/>
    <w:link w:val="293"/>
    <w:autoRedefine/>
    <w:qFormat/>
    <w:uiPriority w:val="0"/>
    <w:pPr>
      <w:ind w:left="2500" w:leftChars="2500"/>
    </w:pPr>
    <w:rPr>
      <w:rFonts w:ascii="Verdana" w:hAnsi="Verdana" w:eastAsia="楷体_GB2312"/>
      <w:kern w:val="0"/>
      <w:sz w:val="32"/>
      <w:szCs w:val="28"/>
      <w:lang w:eastAsia="en-US"/>
    </w:rPr>
  </w:style>
  <w:style w:type="character" w:customStyle="1" w:styleId="293">
    <w:name w:val="日期 字符"/>
    <w:link w:val="292"/>
    <w:autoRedefine/>
    <w:qFormat/>
    <w:uiPriority w:val="0"/>
    <w:rPr>
      <w:rFonts w:ascii="Verdana" w:hAnsi="Verdana" w:eastAsia="楷体_GB2312" w:cs="Times New Roman"/>
      <w:sz w:val="32"/>
      <w:szCs w:val="28"/>
      <w:lang w:eastAsia="en-US"/>
    </w:rPr>
  </w:style>
  <w:style w:type="paragraph" w:customStyle="1" w:styleId="294">
    <w:name w:val="正文文本缩进 21"/>
    <w:basedOn w:val="1"/>
    <w:next w:val="29"/>
    <w:link w:val="295"/>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5">
    <w:name w:val="正文文本缩进 2 字符1"/>
    <w:link w:val="294"/>
    <w:autoRedefine/>
    <w:qFormat/>
    <w:uiPriority w:val="0"/>
    <w:rPr>
      <w:rFonts w:ascii="宋体" w:hAnsi="Verdana" w:eastAsia="宋体" w:cs="Times New Roman"/>
      <w:color w:val="000000"/>
      <w:sz w:val="24"/>
      <w:lang w:eastAsia="en-US"/>
    </w:rPr>
  </w:style>
  <w:style w:type="paragraph" w:customStyle="1" w:styleId="296">
    <w:name w:val="TOC 标题2"/>
    <w:basedOn w:val="3"/>
    <w:next w:val="1"/>
    <w:autoRedefine/>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7">
    <w:name w:val="正文文本缩进 31"/>
    <w:basedOn w:val="1"/>
    <w:next w:val="39"/>
    <w:link w:val="298"/>
    <w:autoRedefine/>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8">
    <w:name w:val="正文文本缩进 3 字符"/>
    <w:link w:val="297"/>
    <w:autoRedefine/>
    <w:qFormat/>
    <w:uiPriority w:val="0"/>
    <w:rPr>
      <w:rFonts w:ascii="宋体" w:hAnsi="Verdana" w:eastAsia="宋体" w:cs="Times New Roman"/>
      <w:b/>
      <w:color w:val="000000"/>
      <w:sz w:val="36"/>
      <w:szCs w:val="24"/>
      <w:lang w:eastAsia="en-US"/>
    </w:rPr>
  </w:style>
  <w:style w:type="paragraph" w:customStyle="1" w:styleId="299">
    <w:name w:val="正文文本 21"/>
    <w:basedOn w:val="1"/>
    <w:next w:val="41"/>
    <w:link w:val="300"/>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300">
    <w:name w:val="正文文本 2 字符"/>
    <w:link w:val="299"/>
    <w:autoRedefine/>
    <w:qFormat/>
    <w:uiPriority w:val="0"/>
    <w:rPr>
      <w:rFonts w:ascii="宋体" w:hAnsi="Verdana" w:eastAsia="宋体" w:cs="Times New Roman"/>
      <w:color w:val="000000"/>
      <w:sz w:val="24"/>
      <w:szCs w:val="24"/>
      <w:lang w:eastAsia="en-US"/>
    </w:rPr>
  </w:style>
  <w:style w:type="character" w:customStyle="1" w:styleId="301">
    <w:name w:val="访问过的超链接1"/>
    <w:autoRedefine/>
    <w:qFormat/>
    <w:uiPriority w:val="0"/>
    <w:rPr>
      <w:rFonts w:ascii="Verdana" w:hAnsi="Verdana" w:eastAsia="宋体"/>
      <w:color w:val="800080"/>
      <w:sz w:val="28"/>
      <w:szCs w:val="28"/>
      <w:u w:val="single"/>
      <w:lang w:val="en-US" w:eastAsia="en-US" w:bidi="ar-SA"/>
    </w:rPr>
  </w:style>
  <w:style w:type="character" w:customStyle="1" w:styleId="302">
    <w:name w:val="标题 2 字符"/>
    <w:qFormat/>
    <w:uiPriority w:val="0"/>
    <w:rPr>
      <w:rFonts w:ascii="Cambria" w:hAnsi="Cambria" w:eastAsia="宋体" w:cs="Times New Roman"/>
      <w:b/>
      <w:bCs/>
      <w:sz w:val="32"/>
      <w:szCs w:val="32"/>
      <w:lang w:val="en-US" w:eastAsia="en-US" w:bidi="ar-SA"/>
    </w:rPr>
  </w:style>
  <w:style w:type="character" w:customStyle="1" w:styleId="303">
    <w:name w:val="标题 4 字符"/>
    <w:autoRedefine/>
    <w:qFormat/>
    <w:uiPriority w:val="0"/>
    <w:rPr>
      <w:rFonts w:ascii="Cambria" w:hAnsi="Cambria" w:eastAsia="宋体" w:cs="Times New Roman"/>
      <w:b/>
      <w:bCs/>
      <w:sz w:val="28"/>
      <w:szCs w:val="28"/>
      <w:lang w:val="en-US" w:eastAsia="en-US" w:bidi="ar-SA"/>
    </w:rPr>
  </w:style>
  <w:style w:type="character" w:customStyle="1" w:styleId="304">
    <w:name w:val="标题 5 字符"/>
    <w:autoRedefine/>
    <w:qFormat/>
    <w:uiPriority w:val="0"/>
    <w:rPr>
      <w:rFonts w:ascii="Times New Roman" w:hAnsi="Times New Roman" w:eastAsia="宋体" w:cs="Times New Roman"/>
      <w:b/>
      <w:bCs/>
      <w:kern w:val="0"/>
      <w:sz w:val="28"/>
      <w:szCs w:val="28"/>
      <w:lang w:val="en-US" w:eastAsia="en-US" w:bidi="ar-SA"/>
    </w:rPr>
  </w:style>
  <w:style w:type="character" w:customStyle="1" w:styleId="305">
    <w:name w:val="标题 7 字符"/>
    <w:autoRedefine/>
    <w:qFormat/>
    <w:uiPriority w:val="0"/>
    <w:rPr>
      <w:rFonts w:ascii="Times New Roman" w:hAnsi="Times New Roman" w:eastAsia="宋体" w:cs="Times New Roman"/>
      <w:b/>
      <w:bCs/>
      <w:kern w:val="0"/>
      <w:sz w:val="24"/>
      <w:szCs w:val="24"/>
      <w:lang w:val="en-US" w:eastAsia="en-US" w:bidi="ar-SA"/>
    </w:rPr>
  </w:style>
  <w:style w:type="character" w:customStyle="1" w:styleId="306">
    <w:name w:val="标题 8 字符"/>
    <w:autoRedefine/>
    <w:qFormat/>
    <w:uiPriority w:val="0"/>
    <w:rPr>
      <w:rFonts w:ascii="Arial" w:hAnsi="Arial" w:eastAsia="黑体" w:cs="Times New Roman"/>
      <w:kern w:val="0"/>
      <w:sz w:val="24"/>
      <w:szCs w:val="24"/>
      <w:lang w:val="en-US" w:eastAsia="en-US" w:bidi="ar-SA"/>
    </w:rPr>
  </w:style>
  <w:style w:type="character" w:customStyle="1" w:styleId="307">
    <w:name w:val="标题 9 字符"/>
    <w:autoRedefine/>
    <w:qFormat/>
    <w:uiPriority w:val="0"/>
    <w:rPr>
      <w:rFonts w:ascii="Arial" w:hAnsi="Arial" w:eastAsia="黑体" w:cs="Times New Roman"/>
      <w:kern w:val="0"/>
      <w:sz w:val="28"/>
      <w:szCs w:val="21"/>
      <w:lang w:val="en-US" w:eastAsia="en-US" w:bidi="ar-SA"/>
    </w:rPr>
  </w:style>
  <w:style w:type="character" w:customStyle="1" w:styleId="308">
    <w:name w:val="页眉 字符"/>
    <w:autoRedefine/>
    <w:qFormat/>
    <w:uiPriority w:val="0"/>
    <w:rPr>
      <w:rFonts w:ascii="Verdana" w:hAnsi="Verdana" w:eastAsia="宋体"/>
      <w:sz w:val="18"/>
      <w:szCs w:val="18"/>
      <w:lang w:val="en-US" w:eastAsia="en-US" w:bidi="ar-SA"/>
    </w:rPr>
  </w:style>
  <w:style w:type="character" w:customStyle="1" w:styleId="309">
    <w:name w:val="页脚 字符"/>
    <w:autoRedefine/>
    <w:qFormat/>
    <w:uiPriority w:val="99"/>
    <w:rPr>
      <w:rFonts w:ascii="Verdana" w:hAnsi="Verdana" w:eastAsia="宋体"/>
      <w:sz w:val="18"/>
      <w:szCs w:val="18"/>
      <w:lang w:val="en-US" w:eastAsia="en-US" w:bidi="ar-SA"/>
    </w:rPr>
  </w:style>
  <w:style w:type="paragraph" w:customStyle="1" w:styleId="310">
    <w:name w:val="无间隔2"/>
    <w:next w:val="193"/>
    <w:autoRedefine/>
    <w:qFormat/>
    <w:uiPriority w:val="1"/>
    <w:pPr>
      <w:widowControl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character" w:customStyle="1" w:styleId="311">
    <w:name w:val="font101"/>
    <w:autoRedefine/>
    <w:qFormat/>
    <w:uiPriority w:val="0"/>
    <w:rPr>
      <w:rFonts w:hint="eastAsia" w:ascii="宋体" w:hAnsi="宋体" w:eastAsia="宋体" w:cs="宋体"/>
      <w:color w:val="FF0000"/>
      <w:sz w:val="22"/>
      <w:szCs w:val="22"/>
      <w:u w:val="none"/>
      <w:lang w:val="en-US" w:eastAsia="en-US" w:bidi="ar-SA"/>
    </w:rPr>
  </w:style>
  <w:style w:type="character" w:customStyle="1" w:styleId="312">
    <w:name w:val="font111"/>
    <w:basedOn w:val="49"/>
    <w:autoRedefine/>
    <w:qFormat/>
    <w:uiPriority w:val="0"/>
    <w:rPr>
      <w:rFonts w:hint="default" w:ascii="Arial" w:hAnsi="Arial" w:cs="Arial"/>
      <w:color w:val="FF0000"/>
      <w:sz w:val="18"/>
      <w:szCs w:val="18"/>
      <w:u w:val="none"/>
    </w:rPr>
  </w:style>
  <w:style w:type="character" w:customStyle="1" w:styleId="313">
    <w:name w:val="font91"/>
    <w:basedOn w:val="49"/>
    <w:autoRedefine/>
    <w:qFormat/>
    <w:uiPriority w:val="0"/>
    <w:rPr>
      <w:rFonts w:hint="eastAsia" w:ascii="宋体" w:hAnsi="宋体" w:eastAsia="宋体" w:cs="宋体"/>
      <w:color w:val="FF0000"/>
      <w:sz w:val="18"/>
      <w:szCs w:val="18"/>
      <w:u w:val="none"/>
    </w:rPr>
  </w:style>
  <w:style w:type="character" w:customStyle="1" w:styleId="314">
    <w:name w:val="font141"/>
    <w:basedOn w:val="49"/>
    <w:autoRedefine/>
    <w:qFormat/>
    <w:uiPriority w:val="0"/>
    <w:rPr>
      <w:rFonts w:hint="default" w:ascii="Arial" w:hAnsi="Arial" w:cs="Arial"/>
      <w:color w:val="000000"/>
      <w:sz w:val="22"/>
      <w:szCs w:val="22"/>
      <w:u w:val="none"/>
    </w:rPr>
  </w:style>
  <w:style w:type="character" w:customStyle="1" w:styleId="315">
    <w:name w:val="font122"/>
    <w:basedOn w:val="49"/>
    <w:autoRedefine/>
    <w:qFormat/>
    <w:uiPriority w:val="0"/>
    <w:rPr>
      <w:rFonts w:hint="default" w:ascii="Arial" w:hAnsi="Arial" w:cs="Arial"/>
      <w:color w:val="000000"/>
      <w:sz w:val="20"/>
      <w:szCs w:val="20"/>
      <w:u w:val="none"/>
    </w:rPr>
  </w:style>
  <w:style w:type="character" w:customStyle="1" w:styleId="316">
    <w:name w:val="font131"/>
    <w:basedOn w:val="49"/>
    <w:autoRedefine/>
    <w:qFormat/>
    <w:uiPriority w:val="0"/>
    <w:rPr>
      <w:rFonts w:hint="eastAsia" w:ascii="宋体" w:hAnsi="宋体" w:eastAsia="宋体" w:cs="宋体"/>
      <w:color w:val="000000"/>
      <w:sz w:val="20"/>
      <w:szCs w:val="20"/>
      <w:u w:val="none"/>
    </w:rPr>
  </w:style>
  <w:style w:type="character" w:customStyle="1" w:styleId="317">
    <w:name w:val="font81"/>
    <w:basedOn w:val="49"/>
    <w:autoRedefine/>
    <w:qFormat/>
    <w:uiPriority w:val="0"/>
    <w:rPr>
      <w:rFonts w:hint="default" w:ascii="Calibri" w:hAnsi="Calibri" w:cs="Calibri"/>
      <w:color w:val="000000"/>
      <w:sz w:val="18"/>
      <w:szCs w:val="18"/>
      <w:u w:val="none"/>
    </w:rPr>
  </w:style>
  <w:style w:type="paragraph" w:customStyle="1" w:styleId="318">
    <w:name w:val="Normal Indent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319">
    <w:name w:val="标题 Char3"/>
    <w:link w:val="44"/>
    <w:autoRedefine/>
    <w:qFormat/>
    <w:uiPriority w:val="10"/>
    <w:rPr>
      <w:rFonts w:ascii="等线 Light" w:hAnsi="等线 Light" w:cs="Times New Roman"/>
      <w:b/>
      <w:bCs/>
      <w:kern w:val="2"/>
      <w:sz w:val="32"/>
      <w:szCs w:val="32"/>
    </w:rPr>
  </w:style>
  <w:style w:type="paragraph" w:customStyle="1" w:styleId="320">
    <w:name w:val="模板普通正文"/>
    <w:basedOn w:val="21"/>
    <w:autoRedefine/>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1">
    <w:name w:val="ZW"/>
    <w:basedOn w:val="1"/>
    <w:autoRedefine/>
    <w:qFormat/>
    <w:uiPriority w:val="0"/>
    <w:pPr>
      <w:widowControl/>
      <w:topLinePunct/>
      <w:spacing w:line="360" w:lineRule="auto"/>
      <w:ind w:firstLine="425" w:firstLineChars="200"/>
    </w:pPr>
    <w:rPr>
      <w:rFonts w:eastAsia="仿宋_GB2312"/>
      <w:spacing w:val="8"/>
      <w:sz w:val="24"/>
      <w:szCs w:val="20"/>
    </w:rPr>
  </w:style>
  <w:style w:type="character" w:customStyle="1" w:styleId="322">
    <w:name w:val="标题 字符"/>
    <w:link w:val="44"/>
    <w:autoRedefine/>
    <w:qFormat/>
    <w:uiPriority w:val="10"/>
    <w:rPr>
      <w:rFonts w:ascii="等线 Light" w:hAnsi="等线 Light" w:cs="Times New Roman"/>
      <w:b/>
      <w:bCs/>
      <w:kern w:val="2"/>
      <w:sz w:val="32"/>
      <w:szCs w:val="32"/>
    </w:rPr>
  </w:style>
  <w:style w:type="paragraph" w:customStyle="1" w:styleId="323">
    <w:name w:val="普通(网站)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24">
    <w:name w:val="[Normal]"/>
    <w:autoRedefine/>
    <w:qFormat/>
    <w:uiPriority w:val="0"/>
    <w:rPr>
      <w:rFonts w:ascii="宋体" w:hAnsi="宋体" w:eastAsia="宋体" w:cs="Times New Roman"/>
      <w:sz w:val="24"/>
      <w:lang w:val="zh-CN" w:eastAsia="zh-CN" w:bidi="ar-SA"/>
    </w:rPr>
  </w:style>
  <w:style w:type="paragraph" w:customStyle="1" w:styleId="325">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26">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3159</Words>
  <Characters>3693</Characters>
  <Lines>378</Lines>
  <Paragraphs>106</Paragraphs>
  <TotalTime>1</TotalTime>
  <ScaleCrop>false</ScaleCrop>
  <LinksUpToDate>false</LinksUpToDate>
  <CharactersWithSpaces>3738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2024-04-02T05:23:00Z</dcterms:created>
  <dc:creator>戴艳燕</dc:creator>
  <cp:lastModifiedBy>WPS_1686713146</cp:lastModifiedBy>
  <cp:lastPrinted>2023-03-15T14:19:00Z</cp:lastPrinted>
  <dcterms:modified xsi:type="dcterms:W3CDTF">2025-02-26T02:31:32Z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33942DEED8BB483483ACF2CDFFA2527C_13</vt:lpwstr>
  </property>
  <property fmtid="{D5CDD505-2E9C-101B-9397-08002B2CF9AE}" pid="4" name="KSOTemplateDocerSaveRecord">
    <vt:lpwstr>eyJoZGlkIjoiNDgyMGQ5YWI0Mzg3ZTBjMDY5Y2RmNWQ0MDVhMDRkN2UiLCJ1c2VySWQiOiIxNTA5MDM2Njc5In0=</vt:lpwstr>
  </property>
</Properties>
</file>