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75033">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r>
        <w:rPr>
          <w:rFonts w:hint="eastAsia" w:eastAsia="宋体"/>
          <w:b/>
          <w:bCs/>
          <w:color w:val="auto"/>
          <w:sz w:val="48"/>
          <w:szCs w:val="48"/>
          <w:highlight w:val="none"/>
          <w:lang w:eastAsia="zh-CN"/>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5"/>
                    <a:stretch>
                      <a:fillRect/>
                    </a:stretch>
                  </pic:blipFill>
                  <pic:spPr>
                    <a:xfrm>
                      <a:off x="0" y="0"/>
                      <a:ext cx="1609725" cy="1418590"/>
                    </a:xfrm>
                    <a:prstGeom prst="rect">
                      <a:avLst/>
                    </a:prstGeom>
                  </pic:spPr>
                </pic:pic>
              </a:graphicData>
            </a:graphic>
          </wp:inline>
        </w:drawing>
      </w:r>
    </w:p>
    <w:p w14:paraId="32B3CADD">
      <w:pPr>
        <w:shd w:val="clear" w:color="auto" w:fill="FFFFFF"/>
        <w:tabs>
          <w:tab w:val="left" w:pos="4500"/>
        </w:tabs>
        <w:snapToGrid w:val="0"/>
        <w:spacing w:line="360" w:lineRule="auto"/>
        <w:jc w:val="center"/>
        <w:textAlignment w:val="bottom"/>
        <w:rPr>
          <w:rFonts w:hint="eastAsia" w:ascii="宋体" w:hAnsi="宋体" w:cs="宋体"/>
          <w:b/>
          <w:bCs/>
          <w:color w:val="auto"/>
          <w:sz w:val="64"/>
          <w:szCs w:val="64"/>
          <w:highlight w:val="none"/>
          <w:lang w:eastAsia="zh-CN"/>
        </w:rPr>
      </w:pPr>
      <w:r>
        <w:rPr>
          <w:rFonts w:hint="eastAsia" w:ascii="宋体" w:hAnsi="宋体" w:cs="宋体"/>
          <w:b/>
          <w:bCs/>
          <w:color w:val="auto"/>
          <w:sz w:val="60"/>
          <w:szCs w:val="60"/>
          <w:highlight w:val="none"/>
          <w:lang w:eastAsia="zh-CN"/>
        </w:rPr>
        <w:t>台州学院网络安全教学实训数字化</w:t>
      </w:r>
      <w:r>
        <w:rPr>
          <w:rFonts w:hint="eastAsia" w:ascii="宋体" w:hAnsi="宋体" w:cs="宋体"/>
          <w:b/>
          <w:bCs/>
          <w:color w:val="auto"/>
          <w:sz w:val="60"/>
          <w:szCs w:val="60"/>
          <w:highlight w:val="none"/>
          <w:lang w:val="en-US" w:eastAsia="zh-CN"/>
        </w:rPr>
        <w:t>建设</w:t>
      </w:r>
      <w:r>
        <w:rPr>
          <w:rFonts w:hint="eastAsia" w:ascii="宋体" w:hAnsi="宋体" w:cs="宋体"/>
          <w:b/>
          <w:bCs/>
          <w:color w:val="auto"/>
          <w:sz w:val="60"/>
          <w:szCs w:val="60"/>
          <w:highlight w:val="none"/>
          <w:lang w:eastAsia="zh-CN"/>
        </w:rPr>
        <w:t>项目</w:t>
      </w:r>
    </w:p>
    <w:p w14:paraId="73F9D773">
      <w:pPr>
        <w:shd w:val="clear" w:color="auto" w:fill="FFFFFF"/>
        <w:tabs>
          <w:tab w:val="left" w:pos="4500"/>
        </w:tabs>
        <w:snapToGrid w:val="0"/>
        <w:spacing w:line="360" w:lineRule="auto"/>
        <w:jc w:val="both"/>
        <w:textAlignment w:val="bottom"/>
        <w:rPr>
          <w:rFonts w:ascii="宋体" w:hAnsi="宋体" w:cs="宋体"/>
          <w:b/>
          <w:bCs/>
          <w:color w:val="auto"/>
          <w:sz w:val="72"/>
          <w:szCs w:val="72"/>
          <w:highlight w:val="none"/>
        </w:rPr>
      </w:pPr>
    </w:p>
    <w:p w14:paraId="1062F67F">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68A17331">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14:paraId="2F2CD886">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s="宋体"/>
          <w:color w:val="auto"/>
          <w:sz w:val="48"/>
          <w:szCs w:val="48"/>
          <w:highlight w:val="none"/>
        </w:rPr>
        <mc:AlternateContent>
          <mc:Choice Requires="wps">
            <w:drawing>
              <wp:anchor distT="0" distB="0" distL="114300" distR="114300" simplePos="0" relativeHeight="251660288"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0288;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O1gfiXtAQAA4gMAAA4AAAAAAAAAAQAgAAAAIwEAAGRycy9lMm9Eb2MueG1sUEsFBgAAAAAGAAYA&#10;WQEAAIIFAAAAAA==&#10;">
                <v:fill on="f" focussize="0,0"/>
                <v:stroke color="#000000" joinstyle="round"/>
                <v:imagedata o:title=""/>
                <o:lock v:ext="edit" aspectratio="f"/>
                <w10:wrap type="square"/>
              </v:line>
            </w:pict>
          </mc:Fallback>
        </mc:AlternateContent>
      </w:r>
    </w:p>
    <w:p w14:paraId="0681962F">
      <w:pPr>
        <w:spacing w:line="360" w:lineRule="auto"/>
        <w:ind w:left="-210" w:leftChars="-100" w:right="-57" w:firstLine="1200" w:firstLineChars="400"/>
        <w:rPr>
          <w:rFonts w:hint="eastAsia"/>
          <w:color w:val="auto"/>
          <w:sz w:val="30"/>
          <w:szCs w:val="30"/>
          <w:highlight w:val="none"/>
        </w:rPr>
      </w:pPr>
    </w:p>
    <w:p w14:paraId="6635E948">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lang w:eastAsia="zh-CN"/>
        </w:rPr>
        <w:t>ZGTZZB2024-0813</w:t>
      </w:r>
    </w:p>
    <w:p w14:paraId="0D35AB63">
      <w:pPr>
        <w:spacing w:line="360" w:lineRule="auto"/>
        <w:ind w:left="-210" w:leftChars="-100" w:right="-57" w:firstLine="1200" w:firstLineChars="400"/>
        <w:rPr>
          <w:rFonts w:hint="eastAsia" w:eastAsia="宋体"/>
          <w:color w:val="auto"/>
          <w:sz w:val="30"/>
          <w:szCs w:val="30"/>
          <w:highlight w:val="none"/>
          <w:lang w:eastAsia="zh-CN"/>
        </w:rPr>
      </w:pPr>
      <w:r>
        <w:rPr>
          <w:color w:val="auto"/>
          <w:sz w:val="30"/>
          <w:szCs w:val="30"/>
          <w:highlight w:val="none"/>
        </w:rPr>
        <w:t>采购人：</w:t>
      </w:r>
      <w:r>
        <w:rPr>
          <w:rFonts w:hint="eastAsia" w:asciiTheme="minorEastAsia" w:hAnsiTheme="minorEastAsia" w:eastAsiaTheme="minorEastAsia"/>
          <w:color w:val="auto"/>
          <w:sz w:val="30"/>
          <w:szCs w:val="30"/>
          <w:highlight w:val="none"/>
          <w:lang w:eastAsia="zh-CN"/>
        </w:rPr>
        <w:t>台州学院</w:t>
      </w:r>
    </w:p>
    <w:p w14:paraId="1BCA5439">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：中冠工程管理咨询有限公司</w:t>
      </w:r>
    </w:p>
    <w:p w14:paraId="440DE3AE">
      <w:pPr>
        <w:spacing w:line="360" w:lineRule="auto"/>
        <w:ind w:left="-210" w:leftChars="-100" w:right="-57" w:firstLine="1200" w:firstLineChars="400"/>
        <w:rPr>
          <w:color w:val="auto"/>
          <w:sz w:val="30"/>
          <w:szCs w:val="30"/>
          <w:highlight w:val="none"/>
        </w:rPr>
      </w:pPr>
      <w:r>
        <w:rPr>
          <w:color w:val="auto"/>
          <w:sz w:val="30"/>
          <w:szCs w:val="30"/>
          <w:highlight w:val="none"/>
        </w:rPr>
        <w:t>二〇</w:t>
      </w:r>
      <w:r>
        <w:rPr>
          <w:rFonts w:hint="eastAsia"/>
          <w:color w:val="auto"/>
          <w:sz w:val="30"/>
          <w:szCs w:val="30"/>
          <w:highlight w:val="none"/>
        </w:rPr>
        <w:t>二四</w:t>
      </w:r>
      <w:r>
        <w:rPr>
          <w:color w:val="auto"/>
          <w:sz w:val="30"/>
          <w:szCs w:val="30"/>
          <w:highlight w:val="none"/>
        </w:rPr>
        <w:t>年</w:t>
      </w:r>
      <w:r>
        <w:rPr>
          <w:rFonts w:hint="eastAsia"/>
          <w:color w:val="auto"/>
          <w:sz w:val="30"/>
          <w:szCs w:val="30"/>
          <w:highlight w:val="none"/>
          <w:u w:val="single"/>
          <w:lang w:val="en-US" w:eastAsia="zh-CN"/>
        </w:rPr>
        <w:t xml:space="preserve">  九  </w:t>
      </w:r>
      <w:r>
        <w:rPr>
          <w:color w:val="auto"/>
          <w:sz w:val="30"/>
          <w:szCs w:val="30"/>
          <w:highlight w:val="none"/>
        </w:rPr>
        <w:t>月</w:t>
      </w:r>
    </w:p>
    <w:p w14:paraId="0FC06DD8">
      <w:pPr>
        <w:shd w:val="clear" w:color="auto" w:fill="FFFFFF"/>
        <w:snapToGrid w:val="0"/>
        <w:spacing w:line="480" w:lineRule="auto"/>
        <w:ind w:firstLine="425"/>
        <w:textAlignment w:val="bottom"/>
        <w:rPr>
          <w:rFonts w:ascii="宋体" w:hAnsi="宋体" w:cs="宋体"/>
          <w:b/>
          <w:bCs/>
          <w:color w:val="auto"/>
          <w:sz w:val="30"/>
          <w:szCs w:val="30"/>
          <w:highlight w:val="none"/>
        </w:rPr>
      </w:pPr>
    </w:p>
    <w:p w14:paraId="1AE606E4">
      <w:pPr>
        <w:pageBreakBefore/>
        <w:shd w:val="clear" w:color="auto" w:fill="FFFFFF"/>
        <w:snapToGrid w:val="0"/>
        <w:spacing w:line="360" w:lineRule="auto"/>
        <w:jc w:val="center"/>
        <w:rPr>
          <w:rFonts w:ascii="宋体" w:hAnsi="宋体" w:cs="宋体"/>
          <w:b/>
          <w:bCs/>
          <w:color w:val="auto"/>
          <w:sz w:val="24"/>
          <w:highlight w:val="none"/>
        </w:rPr>
        <w:sectPr>
          <w:footerReference r:id="rId4" w:type="first"/>
          <w:footerReference r:id="rId3" w:type="defaul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258AC06F">
      <w:pPr>
        <w:spacing w:line="600" w:lineRule="auto"/>
        <w:jc w:val="center"/>
        <w:rPr>
          <w:rFonts w:ascii="宋体" w:hAnsi="宋体"/>
          <w:b/>
          <w:bCs/>
          <w:color w:val="auto"/>
          <w:sz w:val="44"/>
          <w:szCs w:val="44"/>
          <w:highlight w:val="none"/>
        </w:rPr>
      </w:pPr>
      <w:r>
        <w:rPr>
          <w:rFonts w:ascii="宋体" w:hAnsi="宋体"/>
          <w:b/>
          <w:bCs/>
          <w:color w:val="auto"/>
          <w:sz w:val="44"/>
          <w:szCs w:val="44"/>
          <w:highlight w:val="none"/>
        </w:rPr>
        <w:t>目录</w:t>
      </w:r>
    </w:p>
    <w:p w14:paraId="331223BD">
      <w:pPr>
        <w:pStyle w:val="21"/>
        <w:spacing w:line="600" w:lineRule="auto"/>
        <w:rPr>
          <w:b/>
          <w:bCs/>
          <w:color w:val="auto"/>
          <w:highlight w:val="none"/>
        </w:rPr>
      </w:pPr>
    </w:p>
    <w:p w14:paraId="7B3FA686">
      <w:pPr>
        <w:pStyle w:val="33"/>
        <w:tabs>
          <w:tab w:val="right" w:leader="dot" w:pos="8306"/>
          <w:tab w:val="clear" w:pos="8789"/>
        </w:tabs>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TOC \o "1-1" \h \u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_Toc6474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第一部分  采购公告</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_Toc6474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5E166EBF">
      <w:pPr>
        <w:pStyle w:val="33"/>
        <w:tabs>
          <w:tab w:val="right" w:leader="dot" w:pos="8306"/>
          <w:tab w:val="clear" w:pos="8789"/>
        </w:tabs>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_Toc13292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第二部分  投标资料表</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_Toc13292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7</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59683265">
      <w:pPr>
        <w:pStyle w:val="33"/>
        <w:tabs>
          <w:tab w:val="right" w:leader="dot" w:pos="8306"/>
          <w:tab w:val="clear" w:pos="8789"/>
        </w:tabs>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_Toc17817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第三部分  投标须知</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_Toc17817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12</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4FDA0F57">
      <w:pPr>
        <w:pStyle w:val="33"/>
        <w:tabs>
          <w:tab w:val="right" w:leader="dot" w:pos="8306"/>
          <w:tab w:val="clear" w:pos="8789"/>
        </w:tabs>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_Toc3915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 xml:space="preserve">第四部分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评标办法及评分标准</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_Toc3915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26</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73751938">
      <w:pPr>
        <w:pStyle w:val="33"/>
        <w:tabs>
          <w:tab w:val="right" w:leader="dot" w:pos="8306"/>
          <w:tab w:val="clear" w:pos="8789"/>
        </w:tabs>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_Toc2999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第五部分  采购内容及要求</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_Toc2999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32</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0A91F788">
      <w:pPr>
        <w:pStyle w:val="33"/>
        <w:tabs>
          <w:tab w:val="right" w:leader="dot" w:pos="8306"/>
          <w:tab w:val="clear" w:pos="8789"/>
        </w:tabs>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_Toc21037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 xml:space="preserve">第六部分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拟签订的合同文本</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_Toc21037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68</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7F94C2A9">
      <w:pPr>
        <w:pStyle w:val="33"/>
        <w:tabs>
          <w:tab w:val="right" w:leader="dot" w:pos="8306"/>
          <w:tab w:val="clear" w:pos="8789"/>
        </w:tabs>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_Toc6437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第七部分  格式与表格</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_Toc6437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74</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79068F0F">
      <w:pPr>
        <w:spacing w:line="60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end"/>
      </w:r>
    </w:p>
    <w:p w14:paraId="41B5B4C0">
      <w:pPr>
        <w:pStyle w:val="21"/>
        <w:rPr>
          <w:color w:val="auto"/>
          <w:highlight w:val="none"/>
        </w:rPr>
      </w:pPr>
    </w:p>
    <w:p w14:paraId="33819BDE">
      <w:pPr>
        <w:rPr>
          <w:color w:val="auto"/>
          <w:highlight w:val="none"/>
        </w:rPr>
      </w:pPr>
    </w:p>
    <w:p w14:paraId="66C927FE">
      <w:pPr>
        <w:pStyle w:val="21"/>
        <w:rPr>
          <w:color w:val="auto"/>
          <w:highlight w:val="none"/>
        </w:rPr>
      </w:pPr>
    </w:p>
    <w:p w14:paraId="1F9EB2D7">
      <w:pPr>
        <w:rPr>
          <w:color w:val="auto"/>
          <w:highlight w:val="none"/>
        </w:rPr>
      </w:pPr>
    </w:p>
    <w:p w14:paraId="3F2705AB">
      <w:pPr>
        <w:pStyle w:val="21"/>
        <w:rPr>
          <w:color w:val="auto"/>
          <w:highlight w:val="none"/>
        </w:rPr>
      </w:pPr>
    </w:p>
    <w:p w14:paraId="5BBBA83D">
      <w:pPr>
        <w:rPr>
          <w:color w:val="auto"/>
          <w:highlight w:val="none"/>
        </w:rPr>
      </w:pPr>
    </w:p>
    <w:p w14:paraId="2AABB8D2">
      <w:pPr>
        <w:pStyle w:val="21"/>
        <w:rPr>
          <w:color w:val="auto"/>
          <w:highlight w:val="none"/>
        </w:rPr>
      </w:pPr>
    </w:p>
    <w:p w14:paraId="76AFA09E">
      <w:pPr>
        <w:rPr>
          <w:color w:val="auto"/>
          <w:highlight w:val="none"/>
        </w:rPr>
      </w:pPr>
    </w:p>
    <w:p w14:paraId="30EF5BE9">
      <w:pPr>
        <w:pStyle w:val="21"/>
        <w:rPr>
          <w:color w:val="auto"/>
          <w:highlight w:val="none"/>
        </w:rPr>
      </w:pPr>
    </w:p>
    <w:p w14:paraId="3E910795">
      <w:pP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60FEAA3">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0" w:name="_Toc18128"/>
      <w:bookmarkStart w:id="1" w:name="_Toc6474"/>
      <w:bookmarkStart w:id="2" w:name="_Toc12459"/>
      <w:bookmarkStart w:id="3" w:name="_Toc1038"/>
      <w:bookmarkStart w:id="4" w:name="_Toc8375"/>
      <w:bookmarkStart w:id="5" w:name="_Toc11758"/>
      <w:bookmarkStart w:id="6" w:name="_Toc25290"/>
      <w:r>
        <w:rPr>
          <w:rFonts w:hint="eastAsia" w:ascii="宋体" w:hAnsi="宋体" w:cs="宋体"/>
          <w:b/>
          <w:bCs/>
          <w:color w:val="auto"/>
          <w:sz w:val="32"/>
          <w:szCs w:val="32"/>
          <w:highlight w:val="none"/>
        </w:rPr>
        <w:t>第一部分  采购公告</w:t>
      </w:r>
      <w:bookmarkEnd w:id="0"/>
      <w:bookmarkEnd w:id="1"/>
      <w:bookmarkEnd w:id="2"/>
      <w:bookmarkEnd w:id="3"/>
      <w:bookmarkEnd w:id="4"/>
      <w:bookmarkEnd w:id="5"/>
      <w:bookmarkEnd w:id="6"/>
    </w:p>
    <w:p w14:paraId="7D289B69">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eastAsiaTheme="minorEastAsia"/>
          <w:color w:val="auto"/>
          <w:sz w:val="24"/>
          <w:highlight w:val="none"/>
        </w:rPr>
      </w:pPr>
      <w:bookmarkStart w:id="7" w:name="_Hlk51884093"/>
      <w:bookmarkStart w:id="8" w:name="_Toc263083249"/>
      <w:bookmarkStart w:id="9" w:name="_Toc262312595"/>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1CE7ECC8">
      <w:pPr>
        <w:pBdr>
          <w:top w:val="single" w:color="auto" w:sz="4" w:space="1"/>
          <w:left w:val="single" w:color="auto" w:sz="4" w:space="4"/>
          <w:bottom w:val="single" w:color="auto" w:sz="4" w:space="1"/>
          <w:right w:val="single" w:color="auto" w:sz="4" w:space="4"/>
        </w:pBdr>
        <w:spacing w:line="38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台州学院网络安全教学实训数字化建设项目</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10月09日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4C8818BC">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777DE79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ZGTZZB2024-0813</w:t>
      </w:r>
    </w:p>
    <w:p w14:paraId="380E7B0C">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lang w:eastAsia="zh-CN"/>
        </w:rPr>
        <w:t>台州学院网络安全教学实训数字化建设项目</w:t>
      </w:r>
    </w:p>
    <w:p w14:paraId="4BAC7B9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ascii="宋体" w:hAnsi="宋体"/>
          <w:color w:val="auto"/>
          <w:sz w:val="24"/>
          <w:highlight w:val="none"/>
          <w:lang w:eastAsia="zh-CN"/>
        </w:rPr>
        <w:t>2795200</w:t>
      </w:r>
    </w:p>
    <w:p w14:paraId="33464B18">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ascii="宋体" w:hAnsi="宋体"/>
          <w:color w:val="auto"/>
          <w:sz w:val="24"/>
          <w:highlight w:val="none"/>
          <w:lang w:eastAsia="zh-CN"/>
        </w:rPr>
        <w:t>2795200</w:t>
      </w:r>
    </w:p>
    <w:p w14:paraId="25C71748">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5E5E92BD">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15271A9D">
      <w:pPr>
        <w:pStyle w:val="43"/>
        <w:spacing w:before="0" w:beforeAutospacing="0" w:after="0" w:afterAutospacing="0" w:line="380" w:lineRule="exact"/>
        <w:ind w:firstLine="482" w:firstLineChars="200"/>
        <w:contextualSpacing/>
        <w:rPr>
          <w:rFonts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43FFD69C">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w:t>
      </w:r>
      <w:r>
        <w:rPr>
          <w:rFonts w:hint="eastAsia" w:cs="宋体" w:asciiTheme="minorEastAsia" w:hAnsiTheme="minorEastAsia" w:eastAsiaTheme="minorEastAsia"/>
          <w:color w:val="auto"/>
          <w:sz w:val="24"/>
          <w:highlight w:val="none"/>
          <w:lang w:eastAsia="zh-CN"/>
        </w:rPr>
        <w:t>台州学院网络安全教学实训数字化建设项目</w:t>
      </w:r>
    </w:p>
    <w:p w14:paraId="4CA56AED">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批</w:t>
      </w:r>
    </w:p>
    <w:p w14:paraId="7CA7F574">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kern w:val="2"/>
          <w:highlight w:val="none"/>
        </w:rPr>
        <w:t>预算金额（元）：</w:t>
      </w:r>
      <w:r>
        <w:rPr>
          <w:rFonts w:hint="eastAsia" w:ascii="宋体" w:hAnsi="宋体" w:eastAsia="宋体"/>
          <w:color w:val="auto"/>
          <w:sz w:val="24"/>
          <w:highlight w:val="none"/>
          <w:lang w:eastAsia="zh-CN"/>
        </w:rPr>
        <w:t>2795200</w:t>
      </w:r>
    </w:p>
    <w:p w14:paraId="578B7CC4">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asciiTheme="minorEastAsia" w:hAnsiTheme="minorEastAsia" w:eastAsiaTheme="minorEastAsia"/>
          <w:color w:val="auto"/>
          <w:kern w:val="2"/>
          <w:highlight w:val="none"/>
        </w:rPr>
        <w:t>）：</w:t>
      </w:r>
      <w:r>
        <w:rPr>
          <w:rFonts w:hint="eastAsia" w:ascii="宋体" w:hAnsi="宋体" w:eastAsia="宋体"/>
          <w:color w:val="auto"/>
          <w:sz w:val="24"/>
          <w:highlight w:val="none"/>
          <w:lang w:eastAsia="zh-CN"/>
        </w:rPr>
        <w:t>2795200</w:t>
      </w:r>
    </w:p>
    <w:p w14:paraId="2D66B2CE">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32C890C3">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lang w:eastAsia="zh-CN"/>
        </w:rPr>
        <w:t>交</w:t>
      </w:r>
      <w:r>
        <w:rPr>
          <w:rFonts w:hint="eastAsia" w:cs="宋体" w:asciiTheme="minorEastAsia" w:hAnsiTheme="minorEastAsia" w:eastAsiaTheme="minorEastAsia"/>
          <w:color w:val="auto"/>
          <w:kern w:val="2"/>
          <w:highlight w:val="none"/>
          <w:lang w:eastAsia="zh-CN"/>
        </w:rPr>
        <w:t>货期</w:t>
      </w:r>
      <w:r>
        <w:rPr>
          <w:rFonts w:hint="eastAsia" w:cs="宋体" w:asciiTheme="minorEastAsia" w:hAnsiTheme="minorEastAsia" w:eastAsiaTheme="minorEastAsia"/>
          <w:color w:val="auto"/>
          <w:kern w:val="2"/>
          <w:highlight w:val="none"/>
        </w:rPr>
        <w:t>：合同签订后</w:t>
      </w:r>
      <w:r>
        <w:rPr>
          <w:rFonts w:hint="eastAsia" w:cs="宋体" w:asciiTheme="minorEastAsia" w:hAnsiTheme="minorEastAsia" w:eastAsiaTheme="minorEastAsia"/>
          <w:color w:val="auto"/>
          <w:kern w:val="2"/>
          <w:highlight w:val="none"/>
          <w:lang w:val="en-US" w:eastAsia="zh-CN"/>
        </w:rPr>
        <w:t>3</w:t>
      </w:r>
      <w:r>
        <w:rPr>
          <w:rFonts w:hint="eastAsia" w:cs="宋体" w:asciiTheme="minorEastAsia" w:hAnsiTheme="minorEastAsia" w:eastAsiaTheme="minorEastAsia"/>
          <w:color w:val="auto"/>
          <w:kern w:val="2"/>
          <w:highlight w:val="none"/>
        </w:rPr>
        <w:t>0日历天内交货。</w:t>
      </w:r>
    </w:p>
    <w:p w14:paraId="31C83950">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3DDD5379">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79AE0108">
      <w:pPr>
        <w:pStyle w:val="43"/>
        <w:spacing w:before="0" w:beforeAutospacing="0" w:after="0" w:afterAutospacing="0" w:line="380" w:lineRule="exact"/>
        <w:contextualSpacing/>
        <w:rPr>
          <w:color w:val="auto"/>
          <w:highlight w:val="none"/>
        </w:rPr>
      </w:pPr>
    </w:p>
    <w:p w14:paraId="4FF3CF5A">
      <w:pPr>
        <w:widowControl/>
        <w:spacing w:line="380" w:lineRule="exact"/>
        <w:contextualSpacing/>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63C97EB8">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78E6E2A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2、落实政府采购政策需满足的资格要求：</w:t>
      </w:r>
      <w:r>
        <w:rPr>
          <w:rFonts w:hint="eastAsia" w:cs="宋体" w:asciiTheme="minorEastAsia" w:hAnsiTheme="minorEastAsia" w:eastAsiaTheme="minorEastAsia"/>
          <w:color w:val="auto"/>
          <w:sz w:val="24"/>
          <w:highlight w:val="none"/>
          <w:lang w:eastAsia="zh-CN"/>
        </w:rPr>
        <w:t>无</w:t>
      </w:r>
      <w:r>
        <w:rPr>
          <w:rFonts w:hint="eastAsia" w:cs="宋体" w:asciiTheme="minorEastAsia" w:hAnsiTheme="minorEastAsia" w:eastAsiaTheme="minorEastAsia"/>
          <w:b/>
          <w:bCs/>
          <w:color w:val="auto"/>
          <w:sz w:val="24"/>
          <w:highlight w:val="none"/>
        </w:rPr>
        <w:t>。</w:t>
      </w:r>
    </w:p>
    <w:p w14:paraId="0F1613E2">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04CFF9B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F099B3">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6BAC321A">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10月09日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5C1BE881">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1537328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135315EB">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0A9D488D">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91F86A0">
      <w:pPr>
        <w:widowControl/>
        <w:spacing w:line="380" w:lineRule="exact"/>
        <w:ind w:firstLine="590" w:firstLineChars="245"/>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32CB8AC8">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27CCF4DD">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06C2AAC4">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2024</w:t>
      </w:r>
      <w:r>
        <w:rPr>
          <w:rFonts w:cs="宋体"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10月09日</w:t>
      </w:r>
      <w:r>
        <w:rPr>
          <w:rFonts w:cs="宋体" w:asciiTheme="minorEastAsia" w:hAnsiTheme="minorEastAsia" w:eastAsiaTheme="minorEastAsia"/>
          <w:color w:val="auto"/>
          <w:sz w:val="24"/>
          <w:highlight w:val="none"/>
        </w:rPr>
        <w:t>09:00（北京时间）</w:t>
      </w:r>
    </w:p>
    <w:p w14:paraId="3407FFB6">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5D6B3591">
      <w:pPr>
        <w:widowControl/>
        <w:spacing w:line="380" w:lineRule="exact"/>
        <w:ind w:firstLine="472" w:firstLineChars="196"/>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2024</w:t>
      </w:r>
      <w:r>
        <w:rPr>
          <w:rFonts w:cs="宋体"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10月09日</w:t>
      </w:r>
      <w:r>
        <w:rPr>
          <w:rFonts w:cs="宋体" w:asciiTheme="minorEastAsia" w:hAnsiTheme="minorEastAsia" w:eastAsiaTheme="minorEastAsia"/>
          <w:color w:val="auto"/>
          <w:sz w:val="24"/>
          <w:highlight w:val="none"/>
        </w:rPr>
        <w:t xml:space="preserve">09:00 </w:t>
      </w:r>
    </w:p>
    <w:p w14:paraId="416CBEAF">
      <w:pPr>
        <w:widowControl/>
        <w:spacing w:line="380" w:lineRule="exact"/>
        <w:ind w:firstLine="479" w:firstLineChars="199"/>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台州市市府大道777号台州市公共资源交易中心3楼一号开标室。</w:t>
      </w:r>
    </w:p>
    <w:p w14:paraId="355B400F">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7730E3E3">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6046D50F">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7D500EDB">
      <w:pPr>
        <w:widowControl/>
        <w:spacing w:line="380" w:lineRule="exact"/>
        <w:ind w:firstLine="480" w:firstLineChars="200"/>
        <w:contextualSpacing/>
        <w:rPr>
          <w:rFonts w:cs="宋体" w:asciiTheme="minorEastAsia" w:hAnsiTheme="minorEastAsia" w:eastAsiaTheme="minorEastAsia"/>
          <w:color w:val="auto"/>
          <w:sz w:val="24"/>
          <w:highlight w:val="none"/>
        </w:rPr>
      </w:pPr>
      <w:bookmarkStart w:id="10" w:name="_Toc35393627"/>
      <w:bookmarkStart w:id="11" w:name="_Toc28359008"/>
      <w:bookmarkStart w:id="12" w:name="_Toc35393796"/>
      <w:bookmarkStart w:id="13" w:name="_Toc28359085"/>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供应商认为采购文件使自己的权益受到损害的，可以自获取采购文件之日或者采购文件公告期限届满之日起</w:t>
      </w:r>
      <w:r>
        <w:rPr>
          <w:rFonts w:hint="eastAsia" w:cs="宋体" w:asciiTheme="minorEastAsia" w:hAnsiTheme="minorEastAsia" w:eastAsiaTheme="minorEastAsia"/>
          <w:b/>
          <w:color w:val="auto"/>
          <w:sz w:val="24"/>
          <w:highlight w:val="none"/>
        </w:rPr>
        <w:t>（公告期限届满后获取采购文件的，以公告期限届满之日为准）</w:t>
      </w:r>
      <w:r>
        <w:rPr>
          <w:rFonts w:cs="宋体" w:asciiTheme="minorEastAsia" w:hAnsiTheme="minorEastAsia" w:eastAsiaTheme="minorEastAsia"/>
          <w:color w:val="auto"/>
          <w:sz w:val="24"/>
          <w:highlight w:val="none"/>
        </w:rPr>
        <w:t>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62B37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其他事项：</w:t>
      </w:r>
    </w:p>
    <w:bookmarkEnd w:id="10"/>
    <w:bookmarkEnd w:id="11"/>
    <w:bookmarkEnd w:id="12"/>
    <w:bookmarkEnd w:id="13"/>
    <w:p w14:paraId="3AEEE490">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（1）需要落实的政府采购政策：</w:t>
      </w:r>
      <w:r>
        <w:rPr>
          <w:rFonts w:cs="宋体" w:asciiTheme="minorEastAsia" w:hAnsiTheme="minorEastAsia" w:eastAsiaTheme="minorEastAsia"/>
          <w:color w:val="auto"/>
          <w:sz w:val="24"/>
          <w:highlight w:val="none"/>
        </w:rPr>
        <w:t>《关于促进残疾人就业政府采购政策的通知》（财库</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201</w:t>
      </w:r>
      <w:r>
        <w:rPr>
          <w:rFonts w:hint="eastAsia" w:cs="宋体" w:asciiTheme="minorEastAsia" w:hAnsiTheme="minorEastAsia" w:eastAsiaTheme="minorEastAsia"/>
          <w:color w:val="auto"/>
          <w:sz w:val="24"/>
          <w:highlight w:val="none"/>
        </w:rPr>
        <w:t>7〕</w:t>
      </w:r>
      <w:r>
        <w:rPr>
          <w:rFonts w:cs="宋体" w:asciiTheme="minorEastAsia" w:hAnsiTheme="minorEastAsia" w:eastAsiaTheme="minorEastAsia"/>
          <w:color w:val="auto"/>
          <w:sz w:val="24"/>
          <w:highlight w:val="none"/>
        </w:rPr>
        <w:t>141号）、《</w:t>
      </w:r>
      <w:r>
        <w:rPr>
          <w:rFonts w:hint="eastAsia" w:cs="宋体" w:asciiTheme="minorEastAsia" w:hAnsiTheme="minorEastAsia" w:eastAsiaTheme="minorEastAsia"/>
          <w:color w:val="auto"/>
          <w:sz w:val="24"/>
          <w:highlight w:val="none"/>
        </w:rPr>
        <w:t>政府采购促进中小企业发展管理办法</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（财库〔2020〕46号）</w:t>
      </w:r>
      <w:r>
        <w:rPr>
          <w:rFonts w:cs="宋体" w:asciiTheme="minorEastAsia" w:hAnsiTheme="minorEastAsia" w:eastAsiaTheme="minorEastAsia"/>
          <w:color w:val="auto"/>
          <w:sz w:val="24"/>
          <w:highlight w:val="none"/>
        </w:rPr>
        <w:t>、《关于政府采购支持监狱企业发展有关问题的通知》（财库</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2014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68号）、《关于调整优化节能产品、环境标志产品政府采购执行机制的通知》（财库〔2019〕9号）</w:t>
      </w:r>
      <w:r>
        <w:rPr>
          <w:rFonts w:hint="eastAsia" w:cs="宋体" w:asciiTheme="minorEastAsia" w:hAnsiTheme="minorEastAsia" w:eastAsiaTheme="minorEastAsia"/>
          <w:color w:val="auto"/>
          <w:sz w:val="24"/>
          <w:highlight w:val="none"/>
        </w:rPr>
        <w:t>。</w:t>
      </w:r>
    </w:p>
    <w:p w14:paraId="77F90998">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（2）电子招投标的说明：</w:t>
      </w:r>
    </w:p>
    <w:p w14:paraId="608794B7">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①电子招投标：本项目以数据电文形式，依托“政府采购云平台（www.zcygov.cn）”进行招投标活动，不接受纸质投标文件；</w:t>
      </w:r>
    </w:p>
    <w:p w14:paraId="480229EB">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          </w:t>
      </w:r>
    </w:p>
    <w:p w14:paraId="529C95F6">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③采购文件的获取：使用账号登录或者使用CA登录政采云平台；进入“项目采购”应用，在获取采购文件菜单中选择项目，获取采购文件； </w:t>
      </w:r>
    </w:p>
    <w:p w14:paraId="63DB6C1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④投标文件的制作：在“政采云电子交易客户端”中完成“填写基本信息”、“导入投标文件”、“标书关联”、“标书检查”、“电子签名”、“生成电子标书”等操作；</w:t>
      </w:r>
    </w:p>
    <w:p w14:paraId="31CB542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⑤采购人、采购代理机构将依托政采云平台完成本项目的电子交易活动，平台不接受未按上述方式获取采购文件的供应商进行投标活动；</w:t>
      </w:r>
    </w:p>
    <w:p w14:paraId="7DBAEF3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⑥对未按上述方式获取采购文件的供应商对该文件提出的质疑，采购人或采购代理机构将不予处理；</w:t>
      </w:r>
    </w:p>
    <w:p w14:paraId="26C39C6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⑦不提供采购文件纸质版；</w:t>
      </w:r>
    </w:p>
    <w:p w14:paraId="54A0B7C6">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⑧投标文件的传输递交：投标人在投标截止时间前将加密的投标文件上传至政府采购云平台，并在投标截止时间前递交备份投标文件1份。备份投标文件的制作、递交详见采购文件第二部分“</w:t>
      </w:r>
      <w:r>
        <w:rPr>
          <w:rFonts w:cs="宋体" w:asciiTheme="minorEastAsia" w:hAnsiTheme="minorEastAsia" w:eastAsiaTheme="minorEastAsia"/>
          <w:color w:val="auto"/>
          <w:sz w:val="24"/>
          <w:highlight w:val="none"/>
        </w:rPr>
        <w:t>投标资料表</w:t>
      </w:r>
      <w:r>
        <w:rPr>
          <w:rFonts w:hint="eastAsia" w:cs="宋体" w:asciiTheme="minorEastAsia" w:hAnsiTheme="minorEastAsia" w:eastAsiaTheme="minorEastAsia"/>
          <w:color w:val="auto"/>
          <w:sz w:val="24"/>
          <w:highlight w:val="none"/>
        </w:rPr>
        <w:t>”第9条；</w:t>
      </w:r>
    </w:p>
    <w:p w14:paraId="776A51A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12C7C12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⑩具体操作指南：详见政采云平台“服务中心-帮助文档-项目采购-操作流程-电子招投标-政府采购项目电子交易管理操作指南-供应商”。</w:t>
      </w:r>
    </w:p>
    <w:p w14:paraId="6EE16C53">
      <w:pPr>
        <w:snapToGrid w:val="0"/>
        <w:spacing w:line="380" w:lineRule="exact"/>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3A7B504F">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5720B05E">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台州学院</w:t>
      </w:r>
    </w:p>
    <w:p w14:paraId="0B29818D">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w:t>
      </w:r>
      <w:r>
        <w:rPr>
          <w:rFonts w:hint="eastAsia" w:asciiTheme="minorEastAsia" w:hAnsiTheme="minorEastAsia" w:eastAsiaTheme="minorEastAsia"/>
          <w:color w:val="auto"/>
          <w:sz w:val="24"/>
          <w:highlight w:val="none"/>
          <w:lang w:eastAsia="zh-CN"/>
        </w:rPr>
        <w:t>浙江省台州市椒江区市府大道1139号</w:t>
      </w:r>
    </w:p>
    <w:p w14:paraId="50F53BDD">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522CF78F">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131B751F">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0730AEC1">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42BA2EB4">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0576-88660896</w:t>
      </w:r>
      <w:r>
        <w:rPr>
          <w:rFonts w:hint="eastAsia" w:cs="Arial" w:asciiTheme="minorEastAsia" w:hAnsiTheme="minorEastAsia" w:eastAsiaTheme="minorEastAsia"/>
          <w:color w:val="auto"/>
          <w:sz w:val="24"/>
          <w:highlight w:val="none"/>
          <w:lang w:val="en-US" w:eastAsia="zh-CN"/>
        </w:rPr>
        <w:t xml:space="preserve"> </w:t>
      </w:r>
    </w:p>
    <w:p w14:paraId="5740BEC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449774E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43A816E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0377ED7E">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项目联系人（询问）：陈金泉、戴艳燕、王莎莎</w:t>
      </w:r>
    </w:p>
    <w:p w14:paraId="0E8A3971">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6B70C196">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质疑联系人：唐虹波</w:t>
      </w:r>
    </w:p>
    <w:p w14:paraId="4C03FB81">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0D5C33A1">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1E745459">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47ACC253">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69AB97F1">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3FFACF4C">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2E5BF530">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C226835">
      <w:pPr>
        <w:pStyle w:val="14"/>
        <w:ind w:firstLine="0" w:firstLineChars="0"/>
        <w:jc w:val="center"/>
        <w:rPr>
          <w:rFonts w:asciiTheme="minorEastAsia" w:hAnsiTheme="minorEastAsia" w:eastAsiaTheme="minorEastAsia"/>
          <w:b/>
          <w:color w:val="auto"/>
          <w:sz w:val="24"/>
          <w:highlight w:val="none"/>
        </w:rPr>
      </w:pPr>
    </w:p>
    <w:p w14:paraId="625F529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宋体" w:asciiTheme="minorEastAsia" w:hAnsiTheme="minorEastAsia" w:eastAsiaTheme="minorEastAsia"/>
          <w:b/>
          <w:color w:val="auto"/>
          <w:sz w:val="24"/>
          <w:highlight w:val="none"/>
        </w:rPr>
        <w:t>中标人如有融资需求，可使用以下服务</w:t>
      </w:r>
    </w:p>
    <w:p w14:paraId="450ED361">
      <w:pPr>
        <w:pStyle w:val="14"/>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479"/>
        <w:gridCol w:w="1600"/>
        <w:gridCol w:w="3748"/>
      </w:tblGrid>
      <w:tr w14:paraId="3460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shd w:val="clear" w:color="auto" w:fill="EEECE1" w:themeFill="background2"/>
            <w:vAlign w:val="center"/>
          </w:tcPr>
          <w:p w14:paraId="16D6621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1479" w:type="dxa"/>
            <w:shd w:val="clear" w:color="auto" w:fill="EEECE1" w:themeFill="background2"/>
            <w:vAlign w:val="center"/>
          </w:tcPr>
          <w:p w14:paraId="54A0B0EE">
            <w:pPr>
              <w:keepNext w:val="0"/>
              <w:keepLines w:val="0"/>
              <w:suppressLineNumbers w:val="0"/>
              <w:spacing w:before="0" w:beforeAutospacing="0" w:after="0" w:afterAutospacing="0"/>
              <w:ind w:left="0" w:right="0"/>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1600" w:type="dxa"/>
            <w:shd w:val="clear" w:color="auto" w:fill="EEECE1" w:themeFill="background2"/>
            <w:vAlign w:val="center"/>
          </w:tcPr>
          <w:p w14:paraId="77A59A9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3748" w:type="dxa"/>
            <w:shd w:val="clear" w:color="auto" w:fill="EEECE1" w:themeFill="background2"/>
            <w:vAlign w:val="center"/>
          </w:tcPr>
          <w:p w14:paraId="7EBB969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242F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5CA7CA6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1479" w:type="dxa"/>
            <w:vAlign w:val="center"/>
          </w:tcPr>
          <w:p w14:paraId="24B4FD4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74C928B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3748" w:type="dxa"/>
            <w:vAlign w:val="center"/>
          </w:tcPr>
          <w:p w14:paraId="1D04E1E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2199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4C66A3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1479" w:type="dxa"/>
            <w:vAlign w:val="center"/>
          </w:tcPr>
          <w:p w14:paraId="5AAFC0C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5F8F3C3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3748" w:type="dxa"/>
            <w:vAlign w:val="center"/>
          </w:tcPr>
          <w:p w14:paraId="3CDC67D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3B7E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65D932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1479" w:type="dxa"/>
            <w:vAlign w:val="center"/>
          </w:tcPr>
          <w:p w14:paraId="2D8032F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7C3738D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3748" w:type="dxa"/>
            <w:vAlign w:val="center"/>
          </w:tcPr>
          <w:p w14:paraId="370470B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044B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469583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1479" w:type="dxa"/>
            <w:vAlign w:val="center"/>
          </w:tcPr>
          <w:p w14:paraId="2377F32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43571AF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3748" w:type="dxa"/>
            <w:vAlign w:val="center"/>
          </w:tcPr>
          <w:p w14:paraId="05EABD8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default" w:asciiTheme="minorEastAsia" w:hAnsiTheme="minorEastAsia" w:eastAsiaTheme="minorEastAsia"/>
                <w:color w:val="auto"/>
                <w:kern w:val="0"/>
                <w:sz w:val="24"/>
                <w:highlight w:val="none"/>
              </w:rPr>
              <w:t>13857677798</w:t>
            </w:r>
          </w:p>
        </w:tc>
      </w:tr>
      <w:tr w14:paraId="3F41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C3CF79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1479" w:type="dxa"/>
            <w:vAlign w:val="center"/>
          </w:tcPr>
          <w:p w14:paraId="67EB9EF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3DF02F7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3748" w:type="dxa"/>
            <w:vAlign w:val="center"/>
          </w:tcPr>
          <w:p w14:paraId="3237394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15C0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6D0271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1479" w:type="dxa"/>
            <w:vAlign w:val="center"/>
          </w:tcPr>
          <w:p w14:paraId="087699A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5BCF3EA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3748" w:type="dxa"/>
            <w:vAlign w:val="center"/>
          </w:tcPr>
          <w:p w14:paraId="21067C9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7C16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D3871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1479" w:type="dxa"/>
            <w:vAlign w:val="center"/>
          </w:tcPr>
          <w:p w14:paraId="40E5FA8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7D35687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3748" w:type="dxa"/>
            <w:vAlign w:val="center"/>
          </w:tcPr>
          <w:p w14:paraId="0A983F5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6999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C56C22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1479" w:type="dxa"/>
            <w:vAlign w:val="center"/>
          </w:tcPr>
          <w:p w14:paraId="74132F0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1600" w:type="dxa"/>
            <w:vAlign w:val="center"/>
          </w:tcPr>
          <w:p w14:paraId="27EF370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3748" w:type="dxa"/>
            <w:vAlign w:val="center"/>
          </w:tcPr>
          <w:p w14:paraId="570F184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7838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5153C3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1479" w:type="dxa"/>
            <w:vAlign w:val="center"/>
          </w:tcPr>
          <w:p w14:paraId="40B3B0C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1600" w:type="dxa"/>
            <w:vAlign w:val="center"/>
          </w:tcPr>
          <w:p w14:paraId="22B19A6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3748" w:type="dxa"/>
            <w:vAlign w:val="center"/>
          </w:tcPr>
          <w:p w14:paraId="59AEBD2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7248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0D33C3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1479" w:type="dxa"/>
            <w:vAlign w:val="center"/>
          </w:tcPr>
          <w:p w14:paraId="3B0F6BE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1600" w:type="dxa"/>
            <w:vAlign w:val="center"/>
          </w:tcPr>
          <w:p w14:paraId="548BCB0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3748" w:type="dxa"/>
            <w:vAlign w:val="center"/>
          </w:tcPr>
          <w:p w14:paraId="467C57E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1061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83B73E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1479" w:type="dxa"/>
            <w:vAlign w:val="center"/>
          </w:tcPr>
          <w:p w14:paraId="3960DCF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1600" w:type="dxa"/>
            <w:vAlign w:val="center"/>
          </w:tcPr>
          <w:p w14:paraId="51607D1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3748" w:type="dxa"/>
            <w:vAlign w:val="center"/>
          </w:tcPr>
          <w:p w14:paraId="534DE1C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197C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6ECA01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1479" w:type="dxa"/>
            <w:vAlign w:val="center"/>
          </w:tcPr>
          <w:p w14:paraId="0C96BA5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39AB6F9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3748" w:type="dxa"/>
            <w:vAlign w:val="center"/>
          </w:tcPr>
          <w:p w14:paraId="585A9B5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613E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655BA3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1479" w:type="dxa"/>
            <w:vAlign w:val="center"/>
          </w:tcPr>
          <w:p w14:paraId="3E2EB24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1600" w:type="dxa"/>
            <w:vAlign w:val="center"/>
          </w:tcPr>
          <w:p w14:paraId="71FA5EF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3748" w:type="dxa"/>
            <w:vAlign w:val="center"/>
          </w:tcPr>
          <w:p w14:paraId="55CF928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18AE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BAC5ED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1479" w:type="dxa"/>
            <w:vAlign w:val="center"/>
          </w:tcPr>
          <w:p w14:paraId="3825B3A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1600" w:type="dxa"/>
            <w:vAlign w:val="center"/>
          </w:tcPr>
          <w:p w14:paraId="0529FC7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3748" w:type="dxa"/>
            <w:vAlign w:val="center"/>
          </w:tcPr>
          <w:p w14:paraId="660EB71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0EE2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5DB476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1479" w:type="dxa"/>
            <w:vAlign w:val="center"/>
          </w:tcPr>
          <w:p w14:paraId="4EB6BCE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1600" w:type="dxa"/>
            <w:vAlign w:val="center"/>
          </w:tcPr>
          <w:p w14:paraId="00C83ED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3748" w:type="dxa"/>
            <w:vAlign w:val="center"/>
          </w:tcPr>
          <w:p w14:paraId="03067CD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7713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614C14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1479" w:type="dxa"/>
            <w:vAlign w:val="center"/>
          </w:tcPr>
          <w:p w14:paraId="3DB157A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1600" w:type="dxa"/>
            <w:vAlign w:val="center"/>
          </w:tcPr>
          <w:p w14:paraId="4361174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3748" w:type="dxa"/>
            <w:vAlign w:val="center"/>
          </w:tcPr>
          <w:p w14:paraId="556B10C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1BD1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4CEBB3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1479" w:type="dxa"/>
            <w:vAlign w:val="center"/>
          </w:tcPr>
          <w:p w14:paraId="2458669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1600" w:type="dxa"/>
            <w:vAlign w:val="center"/>
          </w:tcPr>
          <w:p w14:paraId="1614FDB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3748" w:type="dxa"/>
            <w:vAlign w:val="center"/>
          </w:tcPr>
          <w:p w14:paraId="69A052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5CB4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B060B4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1479" w:type="dxa"/>
            <w:vAlign w:val="center"/>
          </w:tcPr>
          <w:p w14:paraId="283AF7D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2CE1E3E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3748" w:type="dxa"/>
            <w:vAlign w:val="center"/>
          </w:tcPr>
          <w:p w14:paraId="0C708FE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3C97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A92D4E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1479" w:type="dxa"/>
            <w:vAlign w:val="center"/>
          </w:tcPr>
          <w:p w14:paraId="713C2B5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2F7D6A3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3748" w:type="dxa"/>
            <w:vAlign w:val="center"/>
          </w:tcPr>
          <w:p w14:paraId="7D9EF94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68A3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2C1547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1479" w:type="dxa"/>
            <w:vAlign w:val="center"/>
          </w:tcPr>
          <w:p w14:paraId="5E5B4D5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1600" w:type="dxa"/>
            <w:vAlign w:val="center"/>
          </w:tcPr>
          <w:p w14:paraId="30E7207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3748" w:type="dxa"/>
            <w:vAlign w:val="center"/>
          </w:tcPr>
          <w:p w14:paraId="1064C16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1E9D2D97">
      <w:pPr>
        <w:pStyle w:val="26"/>
        <w:spacing w:beforeLines="50" w:afterLines="50" w:line="360" w:lineRule="auto"/>
        <w:outlineLvl w:val="0"/>
        <w:rPr>
          <w:rFonts w:asciiTheme="minorEastAsia" w:hAnsiTheme="minorEastAsia" w:eastAsiaTheme="minorEastAsia"/>
          <w:color w:val="auto"/>
          <w:sz w:val="24"/>
          <w:szCs w:val="24"/>
          <w:highlight w:val="none"/>
        </w:rPr>
      </w:pPr>
    </w:p>
    <w:p w14:paraId="3A57C11E">
      <w:pPr>
        <w:pStyle w:val="14"/>
        <w:ind w:firstLine="48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1640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shd w:val="clear" w:color="auto" w:fill="DDD9C4" w:themeFill="background2" w:themeFillShade="E6"/>
            <w:vAlign w:val="center"/>
          </w:tcPr>
          <w:p w14:paraId="1EA5FD8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shd w:val="clear" w:color="auto" w:fill="DDD9C4" w:themeFill="background2" w:themeFillShade="E6"/>
            <w:vAlign w:val="center"/>
          </w:tcPr>
          <w:p w14:paraId="7CD9093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shd w:val="clear" w:color="auto" w:fill="DDD9C4" w:themeFill="background2" w:themeFillShade="E6"/>
            <w:vAlign w:val="center"/>
          </w:tcPr>
          <w:p w14:paraId="734966A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shd w:val="clear" w:color="auto" w:fill="DDD9C4" w:themeFill="background2" w:themeFillShade="E6"/>
            <w:vAlign w:val="center"/>
          </w:tcPr>
          <w:p w14:paraId="6A9E52C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35C0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0C99F51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vAlign w:val="center"/>
          </w:tcPr>
          <w:p w14:paraId="31CC2EA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5D9B71E1">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vAlign w:val="center"/>
          </w:tcPr>
          <w:p w14:paraId="0FAFC4F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2D1D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3106514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vAlign w:val="center"/>
          </w:tcPr>
          <w:p w14:paraId="7E72647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vAlign w:val="center"/>
          </w:tcPr>
          <w:p w14:paraId="12C9C3F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vAlign w:val="center"/>
          </w:tcPr>
          <w:p w14:paraId="70EB675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5627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326AC5D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vAlign w:val="center"/>
          </w:tcPr>
          <w:p w14:paraId="4C2C780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vAlign w:val="center"/>
          </w:tcPr>
          <w:p w14:paraId="405D9C41">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vAlign w:val="center"/>
          </w:tcPr>
          <w:p w14:paraId="0DB21FA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118C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2A3F046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vAlign w:val="center"/>
          </w:tcPr>
          <w:p w14:paraId="036F26F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vAlign w:val="center"/>
          </w:tcPr>
          <w:p w14:paraId="72DAFCC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vAlign w:val="center"/>
          </w:tcPr>
          <w:p w14:paraId="50FFF2E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4B45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235A733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vAlign w:val="center"/>
          </w:tcPr>
          <w:p w14:paraId="2B628D21">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6BC5633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vAlign w:val="center"/>
          </w:tcPr>
          <w:p w14:paraId="45304FF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0B65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BF976C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vAlign w:val="center"/>
          </w:tcPr>
          <w:p w14:paraId="30191A51">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vAlign w:val="center"/>
          </w:tcPr>
          <w:p w14:paraId="008C1FA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vAlign w:val="center"/>
          </w:tcPr>
          <w:p w14:paraId="364D811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7ADC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22BCFBD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vAlign w:val="center"/>
          </w:tcPr>
          <w:p w14:paraId="2CAF6C3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vAlign w:val="center"/>
          </w:tcPr>
          <w:p w14:paraId="529DBE0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vAlign w:val="center"/>
          </w:tcPr>
          <w:p w14:paraId="6168B10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449A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6855B4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vAlign w:val="center"/>
          </w:tcPr>
          <w:p w14:paraId="6254721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vAlign w:val="center"/>
          </w:tcPr>
          <w:p w14:paraId="278B3E7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vAlign w:val="center"/>
          </w:tcPr>
          <w:p w14:paraId="033EA0F1">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2E0D642A">
      <w:pPr>
        <w:spacing w:line="276" w:lineRule="auto"/>
        <w:ind w:firstLine="843" w:firstLineChars="350"/>
        <w:jc w:val="center"/>
        <w:rPr>
          <w:rFonts w:cs="宋体" w:asciiTheme="minorEastAsia" w:hAnsiTheme="minorEastAsia" w:eastAsiaTheme="minorEastAsia"/>
          <w:b/>
          <w:color w:val="auto"/>
          <w:sz w:val="24"/>
          <w:highlight w:val="none"/>
        </w:rPr>
      </w:pPr>
    </w:p>
    <w:p w14:paraId="64BAAF70">
      <w:pPr>
        <w:spacing w:line="276" w:lineRule="auto"/>
        <w:ind w:firstLine="843" w:firstLineChars="3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28B5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vAlign w:val="center"/>
          </w:tcPr>
          <w:p w14:paraId="21D30A4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保险公司名称</w:t>
            </w:r>
          </w:p>
        </w:tc>
        <w:tc>
          <w:tcPr>
            <w:tcW w:w="2971" w:type="dxa"/>
            <w:vAlign w:val="center"/>
          </w:tcPr>
          <w:p w14:paraId="415C913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保费率</w:t>
            </w:r>
          </w:p>
        </w:tc>
        <w:tc>
          <w:tcPr>
            <w:tcW w:w="1147" w:type="dxa"/>
            <w:vAlign w:val="center"/>
          </w:tcPr>
          <w:p w14:paraId="41B1D758">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联系人</w:t>
            </w:r>
          </w:p>
        </w:tc>
        <w:tc>
          <w:tcPr>
            <w:tcW w:w="1768" w:type="dxa"/>
            <w:vAlign w:val="center"/>
          </w:tcPr>
          <w:p w14:paraId="4849196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p>
        </w:tc>
      </w:tr>
      <w:tr w14:paraId="64D1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187094C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971" w:type="dxa"/>
            <w:vAlign w:val="center"/>
          </w:tcPr>
          <w:p w14:paraId="4E5A61E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年费率3%，最低保费500元</w:t>
            </w:r>
          </w:p>
        </w:tc>
        <w:tc>
          <w:tcPr>
            <w:tcW w:w="1147" w:type="dxa"/>
            <w:vAlign w:val="center"/>
          </w:tcPr>
          <w:p w14:paraId="06C9C06F">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68" w:type="dxa"/>
            <w:vAlign w:val="center"/>
          </w:tcPr>
          <w:p w14:paraId="268D36A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29BD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12AA2BC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971" w:type="dxa"/>
            <w:vAlign w:val="center"/>
          </w:tcPr>
          <w:p w14:paraId="745471E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147" w:type="dxa"/>
            <w:vAlign w:val="center"/>
          </w:tcPr>
          <w:p w14:paraId="109F0980">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68" w:type="dxa"/>
            <w:vAlign w:val="center"/>
          </w:tcPr>
          <w:p w14:paraId="39472E71">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106B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vAlign w:val="center"/>
          </w:tcPr>
          <w:p w14:paraId="6C27B2D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天安财产保险股份有限公司台州中心支公司</w:t>
            </w:r>
          </w:p>
        </w:tc>
        <w:tc>
          <w:tcPr>
            <w:tcW w:w="2971" w:type="dxa"/>
            <w:vAlign w:val="center"/>
          </w:tcPr>
          <w:p w14:paraId="75FBBF0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年费率1%-2%，最低保费500元</w:t>
            </w:r>
          </w:p>
        </w:tc>
        <w:tc>
          <w:tcPr>
            <w:tcW w:w="1147" w:type="dxa"/>
            <w:vAlign w:val="center"/>
          </w:tcPr>
          <w:p w14:paraId="10C6987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罗赛</w:t>
            </w:r>
          </w:p>
        </w:tc>
        <w:tc>
          <w:tcPr>
            <w:tcW w:w="1768" w:type="dxa"/>
            <w:vAlign w:val="center"/>
          </w:tcPr>
          <w:p w14:paraId="3230DBE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13736605643</w:t>
            </w:r>
          </w:p>
        </w:tc>
      </w:tr>
    </w:tbl>
    <w:p w14:paraId="1A0D6B40">
      <w:pPr>
        <w:spacing w:line="400" w:lineRule="exact"/>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321D376A">
      <w:pPr>
        <w:spacing w:line="400" w:lineRule="exact"/>
        <w:ind w:firstLine="482" w:firstLineChars="200"/>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7"/>
    </w:p>
    <w:p w14:paraId="1088BE95">
      <w:pPr>
        <w:spacing w:line="360" w:lineRule="auto"/>
        <w:rPr>
          <w:color w:val="auto"/>
          <w:szCs w:val="21"/>
          <w:highlight w:val="none"/>
        </w:rPr>
        <w:sectPr>
          <w:headerReference r:id="rId6" w:type="default"/>
          <w:footerReference r:id="rId7" w:type="default"/>
          <w:pgSz w:w="11907" w:h="16840"/>
          <w:pgMar w:top="1247" w:right="1531" w:bottom="1304" w:left="1531" w:header="284" w:footer="705" w:gutter="0"/>
          <w:pgBorders>
            <w:top w:val="none" w:sz="0" w:space="0"/>
            <w:left w:val="none" w:sz="0" w:space="0"/>
            <w:bottom w:val="none" w:sz="0" w:space="0"/>
            <w:right w:val="none" w:sz="0" w:space="0"/>
          </w:pgBorders>
          <w:pgNumType w:fmt="decimal" w:start="1"/>
          <w:cols w:space="720" w:num="1"/>
          <w:docGrid w:linePitch="285" w:charSpace="0"/>
        </w:sectPr>
      </w:pPr>
    </w:p>
    <w:bookmarkEnd w:id="8"/>
    <w:bookmarkEnd w:id="9"/>
    <w:p w14:paraId="35F3C40A">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11440"/>
      <w:bookmarkStart w:id="15" w:name="_Toc18266"/>
      <w:bookmarkStart w:id="16" w:name="_Toc22671"/>
      <w:bookmarkStart w:id="17" w:name="_Toc32413"/>
      <w:bookmarkStart w:id="18" w:name="_Toc3692"/>
      <w:bookmarkStart w:id="19" w:name="_Toc13292"/>
      <w:r>
        <w:rPr>
          <w:rFonts w:hint="eastAsia" w:cs="宋体" w:asciiTheme="minorEastAsia" w:hAnsiTheme="minorEastAsia" w:eastAsiaTheme="minorEastAsia"/>
          <w:b/>
          <w:bCs/>
          <w:color w:val="auto"/>
          <w:sz w:val="32"/>
          <w:szCs w:val="32"/>
          <w:highlight w:val="none"/>
        </w:rPr>
        <w:t xml:space="preserve">第二部分  </w:t>
      </w:r>
      <w:bookmarkEnd w:id="14"/>
      <w:bookmarkEnd w:id="15"/>
      <w:bookmarkEnd w:id="16"/>
      <w:bookmarkEnd w:id="17"/>
      <w:bookmarkEnd w:id="18"/>
      <w:bookmarkStart w:id="20" w:name="_Toc53870597"/>
      <w:bookmarkStart w:id="21" w:name="_Toc32345"/>
      <w:bookmarkStart w:id="22" w:name="_Toc14033"/>
      <w:bookmarkStart w:id="23" w:name="_Toc233618971"/>
      <w:bookmarkStart w:id="24" w:name="_Toc8189"/>
      <w:bookmarkStart w:id="25" w:name="_Toc354996695"/>
      <w:bookmarkStart w:id="26" w:name="_Toc5551"/>
      <w:r>
        <w:rPr>
          <w:rFonts w:hint="eastAsia" w:cs="宋体" w:asciiTheme="minorEastAsia" w:hAnsiTheme="minorEastAsia" w:eastAsiaTheme="minorEastAsia"/>
          <w:b/>
          <w:bCs/>
          <w:color w:val="auto"/>
          <w:sz w:val="32"/>
          <w:szCs w:val="32"/>
          <w:highlight w:val="none"/>
        </w:rPr>
        <w:t>投标资料表</w:t>
      </w:r>
      <w:bookmarkEnd w:id="19"/>
      <w:bookmarkEnd w:id="20"/>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75"/>
        <w:gridCol w:w="7399"/>
      </w:tblGrid>
      <w:tr w14:paraId="1BC61D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shd w:val="clear" w:color="auto" w:fill="DDD9C4" w:themeFill="background2" w:themeFillShade="E6"/>
            <w:vAlign w:val="center"/>
          </w:tcPr>
          <w:p w14:paraId="00214ABF">
            <w:pPr>
              <w:keepNext w:val="0"/>
              <w:keepLines w:val="0"/>
              <w:suppressLineNumbers w:val="0"/>
              <w:spacing w:before="0" w:beforeAutospacing="0" w:after="0" w:afterAutospacing="0" w:line="360" w:lineRule="exact"/>
              <w:ind w:left="-108" w:right="-113"/>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3115A64E">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5F2719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restart"/>
            <w:vAlign w:val="center"/>
          </w:tcPr>
          <w:p w14:paraId="7F546C7E">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6A52E17C">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szCs w:val="24"/>
                <w:highlight w:val="none"/>
              </w:rPr>
              <w:t>台州学院</w:t>
            </w:r>
          </w:p>
          <w:p w14:paraId="0746698C">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5863A3FF">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lang w:eastAsia="zh-CN"/>
              </w:rPr>
              <w:t>浙江省台州市椒江区市府大道1139号</w:t>
            </w:r>
          </w:p>
        </w:tc>
      </w:tr>
      <w:tr w14:paraId="039F50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783B46F8">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p>
        </w:tc>
        <w:tc>
          <w:tcPr>
            <w:tcW w:w="8874" w:type="dxa"/>
            <w:gridSpan w:val="2"/>
            <w:vAlign w:val="center"/>
          </w:tcPr>
          <w:p w14:paraId="59106A56">
            <w:pPr>
              <w:keepNext w:val="0"/>
              <w:keepLines w:val="0"/>
              <w:suppressLineNumbers w:val="0"/>
              <w:tabs>
                <w:tab w:val="left" w:pos="1580"/>
                <w:tab w:val="left" w:pos="3436"/>
                <w:tab w:val="left" w:pos="5512"/>
              </w:tabs>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default" w:asciiTheme="minorEastAsia" w:hAnsiTheme="minorEastAsia" w:eastAsiaTheme="minorEastAsia"/>
                <w:color w:val="auto"/>
                <w:sz w:val="24"/>
                <w:highlight w:val="none"/>
              </w:rPr>
              <w:t>代理机构：中冠工程管理咨询有限公司</w:t>
            </w:r>
          </w:p>
          <w:p w14:paraId="4CC24051">
            <w:pPr>
              <w:keepNext w:val="0"/>
              <w:keepLines w:val="0"/>
              <w:suppressLineNumbers w:val="0"/>
              <w:tabs>
                <w:tab w:val="left" w:pos="1300"/>
              </w:tabs>
              <w:spacing w:before="0" w:beforeAutospacing="0" w:after="0" w:afterAutospacing="0" w:line="440" w:lineRule="exact"/>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陈金泉、戴艳燕、王莎莎</w:t>
            </w:r>
          </w:p>
          <w:p w14:paraId="3C375AA2">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default"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2FBDE2AB">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hint="default" w:cs="Arial" w:asciiTheme="minorEastAsia" w:hAnsiTheme="minorEastAsia" w:eastAsiaTheme="minorEastAsia"/>
                <w:color w:val="auto"/>
                <w:sz w:val="24"/>
                <w:highlight w:val="none"/>
              </w:rPr>
              <w:t>378号4楼</w:t>
            </w:r>
          </w:p>
        </w:tc>
      </w:tr>
      <w:tr w14:paraId="367799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481BB37">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1BBE2064">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经批准的本次采购人式：公开招标</w:t>
            </w:r>
          </w:p>
        </w:tc>
      </w:tr>
      <w:tr w14:paraId="361B9A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399EB1BB">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0BB984DE">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hint="default"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hint="default"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029302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0E54217A">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5FBC5176">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05FDF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02131F8">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77CE95B0">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495A78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24CD5935">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36A700D7">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591E814F">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w:t>
            </w:r>
            <w:r>
              <w:rPr>
                <w:rFonts w:hint="eastAsia" w:asciiTheme="minorEastAsia" w:hAnsiTheme="minorEastAsia" w:eastAsiaTheme="minorEastAsia"/>
                <w:b/>
                <w:bCs w:val="0"/>
                <w:color w:val="auto"/>
                <w:sz w:val="24"/>
                <w:highlight w:val="none"/>
              </w:rPr>
              <w:t>限价：2</w:t>
            </w:r>
            <w:r>
              <w:rPr>
                <w:rFonts w:hint="eastAsia" w:asciiTheme="minorEastAsia" w:hAnsiTheme="minorEastAsia" w:eastAsiaTheme="minorEastAsia"/>
                <w:b/>
                <w:bCs w:val="0"/>
                <w:color w:val="auto"/>
                <w:sz w:val="24"/>
                <w:highlight w:val="none"/>
                <w:lang w:val="en-US" w:eastAsia="zh-CN"/>
              </w:rPr>
              <w:t>79.52万元。</w:t>
            </w:r>
            <w:r>
              <w:rPr>
                <w:rFonts w:hint="eastAsia" w:asciiTheme="minorEastAsia" w:hAnsiTheme="minorEastAsia" w:eastAsiaTheme="minorEastAsia"/>
                <w:b/>
                <w:bCs w:val="0"/>
                <w:color w:val="auto"/>
                <w:sz w:val="24"/>
                <w:highlight w:val="none"/>
              </w:rPr>
              <w:t>报价超过最高限价的，其投标将作无效投标处理。</w:t>
            </w:r>
          </w:p>
          <w:p w14:paraId="1DBA472D">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2、投标报价应是采购文件所确定的采购内容及要求内全部工作内容的价格表现。其应包含实现标书的所有功能，采购人不再另外增加费用，其应包括（但不限于）</w:t>
            </w:r>
            <w:r>
              <w:rPr>
                <w:rFonts w:hint="eastAsia" w:cs="Times New Roman" w:asciiTheme="minorEastAsia" w:hAnsiTheme="minorEastAsia" w:eastAsiaTheme="minorEastAsia"/>
                <w:color w:val="auto"/>
                <w:sz w:val="24"/>
                <w:szCs w:val="24"/>
                <w:highlight w:val="none"/>
                <w:lang w:eastAsia="zh-CN"/>
              </w:rPr>
              <w:t>所有软硬件</w:t>
            </w:r>
            <w:r>
              <w:rPr>
                <w:rFonts w:hint="eastAsia" w:cs="Times New Roman" w:asciiTheme="minorEastAsia" w:hAnsiTheme="minorEastAsia" w:eastAsiaTheme="minorEastAsia"/>
                <w:color w:val="auto"/>
                <w:sz w:val="24"/>
                <w:szCs w:val="24"/>
                <w:highlight w:val="none"/>
              </w:rPr>
              <w:t>货款、标准附件、备品备件、专用工具、包装、运输、装卸、保险、税金、货到就位以及安装、调试、培训、保修等一切税金和费用。</w:t>
            </w:r>
          </w:p>
          <w:p w14:paraId="492D98E0">
            <w:pPr>
              <w:pStyle w:val="21"/>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4E9520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747199EB">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27DB97EE">
            <w:pPr>
              <w:keepNext w:val="0"/>
              <w:keepLines w:val="0"/>
              <w:suppressLineNumbers w:val="0"/>
              <w:autoSpaceDE w:val="0"/>
              <w:autoSpaceDN w:val="0"/>
              <w:snapToGrid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0AA340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27756AC3">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1A8C3C40">
            <w:pPr>
              <w:keepNext w:val="0"/>
              <w:keepLines w:val="0"/>
              <w:suppressLineNumbers w:val="0"/>
              <w:spacing w:before="0" w:beforeAutospacing="0" w:after="0" w:afterAutospacing="0" w:line="440" w:lineRule="exact"/>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27E6AA6E">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169CC93E">
            <w:pPr>
              <w:pStyle w:val="21"/>
              <w:keepNext w:val="0"/>
              <w:keepLines w:val="0"/>
              <w:suppressLineNumbers w:val="0"/>
              <w:spacing w:before="0" w:beforeAutospacing="0" w:after="0" w:afterAutospacing="0" w:line="440" w:lineRule="exact"/>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hint="default"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4C391409">
            <w:pPr>
              <w:pStyle w:val="21"/>
              <w:keepNext w:val="0"/>
              <w:keepLines w:val="0"/>
              <w:suppressLineNumbers w:val="0"/>
              <w:spacing w:before="0" w:beforeAutospacing="0" w:after="0" w:afterAutospacing="0" w:line="440" w:lineRule="exact"/>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631B3BCC">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投标文件解密：投标供应商应在开标后30分钟内完成解密。</w:t>
            </w:r>
          </w:p>
          <w:p w14:paraId="3304DD07">
            <w:pPr>
              <w:pStyle w:val="21"/>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4、中标供应商中标后需提供纸质投标文件给采购人作为备案存档，纸质投标文件系电子投标文件纸质版，两者内容应一致；数量为：资格证明文件2份；资格及商务技术文件2份；报价文件2份。</w:t>
            </w:r>
          </w:p>
        </w:tc>
      </w:tr>
      <w:tr w14:paraId="43B35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0D9B0F2B">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1913EF06">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7A1011D4">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1、上传到政府采购云平台的电子加密投标文件（含资格证明文件、技术商务文件、报价文件）1份。</w:t>
            </w:r>
          </w:p>
          <w:p w14:paraId="1B7AA6BE">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2、电子备份投标文件（含资格证明文件、技术商务文件、报价文件）1份。备份投标文件是通过政采云电子交易客户端制作投标文件产生的备份文件，请投标供应商自行妥善保管。</w:t>
            </w:r>
          </w:p>
          <w:p w14:paraId="44C77B04">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6DF5E1F0">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13A11465">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default"/>
                <w:color w:val="auto"/>
                <w:highlight w:val="none"/>
              </w:rPr>
              <w:fldChar w:fldCharType="begin"/>
            </w:r>
            <w:r>
              <w:rPr>
                <w:rFonts w:hint="default"/>
                <w:color w:val="auto"/>
                <w:highlight w:val="none"/>
              </w:rPr>
              <w:instrText xml:space="preserve"> HYPERLINK "mailto:zgtzfgs@163.com" </w:instrText>
            </w:r>
            <w:r>
              <w:rPr>
                <w:rFonts w:hint="default"/>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102E4807">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0A267A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3E0C63BC">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4F83B8C4">
            <w:pPr>
              <w:keepNext w:val="0"/>
              <w:keepLines w:val="0"/>
              <w:suppressLineNumbers w:val="0"/>
              <w:autoSpaceDE w:val="0"/>
              <w:autoSpaceDN w:val="0"/>
              <w:snapToGrid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p>
        </w:tc>
      </w:tr>
      <w:tr w14:paraId="0DA5F1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5BAA742F">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22643D39">
            <w:pPr>
              <w:keepNext w:val="0"/>
              <w:keepLines w:val="0"/>
              <w:suppressLineNumbers w:val="0"/>
              <w:autoSpaceDE w:val="0"/>
              <w:autoSpaceDN w:val="0"/>
              <w:snapToGrid w:val="0"/>
              <w:spacing w:before="0" w:beforeAutospacing="0" w:after="0" w:afterAutospacing="0" w:line="440" w:lineRule="exact"/>
              <w:ind w:left="0" w:right="0"/>
              <w:contextualSpacing/>
              <w:jc w:val="left"/>
              <w:rPr>
                <w:rFonts w:hint="default"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hint="default"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4FDDC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9F62F59">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1F26325C">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13551D12">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2、节能产品、环保产品：无要求；</w:t>
            </w:r>
          </w:p>
          <w:p w14:paraId="4CEE9BBE">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lang w:eastAsia="zh-CN"/>
              </w:rPr>
            </w:pPr>
            <w:r>
              <w:rPr>
                <w:rFonts w:hint="default" w:cs="Times New Roman" w:asciiTheme="minorEastAsia" w:hAnsiTheme="minorEastAsia" w:eastAsiaTheme="minorEastAsia"/>
                <w:color w:val="auto"/>
                <w:sz w:val="24"/>
                <w:szCs w:val="24"/>
                <w:highlight w:val="none"/>
              </w:rPr>
              <w:t>3、样品：</w:t>
            </w:r>
            <w:r>
              <w:rPr>
                <w:rFonts w:hint="eastAsia" w:cs="Times New Roman" w:asciiTheme="minorEastAsia" w:hAnsiTheme="minorEastAsia" w:eastAsiaTheme="minorEastAsia"/>
                <w:color w:val="auto"/>
                <w:sz w:val="24"/>
                <w:szCs w:val="24"/>
                <w:highlight w:val="none"/>
                <w:lang w:eastAsia="zh-CN"/>
              </w:rPr>
              <w:t>无</w:t>
            </w:r>
          </w:p>
          <w:p w14:paraId="1BFC4CAC">
            <w:pPr>
              <w:pStyle w:val="21"/>
              <w:keepNext w:val="0"/>
              <w:keepLines w:val="0"/>
              <w:suppressLineNumbers w:val="0"/>
              <w:spacing w:before="0" w:beforeAutospacing="0" w:after="0" w:afterAutospacing="0" w:line="444"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4、视频演示：</w:t>
            </w:r>
            <w:sdt>
              <w:sdtPr>
                <w:rPr>
                  <w:rFonts w:hint="eastAsia" w:ascii="宋体" w:hAnsi="宋体" w:eastAsia="宋体" w:cs="宋体"/>
                  <w:b/>
                  <w:bCs/>
                  <w:color w:val="auto"/>
                  <w:kern w:val="0"/>
                  <w:sz w:val="24"/>
                  <w:szCs w:val="24"/>
                  <w:highlight w:val="none"/>
                </w:rPr>
                <w:id w:val="-1859348549"/>
                <w14:checkbox>
                  <w14:checked w14:val="0"/>
                  <w14:checkedState w14:val="00FE" w14:font="Wingdings"/>
                  <w14:uncheckedState w14:val="2610" w14:font="MS Gothic"/>
                </w14:checkbox>
              </w:sdtPr>
              <w:sdtEndPr>
                <w:rPr>
                  <w:rFonts w:hint="eastAsia" w:ascii="宋体" w:hAnsi="宋体" w:eastAsia="宋体" w:cs="宋体"/>
                  <w:b/>
                  <w:bCs/>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A不组织。</w:t>
            </w:r>
          </w:p>
          <w:p w14:paraId="7FE6E81C">
            <w:pPr>
              <w:keepNext w:val="0"/>
              <w:keepLines w:val="0"/>
              <w:suppressLineNumbers w:val="0"/>
              <w:spacing w:before="0" w:beforeAutospacing="0" w:after="0" w:afterAutospacing="0" w:line="444" w:lineRule="exact"/>
              <w:ind w:left="0" w:right="0"/>
              <w:jc w:val="left"/>
              <w:rPr>
                <w:rFonts w:hint="eastAsia" w:ascii="宋体" w:hAnsi="宋体" w:eastAsia="宋体" w:cs="宋体"/>
                <w:color w:val="auto"/>
                <w:sz w:val="24"/>
                <w:szCs w:val="24"/>
                <w:highlight w:val="none"/>
              </w:rPr>
            </w:pPr>
            <w:sdt>
              <w:sdtPr>
                <w:rPr>
                  <w:rFonts w:hint="eastAsia" w:ascii="宋体" w:hAnsi="宋体" w:eastAsia="宋体" w:cs="宋体"/>
                  <w:b/>
                  <w:bCs/>
                  <w:color w:val="auto"/>
                  <w:kern w:val="0"/>
                  <w:sz w:val="24"/>
                  <w:szCs w:val="24"/>
                  <w:highlight w:val="none"/>
                </w:rPr>
                <w:id w:val="147470456"/>
                <w14:checkbox>
                  <w14:checked w14:val="1"/>
                  <w14:checkedState w14:val="00FE" w14:font="Wingdings"/>
                  <w14:uncheckedState w14:val="2610" w14:font="MS Gothic"/>
                </w14:checkbox>
              </w:sdtPr>
              <w:sdtEndPr>
                <w:rPr>
                  <w:rFonts w:hint="eastAsia" w:ascii="宋体" w:hAnsi="宋体" w:eastAsia="宋体" w:cs="宋体"/>
                  <w:b/>
                  <w:bCs/>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组织：（1）本项目评分标准中的视频演示，供应商通过政采云“视频评审”系统进行远程在线演示，每次只邀请一家供应商进入评审室，供应商演示完成后应自动退出评审室。供应商自行准备演示的设备并提前测试耳麦、麦克风是否正常运行。</w:t>
            </w:r>
          </w:p>
          <w:p w14:paraId="63421727">
            <w:pPr>
              <w:keepNext w:val="0"/>
              <w:keepLines w:val="0"/>
              <w:numPr>
                <w:ilvl w:val="0"/>
                <w:numId w:val="6"/>
              </w:numPr>
              <w:suppressLineNumbers w:val="0"/>
              <w:spacing w:before="0" w:beforeAutospacing="0" w:after="0" w:afterAutospacing="0" w:line="444"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视频演示备份文件：供应商可于提交投标文件截止时间前将视频演示备份文件以介质（U盘）存储的形式密封，采用现场递交或邮寄送达方式递交。</w:t>
            </w:r>
          </w:p>
          <w:p w14:paraId="10C81724">
            <w:pPr>
              <w:keepNext w:val="0"/>
              <w:keepLines w:val="0"/>
              <w:suppressLineNumbers w:val="0"/>
              <w:spacing w:before="0" w:beforeAutospacing="0" w:after="0" w:afterAutospacing="0" w:line="444" w:lineRule="exact"/>
              <w:ind w:left="0" w:right="0" w:firstLine="57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方式一：现场递交方式</w:t>
            </w:r>
            <w:r>
              <w:rPr>
                <w:rFonts w:hint="eastAsia" w:ascii="宋体" w:hAnsi="宋体" w:eastAsia="宋体" w:cs="宋体"/>
                <w:color w:val="auto"/>
                <w:sz w:val="24"/>
                <w:szCs w:val="24"/>
                <w:highlight w:val="none"/>
              </w:rPr>
              <w:t>，供应商可安排授权代表在投标截止时间前将视频演示备份文件送至开标地点：台州市公共资源交易中心三楼开标大厅。视频演示备份文件递交时须同时递交供应商的法定代表人（或其授权代表）联系方式，并保证投标期间联系方式畅通。</w:t>
            </w:r>
          </w:p>
          <w:p w14:paraId="03ABDC5C">
            <w:pPr>
              <w:keepNext w:val="0"/>
              <w:keepLines w:val="0"/>
              <w:suppressLineNumbers w:val="0"/>
              <w:spacing w:before="0" w:beforeAutospacing="0" w:after="0" w:afterAutospacing="0" w:line="444" w:lineRule="exact"/>
              <w:ind w:left="0" w:right="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方式二：邮寄送达，</w:t>
            </w:r>
            <w:r>
              <w:rPr>
                <w:rFonts w:hint="eastAsia" w:ascii="宋体" w:hAnsi="宋体" w:eastAsia="宋体" w:cs="宋体"/>
                <w:color w:val="auto"/>
                <w:sz w:val="24"/>
                <w:szCs w:val="24"/>
                <w:highlight w:val="none"/>
              </w:rPr>
              <w:t>送达地址：台州市椒江区东海大道378号4楼，联系方式：陈金泉、王莎莎，18968407875。供应商邮寄后可将邮件单号发送至中冠工程管理咨询有限公司电子邮箱（电子邮箱：zgtzfgs@163.com），以便查询物流记录。各供应商应当确保视频演示备份文件的密封包装在邮寄过程保持完好，并在邮寄包裹上注明项目名称、项目编号，因邮寄造成视频演示备份文件密封破损而不符合采购文件对视频演示备份文件的密封要求、或邮寄过程中导致视频演示备份文件未能在投标截止时间前送达的，代理机构将拒绝其视频演示备份文件。各供应商自行考虑邮寄在途时间，视频演示备份文件送达时间以代理机构工作人员实际签收时间为准。 逾期送达的或者未送达指定地点的，代理机构不予受理。</w:t>
            </w:r>
          </w:p>
          <w:p w14:paraId="3DEDF026">
            <w:pPr>
              <w:pStyle w:val="21"/>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sz w:val="24"/>
                <w:szCs w:val="24"/>
                <w:highlight w:val="none"/>
              </w:rPr>
            </w:pPr>
            <w:r>
              <w:rPr>
                <w:rFonts w:hint="eastAsia" w:ascii="宋体" w:hAnsi="宋体" w:eastAsia="宋体" w:cs="宋体"/>
                <w:b/>
                <w:bCs/>
                <w:color w:val="auto"/>
                <w:sz w:val="24"/>
                <w:szCs w:val="24"/>
                <w:highlight w:val="none"/>
              </w:rPr>
              <w:t>（3）视频演示备份文件不强制要求提交，但供应商远程在线演示时因自身设备原因无法演示又未递交视频演示备份文件的，视为供应商未提供视频演示。</w:t>
            </w:r>
          </w:p>
        </w:tc>
      </w:tr>
      <w:tr w14:paraId="2E1031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823" w:type="dxa"/>
            <w:vAlign w:val="center"/>
          </w:tcPr>
          <w:p w14:paraId="69F37B7F">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75" w:type="dxa"/>
            <w:vAlign w:val="center"/>
          </w:tcPr>
          <w:p w14:paraId="371D9C16">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399" w:type="dxa"/>
            <w:vAlign w:val="center"/>
          </w:tcPr>
          <w:p w14:paraId="64FE3691">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本项目不允许采购进口产品。</w:t>
            </w:r>
          </w:p>
          <w:p w14:paraId="0A2FD6B5">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b w:val="0"/>
                <w:bCs w:val="0"/>
                <w:color w:val="auto"/>
                <w:sz w:val="24"/>
                <w:highlight w:val="none"/>
              </w:rPr>
              <w:t>可以</w:t>
            </w:r>
            <w:r>
              <w:rPr>
                <w:rFonts w:hint="eastAsia" w:ascii="宋体" w:hAnsi="宋体" w:eastAsia="宋体" w:cs="宋体"/>
                <w:b w:val="0"/>
                <w:bCs w:val="0"/>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7A183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7BA936DA">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75" w:type="dxa"/>
            <w:vAlign w:val="center"/>
          </w:tcPr>
          <w:p w14:paraId="60319EB4">
            <w:pPr>
              <w:keepNext w:val="0"/>
              <w:keepLines w:val="0"/>
              <w:suppressLineNumbers w:val="0"/>
              <w:spacing w:before="0" w:beforeAutospacing="0" w:after="0" w:afterAutospacing="0" w:line="440" w:lineRule="exact"/>
              <w:ind w:left="17" w:right="0" w:hanging="16" w:hangingChars="7"/>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399" w:type="dxa"/>
            <w:vAlign w:val="center"/>
          </w:tcPr>
          <w:p w14:paraId="121E3B1F">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A货物类，核心产品为：</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网络安全竞技系统</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751A5160">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5EBE0A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23" w:type="dxa"/>
            <w:vAlign w:val="center"/>
          </w:tcPr>
          <w:p w14:paraId="30740A30">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75" w:type="dxa"/>
            <w:vAlign w:val="center"/>
          </w:tcPr>
          <w:p w14:paraId="2647C4C9">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7399" w:type="dxa"/>
            <w:vAlign w:val="center"/>
          </w:tcPr>
          <w:p w14:paraId="29E53DC2">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single"/>
              </w:rPr>
              <w:t>虚拟化防火墙</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7904003F">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single"/>
              </w:rPr>
              <w:t>虚拟化上网行为管理</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w:t>
            </w:r>
          </w:p>
          <w:p w14:paraId="4DF7E3BB">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虚拟化WEB应用防火墙</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698A84A9">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虚拟化入侵防御系统</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10363F09">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虚拟化漏洞扫描与防护</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5B685776">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CTF竞赛解题实战课程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19ABA32A">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标的：</w:t>
            </w:r>
            <w:r>
              <w:rPr>
                <w:rFonts w:hint="eastAsia" w:ascii="宋体" w:hAnsi="宋体" w:eastAsia="宋体" w:cs="宋体"/>
                <w:color w:val="auto"/>
                <w:sz w:val="24"/>
                <w:szCs w:val="24"/>
                <w:highlight w:val="none"/>
                <w:u w:val="single"/>
              </w:rPr>
              <w:t>网络安全攻防技术实战课程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702A5F61">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企业网及服务建设课程</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189E4439">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WEB安全综合实战课程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69299E44">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Linux操作系统安全课程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35650708">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入侵检测基础课程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1AF78732">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网络安全技术基础课程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40BFB52D">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网络安全应急响应课程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7639A1BC">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逆向工程技术实战课程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56982FF9">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企业网渗透测试课程</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295754ED">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密码学算法编程课程</w:t>
            </w:r>
            <w:r>
              <w:rPr>
                <w:rFonts w:hint="eastAsia" w:ascii="宋体" w:hAnsi="宋体" w:eastAsia="宋体" w:cs="宋体"/>
                <w:b w:val="0"/>
                <w:bCs w:val="0"/>
                <w:color w:val="auto"/>
                <w:kern w:val="0"/>
                <w:sz w:val="24"/>
                <w:szCs w:val="24"/>
                <w:highlight w:val="none"/>
                <w:u w:val="single"/>
              </w:rPr>
              <w:t>资源包</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089BC46C">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网络安全竞技系统</w:t>
            </w:r>
            <w:r>
              <w:rPr>
                <w:rFonts w:hint="eastAsia" w:ascii="宋体" w:hAnsi="宋体" w:eastAsia="宋体" w:cs="宋体"/>
                <w:color w:val="auto"/>
                <w:sz w:val="24"/>
                <w:szCs w:val="24"/>
                <w:highlight w:val="none"/>
                <w:u w:val="single"/>
                <w:lang w:eastAsia="zh-CN"/>
              </w:rPr>
              <w:t>（提供账号、队伍、角色权限管理，并提供系统配置、审计日志、系统版本管理。系统提供竞赛创建、竞赛中管理、竞赛结果导出、题库管理、工具管理、竞赛展屏。可支撑个人赛、团体赛2种参赛方式；理论赛、解题赛、攻防赛3种竞赛形式，并配有1000道选择类题目。150道解题赛题目(题库包含CRYPTO、MISC、WEB、PWN、Revers方向)，20道攻防赛题目，并配有解题思路。</w:t>
            </w:r>
          </w:p>
          <w:p w14:paraId="61DDAFD8">
            <w:pPr>
              <w:keepNext w:val="0"/>
              <w:keepLines w:val="0"/>
              <w:numPr>
                <w:ilvl w:val="0"/>
                <w:numId w:val="0"/>
              </w:numPr>
              <w:suppressLineNumbers w:val="0"/>
              <w:spacing w:before="0" w:beforeAutospacing="0" w:after="0" w:afterAutospacing="0" w:line="440" w:lineRule="exact"/>
              <w:ind w:left="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可支撑用户自主刷题，查看解题思路，并统计训练人次、通过率、训练题目分类、题目占比等数据）</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75EDAE6E">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边界防火墙认证模块</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w:t>
            </w:r>
          </w:p>
          <w:p w14:paraId="1C550F48">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上网行为管理认证模块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55F4975B">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IPS认证模块</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48640928">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WAF认证模块</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7C395709">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日志审计系统认证模块</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6D9EA288">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数据库审计系统认证模块</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38B6331C">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堡垒机认证模块</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w:t>
            </w:r>
          </w:p>
          <w:p w14:paraId="602B3AED">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态势感知认证模块</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79CEA42F">
            <w:pPr>
              <w:keepNext w:val="0"/>
              <w:keepLines w:val="0"/>
              <w:numPr>
                <w:ilvl w:val="0"/>
                <w:numId w:val="7"/>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网络准入控制认证模块</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0E337831">
            <w:pPr>
              <w:keepNext w:val="0"/>
              <w:keepLines w:val="0"/>
              <w:numPr>
                <w:ilvl w:val="0"/>
                <w:numId w:val="7"/>
              </w:numPr>
              <w:suppressLineNumbers w:val="0"/>
              <w:spacing w:before="0" w:beforeAutospacing="0" w:after="0" w:afterAutospacing="0" w:line="440" w:lineRule="exact"/>
              <w:ind w:left="0" w:right="0"/>
              <w:rPr>
                <w:rFonts w:hint="eastAsia" w:cs="Times New Roman"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single"/>
                <w:lang w:val="en-US" w:eastAsia="zh-CN"/>
              </w:rPr>
              <w:t>核心交换机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16A73B14">
            <w:pPr>
              <w:keepNext w:val="0"/>
              <w:keepLines w:val="0"/>
              <w:numPr>
                <w:ilvl w:val="0"/>
                <w:numId w:val="7"/>
              </w:numPr>
              <w:suppressLineNumbers w:val="0"/>
              <w:spacing w:before="0" w:beforeAutospacing="0" w:after="0" w:afterAutospacing="0" w:line="440" w:lineRule="exact"/>
              <w:ind w:left="0" w:right="0"/>
              <w:rPr>
                <w:rFonts w:hint="eastAsia" w:cs="Times New Roman"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聚会</w:t>
            </w:r>
            <w:r>
              <w:rPr>
                <w:rFonts w:hint="eastAsia" w:ascii="宋体" w:hAnsi="宋体" w:cs="宋体"/>
                <w:color w:val="auto"/>
                <w:sz w:val="24"/>
                <w:szCs w:val="24"/>
                <w:highlight w:val="none"/>
                <w:u w:val="single"/>
                <w:lang w:val="en-US" w:eastAsia="zh-CN"/>
              </w:rPr>
              <w:t>交换机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w:t>
            </w:r>
          </w:p>
          <w:p w14:paraId="366071AF">
            <w:pPr>
              <w:keepNext w:val="0"/>
              <w:keepLines w:val="0"/>
              <w:numPr>
                <w:ilvl w:val="0"/>
                <w:numId w:val="7"/>
              </w:numPr>
              <w:suppressLineNumbers w:val="0"/>
              <w:spacing w:before="0" w:beforeAutospacing="0" w:after="0" w:afterAutospacing="0" w:line="440" w:lineRule="exact"/>
              <w:ind w:left="0" w:right="0"/>
              <w:rPr>
                <w:rFonts w:hint="eastAsia" w:cs="Times New Roman"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single"/>
                <w:lang w:val="en-US" w:eastAsia="zh-CN"/>
              </w:rPr>
              <w:t>网络机柜</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tc>
      </w:tr>
      <w:tr w14:paraId="519E70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3" w:hRule="atLeast"/>
          <w:jc w:val="center"/>
        </w:trPr>
        <w:tc>
          <w:tcPr>
            <w:tcW w:w="823" w:type="dxa"/>
            <w:vAlign w:val="center"/>
          </w:tcPr>
          <w:p w14:paraId="1ABDE1D5">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3F447F63">
            <w:pPr>
              <w:pStyle w:val="28"/>
              <w:keepNext w:val="0"/>
              <w:keepLines w:val="0"/>
              <w:suppressLineNumbers w:val="0"/>
              <w:spacing w:before="0" w:beforeAutospacing="0" w:after="0" w:afterAutospacing="0" w:line="440" w:lineRule="exact"/>
              <w:ind w:left="0" w:leftChars="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w:t>
            </w:r>
            <w:r>
              <w:rPr>
                <w:rFonts w:hint="eastAsia" w:asciiTheme="minorEastAsia" w:hAnsiTheme="minorEastAsia" w:eastAsiaTheme="minorEastAsia"/>
                <w:color w:val="auto"/>
                <w:sz w:val="24"/>
                <w:szCs w:val="24"/>
                <w:highlight w:val="none"/>
              </w:rPr>
              <w:t>本项目不收</w:t>
            </w:r>
            <w:r>
              <w:rPr>
                <w:rFonts w:hint="eastAsia" w:asciiTheme="minorEastAsia" w:hAnsiTheme="minorEastAsia" w:eastAsiaTheme="minorEastAsia"/>
                <w:color w:val="auto"/>
                <w:sz w:val="24"/>
                <w:szCs w:val="24"/>
                <w:highlight w:val="none"/>
                <w:lang w:eastAsia="zh-CN"/>
              </w:rPr>
              <w:t>取</w:t>
            </w:r>
            <w:r>
              <w:rPr>
                <w:rFonts w:hint="eastAsia" w:asciiTheme="minorEastAsia" w:hAnsiTheme="minorEastAsia" w:eastAsiaTheme="minorEastAsia"/>
                <w:color w:val="auto"/>
                <w:sz w:val="24"/>
                <w:szCs w:val="24"/>
                <w:highlight w:val="none"/>
              </w:rPr>
              <w:t>履约保证金</w:t>
            </w:r>
            <w:r>
              <w:rPr>
                <w:rFonts w:hint="eastAsia" w:asciiTheme="minorEastAsia" w:hAnsiTheme="minorEastAsia" w:eastAsiaTheme="minorEastAsia"/>
                <w:color w:val="auto"/>
                <w:sz w:val="24"/>
                <w:highlight w:val="none"/>
              </w:rPr>
              <w:t>。</w:t>
            </w:r>
          </w:p>
        </w:tc>
      </w:tr>
      <w:tr w14:paraId="0AD465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2E0F4795">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607E2B80">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代理服务费：</w:t>
            </w:r>
          </w:p>
          <w:p w14:paraId="3320C7AD">
            <w:pPr>
              <w:keepNext w:val="0"/>
              <w:keepLines w:val="0"/>
              <w:suppressLineNumbers w:val="0"/>
              <w:spacing w:before="0" w:beforeAutospacing="0" w:after="0" w:afterAutospacing="0" w:line="336" w:lineRule="auto"/>
              <w:ind w:left="0" w:right="420" w:rightChars="200"/>
              <w:rPr>
                <w:rFonts w:hint="default" w:ascii="宋体" w:hAnsi="宋体" w:cs="宋体"/>
                <w:b/>
                <w:color w:val="auto"/>
                <w:sz w:val="24"/>
                <w:szCs w:val="24"/>
                <w:highlight w:val="none"/>
              </w:rPr>
            </w:pPr>
            <w:r>
              <w:rPr>
                <w:rFonts w:hint="eastAsia" w:ascii="宋体" w:hAnsi="宋体" w:cs="宋体"/>
                <w:color w:val="auto"/>
                <w:sz w:val="24"/>
                <w:szCs w:val="24"/>
                <w:highlight w:val="none"/>
              </w:rPr>
              <w:t>1、代理费金额：本项目招标代理费用参照下表中货物类计算标准乘以</w:t>
            </w:r>
            <w:r>
              <w:rPr>
                <w:rFonts w:hint="eastAsia" w:ascii="宋体" w:hAnsi="宋体" w:cs="宋体"/>
                <w:color w:val="auto"/>
                <w:sz w:val="24"/>
                <w:szCs w:val="24"/>
                <w:highlight w:val="none"/>
                <w:lang w:val="en-US" w:eastAsia="zh-CN"/>
              </w:rPr>
              <w:t>39.8</w:t>
            </w:r>
            <w:r>
              <w:rPr>
                <w:rFonts w:hint="eastAsia" w:ascii="宋体" w:hAnsi="宋体" w:cs="宋体"/>
                <w:color w:val="auto"/>
                <w:sz w:val="24"/>
                <w:szCs w:val="24"/>
                <w:highlight w:val="none"/>
              </w:rPr>
              <w:t>%计算（差额定率累进法），按照中标通知书确定的中标金额，向成交供应商收取招标代理服务费</w:t>
            </w:r>
            <w:r>
              <w:rPr>
                <w:rFonts w:hint="eastAsia" w:ascii="宋体" w:hAnsi="宋体" w:cs="宋体"/>
                <w:bCs/>
                <w:color w:val="auto"/>
                <w:sz w:val="24"/>
                <w:szCs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6AA46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trPr>
              <w:tc>
                <w:tcPr>
                  <w:tcW w:w="2630" w:type="dxa"/>
                </w:tcPr>
                <w:p w14:paraId="66DC1C85">
                  <w:pPr>
                    <w:keepNext w:val="0"/>
                    <w:keepLines w:val="0"/>
                    <w:suppressLineNumbers w:val="0"/>
                    <w:spacing w:before="0" w:beforeAutospacing="0" w:after="0" w:afterAutospacing="0" w:line="440" w:lineRule="exact"/>
                    <w:ind w:left="0" w:right="0" w:firstLine="1320" w:firstLineChars="5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8.5pt;margin-top:0.1pt;height:65.9pt;width:108.95pt;z-index:251667456;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s5kvTAAAABwEAAA8AAAAAAAAAAQAgAAAAIgAAAGRy&#10;cy9kb3ducmV2LnhtbFBLAQIUABQAAAAIAIdO4kACYP9ACgIAAAsEAAAOAAAAAAAAAAEAIAAAACIB&#10;AABkcnMvZTJvRG9jLnhtbFBLBQYAAAAABgAGAFkBAACe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服务类型</w:t>
                  </w:r>
                </w:p>
                <w:p w14:paraId="1F50C405">
                  <w:pPr>
                    <w:keepNext w:val="0"/>
                    <w:keepLines w:val="0"/>
                    <w:suppressLineNumbers w:val="0"/>
                    <w:spacing w:before="0" w:beforeAutospacing="0" w:after="0" w:afterAutospacing="0" w:line="440" w:lineRule="exact"/>
                    <w:ind w:left="0" w:right="0" w:firstLine="1080" w:firstLineChars="4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2pt;margin-top:1.8pt;height:42.2pt;width:132.65pt;z-index:251668480;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3FrVAAAACAEAAA8AAAAAAAAAAQAgAAAAIgAA&#10;AGRycy9kb3ducmV2LnhtbFBLAQIUABQAAAAIAIdO4kB3wXHLCwIAAAsEAAAOAAAAAAAAAAEAIAAA&#10;ACQBAABkcnMvZTJvRG9jLnhtbFBLBQYAAAAABgAGAFkBAACh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费率</w:t>
                  </w:r>
                </w:p>
                <w:p w14:paraId="4726447E">
                  <w:pPr>
                    <w:keepNext w:val="0"/>
                    <w:keepLines w:val="0"/>
                    <w:suppressLineNumbers w:val="0"/>
                    <w:spacing w:before="0" w:beforeAutospacing="0" w:after="0" w:afterAutospacing="0" w:line="440" w:lineRule="exact"/>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449" w:type="dxa"/>
                  <w:vAlign w:val="center"/>
                </w:tcPr>
                <w:p w14:paraId="0BE3C8F3">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货物招标</w:t>
                  </w:r>
                </w:p>
              </w:tc>
              <w:tc>
                <w:tcPr>
                  <w:tcW w:w="2039" w:type="dxa"/>
                  <w:vAlign w:val="center"/>
                </w:tcPr>
                <w:p w14:paraId="6928DBC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服务招标</w:t>
                  </w:r>
                </w:p>
              </w:tc>
              <w:tc>
                <w:tcPr>
                  <w:tcW w:w="2040" w:type="dxa"/>
                  <w:vAlign w:val="center"/>
                </w:tcPr>
                <w:p w14:paraId="15BF6A9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工程招标</w:t>
                  </w:r>
                </w:p>
              </w:tc>
            </w:tr>
            <w:tr w14:paraId="71BDB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204736D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100以下</w:t>
                  </w:r>
                </w:p>
              </w:tc>
              <w:tc>
                <w:tcPr>
                  <w:tcW w:w="1449" w:type="dxa"/>
                </w:tcPr>
                <w:p w14:paraId="4FA933C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39" w:type="dxa"/>
                </w:tcPr>
                <w:p w14:paraId="2DD24F60">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40" w:type="dxa"/>
                </w:tcPr>
                <w:p w14:paraId="64245B6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r>
            <w:tr w14:paraId="3394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6A1EA05D">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100-500</w:t>
                  </w:r>
                </w:p>
              </w:tc>
              <w:tc>
                <w:tcPr>
                  <w:tcW w:w="1449" w:type="dxa"/>
                </w:tcPr>
                <w:p w14:paraId="0D4D83B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039" w:type="dxa"/>
                </w:tcPr>
                <w:p w14:paraId="66D6980C">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40" w:type="dxa"/>
                </w:tcPr>
                <w:p w14:paraId="05DF108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0.7%</w:t>
                  </w:r>
                </w:p>
              </w:tc>
            </w:tr>
          </w:tbl>
          <w:p w14:paraId="012FE763">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2、中标人应在接到代理机构通知之日起5个工作日之内向采购代理机构支付代理服务费。</w:t>
            </w:r>
          </w:p>
          <w:p w14:paraId="5EB0DE5A">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3、收费账号：</w:t>
            </w:r>
          </w:p>
          <w:p w14:paraId="1250DD46">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开户银行：中国农业银行股份有限公司台州经济开发区支行</w:t>
            </w:r>
          </w:p>
          <w:p w14:paraId="5DC58601">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户名：中冠工程管理咨询有限公司台州分公司</w:t>
            </w:r>
          </w:p>
          <w:p w14:paraId="45C79715">
            <w:pPr>
              <w:pStyle w:val="21"/>
              <w:keepNext w:val="0"/>
              <w:keepLines w:val="0"/>
              <w:suppressLineNumbers w:val="0"/>
              <w:spacing w:before="0" w:beforeAutospacing="0" w:after="0" w:afterAutospacing="0" w:line="440" w:lineRule="exact"/>
              <w:ind w:left="0" w:right="0" w:firstLine="0" w:firstLineChars="0"/>
              <w:jc w:val="left"/>
              <w:rPr>
                <w:rFonts w:hint="default"/>
                <w:color w:val="auto"/>
                <w:sz w:val="24"/>
                <w:szCs w:val="24"/>
                <w:highlight w:val="none"/>
              </w:rPr>
            </w:pPr>
            <w:r>
              <w:rPr>
                <w:rFonts w:hint="eastAsia" w:ascii="宋体" w:hAnsi="宋体" w:cs="宋体"/>
                <w:color w:val="auto"/>
                <w:sz w:val="24"/>
                <w:szCs w:val="24"/>
                <w:highlight w:val="none"/>
              </w:rPr>
              <w:t>账号：19900101040031566</w:t>
            </w:r>
          </w:p>
        </w:tc>
      </w:tr>
      <w:tr w14:paraId="1FBE88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0EEAD8B0">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40E0F714">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06854C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823" w:type="dxa"/>
            <w:vAlign w:val="center"/>
          </w:tcPr>
          <w:p w14:paraId="085EF0E4">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3C8BB24A">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bookmarkEnd w:id="21"/>
      <w:bookmarkEnd w:id="22"/>
      <w:bookmarkEnd w:id="23"/>
      <w:bookmarkEnd w:id="24"/>
      <w:bookmarkEnd w:id="25"/>
      <w:bookmarkEnd w:id="26"/>
    </w:tbl>
    <w:p w14:paraId="5961C89D">
      <w:pPr>
        <w:pStyle w:val="26"/>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7" w:name="_Toc5157"/>
      <w:bookmarkStart w:id="28" w:name="_Toc28191"/>
      <w:bookmarkStart w:id="29" w:name="_Toc1293"/>
      <w:bookmarkStart w:id="30" w:name="_Toc17817"/>
      <w:bookmarkStart w:id="31" w:name="_Toc19894"/>
      <w:bookmarkStart w:id="32" w:name="_Toc10621"/>
      <w:r>
        <w:rPr>
          <w:rFonts w:hint="eastAsia" w:asciiTheme="minorEastAsia" w:hAnsiTheme="minorEastAsia" w:eastAsiaTheme="minorEastAsia"/>
          <w:b/>
          <w:bCs/>
          <w:color w:val="auto"/>
          <w:sz w:val="32"/>
          <w:szCs w:val="32"/>
          <w:highlight w:val="none"/>
        </w:rPr>
        <w:t>第三部分  投标须知</w:t>
      </w:r>
      <w:bookmarkEnd w:id="27"/>
      <w:bookmarkEnd w:id="28"/>
      <w:bookmarkEnd w:id="29"/>
      <w:bookmarkEnd w:id="30"/>
      <w:bookmarkEnd w:id="31"/>
      <w:bookmarkEnd w:id="32"/>
    </w:p>
    <w:p w14:paraId="4EF91AB7">
      <w:pPr>
        <w:pStyle w:val="94"/>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一 、总  则</w:t>
      </w:r>
    </w:p>
    <w:p w14:paraId="24365EA8">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1、适用范围</w:t>
      </w:r>
    </w:p>
    <w:p w14:paraId="27C8F0FB">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适用于本次项目的招标采购、投标、评标、定标、验收、合同履约、付款等行为（法律、法规另有规定的，从其规定）。</w:t>
      </w:r>
    </w:p>
    <w:p w14:paraId="68E7C870">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2、定义</w:t>
      </w:r>
    </w:p>
    <w:p w14:paraId="7E094BBA">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2.1、“采购代理机构”指组织本次招标采购的中冠工程管理咨询有限公司。</w:t>
      </w:r>
    </w:p>
    <w:p w14:paraId="6D2A1BB7">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2.2、采购人：是指委托集中采购机构/采购代理机构采购本次项目的国家机关、事业单位和团体组织。</w:t>
      </w:r>
    </w:p>
    <w:p w14:paraId="2BBAB447">
      <w:pPr>
        <w:pStyle w:val="94"/>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2.3、投标人：是指向采购代理机构提交投标文件的单位或个人，应该是符合《投标资料表》的报名条件，符合、承认并承诺履行本采购文件各项要求的具有独立法人资格的中国境内企业或组织。</w:t>
      </w:r>
    </w:p>
    <w:p w14:paraId="543F7926">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2.4、货物：是指各种形态和种类的物品，包括原材料、燃料、设备、产品等。</w:t>
      </w:r>
    </w:p>
    <w:p w14:paraId="34A6E53A">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2.5、服务：是指除货物和工程以外的政府采购对象，包括各类专业服务、信息网络开发服务、金融保险服务、运输服务，以及维修与维护服务等。</w:t>
      </w:r>
    </w:p>
    <w:p w14:paraId="086E0B48">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2.6、“书面形式”包括信函、传真等。</w:t>
      </w:r>
    </w:p>
    <w:p w14:paraId="1806671C">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2.7、“▲”系指实质性要求条款。</w:t>
      </w:r>
    </w:p>
    <w:p w14:paraId="72ABF967">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3、投标费用</w:t>
      </w:r>
    </w:p>
    <w:p w14:paraId="20CA48D4">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不论投标结果如何，投标人均应自行承担所有与投标有关的全部费用（有相关规定除外）。</w:t>
      </w:r>
    </w:p>
    <w:p w14:paraId="0DAB3346">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4、特别说明</w:t>
      </w:r>
    </w:p>
    <w:p w14:paraId="4251690A">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w:t>
      </w:r>
      <w:r>
        <w:rPr>
          <w:rFonts w:asciiTheme="minorEastAsia" w:hAnsiTheme="minorEastAsia"/>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color w:val="auto"/>
          <w:sz w:val="24"/>
          <w:szCs w:val="24"/>
          <w:highlight w:val="none"/>
        </w:rPr>
        <w:t>。</w:t>
      </w:r>
    </w:p>
    <w:p w14:paraId="668A81D7">
      <w:pPr>
        <w:pStyle w:val="94"/>
        <w:spacing w:line="460" w:lineRule="exact"/>
        <w:ind w:left="0" w:leftChars="0" w:firstLine="48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4.2、投标人被列入“黑名单”的，采购组织单位将根据《浙江省政府采购供应商注册及诚信管理暂行办法》第四十六条之规定，在处罚有效，资格审查时不予通过。</w:t>
      </w:r>
    </w:p>
    <w:p w14:paraId="3FF383C8">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4.3、投标人不得相互串通投标报价，不得妨碍其他投标人的公平竞争，不得损害采购人或其他投标人的合法权益，投标人不得以向采购人、评标委员会成员行贿或者采取其他不正当手段谋取中标。</w:t>
      </w:r>
    </w:p>
    <w:p w14:paraId="6D3E4E9F">
      <w:pPr>
        <w:pStyle w:val="94"/>
        <w:spacing w:line="460" w:lineRule="exact"/>
        <w:ind w:left="0" w:leftChars="0" w:firstLine="48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4.4、为采购项目提供整体设计、规范编制或者项目管理、监理、检测等服务的供应商，不得再参加该采购项目的其他采购活动。</w:t>
      </w:r>
    </w:p>
    <w:p w14:paraId="18839D0B">
      <w:pPr>
        <w:pStyle w:val="94"/>
        <w:spacing w:line="460" w:lineRule="exact"/>
        <w:ind w:left="0" w:leftChars="0" w:firstLine="480"/>
        <w:rPr>
          <w:rFonts w:asciiTheme="minorEastAsia" w:hAnsiTheme="minorEastAsia"/>
          <w:b/>
          <w:bCs/>
          <w:color w:val="auto"/>
          <w:sz w:val="24"/>
          <w:szCs w:val="24"/>
          <w:highlight w:val="none"/>
        </w:rPr>
      </w:pPr>
      <w:r>
        <w:rPr>
          <w:rFonts w:hint="eastAsia" w:asciiTheme="minorEastAsia" w:hAnsiTheme="minorEastAsia"/>
          <w:color w:val="auto"/>
          <w:sz w:val="24"/>
          <w:szCs w:val="24"/>
          <w:highlight w:val="none"/>
        </w:rPr>
        <w:t>4.5、投标文件格式中的表格式样可以根据项目差别做适当调整,但应当保持表格样式基本形态不变。</w:t>
      </w:r>
    </w:p>
    <w:p w14:paraId="177F945F">
      <w:pPr>
        <w:pStyle w:val="94"/>
        <w:spacing w:line="460" w:lineRule="exact"/>
        <w:ind w:left="0" w:leftChars="0" w:firstLine="480"/>
        <w:rPr>
          <w:rFonts w:asciiTheme="minorEastAsia" w:hAnsiTheme="minorEastAsia"/>
          <w:b/>
          <w:bCs/>
          <w:color w:val="auto"/>
          <w:sz w:val="24"/>
          <w:szCs w:val="24"/>
          <w:highlight w:val="none"/>
        </w:rPr>
      </w:pPr>
      <w:r>
        <w:rPr>
          <w:rFonts w:hint="eastAsia" w:asciiTheme="minorEastAsia" w:hAnsiTheme="minorEastAsia"/>
          <w:color w:val="auto"/>
          <w:sz w:val="24"/>
          <w:szCs w:val="24"/>
          <w:highlight w:val="none"/>
        </w:rPr>
        <w:t>4.6、单位负责人为同一人或者存在直接控股、管理关系的不同供应商，不得参加同一合同项下的政府采购活动。</w:t>
      </w:r>
    </w:p>
    <w:p w14:paraId="05803D60">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4.7、本项目不允许分包。</w:t>
      </w:r>
    </w:p>
    <w:p w14:paraId="2CAFD421">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4.8、</w:t>
      </w:r>
      <w:r>
        <w:rPr>
          <w:rFonts w:asciiTheme="minorEastAsia" w:hAnsiTheme="minorEastAsia"/>
          <w:color w:val="auto"/>
          <w:sz w:val="24"/>
          <w:szCs w:val="24"/>
          <w:highlight w:val="none"/>
        </w:rPr>
        <w:t>本</w:t>
      </w:r>
      <w:r>
        <w:rPr>
          <w:rFonts w:hint="eastAsia" w:asciiTheme="minorEastAsia" w:hAnsiTheme="minorEastAsia"/>
          <w:color w:val="auto"/>
          <w:sz w:val="24"/>
          <w:szCs w:val="24"/>
          <w:highlight w:val="none"/>
        </w:rPr>
        <w:t>采购</w:t>
      </w:r>
      <w:r>
        <w:rPr>
          <w:rFonts w:asciiTheme="minorEastAsia" w:hAnsiTheme="minorEastAsia"/>
          <w:color w:val="auto"/>
          <w:sz w:val="24"/>
          <w:szCs w:val="24"/>
          <w:highlight w:val="none"/>
        </w:rPr>
        <w:t>文件中关于电子招投标内容、流程如与政采云系统中最新的内容、操作不一致的，以政采云系统中的要求为准</w:t>
      </w:r>
      <w:r>
        <w:rPr>
          <w:rFonts w:hint="eastAsia" w:asciiTheme="minorEastAsia" w:hAnsiTheme="minorEastAsia"/>
          <w:color w:val="auto"/>
          <w:sz w:val="24"/>
          <w:szCs w:val="24"/>
          <w:highlight w:val="none"/>
        </w:rPr>
        <w:t>。</w:t>
      </w:r>
    </w:p>
    <w:p w14:paraId="2097E63F">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5、 质疑与投诉</w:t>
      </w:r>
    </w:p>
    <w:p w14:paraId="2AB9F916">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5.1、投标人认为、采购过程和中标、成交结果使自己的权益受到损害的，可以在知道或者应知其权益受到损害之日起七个工作日内，以书面形式向采购人、采购代理机构提出质疑</w:t>
      </w:r>
      <w:r>
        <w:rPr>
          <w:rFonts w:hint="eastAsia" w:asciiTheme="minorEastAsia" w:hAnsiTheme="minorEastAsia"/>
          <w:b/>
          <w:color w:val="auto"/>
          <w:sz w:val="24"/>
          <w:szCs w:val="24"/>
          <w:highlight w:val="none"/>
        </w:rPr>
        <w:t>（注</w:t>
      </w:r>
      <w:r>
        <w:rPr>
          <w:rFonts w:asciiTheme="minorEastAsia" w:hAnsiTheme="minorEastAsia"/>
          <w:b/>
          <w:color w:val="auto"/>
          <w:sz w:val="24"/>
          <w:szCs w:val="24"/>
          <w:highlight w:val="none"/>
        </w:rPr>
        <w:t>：</w:t>
      </w:r>
      <w:r>
        <w:rPr>
          <w:rFonts w:hint="eastAsia" w:asciiTheme="minorEastAsia" w:hAnsiTheme="minorEastAsia"/>
          <w:b/>
          <w:color w:val="auto"/>
          <w:sz w:val="24"/>
          <w:szCs w:val="24"/>
          <w:highlight w:val="none"/>
        </w:rPr>
        <w:t>投标人须</w:t>
      </w:r>
      <w:r>
        <w:rPr>
          <w:rFonts w:asciiTheme="minorEastAsia" w:hAnsiTheme="minorEastAsia"/>
          <w:b/>
          <w:color w:val="auto"/>
          <w:sz w:val="24"/>
          <w:szCs w:val="24"/>
          <w:highlight w:val="none"/>
        </w:rPr>
        <w:t>在法定质疑期内一次性提出针对同一采购程序环节的质疑</w:t>
      </w:r>
      <w:r>
        <w:rPr>
          <w:rFonts w:hint="eastAsia" w:asciiTheme="minorEastAsia" w:hAnsiTheme="minorEastAsia"/>
          <w:b/>
          <w:color w:val="auto"/>
          <w:sz w:val="24"/>
          <w:szCs w:val="24"/>
          <w:highlight w:val="none"/>
        </w:rPr>
        <w:t>）</w:t>
      </w:r>
      <w:r>
        <w:rPr>
          <w:rFonts w:hint="eastAsia" w:asciiTheme="minorEastAsia" w:hAnsiTheme="minorEastAsia"/>
          <w:color w:val="auto"/>
          <w:sz w:val="24"/>
          <w:szCs w:val="24"/>
          <w:highlight w:val="none"/>
        </w:rPr>
        <w:t>。潜在投标人的书面质疑或澄清要求均应加盖单位公章，署明日期。投标人未按规定要求提出的，则视同认可，但法律法规及规范性文件有明确规定的除外。供应商对采购代理机构的质疑答复不满意或者采购机构未在规定时间内作出答复的，可以在答复期满后十五个工作日内向同级政府采购监督管理部门投诉。</w:t>
      </w:r>
    </w:p>
    <w:p w14:paraId="41D9D778">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5.2、对于受理的质疑，采购代理机构将以书面形式或其他适当方式进行答疑，必要时将书面答复发送所有取得本项目采购文件的投标人。若采购代理机构所作的答疑不引起相应条款的实质性改变，则不应视作对采购文件的修正或更正。</w:t>
      </w:r>
    </w:p>
    <w:p w14:paraId="7531A923">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5.3、采购代理机构发送的答疑文件是采购文件的组成部分，对投标人具有约束力。</w:t>
      </w:r>
    </w:p>
    <w:p w14:paraId="6222CFA3">
      <w:pPr>
        <w:pStyle w:val="94"/>
        <w:spacing w:line="460" w:lineRule="exact"/>
        <w:ind w:left="0" w:leftChars="0" w:firstLine="480"/>
        <w:rPr>
          <w:rFonts w:asciiTheme="minorEastAsia" w:hAnsiTheme="minorEastAsia"/>
          <w:color w:val="auto"/>
          <w:sz w:val="24"/>
          <w:szCs w:val="24"/>
          <w:highlight w:val="none"/>
        </w:rPr>
      </w:pPr>
      <w:bookmarkStart w:id="33" w:name="_Hlk49407732"/>
      <w:r>
        <w:rPr>
          <w:rFonts w:hint="eastAsia" w:asciiTheme="minorEastAsia" w:hAnsiTheme="minorEastAsia"/>
          <w:color w:val="auto"/>
          <w:sz w:val="24"/>
          <w:szCs w:val="24"/>
          <w:highlight w:val="none"/>
        </w:rPr>
        <w:t>5.4、未尽事宜，见《政府采购质疑和投诉办法》（中华人民共和国财政部令第94号）</w:t>
      </w:r>
      <w:bookmarkEnd w:id="33"/>
      <w:r>
        <w:rPr>
          <w:rFonts w:hint="eastAsia" w:asciiTheme="minorEastAsia" w:hAnsiTheme="minorEastAsia"/>
          <w:color w:val="auto"/>
          <w:sz w:val="24"/>
          <w:szCs w:val="24"/>
          <w:highlight w:val="none"/>
        </w:rPr>
        <w:t>。</w:t>
      </w:r>
    </w:p>
    <w:p w14:paraId="3C5B5DE9">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二、采购文件</w:t>
      </w:r>
    </w:p>
    <w:p w14:paraId="515C7738">
      <w:pPr>
        <w:pStyle w:val="94"/>
        <w:spacing w:line="460" w:lineRule="exact"/>
        <w:ind w:left="0" w:leftChars="0" w:firstLine="0" w:firstLineChars="0"/>
        <w:rPr>
          <w:rFonts w:asciiTheme="minorEastAsia" w:hAnsiTheme="minorEastAsia"/>
          <w:b/>
          <w:color w:val="auto"/>
          <w:sz w:val="24"/>
          <w:szCs w:val="24"/>
          <w:highlight w:val="none"/>
        </w:rPr>
      </w:pPr>
      <w:r>
        <w:rPr>
          <w:rFonts w:asciiTheme="minorEastAsia" w:hAnsiTheme="minorEastAsia"/>
          <w:b/>
          <w:color w:val="auto"/>
          <w:sz w:val="24"/>
          <w:szCs w:val="24"/>
          <w:highlight w:val="none"/>
        </w:rPr>
        <w:t>6</w:t>
      </w:r>
      <w:r>
        <w:rPr>
          <w:rFonts w:hint="eastAsia" w:asciiTheme="minorEastAsia" w:hAnsiTheme="minorEastAsia"/>
          <w:b/>
          <w:color w:val="auto"/>
          <w:sz w:val="24"/>
          <w:szCs w:val="24"/>
          <w:highlight w:val="none"/>
        </w:rPr>
        <w:t>、采购文件构成</w:t>
      </w:r>
    </w:p>
    <w:p w14:paraId="0D8A8E88">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.1、采购文件包括目录所示内容及采购文件的澄清或修改。</w:t>
      </w:r>
    </w:p>
    <w:p w14:paraId="49C4601B">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.2、除上述所列内容外，采购人和采购代理机构的任何工作人员对投标人所作的任何口头解释、介绍、答复，只能供投标人参考，对采购人、采购代理机构和投标人无任何约束力。</w:t>
      </w:r>
    </w:p>
    <w:p w14:paraId="07408399">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.3、采购文件是招标过程进行的有效依据，也是成交后签订合同的依据，对双方均具有约束力，凡不遵守采购文件规定或对采购文件的实质性内容不响应的，将可能被拒绝或以无效标处理。</w:t>
      </w:r>
    </w:p>
    <w:p w14:paraId="4D84FC54">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.4、本采购文件由采购人或采购代理机构依据相关法律、法规、规章、省市规定及采购文件进行解释。</w:t>
      </w:r>
    </w:p>
    <w:p w14:paraId="32F706D2">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7、采购文件的澄清或修改</w:t>
      </w:r>
    </w:p>
    <w:p w14:paraId="398B62C7">
      <w:pPr>
        <w:tabs>
          <w:tab w:val="left" w:pos="709"/>
        </w:tabs>
        <w:spacing w:line="360" w:lineRule="auto"/>
        <w:ind w:firstLine="480" w:firstLineChars="200"/>
        <w:contextualSpacing/>
        <w:rPr>
          <w:rFonts w:ascii="宋体" w:hAnsi="宋体"/>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color w:val="auto"/>
          <w:sz w:val="24"/>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277C6B63">
      <w:pPr>
        <w:tabs>
          <w:tab w:val="left" w:pos="709"/>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澄清或者修改的内容可能影响投标文件编制的，采购人或者采购代理机构应当在投标截止时间至少</w:t>
      </w:r>
      <w:r>
        <w:rPr>
          <w:rFonts w:ascii="宋体" w:hAnsi="宋体"/>
          <w:color w:val="auto"/>
          <w:sz w:val="24"/>
          <w:highlight w:val="none"/>
        </w:rPr>
        <w:t>15</w:t>
      </w:r>
      <w:r>
        <w:rPr>
          <w:rFonts w:hint="eastAsia" w:ascii="宋体" w:hAnsi="宋体"/>
          <w:color w:val="auto"/>
          <w:sz w:val="24"/>
          <w:highlight w:val="none"/>
        </w:rPr>
        <w:t>日前，以书面形式通知所有获取采购文件的潜在投标人；不足</w:t>
      </w:r>
      <w:r>
        <w:rPr>
          <w:rFonts w:ascii="宋体" w:hAnsi="宋体"/>
          <w:color w:val="auto"/>
          <w:sz w:val="24"/>
          <w:highlight w:val="none"/>
        </w:rPr>
        <w:t>15</w:t>
      </w:r>
      <w:r>
        <w:rPr>
          <w:rFonts w:hint="eastAsia" w:ascii="宋体" w:hAnsi="宋体"/>
          <w:color w:val="auto"/>
          <w:sz w:val="24"/>
          <w:highlight w:val="none"/>
        </w:rPr>
        <w:t>日的，采购人或者采购代理机构应当顺延提交投标文件的截止时间。</w:t>
      </w:r>
    </w:p>
    <w:p w14:paraId="23042C7F">
      <w:pPr>
        <w:tabs>
          <w:tab w:val="left" w:pos="709"/>
        </w:tabs>
        <w:spacing w:line="360" w:lineRule="auto"/>
        <w:ind w:firstLine="480" w:firstLineChars="200"/>
        <w:contextualSpacing/>
        <w:rPr>
          <w:rFonts w:ascii="宋体" w:hAnsi="宋体"/>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color w:val="auto"/>
          <w:sz w:val="24"/>
          <w:highlight w:val="none"/>
        </w:rPr>
        <w:t>.2</w:t>
      </w:r>
      <w:r>
        <w:rPr>
          <w:rFonts w:ascii="宋体" w:hAnsi="宋体"/>
          <w:color w:val="auto"/>
          <w:sz w:val="24"/>
          <w:highlight w:val="none"/>
        </w:rPr>
        <w:t>采购代理机构必须以书面形式答复投标人要求澄清的问题，并将不包含问题来源的答复书面通知所有</w:t>
      </w:r>
      <w:r>
        <w:rPr>
          <w:rFonts w:hint="eastAsia" w:ascii="宋体" w:hAnsi="宋体"/>
          <w:color w:val="auto"/>
          <w:sz w:val="24"/>
          <w:highlight w:val="none"/>
        </w:rPr>
        <w:t>获取</w:t>
      </w:r>
      <w:r>
        <w:rPr>
          <w:rFonts w:ascii="宋体" w:hAnsi="宋体"/>
          <w:color w:val="auto"/>
          <w:sz w:val="24"/>
          <w:highlight w:val="none"/>
        </w:rPr>
        <w:t>采购文件的投标人；除书面答复以外的其他澄清方式及澄清内容均无效。</w:t>
      </w:r>
    </w:p>
    <w:p w14:paraId="5CB37CB9">
      <w:pPr>
        <w:tabs>
          <w:tab w:val="left" w:pos="709"/>
        </w:tabs>
        <w:spacing w:line="360" w:lineRule="auto"/>
        <w:ind w:firstLine="480" w:firstLineChars="200"/>
        <w:contextualSpacing/>
        <w:rPr>
          <w:rFonts w:ascii="宋体" w:hAnsi="宋体"/>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color w:val="auto"/>
          <w:sz w:val="24"/>
          <w:highlight w:val="none"/>
        </w:rPr>
        <w:t>.3</w:t>
      </w:r>
      <w:r>
        <w:rPr>
          <w:rFonts w:ascii="宋体" w:hAnsi="宋体"/>
          <w:color w:val="auto"/>
          <w:sz w:val="24"/>
          <w:highlight w:val="none"/>
        </w:rPr>
        <w:t>采购文件澄清、答复、修改、补充的内容为采购文件的组成部分。当采购文件与采购文件的答复、澄清、修改、补充通知就同一内容的表述不一致时，以最后发出的书面文件为准。</w:t>
      </w:r>
    </w:p>
    <w:p w14:paraId="63F73886">
      <w:pPr>
        <w:tabs>
          <w:tab w:val="left" w:pos="709"/>
        </w:tabs>
        <w:spacing w:line="360" w:lineRule="auto"/>
        <w:ind w:firstLine="480" w:firstLineChars="200"/>
        <w:contextualSpacing/>
        <w:rPr>
          <w:rFonts w:ascii="宋体" w:hAnsi="宋体"/>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color w:val="auto"/>
          <w:sz w:val="24"/>
          <w:highlight w:val="none"/>
        </w:rPr>
        <w:t>.4</w:t>
      </w:r>
      <w:r>
        <w:rPr>
          <w:rFonts w:ascii="宋体" w:hAnsi="宋体"/>
          <w:color w:val="auto"/>
          <w:sz w:val="24"/>
          <w:highlight w:val="none"/>
        </w:rPr>
        <w:t>采购文件的澄清、答复、修改或补充都应该通过本代理机构以法定形式发布，采购人非通过本机构，不得擅自澄清、答复、修改或补充采购文件。</w:t>
      </w:r>
    </w:p>
    <w:p w14:paraId="4374E352">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8、关于分公司投标</w:t>
      </w:r>
    </w:p>
    <w:p w14:paraId="3EF3F87B">
      <w:pPr>
        <w:tabs>
          <w:tab w:val="left" w:pos="709"/>
        </w:tabs>
        <w:spacing w:line="360" w:lineRule="auto"/>
        <w:ind w:firstLine="480" w:firstLineChars="200"/>
        <w:contextualSpacing/>
        <w:rPr>
          <w:color w:val="auto"/>
          <w:sz w:val="24"/>
          <w:highlight w:val="none"/>
        </w:rPr>
      </w:pPr>
      <w:r>
        <w:rPr>
          <w:rFonts w:hint="eastAsia"/>
          <w:color w:val="auto"/>
          <w:sz w:val="24"/>
          <w:highlight w:val="none"/>
        </w:rPr>
        <w:t>除金融、保险、通讯等特定行业外，法人的分支机构由于不能独立承担民事责任，不能以分支机构的身份参加政府采购，只能法人身份参加。</w:t>
      </w:r>
    </w:p>
    <w:p w14:paraId="0344552B">
      <w:pPr>
        <w:tabs>
          <w:tab w:val="left" w:pos="709"/>
        </w:tabs>
        <w:spacing w:line="360" w:lineRule="auto"/>
        <w:contextualSpacing/>
        <w:rPr>
          <w:b/>
          <w:color w:val="auto"/>
          <w:sz w:val="24"/>
          <w:highlight w:val="none"/>
        </w:rPr>
      </w:pPr>
      <w:r>
        <w:rPr>
          <w:rFonts w:hint="eastAsia"/>
          <w:b/>
          <w:color w:val="auto"/>
          <w:sz w:val="24"/>
          <w:highlight w:val="none"/>
        </w:rPr>
        <w:t>9、关于知识产权</w:t>
      </w:r>
    </w:p>
    <w:p w14:paraId="1E18B4AE">
      <w:pPr>
        <w:tabs>
          <w:tab w:val="left" w:pos="709"/>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1</w:t>
      </w:r>
      <w:r>
        <w:rPr>
          <w:rFonts w:hint="eastAsia" w:ascii="宋体" w:hAnsi="宋体"/>
          <w:color w:val="auto"/>
          <w:sz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2F8F62C8">
      <w:pPr>
        <w:tabs>
          <w:tab w:val="left" w:pos="709"/>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.2</w:t>
      </w:r>
      <w:r>
        <w:rPr>
          <w:rFonts w:hint="eastAsia" w:ascii="宋体" w:hAnsi="宋体"/>
          <w:color w:val="auto"/>
          <w:sz w:val="24"/>
          <w:highlight w:val="none"/>
        </w:rPr>
        <w:t>投标报价应包含所有应向所有权人支付的专利权、商标权或其它知识产权的一切相关费用。</w:t>
      </w:r>
    </w:p>
    <w:p w14:paraId="4DEE7A41">
      <w:pPr>
        <w:tabs>
          <w:tab w:val="left" w:pos="709"/>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系统软件、通用软件必须是具有在中国境内的合法使用权或版权的正版软件，涉及到第三方提出侵权或知识产权的起诉及支付版税等费用由供应商承担所有责任及费用。</w:t>
      </w:r>
    </w:p>
    <w:p w14:paraId="32F3D493">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三、投标文件</w:t>
      </w:r>
    </w:p>
    <w:p w14:paraId="11082B17">
      <w:pPr>
        <w:pStyle w:val="94"/>
        <w:spacing w:line="460" w:lineRule="exact"/>
        <w:ind w:left="0" w:leftChars="0" w:firstLine="472" w:firstLineChars="196"/>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648E9300">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10、投标文件的组成</w:t>
      </w:r>
    </w:p>
    <w:p w14:paraId="58BDF381">
      <w:pPr>
        <w:pStyle w:val="94"/>
        <w:spacing w:line="460" w:lineRule="exact"/>
        <w:ind w:left="0" w:leftChars="0" w:firstLine="600" w:firstLineChars="2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投标人接到后，按照采购代理机构的要求提供：资格证明文件、商务与技术文件和报价文件。</w:t>
      </w:r>
    </w:p>
    <w:p w14:paraId="38AD9ABD">
      <w:pPr>
        <w:pStyle w:val="94"/>
        <w:spacing w:line="460" w:lineRule="exact"/>
        <w:ind w:left="0" w:leftChars="0" w:firstLine="0" w:firstLineChars="0"/>
        <w:rPr>
          <w:rFonts w:cs="仿宋_GB2312" w:asciiTheme="minorEastAsia" w:hAnsiTheme="minorEastAsia"/>
          <w:color w:val="auto"/>
          <w:sz w:val="24"/>
          <w:szCs w:val="24"/>
          <w:highlight w:val="none"/>
          <w:lang w:val="zh-CN"/>
        </w:rPr>
      </w:pPr>
      <w:r>
        <w:rPr>
          <w:rFonts w:hint="eastAsia" w:asciiTheme="minorEastAsia" w:hAnsiTheme="minorEastAsia"/>
          <w:color w:val="auto"/>
          <w:sz w:val="24"/>
          <w:szCs w:val="24"/>
          <w:highlight w:val="none"/>
          <w:lang w:val="zh-CN"/>
        </w:rPr>
        <w:t>【特别提示：如有要求提供各项证书、合同、报告等证明的，请将原件清晰扫描做入投标文件。】</w:t>
      </w:r>
    </w:p>
    <w:p w14:paraId="61E7ED72">
      <w:pPr>
        <w:pStyle w:val="94"/>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▲10.1、资格证明文件的组成：</w:t>
      </w:r>
    </w:p>
    <w:p w14:paraId="753FB818">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（1）符合参加政府采购活动应当具备的一般条件的承诺函（格式见附件)；</w:t>
      </w:r>
    </w:p>
    <w:p w14:paraId="0BD6AD82">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（2）法人或者其他组织的营业执照等证明文件，自然人的身份证明；</w:t>
      </w:r>
    </w:p>
    <w:p w14:paraId="6EFB403C">
      <w:pPr>
        <w:pStyle w:val="94"/>
        <w:spacing w:line="460" w:lineRule="exact"/>
        <w:ind w:left="0" w:leftChars="0" w:firstLine="360" w:firstLineChars="1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如果有，</w:t>
      </w:r>
      <w:r>
        <w:rPr>
          <w:rFonts w:hint="eastAsia" w:ascii="宋体" w:hAnsi="宋体" w:eastAsia="宋体" w:cs="宋体"/>
          <w:color w:val="auto"/>
          <w:sz w:val="24"/>
          <w:szCs w:val="24"/>
          <w:highlight w:val="none"/>
        </w:rPr>
        <w:t>提供采购公告中符合供应商特定条件的有效资质证书</w:t>
      </w:r>
      <w:r>
        <w:rPr>
          <w:rFonts w:hint="eastAsia" w:ascii="宋体" w:hAnsi="宋体" w:eastAsia="宋体" w:cs="宋体"/>
          <w:color w:val="auto"/>
          <w:sz w:val="24"/>
          <w:szCs w:val="24"/>
          <w:highlight w:val="none"/>
          <w:lang w:eastAsia="zh-CN"/>
        </w:rPr>
        <w:t>扫描</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以及供应商认为有必要提供的其他资格证明资料</w:t>
      </w:r>
      <w:r>
        <w:rPr>
          <w:rFonts w:hint="eastAsia" w:ascii="宋体" w:hAnsi="宋体" w:eastAsia="宋体" w:cs="宋体"/>
          <w:color w:val="auto"/>
          <w:sz w:val="24"/>
          <w:szCs w:val="24"/>
          <w:highlight w:val="none"/>
          <w:lang w:eastAsia="zh-CN"/>
        </w:rPr>
        <w:t>。</w:t>
      </w:r>
    </w:p>
    <w:p w14:paraId="48401EEF">
      <w:pPr>
        <w:pStyle w:val="94"/>
        <w:spacing w:line="460" w:lineRule="exact"/>
        <w:ind w:left="0" w:leftChars="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6453EA89">
      <w:pPr>
        <w:pStyle w:val="94"/>
        <w:spacing w:line="460" w:lineRule="exact"/>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w:t>
      </w:r>
      <w:r>
        <w:rPr>
          <w:rFonts w:hint="eastAsia"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、商务与技术文件的组成：</w:t>
      </w:r>
    </w:p>
    <w:p w14:paraId="3C9843F4">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（1）商务技术自评表(格式见附件)；</w:t>
      </w:r>
      <w:r>
        <w:rPr>
          <w:rFonts w:hint="eastAsia" w:ascii="宋体" w:hAnsi="宋体" w:eastAsia="宋体" w:cs="宋体"/>
          <w:color w:val="auto"/>
          <w:sz w:val="24"/>
          <w:szCs w:val="24"/>
          <w:highlight w:val="none"/>
          <w:lang w:val="zh-CN"/>
        </w:rPr>
        <w:t xml:space="preserve"> </w:t>
      </w:r>
    </w:p>
    <w:p w14:paraId="7FEF01DB">
      <w:pPr>
        <w:pStyle w:val="94"/>
        <w:spacing w:line="460" w:lineRule="exact"/>
        <w:ind w:left="0" w:leftChars="0" w:firstLine="360" w:firstLineChars="1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）投标函（格式见附件）</w:t>
      </w:r>
      <w:r>
        <w:rPr>
          <w:rFonts w:hint="eastAsia" w:eastAsia="宋体" w:cs="宋体"/>
          <w:color w:val="auto"/>
          <w:sz w:val="24"/>
          <w:szCs w:val="24"/>
          <w:highlight w:val="none"/>
          <w:lang w:eastAsia="zh-CN"/>
        </w:rPr>
        <w:t>；</w:t>
      </w:r>
    </w:p>
    <w:p w14:paraId="77803991">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）授权委托书或法定代表人（单位负责人、自然人本人）身份证明（格式见附件）；</w:t>
      </w:r>
    </w:p>
    <w:p w14:paraId="5B23F189">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）供应商基本情况表（格式见附件）； </w:t>
      </w:r>
    </w:p>
    <w:p w14:paraId="4FF57C24">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eastAsia="zh-CN"/>
        </w:rPr>
        <w:t>供货清单</w:t>
      </w:r>
      <w:r>
        <w:rPr>
          <w:rFonts w:hint="eastAsia" w:ascii="宋体" w:hAnsi="宋体" w:eastAsia="宋体" w:cs="宋体"/>
          <w:color w:val="auto"/>
          <w:sz w:val="24"/>
          <w:szCs w:val="24"/>
          <w:highlight w:val="none"/>
        </w:rPr>
        <w:t>（格式见附件）；</w:t>
      </w:r>
    </w:p>
    <w:p w14:paraId="7F765861">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）技术规范偏离表（格式见附件）； </w:t>
      </w:r>
    </w:p>
    <w:p w14:paraId="67B1C810">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）商务偏离表（格式见附件）； </w:t>
      </w:r>
    </w:p>
    <w:p w14:paraId="2E897C82">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）相关项目实施业绩一览表（格式见附件件）；  </w:t>
      </w:r>
    </w:p>
    <w:p w14:paraId="3F6DD413">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eastAsia="zh-CN"/>
        </w:rPr>
        <w:t>供货</w:t>
      </w:r>
      <w:r>
        <w:rPr>
          <w:rFonts w:hint="eastAsia" w:ascii="宋体" w:hAnsi="宋体" w:eastAsia="宋体" w:cs="宋体"/>
          <w:color w:val="auto"/>
          <w:sz w:val="24"/>
          <w:szCs w:val="24"/>
          <w:highlight w:val="none"/>
        </w:rPr>
        <w:t>方案；</w:t>
      </w:r>
    </w:p>
    <w:p w14:paraId="1E3377FE">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）评分标准或采购文件需要提供的其他技术商务材料； </w:t>
      </w:r>
    </w:p>
    <w:p w14:paraId="09B518D2">
      <w:pPr>
        <w:pStyle w:val="94"/>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）供应商认为有必要提供的其他技术商务文件资料。</w:t>
      </w:r>
    </w:p>
    <w:p w14:paraId="36C7446B">
      <w:pPr>
        <w:pStyle w:val="94"/>
        <w:spacing w:line="460" w:lineRule="exact"/>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、报价文件的组成</w:t>
      </w:r>
    </w:p>
    <w:p w14:paraId="3FF379F8">
      <w:pPr>
        <w:pStyle w:val="94"/>
        <w:spacing w:line="460" w:lineRule="exact"/>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）开标一览表（格式见附件）；</w:t>
      </w:r>
    </w:p>
    <w:p w14:paraId="795EB2D1">
      <w:pPr>
        <w:pStyle w:val="94"/>
        <w:spacing w:line="460" w:lineRule="exact"/>
        <w:ind w:left="0" w:leftChars="0" w:firstLine="240" w:firstLineChars="1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val="en-US" w:eastAsia="zh-CN"/>
        </w:rPr>
        <w:t>2</w:t>
      </w:r>
      <w:r>
        <w:rPr>
          <w:rFonts w:hint="eastAsia" w:cs="宋体" w:asciiTheme="minorEastAsia" w:hAnsiTheme="minorEastAsia"/>
          <w:color w:val="auto"/>
          <w:sz w:val="24"/>
          <w:szCs w:val="24"/>
          <w:highlight w:val="none"/>
        </w:rPr>
        <w:t>）报价明细表（格式见附件）；</w:t>
      </w:r>
    </w:p>
    <w:p w14:paraId="74BE2BAD">
      <w:pPr>
        <w:pStyle w:val="94"/>
        <w:spacing w:line="460" w:lineRule="exact"/>
        <w:ind w:left="0" w:leftChars="0" w:firstLine="240" w:firstLineChars="1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val="en-US" w:eastAsia="zh-CN"/>
        </w:rPr>
        <w:t>3</w:t>
      </w: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eastAsia="zh-CN"/>
        </w:rPr>
        <w:t>中小企业声明函</w:t>
      </w:r>
      <w:r>
        <w:rPr>
          <w:rFonts w:hint="eastAsia" w:cs="宋体" w:asciiTheme="minorEastAsia" w:hAnsiTheme="minorEastAsia"/>
          <w:b/>
          <w:bCs/>
          <w:color w:val="auto"/>
          <w:sz w:val="24"/>
          <w:szCs w:val="24"/>
          <w:highlight w:val="none"/>
        </w:rPr>
        <w:t>（</w:t>
      </w:r>
      <w:r>
        <w:rPr>
          <w:rFonts w:hint="eastAsia" w:cs="宋体" w:asciiTheme="minorEastAsia" w:hAnsiTheme="minorEastAsia"/>
          <w:b/>
          <w:bCs/>
          <w:color w:val="auto"/>
          <w:sz w:val="24"/>
          <w:szCs w:val="24"/>
          <w:highlight w:val="none"/>
          <w:lang w:eastAsia="zh-CN"/>
        </w:rPr>
        <w:t>如有，可提供，</w:t>
      </w:r>
      <w:r>
        <w:rPr>
          <w:rFonts w:hint="eastAsia" w:cs="宋体" w:asciiTheme="minorEastAsia" w:hAnsiTheme="minorEastAsia"/>
          <w:b/>
          <w:bCs/>
          <w:color w:val="auto"/>
          <w:sz w:val="24"/>
          <w:szCs w:val="24"/>
          <w:highlight w:val="none"/>
        </w:rPr>
        <w:t>格式见附件）</w:t>
      </w:r>
      <w:r>
        <w:rPr>
          <w:rFonts w:hint="eastAsia" w:cs="宋体" w:asciiTheme="minorEastAsia" w:hAnsiTheme="minorEastAsia"/>
          <w:color w:val="auto"/>
          <w:sz w:val="24"/>
          <w:szCs w:val="24"/>
          <w:highlight w:val="none"/>
        </w:rPr>
        <w:t>；</w:t>
      </w:r>
    </w:p>
    <w:p w14:paraId="5BEA594C">
      <w:pPr>
        <w:pStyle w:val="94"/>
        <w:spacing w:line="460" w:lineRule="exact"/>
        <w:ind w:left="0" w:leftChars="0" w:firstLine="240" w:firstLineChars="1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val="en-US" w:eastAsia="zh-CN"/>
        </w:rPr>
        <w:t>4</w:t>
      </w:r>
      <w:r>
        <w:rPr>
          <w:rFonts w:hint="eastAsia" w:cs="宋体" w:asciiTheme="minorEastAsia" w:hAnsiTheme="minorEastAsia"/>
          <w:color w:val="auto"/>
          <w:sz w:val="24"/>
          <w:szCs w:val="24"/>
          <w:highlight w:val="none"/>
        </w:rPr>
        <w:t>）投标人认为需提交的其他</w:t>
      </w:r>
      <w:r>
        <w:rPr>
          <w:rFonts w:hint="eastAsia" w:cs="宋体" w:asciiTheme="minorEastAsia" w:hAnsiTheme="minorEastAsia"/>
          <w:color w:val="auto"/>
          <w:sz w:val="24"/>
          <w:szCs w:val="24"/>
          <w:highlight w:val="none"/>
          <w:lang w:eastAsia="zh-CN"/>
        </w:rPr>
        <w:t>报价</w:t>
      </w:r>
      <w:r>
        <w:rPr>
          <w:rFonts w:hint="eastAsia" w:cs="宋体" w:asciiTheme="minorEastAsia" w:hAnsiTheme="minorEastAsia"/>
          <w:color w:val="auto"/>
          <w:sz w:val="24"/>
          <w:szCs w:val="24"/>
          <w:highlight w:val="none"/>
        </w:rPr>
        <w:t>文件资料。</w:t>
      </w:r>
    </w:p>
    <w:p w14:paraId="6AC12AEE">
      <w:pPr>
        <w:pStyle w:val="94"/>
        <w:spacing w:line="460" w:lineRule="exact"/>
        <w:ind w:left="0" w:leftChars="0" w:firstLine="0" w:firstLineChars="0"/>
        <w:jc w:val="left"/>
        <w:rPr>
          <w:rFonts w:cs="宋体" w:asciiTheme="minorEastAsia" w:hAnsiTheme="minorEastAsia"/>
          <w:color w:val="auto"/>
          <w:sz w:val="24"/>
          <w:szCs w:val="24"/>
          <w:highlight w:val="none"/>
        </w:rPr>
      </w:pPr>
      <w:r>
        <w:rPr>
          <w:rFonts w:hint="eastAsia" w:asciiTheme="minorEastAsia" w:hAnsiTheme="minorEastAsia"/>
          <w:b/>
          <w:color w:val="auto"/>
          <w:sz w:val="24"/>
          <w:szCs w:val="24"/>
          <w:highlight w:val="none"/>
        </w:rPr>
        <w:t>11、投标文件的制作、封装及递交要求</w:t>
      </w:r>
    </w:p>
    <w:p w14:paraId="39E47C3F">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11.1、投标文件的制作要求</w:t>
      </w:r>
    </w:p>
    <w:p w14:paraId="41F74700">
      <w:pPr>
        <w:pStyle w:val="94"/>
        <w:spacing w:line="460" w:lineRule="exact"/>
        <w:ind w:left="0" w:leftChars="0" w:firstLine="600" w:firstLineChars="2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665E0DA8">
      <w:pPr>
        <w:pStyle w:val="94"/>
        <w:spacing w:line="460" w:lineRule="exact"/>
        <w:ind w:left="0" w:leftChars="0" w:firstLine="472" w:firstLineChars="196"/>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电子投标文件部分：投标人应根据“政采云供应商项目采购-电子招投标操作指南”及本规定的格式和顺序编制电子投标文件并进行关联定位。</w:t>
      </w:r>
    </w:p>
    <w:p w14:paraId="4AFB9186">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备份电子投标文件：通过“政采云”平台电子投标工具制作投标文件所产生的备份文件</w:t>
      </w:r>
    </w:p>
    <w:p w14:paraId="26764E5C">
      <w:pPr>
        <w:pStyle w:val="94"/>
        <w:spacing w:line="460" w:lineRule="exact"/>
        <w:ind w:left="0" w:leftChars="0" w:firstLine="360" w:firstLineChars="150"/>
        <w:rPr>
          <w:rFonts w:cs="Lucida Sans" w:asciiTheme="minorEastAsia" w:hAnsiTheme="minorEastAsia"/>
          <w:color w:val="auto"/>
          <w:sz w:val="24"/>
          <w:szCs w:val="24"/>
          <w:highlight w:val="none"/>
        </w:rPr>
      </w:pPr>
      <w:r>
        <w:rPr>
          <w:rFonts w:hint="eastAsia" w:cs="Lucida Sans" w:asciiTheme="minorEastAsia" w:hAnsiTheme="minorEastAsia"/>
          <w:color w:val="auto"/>
          <w:sz w:val="24"/>
          <w:szCs w:val="24"/>
          <w:highlight w:val="none"/>
        </w:rPr>
        <w:t>（2）投标人应对所提供的全部资料的真实性、有效性承担法律责任，电子投标文件中所须加盖公章部分均采用CA签章。</w:t>
      </w:r>
    </w:p>
    <w:p w14:paraId="78E5B7A7">
      <w:pPr>
        <w:pStyle w:val="94"/>
        <w:spacing w:line="460" w:lineRule="exact"/>
        <w:ind w:left="0" w:leftChars="0" w:firstLine="480"/>
        <w:rPr>
          <w:rFonts w:cs="Lucida Sans" w:asciiTheme="minorEastAsia" w:hAnsiTheme="minorEastAsia"/>
          <w:color w:val="auto"/>
          <w:sz w:val="24"/>
          <w:szCs w:val="24"/>
          <w:highlight w:val="none"/>
        </w:rPr>
      </w:pP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投标文件以及投标人与</w:t>
      </w:r>
      <w:r>
        <w:rPr>
          <w:rFonts w:hint="eastAsia" w:asciiTheme="minorEastAsia" w:hAnsiTheme="minorEastAsia"/>
          <w:color w:val="auto"/>
          <w:sz w:val="24"/>
          <w:szCs w:val="24"/>
          <w:highlight w:val="none"/>
        </w:rPr>
        <w:t>采购代理机构</w:t>
      </w:r>
      <w:r>
        <w:rPr>
          <w:rFonts w:asciiTheme="minorEastAsia" w:hAnsiTheme="minorEastAsia"/>
          <w:color w:val="auto"/>
          <w:sz w:val="24"/>
          <w:szCs w:val="24"/>
          <w:highlight w:val="none"/>
        </w:rPr>
        <w:t>就有关投标事宜的所有来往函电，均应以中文汉语书写。除</w:t>
      </w:r>
      <w:r>
        <w:rPr>
          <w:rFonts w:hint="eastAsia" w:asciiTheme="minorEastAsia" w:hAnsiTheme="minorEastAsia"/>
          <w:color w:val="auto"/>
          <w:sz w:val="24"/>
          <w:szCs w:val="24"/>
          <w:highlight w:val="none"/>
        </w:rPr>
        <w:t>签字</w:t>
      </w:r>
      <w:r>
        <w:rPr>
          <w:rFonts w:asciiTheme="minorEastAsia" w:hAnsiTheme="minorEastAsia"/>
          <w:color w:val="auto"/>
          <w:sz w:val="24"/>
          <w:szCs w:val="24"/>
          <w:highlight w:val="none"/>
        </w:rPr>
        <w:t>、盖章、专用名称等特殊情形外，以中文汉语以外的文字表述的投标文件视同未提供。</w:t>
      </w:r>
    </w:p>
    <w:p w14:paraId="49F3BFCD">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r>
        <w:rPr>
          <w:rFonts w:asciiTheme="minorEastAsia" w:hAnsiTheme="minorEastAsia"/>
          <w:color w:val="auto"/>
          <w:sz w:val="24"/>
          <w:szCs w:val="24"/>
          <w:highlight w:val="none"/>
        </w:rPr>
        <w:t>投标计量单位，已有明确规定的，使用规定的计量单位；没有规定的，应采用中华人民共和国法定计量单位（货币单位：人民币元）。</w:t>
      </w:r>
    </w:p>
    <w:p w14:paraId="4BAB0E37">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若投标人不按的要求提供资格审查材料，其风险由投标人自行承担。</w:t>
      </w:r>
    </w:p>
    <w:p w14:paraId="114A448A">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（6）与本次投标无关的内容请不要制作在内，确保投标文件有针对性、简洁明了。</w:t>
      </w:r>
    </w:p>
    <w:p w14:paraId="781945DD">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11.2、投标文件的编制、递交要求</w:t>
      </w:r>
    </w:p>
    <w:p w14:paraId="32A76243">
      <w:pPr>
        <w:pStyle w:val="94"/>
        <w:spacing w:line="460" w:lineRule="exact"/>
        <w:ind w:left="0" w:leftChars="0" w:firstLine="360" w:firstLineChars="150"/>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（1）投标人须按照采购文件和政采云平台的要求编制并加密投标文件。在投标文件递交截止时间以前完成投标文件的传输递交。</w:t>
      </w:r>
    </w:p>
    <w:p w14:paraId="3027B9DC">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（2）备份电子投标文件必须在规定时间前发送至指定邮箱</w:t>
      </w:r>
      <w:r>
        <w:rPr>
          <w:rFonts w:hint="eastAsia" w:cs="宋体" w:asciiTheme="minorEastAsia" w:hAnsiTheme="minorEastAsia"/>
          <w:color w:val="auto"/>
          <w:sz w:val="24"/>
          <w:szCs w:val="24"/>
          <w:highlight w:val="none"/>
        </w:rPr>
        <w:t>。</w:t>
      </w:r>
      <w:r>
        <w:rPr>
          <w:rFonts w:hint="eastAsia" w:asciiTheme="minorEastAsia" w:hAnsiTheme="minorEastAsia"/>
          <w:color w:val="auto"/>
          <w:sz w:val="24"/>
          <w:szCs w:val="24"/>
          <w:highlight w:val="none"/>
        </w:rPr>
        <w:t>备份电子投标文件在截止时间后提交，采购代理机构将拒绝接收。</w:t>
      </w:r>
    </w:p>
    <w:p w14:paraId="7DB3B69F">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（3）如有特殊情况，采购代理机构延长截止时间和开标时间，采购代理机构和投标人的权利和义务将受到新的截止时间和开标时间的约束。</w:t>
      </w:r>
    </w:p>
    <w:p w14:paraId="44A8B767">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11.3、投标文件的补充、修改和撤回</w:t>
      </w:r>
    </w:p>
    <w:p w14:paraId="0615B542">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补充或者修改投标文件的，应当先行撤回原文件，补充、修改后重新传输递交。投标截止时间前未完成传输的，视为撤回投标文件。</w:t>
      </w:r>
    </w:p>
    <w:p w14:paraId="17430220">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11</w:t>
      </w:r>
      <w:r>
        <w:rPr>
          <w:rFonts w:asciiTheme="minorEastAsia" w:hAnsiTheme="minorEastAsia"/>
          <w:b/>
          <w:color w:val="auto"/>
          <w:sz w:val="24"/>
          <w:szCs w:val="24"/>
          <w:highlight w:val="none"/>
        </w:rPr>
        <w:t>.4</w:t>
      </w:r>
      <w:r>
        <w:rPr>
          <w:rFonts w:hint="eastAsia" w:asciiTheme="minorEastAsia" w:hAnsiTheme="minorEastAsia"/>
          <w:b/>
          <w:color w:val="auto"/>
          <w:sz w:val="24"/>
          <w:szCs w:val="24"/>
          <w:highlight w:val="none"/>
        </w:rPr>
        <w:t>投标文件的有效期</w:t>
      </w:r>
    </w:p>
    <w:p w14:paraId="6D482F4B">
      <w:pPr>
        <w:pStyle w:val="94"/>
        <w:spacing w:line="460" w:lineRule="exact"/>
        <w:ind w:left="0" w:leftChars="0" w:firstLine="360" w:firstLineChars="150"/>
        <w:rPr>
          <w:rFonts w:cs="仿宋_GB2312" w:asciiTheme="minorEastAsia" w:hAnsiTheme="minorEastAsia"/>
          <w:color w:val="auto"/>
          <w:sz w:val="24"/>
          <w:szCs w:val="24"/>
          <w:highlight w:val="none"/>
          <w:lang w:val="en-GB"/>
        </w:rPr>
      </w:pPr>
      <w:r>
        <w:rPr>
          <w:rFonts w:hint="eastAsia" w:asciiTheme="minorEastAsia" w:hAnsiTheme="minorEastAsia"/>
          <w:color w:val="auto"/>
          <w:sz w:val="24"/>
          <w:szCs w:val="24"/>
          <w:highlight w:val="none"/>
          <w:lang w:val="en-GB"/>
        </w:rPr>
        <w:t>（1）自投标截止日起90天投标文件应保持有效。有效期不足的投标文件将被拒绝。</w:t>
      </w:r>
    </w:p>
    <w:p w14:paraId="32A22C59">
      <w:pPr>
        <w:pStyle w:val="94"/>
        <w:spacing w:line="460" w:lineRule="exact"/>
        <w:ind w:left="0" w:leftChars="0" w:firstLine="360" w:firstLineChars="150"/>
        <w:rPr>
          <w:rFonts w:asciiTheme="minorEastAsia" w:hAnsiTheme="minorEastAsia"/>
          <w:color w:val="auto"/>
          <w:sz w:val="24"/>
          <w:szCs w:val="24"/>
          <w:highlight w:val="none"/>
          <w:lang w:val="en-GB"/>
        </w:rPr>
      </w:pPr>
      <w:r>
        <w:rPr>
          <w:rFonts w:hint="eastAsia" w:asciiTheme="minorEastAsia" w:hAnsiTheme="minorEastAsia"/>
          <w:color w:val="auto"/>
          <w:sz w:val="24"/>
          <w:szCs w:val="24"/>
          <w:highlight w:val="none"/>
          <w:lang w:val="en-GB"/>
        </w:rPr>
        <w:t>（2）在特殊情况下，采购人可与投标人协商延长投标文件的有效期，这种要求和答复均以书面形式进行。</w:t>
      </w:r>
    </w:p>
    <w:p w14:paraId="464D592C">
      <w:pPr>
        <w:pStyle w:val="94"/>
        <w:spacing w:line="460" w:lineRule="exact"/>
        <w:ind w:left="0" w:leftChars="0" w:firstLine="360" w:firstLineChars="150"/>
        <w:rPr>
          <w:rFonts w:asciiTheme="minorEastAsia" w:hAnsiTheme="minorEastAsia"/>
          <w:color w:val="auto"/>
          <w:sz w:val="24"/>
          <w:szCs w:val="24"/>
          <w:highlight w:val="none"/>
        </w:rPr>
      </w:pPr>
      <w:bookmarkStart w:id="34" w:name="_Toc24220"/>
      <w:bookmarkStart w:id="35" w:name="_Toc30825"/>
      <w:bookmarkStart w:id="36" w:name="_Toc15470"/>
      <w:r>
        <w:rPr>
          <w:rFonts w:hint="eastAsia" w:asciiTheme="minorEastAsia" w:hAnsiTheme="minorEastAsia"/>
          <w:color w:val="auto"/>
          <w:sz w:val="24"/>
          <w:szCs w:val="24"/>
          <w:highlight w:val="none"/>
          <w:lang w:val="en-GB"/>
        </w:rPr>
        <w:t>（3）</w:t>
      </w:r>
      <w:r>
        <w:rPr>
          <w:rFonts w:asciiTheme="minorEastAsia" w:hAnsiTheme="minorEastAsia"/>
          <w:color w:val="auto"/>
          <w:sz w:val="24"/>
          <w:szCs w:val="24"/>
          <w:highlight w:val="none"/>
        </w:rPr>
        <w:t>中标人的投标文件自开标之日起至合同履行完毕均应保持有效。</w:t>
      </w:r>
      <w:bookmarkEnd w:id="34"/>
      <w:bookmarkEnd w:id="35"/>
      <w:bookmarkEnd w:id="36"/>
    </w:p>
    <w:p w14:paraId="2204AD97">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四、开标</w:t>
      </w:r>
    </w:p>
    <w:p w14:paraId="5515B9F1">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12、开标事项</w:t>
      </w:r>
    </w:p>
    <w:p w14:paraId="1DAD4D7D">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12.1、采购代理机构在</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采购公告</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规定的时间和地点公开开标。</w:t>
      </w:r>
    </w:p>
    <w:p w14:paraId="27E1FBE3">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12.2、评标期间，投标供应商代表应在线操作，并关注政采云有关信息公布、澄清等情况。投标供应商的法定代表人或其授权代表未按时签到登记的，视同放弃开标监督权利、认可开标结果。</w:t>
      </w:r>
    </w:p>
    <w:p w14:paraId="053033A9">
      <w:pPr>
        <w:pStyle w:val="94"/>
        <w:spacing w:line="460" w:lineRule="exact"/>
        <w:ind w:left="0" w:leftChars="0" w:firstLine="482"/>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13、 开标程序：</w:t>
      </w:r>
    </w:p>
    <w:p w14:paraId="429EFE11">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13.1、开标时间到后，采购代理机构项目负责人准时组织开标。</w:t>
      </w:r>
    </w:p>
    <w:p w14:paraId="1FE0F897">
      <w:pPr>
        <w:pStyle w:val="94"/>
        <w:spacing w:line="460" w:lineRule="exact"/>
        <w:ind w:left="0" w:leftChars="0" w:firstLine="48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13.2、投标人登录政采云平台，用“项目采购-开标评标”功能对电子投标文件进行在线解密。</w:t>
      </w:r>
      <w:r>
        <w:rPr>
          <w:rFonts w:hint="eastAsia" w:cs="宋体"/>
          <w:color w:val="auto"/>
          <w:sz w:val="24"/>
          <w:szCs w:val="24"/>
          <w:highlight w:val="none"/>
        </w:rPr>
        <w:t>在线解密电子投标文件时间为开标时间后</w:t>
      </w:r>
      <w:r>
        <w:rPr>
          <w:rFonts w:cs="宋体"/>
          <w:color w:val="auto"/>
          <w:sz w:val="24"/>
          <w:szCs w:val="24"/>
          <w:highlight w:val="none"/>
        </w:rPr>
        <w:t>30分钟</w:t>
      </w:r>
      <w:r>
        <w:rPr>
          <w:rFonts w:hint="eastAsia" w:cs="宋体"/>
          <w:color w:val="auto"/>
          <w:sz w:val="24"/>
          <w:szCs w:val="24"/>
          <w:highlight w:val="none"/>
        </w:rPr>
        <w:t>内。</w:t>
      </w:r>
      <w:r>
        <w:rPr>
          <w:rFonts w:hint="eastAsia" w:asciiTheme="minorEastAsia" w:hAnsiTheme="minorEastAsia"/>
          <w:b/>
          <w:color w:val="auto"/>
          <w:sz w:val="24"/>
          <w:szCs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由此产生的一切风险责任由供应商自行承担。</w:t>
      </w:r>
    </w:p>
    <w:p w14:paraId="1718E126">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13.3、开启《报价响应文件》后并在线公布开标一览表有关内容，投标供应商应在线签字确认（不予确认的应说明理由，否则视为无异议）。</w:t>
      </w:r>
    </w:p>
    <w:p w14:paraId="1F2B1C24">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13.4、公布开标结果。</w:t>
      </w:r>
    </w:p>
    <w:p w14:paraId="1C0B1BDC">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13.5、特别说明：本项目原则上采用政采云电子招投标开标及评审程序，但有下情形之一的，按以下情况处理：</w:t>
      </w:r>
    </w:p>
    <w:p w14:paraId="1B2BB4C0">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（1）若投标人在规定时间内无法解密或解密失败，采购代理机构将开启该投标人递交的备份电子投标文件，上传至政采云平台项目采购模块，以完成开标，电子投标文件自动失效。</w:t>
      </w:r>
    </w:p>
    <w:p w14:paraId="6F413951">
      <w:pPr>
        <w:spacing w:line="360" w:lineRule="auto"/>
        <w:ind w:firstLine="480" w:firstLineChars="200"/>
        <w:rPr>
          <w:rFonts w:asciiTheme="minorEastAsia" w:hAnsiTheme="minorEastAsia"/>
          <w:b/>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b/>
          <w:color w:val="auto"/>
          <w:sz w:val="24"/>
          <w:highlight w:val="none"/>
        </w:rPr>
        <w:t>开评标细则按政采云电子评标流程进行。特别说明：政采云公司如对电子化开标及评审程序有调整的，按调整后的程序操作。</w:t>
      </w:r>
    </w:p>
    <w:p w14:paraId="1046DE2B">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（3）采购过程中出现以下情形，导致电子交易平台无法正常运行，或者无法保证电子交易的公平、公正和安全时，采购人（或代理机构）可中止电子交易活动：</w:t>
      </w:r>
    </w:p>
    <w:p w14:paraId="37EA7345">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①电子交易平台发生故障而无法登录访问的；</w:t>
      </w:r>
    </w:p>
    <w:p w14:paraId="13084F92">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②电子交易平台应用或数据库出现错误，不能进行正常操作的；</w:t>
      </w:r>
    </w:p>
    <w:p w14:paraId="0153EFDC">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③电子交易平台发现严重安全漏洞，有潜在泄密危险的；</w:t>
      </w:r>
    </w:p>
    <w:p w14:paraId="5C93229E">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④病毒发作导致不能进行正常操作的；</w:t>
      </w:r>
    </w:p>
    <w:p w14:paraId="6AC6B4CA">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⑤其他无法保证电子交易的公平、公正和安全的情况。</w:t>
      </w:r>
    </w:p>
    <w:p w14:paraId="6CD0C2F3">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出现前款规定情形，不影响采购公平、公正性的，采购人（或代理机构）可以待上述情形消除后继续组织电子交易活动，也可以决定某些环节以纸质形式进行。</w:t>
      </w:r>
    </w:p>
    <w:p w14:paraId="55F9B471">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w:t>
      </w:r>
      <w:r>
        <w:rPr>
          <w:rFonts w:asciiTheme="minorEastAsia" w:hAnsiTheme="minorEastAsia" w:eastAsiaTheme="minorEastAsia" w:cstheme="minorBidi"/>
          <w:color w:val="auto"/>
          <w:sz w:val="24"/>
          <w:highlight w:val="none"/>
        </w:rPr>
        <w:t>4</w:t>
      </w:r>
      <w:r>
        <w:rPr>
          <w:rFonts w:hint="eastAsia" w:asciiTheme="minorEastAsia" w:hAnsiTheme="minorEastAsia" w:eastAsiaTheme="minorEastAsia" w:cstheme="minorBidi"/>
          <w:color w:val="auto"/>
          <w:sz w:val="24"/>
          <w:highlight w:val="none"/>
        </w:rPr>
        <w:t>）未开启的备份投标文件现场不予以退还。</w:t>
      </w:r>
    </w:p>
    <w:p w14:paraId="3619BF2E">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五、评标和定标</w:t>
      </w:r>
    </w:p>
    <w:p w14:paraId="220C7E9C">
      <w:pPr>
        <w:pStyle w:val="94"/>
        <w:spacing w:line="460" w:lineRule="exact"/>
        <w:ind w:left="0" w:leftChars="0" w:firstLine="0" w:firstLineChars="0"/>
        <w:rPr>
          <w:rFonts w:asciiTheme="minorEastAsia" w:hAnsiTheme="minorEastAsia"/>
          <w:b/>
          <w:color w:val="auto"/>
          <w:sz w:val="24"/>
          <w:szCs w:val="24"/>
          <w:highlight w:val="none"/>
        </w:rPr>
      </w:pPr>
      <w:bookmarkStart w:id="37" w:name="_Toc430790229"/>
      <w:bookmarkStart w:id="38" w:name="_Toc425780292"/>
      <w:bookmarkStart w:id="39" w:name="_Toc425151748"/>
      <w:bookmarkStart w:id="40" w:name="_Toc429407708"/>
      <w:r>
        <w:rPr>
          <w:rFonts w:hint="eastAsia" w:asciiTheme="minorEastAsia" w:hAnsiTheme="minorEastAsia"/>
          <w:b/>
          <w:color w:val="auto"/>
          <w:sz w:val="24"/>
          <w:szCs w:val="24"/>
          <w:highlight w:val="none"/>
        </w:rPr>
        <w:t>14、</w:t>
      </w:r>
      <w:r>
        <w:rPr>
          <w:rFonts w:asciiTheme="minorEastAsia" w:hAnsiTheme="minorEastAsia"/>
          <w:b/>
          <w:color w:val="auto"/>
          <w:sz w:val="24"/>
          <w:szCs w:val="24"/>
          <w:highlight w:val="none"/>
        </w:rPr>
        <w:t>评标委员会</w:t>
      </w:r>
      <w:bookmarkEnd w:id="37"/>
      <w:bookmarkEnd w:id="38"/>
      <w:bookmarkEnd w:id="39"/>
      <w:bookmarkEnd w:id="40"/>
    </w:p>
    <w:p w14:paraId="3B7DC642">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14.1</w:t>
      </w:r>
      <w:r>
        <w:rPr>
          <w:rFonts w:asciiTheme="minorEastAsia" w:hAnsiTheme="minorEastAsia"/>
          <w:color w:val="auto"/>
          <w:sz w:val="24"/>
          <w:szCs w:val="24"/>
          <w:highlight w:val="none"/>
        </w:rPr>
        <w:t>受采购人的委托，采购代理机构根据《</w:t>
      </w:r>
      <w:r>
        <w:rPr>
          <w:rFonts w:hint="eastAsia" w:asciiTheme="minorEastAsia" w:hAnsiTheme="minorEastAsia"/>
          <w:color w:val="auto"/>
          <w:sz w:val="24"/>
          <w:szCs w:val="24"/>
          <w:highlight w:val="none"/>
        </w:rPr>
        <w:t>中华人民共和国</w:t>
      </w:r>
      <w:r>
        <w:rPr>
          <w:rFonts w:asciiTheme="minorEastAsia" w:hAnsiTheme="minorEastAsia"/>
          <w:color w:val="auto"/>
          <w:sz w:val="24"/>
          <w:szCs w:val="24"/>
          <w:highlight w:val="none"/>
        </w:rPr>
        <w:t>政府采购法》、财政部第8</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号令的规定和有关的</w:t>
      </w:r>
      <w:r>
        <w:rPr>
          <w:rFonts w:hint="eastAsia" w:asciiTheme="minorEastAsia" w:hAnsiTheme="minorEastAsia"/>
          <w:color w:val="auto"/>
          <w:sz w:val="24"/>
          <w:szCs w:val="24"/>
          <w:highlight w:val="none"/>
        </w:rPr>
        <w:t>法律</w:t>
      </w:r>
      <w:r>
        <w:rPr>
          <w:rFonts w:asciiTheme="minorEastAsia" w:hAnsiTheme="minorEastAsia"/>
          <w:color w:val="auto"/>
          <w:sz w:val="24"/>
          <w:szCs w:val="24"/>
          <w:highlight w:val="none"/>
        </w:rPr>
        <w:t>法规组建评标委员会，评标委员会负责评标工作。评标委员会由</w:t>
      </w:r>
      <w:r>
        <w:rPr>
          <w:rFonts w:hint="eastAsia" w:asciiTheme="minorEastAsia" w:hAnsiTheme="minorEastAsia"/>
          <w:color w:val="auto"/>
          <w:sz w:val="24"/>
          <w:szCs w:val="24"/>
          <w:highlight w:val="none"/>
        </w:rPr>
        <w:t>采购人</w:t>
      </w:r>
      <w:r>
        <w:rPr>
          <w:rFonts w:asciiTheme="minorEastAsia" w:hAnsiTheme="minorEastAsia"/>
          <w:color w:val="auto"/>
          <w:sz w:val="24"/>
          <w:szCs w:val="24"/>
          <w:highlight w:val="none"/>
        </w:rPr>
        <w:t>代表和</w:t>
      </w:r>
      <w:r>
        <w:rPr>
          <w:rFonts w:hint="eastAsia" w:asciiTheme="minorEastAsia" w:hAnsiTheme="minorEastAsia"/>
          <w:color w:val="auto"/>
          <w:sz w:val="24"/>
          <w:szCs w:val="24"/>
          <w:highlight w:val="none"/>
        </w:rPr>
        <w:t>评审</w:t>
      </w:r>
      <w:r>
        <w:rPr>
          <w:rFonts w:asciiTheme="minorEastAsia" w:hAnsiTheme="minorEastAsia"/>
          <w:color w:val="auto"/>
          <w:sz w:val="24"/>
          <w:szCs w:val="24"/>
          <w:highlight w:val="none"/>
        </w:rPr>
        <w:t>专家组成。</w:t>
      </w:r>
      <w:r>
        <w:rPr>
          <w:rFonts w:hint="eastAsia" w:asciiTheme="minorEastAsia" w:hAnsiTheme="minorEastAsia"/>
          <w:color w:val="auto"/>
          <w:sz w:val="24"/>
          <w:szCs w:val="24"/>
          <w:highlight w:val="none"/>
        </w:rPr>
        <w:t>评审</w:t>
      </w:r>
      <w:r>
        <w:rPr>
          <w:rFonts w:asciiTheme="minorEastAsia" w:hAnsiTheme="minorEastAsia"/>
          <w:color w:val="auto"/>
          <w:sz w:val="24"/>
          <w:szCs w:val="24"/>
          <w:highlight w:val="none"/>
        </w:rPr>
        <w:t>专家将在开标日之前在管理部门的</w:t>
      </w:r>
      <w:r>
        <w:rPr>
          <w:rFonts w:hint="eastAsia" w:asciiTheme="minorEastAsia" w:hAnsiTheme="minorEastAsia"/>
          <w:color w:val="auto"/>
          <w:sz w:val="24"/>
          <w:szCs w:val="24"/>
          <w:highlight w:val="none"/>
        </w:rPr>
        <w:t>评审</w:t>
      </w:r>
      <w:r>
        <w:rPr>
          <w:rFonts w:asciiTheme="minorEastAsia" w:hAnsiTheme="minorEastAsia"/>
          <w:color w:val="auto"/>
          <w:sz w:val="24"/>
          <w:szCs w:val="24"/>
          <w:highlight w:val="none"/>
        </w:rPr>
        <w:t>专家库中随机抽取。</w:t>
      </w:r>
      <w:r>
        <w:rPr>
          <w:rFonts w:hint="eastAsia" w:asciiTheme="minorEastAsia" w:hAnsiTheme="minorEastAsia"/>
          <w:color w:val="auto"/>
          <w:sz w:val="24"/>
          <w:szCs w:val="24"/>
          <w:highlight w:val="none"/>
        </w:rPr>
        <w:t>评标委员会成员名单在评标结果公告前应当保密。</w:t>
      </w:r>
    </w:p>
    <w:p w14:paraId="0BE3EBC6">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14.2</w:t>
      </w:r>
      <w:r>
        <w:rPr>
          <w:rFonts w:asciiTheme="minorEastAsia" w:hAnsiTheme="minorEastAsia"/>
          <w:color w:val="auto"/>
          <w:sz w:val="24"/>
          <w:szCs w:val="24"/>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17B32DE8">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4</w:t>
      </w:r>
      <w:r>
        <w:rPr>
          <w:rFonts w:asciiTheme="minorEastAsia" w:hAnsiTheme="minorEastAsia"/>
          <w:color w:val="auto"/>
          <w:sz w:val="24"/>
          <w:szCs w:val="24"/>
          <w:highlight w:val="none"/>
        </w:rPr>
        <w:t>.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50E027E9">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14.4</w:t>
      </w:r>
      <w:r>
        <w:rPr>
          <w:rFonts w:asciiTheme="minorEastAsia" w:hAnsiTheme="minorEastAsia"/>
          <w:color w:val="auto"/>
          <w:sz w:val="24"/>
          <w:szCs w:val="24"/>
          <w:highlight w:val="none"/>
        </w:rPr>
        <w:t>评标委员会将核对投标价格和</w:t>
      </w:r>
      <w:r>
        <w:rPr>
          <w:rFonts w:hint="eastAsia" w:asciiTheme="minorEastAsia" w:hAnsiTheme="minorEastAsia"/>
          <w:color w:val="auto"/>
          <w:sz w:val="24"/>
          <w:szCs w:val="24"/>
          <w:highlight w:val="none"/>
        </w:rPr>
        <w:t>服务内容</w:t>
      </w:r>
      <w:r>
        <w:rPr>
          <w:rFonts w:asciiTheme="minorEastAsia" w:hAnsiTheme="minorEastAsia"/>
          <w:color w:val="auto"/>
          <w:sz w:val="24"/>
          <w:szCs w:val="24"/>
          <w:highlight w:val="none"/>
        </w:rPr>
        <w:t>，对发现的价格计算错误按下述原则处理：</w:t>
      </w:r>
    </w:p>
    <w:p w14:paraId="248F661A">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（1）投标文件中开标一览表内容与投标文件中相应内容不一致的，以开标一览表为准。</w:t>
      </w:r>
    </w:p>
    <w:p w14:paraId="7F0BB544">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（2）投标文件的大写金额和小写金额不一致的，以大写金额为准。</w:t>
      </w:r>
    </w:p>
    <w:p w14:paraId="382B9186">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（3）单价金额小数点或者百分比有明显错位的，以开标一览表的总价为准，并修改单价；</w:t>
      </w:r>
    </w:p>
    <w:p w14:paraId="211467EF">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（4）总价金额与按单价汇总金额不一致，以单价金额计算结果为准。</w:t>
      </w:r>
    </w:p>
    <w:p w14:paraId="29B4C365">
      <w:pPr>
        <w:pStyle w:val="94"/>
        <w:spacing w:line="460" w:lineRule="exact"/>
        <w:ind w:left="0" w:leftChars="0" w:firstLine="482"/>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w:t>
      </w:r>
      <w:r>
        <w:rPr>
          <w:rFonts w:asciiTheme="minorEastAsia" w:hAnsiTheme="minorEastAsia"/>
          <w:b/>
          <w:color w:val="auto"/>
          <w:sz w:val="24"/>
          <w:szCs w:val="24"/>
          <w:highlight w:val="none"/>
        </w:rPr>
        <w:t>5）客户端填写的报价与以pdf格式上传文件中的报价不一致的，应以pdf格式上传文件中的报价为准。</w:t>
      </w:r>
    </w:p>
    <w:p w14:paraId="2BF221A4">
      <w:pPr>
        <w:spacing w:line="360" w:lineRule="auto"/>
        <w:ind w:firstLine="480" w:firstLineChars="200"/>
        <w:contextualSpacing/>
        <w:rPr>
          <w:rFonts w:asciiTheme="minorEastAsia" w:hAnsiTheme="minorEastAsia"/>
          <w:color w:val="auto"/>
          <w:sz w:val="24"/>
          <w:highlight w:val="none"/>
        </w:rPr>
      </w:pPr>
      <w:r>
        <w:rPr>
          <w:rFonts w:hint="eastAsia" w:asciiTheme="minorEastAsia" w:hAnsiTheme="minorEastAsia"/>
          <w:color w:val="auto"/>
          <w:sz w:val="24"/>
          <w:highlight w:val="none"/>
        </w:rPr>
        <w:t>同时出现两种以上不一致的，按照前款规定的顺序修正。修正后的报价经投标人确认后产生约束力，投标人不确认的，其投标无效。</w:t>
      </w:r>
    </w:p>
    <w:p w14:paraId="368C57F5">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14.5</w:t>
      </w:r>
      <w:r>
        <w:rPr>
          <w:rFonts w:asciiTheme="minorEastAsia" w:hAnsiTheme="minorEastAsia"/>
          <w:color w:val="auto"/>
          <w:sz w:val="24"/>
          <w:szCs w:val="24"/>
          <w:highlight w:val="none"/>
        </w:rPr>
        <w:t>评标委员会根据采购文件的《评标办法》及在《投标资料表》和《</w:t>
      </w:r>
      <w:r>
        <w:rPr>
          <w:rFonts w:hint="eastAsia" w:asciiTheme="minorEastAsia" w:hAnsiTheme="minorEastAsia"/>
          <w:color w:val="auto"/>
          <w:sz w:val="24"/>
          <w:szCs w:val="24"/>
          <w:highlight w:val="none"/>
        </w:rPr>
        <w:t>采购内容及要求</w:t>
      </w:r>
      <w:r>
        <w:rPr>
          <w:rFonts w:asciiTheme="minorEastAsia" w:hAnsiTheme="minorEastAsia"/>
          <w:color w:val="auto"/>
          <w:sz w:val="24"/>
          <w:szCs w:val="24"/>
          <w:highlight w:val="none"/>
        </w:rPr>
        <w:t>》中所列的具体标准，对投标文件进行评审和比较。</w:t>
      </w:r>
    </w:p>
    <w:p w14:paraId="5283DF02">
      <w:pPr>
        <w:pStyle w:val="94"/>
        <w:spacing w:line="460" w:lineRule="exact"/>
        <w:ind w:left="0" w:leftChars="0" w:firstLine="0" w:firstLineChars="0"/>
        <w:rPr>
          <w:rFonts w:asciiTheme="minorEastAsia" w:hAnsiTheme="minorEastAsia"/>
          <w:b/>
          <w:color w:val="auto"/>
          <w:sz w:val="24"/>
          <w:szCs w:val="24"/>
          <w:highlight w:val="none"/>
        </w:rPr>
      </w:pPr>
      <w:bookmarkStart w:id="41" w:name="_Toc425151749"/>
      <w:bookmarkStart w:id="42" w:name="_Toc425780293"/>
      <w:bookmarkStart w:id="43" w:name="_Toc429407709"/>
      <w:bookmarkStart w:id="44" w:name="_Toc430790230"/>
      <w:r>
        <w:rPr>
          <w:rFonts w:hint="eastAsia" w:asciiTheme="minorEastAsia" w:hAnsiTheme="minorEastAsia"/>
          <w:b/>
          <w:color w:val="auto"/>
          <w:sz w:val="24"/>
          <w:szCs w:val="24"/>
          <w:highlight w:val="none"/>
        </w:rPr>
        <w:t>15、</w:t>
      </w:r>
      <w:bookmarkEnd w:id="41"/>
      <w:bookmarkEnd w:id="42"/>
      <w:bookmarkEnd w:id="43"/>
      <w:bookmarkEnd w:id="44"/>
      <w:bookmarkStart w:id="45" w:name="_Toc429407710"/>
      <w:bookmarkStart w:id="46" w:name="_Toc425780294"/>
      <w:bookmarkStart w:id="47" w:name="_Toc425151750"/>
      <w:bookmarkStart w:id="48" w:name="_Toc430790231"/>
      <w:r>
        <w:rPr>
          <w:rFonts w:hint="eastAsia" w:asciiTheme="minorEastAsia" w:hAnsiTheme="minorEastAsia"/>
          <w:b/>
          <w:color w:val="auto"/>
          <w:sz w:val="24"/>
          <w:szCs w:val="24"/>
          <w:highlight w:val="none"/>
        </w:rPr>
        <w:t>澄清问题的形式</w:t>
      </w:r>
    </w:p>
    <w:p w14:paraId="36FEE42C">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2F0DB980">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15.2政采云具体操作如下：</w:t>
      </w:r>
    </w:p>
    <w:p w14:paraId="3AF5D9CE">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2C223B56">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路径：用户中心—项目采购—询标澄清</w:t>
      </w:r>
    </w:p>
    <w:p w14:paraId="7F378274">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（1）政采云平台通过待办事项和短信提醒供应商在截止时间前完成澄清。</w:t>
      </w:r>
    </w:p>
    <w:p w14:paraId="27EEAC73">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（2）投标供应商在“询标澄清-待办理”标签页下选择状态为“待澄清”的项目，点击操作栏【澄清】。</w:t>
      </w:r>
    </w:p>
    <w:p w14:paraId="05A56FF3">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（3）查看函内容，在澄清截止时间前上传澄清文件并对澄清文件进行签章。（注：澄清文件必须以PDF格式上传）</w:t>
      </w:r>
    </w:p>
    <w:p w14:paraId="788816F4">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（4）签章完成，文件名称处显示“已签章”，供应商可“撤回签章”修改澄清函和“查看文件”。</w:t>
      </w:r>
    </w:p>
    <w:p w14:paraId="44068B51">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73942BB8">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（6）完成状态：供应商澄清文件提交成功后，在“询标澄清-全部”标签页下显示状态为“已澄清”。</w:t>
      </w:r>
    </w:p>
    <w:p w14:paraId="2C08645E">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15.3投标供应商未在截止时间前完成澄清，将被视作自动放弃。</w:t>
      </w:r>
    </w:p>
    <w:p w14:paraId="31D6B998">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16、</w:t>
      </w:r>
      <w:r>
        <w:rPr>
          <w:rFonts w:asciiTheme="minorEastAsia" w:hAnsiTheme="minorEastAsia"/>
          <w:b/>
          <w:color w:val="auto"/>
          <w:sz w:val="24"/>
          <w:szCs w:val="24"/>
          <w:highlight w:val="none"/>
        </w:rPr>
        <w:t>评标办法</w:t>
      </w:r>
      <w:bookmarkEnd w:id="45"/>
      <w:bookmarkEnd w:id="46"/>
      <w:bookmarkEnd w:id="47"/>
      <w:bookmarkEnd w:id="48"/>
    </w:p>
    <w:p w14:paraId="703FE094">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16.1本项目</w:t>
      </w:r>
      <w:r>
        <w:rPr>
          <w:rFonts w:asciiTheme="minorEastAsia" w:hAnsiTheme="minorEastAsia"/>
          <w:color w:val="auto"/>
          <w:sz w:val="24"/>
          <w:szCs w:val="24"/>
          <w:highlight w:val="none"/>
        </w:rPr>
        <w:t>采用综合评分法。本次招标</w:t>
      </w:r>
      <w:r>
        <w:rPr>
          <w:rFonts w:hint="eastAsia" w:asciiTheme="minorEastAsia" w:hAnsiTheme="minorEastAsia"/>
          <w:color w:val="auto"/>
          <w:sz w:val="24"/>
          <w:szCs w:val="24"/>
          <w:highlight w:val="none"/>
        </w:rPr>
        <w:t>采购</w:t>
      </w:r>
      <w:r>
        <w:rPr>
          <w:rFonts w:asciiTheme="minorEastAsia" w:hAnsiTheme="minorEastAsia"/>
          <w:color w:val="auto"/>
          <w:sz w:val="24"/>
          <w:szCs w:val="24"/>
          <w:highlight w:val="none"/>
        </w:rPr>
        <w:t>采用的评标方法</w:t>
      </w:r>
      <w:r>
        <w:rPr>
          <w:rFonts w:hint="eastAsia" w:asciiTheme="minorEastAsia" w:hAnsiTheme="minorEastAsia"/>
          <w:color w:val="auto"/>
          <w:sz w:val="24"/>
          <w:szCs w:val="24"/>
          <w:highlight w:val="none"/>
        </w:rPr>
        <w:t>具体说明</w:t>
      </w:r>
      <w:r>
        <w:rPr>
          <w:rFonts w:asciiTheme="minorEastAsia" w:hAnsiTheme="minorEastAsia"/>
          <w:color w:val="auto"/>
          <w:sz w:val="24"/>
          <w:szCs w:val="24"/>
          <w:highlight w:val="none"/>
        </w:rPr>
        <w:t>载明在采购文件</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评标</w:t>
      </w:r>
      <w:r>
        <w:rPr>
          <w:rFonts w:hint="eastAsia" w:asciiTheme="minorEastAsia" w:hAnsiTheme="minorEastAsia"/>
          <w:color w:val="auto"/>
          <w:sz w:val="24"/>
          <w:szCs w:val="24"/>
          <w:highlight w:val="none"/>
        </w:rPr>
        <w:t>办法”</w:t>
      </w:r>
      <w:r>
        <w:rPr>
          <w:rFonts w:asciiTheme="minorEastAsia" w:hAnsiTheme="minorEastAsia"/>
          <w:color w:val="auto"/>
          <w:sz w:val="24"/>
          <w:szCs w:val="24"/>
          <w:highlight w:val="none"/>
        </w:rPr>
        <w:t>部分中。</w:t>
      </w:r>
    </w:p>
    <w:p w14:paraId="73D24D80">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16.2</w:t>
      </w:r>
      <w:r>
        <w:rPr>
          <w:rFonts w:asciiTheme="minorEastAsia" w:hAnsiTheme="minorEastAsia"/>
          <w:color w:val="auto"/>
          <w:sz w:val="24"/>
          <w:szCs w:val="24"/>
          <w:highlight w:val="none"/>
        </w:rPr>
        <w:t>综合评分法：</w:t>
      </w:r>
    </w:p>
    <w:p w14:paraId="03F31AB1">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投标文件满足采购文件全部实质性要求，且按照评审因素的量化指标评审得分最高的投标人为中标候选人的评标方法。</w:t>
      </w:r>
    </w:p>
    <w:p w14:paraId="44CB8C7E">
      <w:pPr>
        <w:pStyle w:val="94"/>
        <w:spacing w:line="460" w:lineRule="exact"/>
        <w:ind w:left="0" w:leftChars="0" w:firstLine="0" w:firstLineChars="0"/>
        <w:rPr>
          <w:rFonts w:asciiTheme="minorEastAsia" w:hAnsiTheme="minorEastAsia"/>
          <w:b/>
          <w:color w:val="auto"/>
          <w:sz w:val="24"/>
          <w:szCs w:val="24"/>
          <w:highlight w:val="none"/>
        </w:rPr>
      </w:pPr>
      <w:bookmarkStart w:id="49" w:name="_Toc422996819"/>
      <w:bookmarkEnd w:id="49"/>
      <w:bookmarkStart w:id="50" w:name="_Toc422996749"/>
      <w:bookmarkEnd w:id="50"/>
      <w:bookmarkStart w:id="51" w:name="_Toc422996750"/>
      <w:bookmarkEnd w:id="51"/>
      <w:bookmarkStart w:id="52" w:name="_Toc422996818"/>
      <w:bookmarkEnd w:id="52"/>
      <w:bookmarkStart w:id="53" w:name="_Toc425151751"/>
      <w:bookmarkStart w:id="54" w:name="_Toc429407711"/>
      <w:bookmarkStart w:id="55" w:name="_Toc425780295"/>
      <w:bookmarkStart w:id="56" w:name="_Toc430790232"/>
      <w:r>
        <w:rPr>
          <w:rFonts w:hint="eastAsia" w:asciiTheme="minorEastAsia" w:hAnsiTheme="minorEastAsia"/>
          <w:b/>
          <w:color w:val="auto"/>
          <w:sz w:val="24"/>
          <w:szCs w:val="24"/>
          <w:highlight w:val="none"/>
        </w:rPr>
        <w:t>17、</w:t>
      </w:r>
      <w:r>
        <w:rPr>
          <w:rFonts w:asciiTheme="minorEastAsia" w:hAnsiTheme="minorEastAsia"/>
          <w:b/>
          <w:color w:val="auto"/>
          <w:sz w:val="24"/>
          <w:szCs w:val="24"/>
          <w:highlight w:val="none"/>
        </w:rPr>
        <w:t>评标程序和原则</w:t>
      </w:r>
      <w:bookmarkEnd w:id="53"/>
      <w:bookmarkEnd w:id="54"/>
      <w:bookmarkEnd w:id="55"/>
      <w:bookmarkEnd w:id="56"/>
    </w:p>
    <w:p w14:paraId="6C0E9A96">
      <w:pPr>
        <w:pStyle w:val="94"/>
        <w:spacing w:line="460" w:lineRule="exact"/>
        <w:ind w:left="0" w:leftChars="0" w:firstLine="48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17.1</w:t>
      </w:r>
      <w:r>
        <w:rPr>
          <w:rFonts w:asciiTheme="minorEastAsia" w:hAnsiTheme="minorEastAsia"/>
          <w:color w:val="auto"/>
          <w:sz w:val="24"/>
          <w:szCs w:val="24"/>
          <w:highlight w:val="none"/>
        </w:rPr>
        <w:t>评标程序：遵循初步审查、澄清有关问题、比较与评价、推荐中标候选人的程序依次进行。</w:t>
      </w:r>
    </w:p>
    <w:p w14:paraId="73CD6869">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17.2</w:t>
      </w:r>
      <w:r>
        <w:rPr>
          <w:rFonts w:asciiTheme="minorEastAsia" w:hAnsiTheme="minorEastAsia"/>
          <w:color w:val="auto"/>
          <w:sz w:val="24"/>
          <w:szCs w:val="24"/>
          <w:highlight w:val="none"/>
        </w:rPr>
        <w:t>初步审查</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包含资格性审查和符合性审查。初步审查不合格者不进入澄清有关问题及后续的评标程序。</w:t>
      </w:r>
    </w:p>
    <w:p w14:paraId="081DE131">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）资格性审查：</w:t>
      </w:r>
    </w:p>
    <w:p w14:paraId="36EB4D27">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依据法律法规和采购文件的规定，</w:t>
      </w:r>
      <w:r>
        <w:rPr>
          <w:rFonts w:hint="eastAsia" w:asciiTheme="minorEastAsia" w:hAnsiTheme="minorEastAsia"/>
          <w:color w:val="auto"/>
          <w:sz w:val="24"/>
          <w:szCs w:val="24"/>
          <w:highlight w:val="none"/>
        </w:rPr>
        <w:t>采购人或采购代理机构</w:t>
      </w:r>
      <w:r>
        <w:rPr>
          <w:rFonts w:asciiTheme="minorEastAsia" w:hAnsiTheme="minorEastAsia"/>
          <w:color w:val="auto"/>
          <w:sz w:val="24"/>
          <w:szCs w:val="24"/>
          <w:highlight w:val="none"/>
        </w:rPr>
        <w:t>对其资格证明文件齐全性和有效性等方面进行审查，以确定投标人是否具备投标资格。</w:t>
      </w:r>
    </w:p>
    <w:p w14:paraId="5D85384E">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符合性检查：</w:t>
      </w:r>
    </w:p>
    <w:p w14:paraId="2E30819E">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依据采购文件的规定，</w:t>
      </w:r>
      <w:r>
        <w:rPr>
          <w:rFonts w:hint="eastAsia" w:asciiTheme="minorEastAsia" w:hAnsiTheme="minorEastAsia"/>
          <w:color w:val="auto"/>
          <w:sz w:val="24"/>
          <w:szCs w:val="24"/>
          <w:highlight w:val="none"/>
        </w:rPr>
        <w:t>评标委员会</w:t>
      </w:r>
      <w:r>
        <w:rPr>
          <w:rFonts w:asciiTheme="minorEastAsia" w:hAnsiTheme="minorEastAsia"/>
          <w:color w:val="auto"/>
          <w:sz w:val="24"/>
          <w:szCs w:val="24"/>
          <w:highlight w:val="none"/>
        </w:rPr>
        <w:t>从投标文件的有效性、完整性和对采购文件的响应程度进行审查，以确定是否对采购文件的要求作出实质性响应。</w:t>
      </w:r>
    </w:p>
    <w:p w14:paraId="2DEED381">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17.3</w:t>
      </w:r>
      <w:r>
        <w:rPr>
          <w:rFonts w:asciiTheme="minorEastAsia" w:hAnsiTheme="minorEastAsia"/>
          <w:color w:val="auto"/>
          <w:sz w:val="24"/>
          <w:szCs w:val="24"/>
          <w:highlight w:val="none"/>
        </w:rPr>
        <w:t>澄清有关问题：按第</w:t>
      </w:r>
      <w:r>
        <w:rPr>
          <w:rFonts w:hint="eastAsia" w:asciiTheme="minorEastAsia" w:hAnsiTheme="minorEastAsia"/>
          <w:color w:val="auto"/>
          <w:sz w:val="24"/>
          <w:szCs w:val="24"/>
          <w:highlight w:val="none"/>
        </w:rPr>
        <w:t>15</w:t>
      </w:r>
      <w:r>
        <w:rPr>
          <w:rFonts w:asciiTheme="minorEastAsia" w:hAnsiTheme="minorEastAsia"/>
          <w:color w:val="auto"/>
          <w:sz w:val="24"/>
          <w:szCs w:val="24"/>
          <w:highlight w:val="none"/>
        </w:rPr>
        <w:t>条规定进行。</w:t>
      </w:r>
    </w:p>
    <w:p w14:paraId="1E98B314">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17.4</w:t>
      </w:r>
      <w:r>
        <w:rPr>
          <w:rFonts w:asciiTheme="minorEastAsia" w:hAnsiTheme="minorEastAsia"/>
          <w:color w:val="auto"/>
          <w:sz w:val="24"/>
          <w:szCs w:val="24"/>
          <w:highlight w:val="none"/>
        </w:rPr>
        <w:t>比较与评价：</w:t>
      </w:r>
    </w:p>
    <w:p w14:paraId="34E02C6C">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技术</w:t>
      </w:r>
      <w:r>
        <w:rPr>
          <w:rFonts w:hint="eastAsia" w:asciiTheme="minorEastAsia" w:hAnsiTheme="minorEastAsia"/>
          <w:color w:val="auto"/>
          <w:sz w:val="24"/>
          <w:szCs w:val="24"/>
          <w:highlight w:val="none"/>
        </w:rPr>
        <w:t>商务</w:t>
      </w:r>
      <w:r>
        <w:rPr>
          <w:rFonts w:asciiTheme="minorEastAsia" w:hAnsiTheme="minorEastAsia"/>
          <w:color w:val="auto"/>
          <w:sz w:val="24"/>
          <w:szCs w:val="24"/>
          <w:highlight w:val="none"/>
        </w:rPr>
        <w:t>评价：按照采购文件的要求和</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评标</w:t>
      </w:r>
      <w:r>
        <w:rPr>
          <w:rFonts w:hint="eastAsia" w:asciiTheme="minorEastAsia" w:hAnsiTheme="minorEastAsia"/>
          <w:color w:val="auto"/>
          <w:sz w:val="24"/>
          <w:szCs w:val="24"/>
          <w:highlight w:val="none"/>
        </w:rPr>
        <w:t>标准》</w:t>
      </w:r>
      <w:r>
        <w:rPr>
          <w:rFonts w:asciiTheme="minorEastAsia" w:hAnsiTheme="minorEastAsia"/>
          <w:color w:val="auto"/>
          <w:sz w:val="24"/>
          <w:szCs w:val="24"/>
          <w:highlight w:val="none"/>
        </w:rPr>
        <w:t>对照投标文件的响应进行</w:t>
      </w:r>
      <w:r>
        <w:rPr>
          <w:rFonts w:hint="eastAsia" w:asciiTheme="minorEastAsia" w:hAnsiTheme="minorEastAsia"/>
          <w:color w:val="auto"/>
          <w:sz w:val="24"/>
          <w:szCs w:val="24"/>
          <w:highlight w:val="none"/>
        </w:rPr>
        <w:t>技术商务</w:t>
      </w:r>
      <w:r>
        <w:rPr>
          <w:rFonts w:asciiTheme="minorEastAsia" w:hAnsiTheme="minorEastAsia"/>
          <w:color w:val="auto"/>
          <w:sz w:val="24"/>
          <w:szCs w:val="24"/>
          <w:highlight w:val="none"/>
        </w:rPr>
        <w:t>评价，评定其偏差程度，并计算其相应的</w:t>
      </w:r>
      <w:r>
        <w:rPr>
          <w:rFonts w:hint="eastAsia" w:asciiTheme="minorEastAsia" w:hAnsiTheme="minorEastAsia"/>
          <w:color w:val="auto"/>
          <w:sz w:val="24"/>
          <w:szCs w:val="24"/>
          <w:highlight w:val="none"/>
        </w:rPr>
        <w:t>技术商务评分</w:t>
      </w:r>
      <w:r>
        <w:rPr>
          <w:rFonts w:asciiTheme="minorEastAsia" w:hAnsiTheme="minorEastAsia"/>
          <w:color w:val="auto"/>
          <w:sz w:val="24"/>
          <w:szCs w:val="24"/>
          <w:highlight w:val="none"/>
        </w:rPr>
        <w:t>分值。</w:t>
      </w:r>
    </w:p>
    <w:p w14:paraId="1FD76A17">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综合评价：对经过技术</w:t>
      </w:r>
      <w:r>
        <w:rPr>
          <w:rFonts w:hint="eastAsia" w:asciiTheme="minorEastAsia" w:hAnsiTheme="minorEastAsia"/>
          <w:color w:val="auto"/>
          <w:sz w:val="24"/>
          <w:szCs w:val="24"/>
          <w:highlight w:val="none"/>
        </w:rPr>
        <w:t>商务</w:t>
      </w:r>
      <w:r>
        <w:rPr>
          <w:rFonts w:asciiTheme="minorEastAsia" w:hAnsiTheme="minorEastAsia"/>
          <w:color w:val="auto"/>
          <w:sz w:val="24"/>
          <w:szCs w:val="24"/>
          <w:highlight w:val="none"/>
        </w:rPr>
        <w:t>评价的投标，按</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评标标准</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规定的评价办法进行综合评价，并按以下原则进行评审计算：</w:t>
      </w:r>
    </w:p>
    <w:p w14:paraId="7CBAD677">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综合评分法的</w:t>
      </w:r>
      <w:r>
        <w:rPr>
          <w:rFonts w:hint="eastAsia" w:asciiTheme="minorEastAsia" w:hAnsiTheme="minorEastAsia"/>
          <w:color w:val="auto"/>
          <w:sz w:val="24"/>
          <w:szCs w:val="24"/>
          <w:highlight w:val="none"/>
        </w:rPr>
        <w:t>最终</w:t>
      </w:r>
      <w:r>
        <w:rPr>
          <w:rFonts w:asciiTheme="minorEastAsia" w:hAnsiTheme="minorEastAsia"/>
          <w:color w:val="auto"/>
          <w:sz w:val="24"/>
          <w:szCs w:val="24"/>
          <w:highlight w:val="none"/>
        </w:rPr>
        <w:t>得分计算：综合得分=</w:t>
      </w:r>
      <w:r>
        <w:rPr>
          <w:rFonts w:hint="eastAsia" w:asciiTheme="minorEastAsia" w:hAnsiTheme="minorEastAsia"/>
          <w:color w:val="auto"/>
          <w:sz w:val="24"/>
          <w:szCs w:val="24"/>
          <w:highlight w:val="none"/>
        </w:rPr>
        <w:t>报价</w:t>
      </w:r>
      <w:r>
        <w:rPr>
          <w:rFonts w:asciiTheme="minorEastAsia" w:hAnsiTheme="minorEastAsia"/>
          <w:color w:val="auto"/>
          <w:sz w:val="24"/>
          <w:szCs w:val="24"/>
          <w:highlight w:val="none"/>
        </w:rPr>
        <w:t>得分+技术</w:t>
      </w:r>
      <w:r>
        <w:rPr>
          <w:rFonts w:hint="eastAsia" w:asciiTheme="minorEastAsia" w:hAnsiTheme="minorEastAsia"/>
          <w:color w:val="auto"/>
          <w:sz w:val="24"/>
          <w:szCs w:val="24"/>
          <w:highlight w:val="none"/>
        </w:rPr>
        <w:t>商务</w:t>
      </w:r>
      <w:r>
        <w:rPr>
          <w:rFonts w:asciiTheme="minorEastAsia" w:hAnsiTheme="minorEastAsia"/>
          <w:color w:val="auto"/>
          <w:sz w:val="24"/>
          <w:szCs w:val="24"/>
          <w:highlight w:val="none"/>
        </w:rPr>
        <w:t>评审得分</w:t>
      </w:r>
    </w:p>
    <w:p w14:paraId="7F795B9D">
      <w:pPr>
        <w:pStyle w:val="94"/>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综合评价结束，按照上述第</w:t>
      </w:r>
      <w:r>
        <w:rPr>
          <w:rFonts w:hint="eastAsia" w:asciiTheme="minorEastAsia" w:hAnsiTheme="minorEastAsia"/>
          <w:color w:val="auto"/>
          <w:sz w:val="24"/>
          <w:szCs w:val="24"/>
          <w:highlight w:val="none"/>
        </w:rPr>
        <w:t>16</w:t>
      </w:r>
      <w:r>
        <w:rPr>
          <w:rFonts w:asciiTheme="minorEastAsia" w:hAnsiTheme="minorEastAsia"/>
          <w:color w:val="auto"/>
          <w:sz w:val="24"/>
          <w:szCs w:val="24"/>
          <w:highlight w:val="none"/>
        </w:rPr>
        <w:t>条规定，列出进入最终评审各投标</w:t>
      </w:r>
      <w:r>
        <w:rPr>
          <w:rFonts w:hint="eastAsia" w:asciiTheme="minorEastAsia" w:hAnsiTheme="minorEastAsia"/>
          <w:color w:val="auto"/>
          <w:sz w:val="24"/>
          <w:szCs w:val="24"/>
          <w:highlight w:val="none"/>
        </w:rPr>
        <w:t>人</w:t>
      </w:r>
      <w:r>
        <w:rPr>
          <w:rFonts w:asciiTheme="minorEastAsia" w:hAnsiTheme="minorEastAsia"/>
          <w:color w:val="auto"/>
          <w:sz w:val="24"/>
          <w:szCs w:val="24"/>
          <w:highlight w:val="none"/>
        </w:rPr>
        <w:t>排序次序。</w:t>
      </w:r>
    </w:p>
    <w:p w14:paraId="6D32D777">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17.5</w:t>
      </w:r>
      <w:r>
        <w:rPr>
          <w:rFonts w:asciiTheme="minorEastAsia" w:hAnsiTheme="minorEastAsia"/>
          <w:color w:val="auto"/>
          <w:sz w:val="24"/>
          <w:szCs w:val="24"/>
          <w:highlight w:val="none"/>
        </w:rPr>
        <w:t>推荐中标</w:t>
      </w:r>
      <w:r>
        <w:rPr>
          <w:rFonts w:hint="eastAsia" w:asciiTheme="minorEastAsia" w:hAnsiTheme="minorEastAsia"/>
          <w:color w:val="auto"/>
          <w:sz w:val="24"/>
          <w:szCs w:val="24"/>
          <w:highlight w:val="none"/>
        </w:rPr>
        <w:t>候选人</w:t>
      </w:r>
      <w:r>
        <w:rPr>
          <w:rFonts w:asciiTheme="minorEastAsia" w:hAnsiTheme="minorEastAsia"/>
          <w:color w:val="auto"/>
          <w:sz w:val="24"/>
          <w:szCs w:val="24"/>
          <w:highlight w:val="none"/>
        </w:rPr>
        <w:t>：按</w:t>
      </w:r>
      <w:r>
        <w:rPr>
          <w:rFonts w:hint="eastAsia" w:asciiTheme="minorEastAsia" w:hAnsiTheme="minorEastAsia"/>
          <w:color w:val="auto"/>
          <w:sz w:val="24"/>
          <w:szCs w:val="24"/>
          <w:highlight w:val="none"/>
        </w:rPr>
        <w:t>18</w:t>
      </w:r>
      <w:r>
        <w:rPr>
          <w:rFonts w:asciiTheme="minorEastAsia" w:hAnsiTheme="minorEastAsia"/>
          <w:color w:val="auto"/>
          <w:sz w:val="24"/>
          <w:szCs w:val="24"/>
          <w:highlight w:val="none"/>
        </w:rPr>
        <w:t>条规定推荐中标</w:t>
      </w:r>
      <w:r>
        <w:rPr>
          <w:rFonts w:hint="eastAsia" w:asciiTheme="minorEastAsia" w:hAnsiTheme="minorEastAsia"/>
          <w:color w:val="auto"/>
          <w:sz w:val="24"/>
          <w:szCs w:val="24"/>
          <w:highlight w:val="none"/>
        </w:rPr>
        <w:t>候选人</w:t>
      </w:r>
      <w:r>
        <w:rPr>
          <w:rFonts w:asciiTheme="minorEastAsia" w:hAnsiTheme="minorEastAsia"/>
          <w:color w:val="auto"/>
          <w:sz w:val="24"/>
          <w:szCs w:val="24"/>
          <w:highlight w:val="none"/>
        </w:rPr>
        <w:t>。</w:t>
      </w:r>
    </w:p>
    <w:p w14:paraId="3D2C8D7E">
      <w:pPr>
        <w:pStyle w:val="94"/>
        <w:spacing w:line="460" w:lineRule="exact"/>
        <w:ind w:left="0" w:leftChars="0" w:firstLine="0" w:firstLineChars="0"/>
        <w:rPr>
          <w:rFonts w:asciiTheme="minorEastAsia" w:hAnsiTheme="minorEastAsia"/>
          <w:b/>
          <w:color w:val="auto"/>
          <w:sz w:val="24"/>
          <w:szCs w:val="24"/>
          <w:highlight w:val="none"/>
        </w:rPr>
      </w:pPr>
      <w:bookmarkStart w:id="57" w:name="_Toc430790233"/>
      <w:bookmarkStart w:id="58" w:name="_Toc425151752"/>
      <w:bookmarkStart w:id="59" w:name="_Toc425780296"/>
      <w:bookmarkStart w:id="60" w:name="_Toc429407712"/>
      <w:r>
        <w:rPr>
          <w:rFonts w:hint="eastAsia" w:asciiTheme="minorEastAsia" w:hAnsiTheme="minorEastAsia"/>
          <w:b/>
          <w:color w:val="auto"/>
          <w:sz w:val="24"/>
          <w:szCs w:val="24"/>
          <w:highlight w:val="none"/>
        </w:rPr>
        <w:t>18、</w:t>
      </w:r>
      <w:r>
        <w:rPr>
          <w:rFonts w:asciiTheme="minorEastAsia" w:hAnsiTheme="minorEastAsia"/>
          <w:b/>
          <w:color w:val="auto"/>
          <w:sz w:val="24"/>
          <w:szCs w:val="24"/>
          <w:highlight w:val="none"/>
        </w:rPr>
        <w:t>推荐中标</w:t>
      </w:r>
      <w:r>
        <w:rPr>
          <w:rFonts w:hint="eastAsia" w:asciiTheme="minorEastAsia" w:hAnsiTheme="minorEastAsia"/>
          <w:b/>
          <w:color w:val="auto"/>
          <w:sz w:val="24"/>
          <w:szCs w:val="24"/>
          <w:highlight w:val="none"/>
        </w:rPr>
        <w:t>候选人</w:t>
      </w:r>
      <w:bookmarkEnd w:id="57"/>
      <w:bookmarkEnd w:id="58"/>
      <w:bookmarkEnd w:id="59"/>
      <w:bookmarkEnd w:id="60"/>
    </w:p>
    <w:p w14:paraId="602AC3E3">
      <w:pPr>
        <w:pStyle w:val="94"/>
        <w:spacing w:line="460" w:lineRule="exact"/>
        <w:ind w:left="0" w:leftChars="0" w:firstLine="472" w:firstLineChars="196"/>
        <w:rPr>
          <w:rFonts w:asciiTheme="minorEastAsia" w:hAnsiTheme="minorEastAsia"/>
          <w:b/>
          <w:color w:val="auto"/>
          <w:sz w:val="24"/>
          <w:szCs w:val="24"/>
          <w:highlight w:val="none"/>
        </w:rPr>
      </w:pPr>
      <w:bookmarkStart w:id="61" w:name="_Toc429407713"/>
      <w:bookmarkStart w:id="62" w:name="_Toc425780297"/>
      <w:bookmarkStart w:id="63" w:name="_Toc430790234"/>
      <w:bookmarkStart w:id="64" w:name="_Toc425151753"/>
      <w:r>
        <w:rPr>
          <w:rFonts w:hint="eastAsia" w:asciiTheme="minorEastAsia" w:hAnsiTheme="minorEastAsia"/>
          <w:b/>
          <w:color w:val="auto"/>
          <w:sz w:val="24"/>
          <w:szCs w:val="24"/>
          <w:highlight w:val="none"/>
        </w:rPr>
        <w:t>评标委员会根据各投标人的综合得分由高到低排定顺序，推荐本项目</w:t>
      </w:r>
      <w:r>
        <w:rPr>
          <w:rFonts w:asciiTheme="minorEastAsia" w:hAnsiTheme="minorEastAsia"/>
          <w:b/>
          <w:color w:val="auto"/>
          <w:sz w:val="24"/>
          <w:szCs w:val="24"/>
          <w:highlight w:val="none"/>
        </w:rPr>
        <w:t>的</w:t>
      </w:r>
      <w:r>
        <w:rPr>
          <w:rFonts w:hint="eastAsia" w:asciiTheme="minorEastAsia" w:hAnsiTheme="minorEastAsia"/>
          <w:b/>
          <w:color w:val="auto"/>
          <w:sz w:val="24"/>
          <w:szCs w:val="24"/>
          <w:highlight w:val="none"/>
        </w:rPr>
        <w:t>中标候选人，推荐</w:t>
      </w:r>
      <w:r>
        <w:rPr>
          <w:rFonts w:hint="eastAsia" w:asciiTheme="minorEastAsia" w:hAnsiTheme="minorEastAsia"/>
          <w:b/>
          <w:color w:val="auto"/>
          <w:sz w:val="24"/>
          <w:szCs w:val="24"/>
          <w:highlight w:val="none"/>
          <w:lang w:eastAsia="zh-CN"/>
        </w:rPr>
        <w:t>两</w:t>
      </w:r>
      <w:r>
        <w:rPr>
          <w:rFonts w:hint="eastAsia" w:asciiTheme="minorEastAsia" w:hAnsiTheme="minorEastAsia"/>
          <w:b/>
          <w:color w:val="auto"/>
          <w:sz w:val="24"/>
          <w:szCs w:val="24"/>
          <w:highlight w:val="none"/>
        </w:rPr>
        <w:t>名中标候选人。</w:t>
      </w:r>
    </w:p>
    <w:p w14:paraId="12036B5B">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19、</w:t>
      </w:r>
      <w:bookmarkEnd w:id="61"/>
      <w:bookmarkEnd w:id="62"/>
      <w:bookmarkEnd w:id="63"/>
      <w:bookmarkEnd w:id="64"/>
      <w:r>
        <w:rPr>
          <w:rFonts w:asciiTheme="minorEastAsia" w:hAnsiTheme="minorEastAsia"/>
          <w:b/>
          <w:color w:val="auto"/>
          <w:sz w:val="24"/>
          <w:szCs w:val="24"/>
          <w:highlight w:val="none"/>
        </w:rPr>
        <w:t>采购人式</w:t>
      </w:r>
      <w:r>
        <w:rPr>
          <w:rFonts w:hint="eastAsia" w:asciiTheme="minorEastAsia" w:hAnsiTheme="minorEastAsia"/>
          <w:b/>
          <w:color w:val="auto"/>
          <w:sz w:val="24"/>
          <w:szCs w:val="24"/>
          <w:highlight w:val="none"/>
        </w:rPr>
        <w:t>转换</w:t>
      </w:r>
    </w:p>
    <w:p w14:paraId="34D395F6">
      <w:pPr>
        <w:pStyle w:val="94"/>
        <w:spacing w:line="460" w:lineRule="exact"/>
        <w:ind w:left="0" w:leftChars="0" w:firstLine="600" w:firstLineChars="2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434F7FF4">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19.1采购文件存在不合理条款或者招标程序不符合规定的，采购人、采购代理机构改正后依法重新招标； </w:t>
      </w:r>
    </w:p>
    <w:p w14:paraId="171124F8">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19.2采购文件没有不合理条款、招标程序符合规定，需要采用其他采购人式采购的，采购人依法报财政部门批准。 </w:t>
      </w:r>
    </w:p>
    <w:p w14:paraId="195F2B28">
      <w:pPr>
        <w:pStyle w:val="94"/>
        <w:spacing w:line="460" w:lineRule="exact"/>
        <w:ind w:left="0" w:leftChars="0" w:firstLine="0" w:firstLineChars="0"/>
        <w:rPr>
          <w:rFonts w:asciiTheme="minorEastAsia" w:hAnsiTheme="minorEastAsia"/>
          <w:b/>
          <w:color w:val="auto"/>
          <w:sz w:val="24"/>
          <w:szCs w:val="24"/>
          <w:highlight w:val="none"/>
        </w:rPr>
      </w:pPr>
      <w:bookmarkStart w:id="65" w:name="_Toc429407714"/>
      <w:bookmarkStart w:id="66" w:name="_Toc425780298"/>
      <w:bookmarkStart w:id="67" w:name="_Toc430790235"/>
      <w:bookmarkStart w:id="68" w:name="_Toc425151754"/>
      <w:r>
        <w:rPr>
          <w:rFonts w:hint="eastAsia" w:asciiTheme="minorEastAsia" w:hAnsiTheme="minorEastAsia"/>
          <w:b/>
          <w:color w:val="auto"/>
          <w:sz w:val="24"/>
          <w:szCs w:val="24"/>
          <w:highlight w:val="none"/>
        </w:rPr>
        <w:t>20、</w:t>
      </w:r>
      <w:bookmarkEnd w:id="65"/>
      <w:bookmarkEnd w:id="66"/>
      <w:bookmarkEnd w:id="67"/>
      <w:bookmarkEnd w:id="68"/>
      <w:r>
        <w:rPr>
          <w:rFonts w:hint="eastAsia" w:asciiTheme="minorEastAsia" w:hAnsiTheme="minorEastAsia"/>
          <w:b/>
          <w:color w:val="auto"/>
          <w:sz w:val="24"/>
          <w:szCs w:val="24"/>
          <w:highlight w:val="none"/>
        </w:rPr>
        <w:t>评标过程的监控与保密</w:t>
      </w:r>
    </w:p>
    <w:p w14:paraId="522DD82A">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20.1本项目评标过程实行全程录音、录像监控，投标人在评标过程中所进行的试图影响评标结果的不公正活动，可能导致其投标被拒绝。</w:t>
      </w:r>
    </w:p>
    <w:p w14:paraId="475DCB7E">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20.2开标后到中标通知书发出之前，所有涉及评标委员会名单以及对投标文件的澄清、评价、比较等情况，评标委员会成员、采购人和采购代理机构的有关人员均不得向投标人或其他无关人员透露。</w:t>
      </w:r>
    </w:p>
    <w:p w14:paraId="4542AA06">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21、确定中标人、评标结果公示与质疑</w:t>
      </w:r>
    </w:p>
    <w:p w14:paraId="06ED6288">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36417F0">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50EFE0F1">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796D6B58">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六、无效投标认定</w:t>
      </w:r>
    </w:p>
    <w:p w14:paraId="3F9FC6FA">
      <w:pPr>
        <w:pStyle w:val="94"/>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22、实质上没有响应采购文件要求的投标将被视为无效投标。</w:t>
      </w:r>
    </w:p>
    <w:p w14:paraId="736768D9">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22.1在资格审查时，不具备采购文件中规定的资格要求的，或者资格证明文件不全的，投标文件将被视为无效。</w:t>
      </w:r>
    </w:p>
    <w:p w14:paraId="7C9FEEEB">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22.2</w:t>
      </w:r>
      <w:r>
        <w:rPr>
          <w:rFonts w:asciiTheme="minorEastAsia" w:hAnsiTheme="minorEastAsia"/>
          <w:color w:val="auto"/>
          <w:sz w:val="24"/>
          <w:szCs w:val="24"/>
          <w:highlight w:val="none"/>
        </w:rPr>
        <w:t>在符合性审查时，如发现下列情形之一的，投标文件将被视为无效：</w:t>
      </w:r>
    </w:p>
    <w:p w14:paraId="38B7FC52">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（1）投标文件未按采购文件要求签署、签章的；</w:t>
      </w:r>
    </w:p>
    <w:p w14:paraId="2556BBA2">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（2）投标有效期不满足采购文件要求的；</w:t>
      </w:r>
    </w:p>
    <w:p w14:paraId="216D9008">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（3）明显不符合采购文件要求的，或者与采购文件中标注“▲”的条款发生实质性偏离的；</w:t>
      </w:r>
    </w:p>
    <w:p w14:paraId="39BF8F5E">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（4）投标文件中含有采购人不能接受的附加条件的；</w:t>
      </w:r>
    </w:p>
    <w:p w14:paraId="19532C3F">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（5）投标声明书无法定代表人签名，或委托人未提供法定代表人授权委托书、填写项目不齐全的；</w:t>
      </w:r>
    </w:p>
    <w:p w14:paraId="13D6DCFE">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（6）投标文件格式不规范、提供资料不齐全或者内容虚假的；</w:t>
      </w:r>
    </w:p>
    <w:p w14:paraId="23E03F86">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2F266583">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（8）投标文件的关键内容字迹模糊、无法辨认的，或者投标文件中经修正的内容字迹模糊难以辨认或者修改处未按规定签署、盖章的； </w:t>
      </w:r>
    </w:p>
    <w:p w14:paraId="57241775">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9</w:t>
      </w:r>
      <w:r>
        <w:rPr>
          <w:rFonts w:hint="eastAsia" w:asciiTheme="minorEastAsia" w:hAnsiTheme="minorEastAsia"/>
          <w:color w:val="auto"/>
          <w:sz w:val="24"/>
          <w:szCs w:val="24"/>
          <w:highlight w:val="none"/>
        </w:rPr>
        <w:t>）法律、法规和采购文件规定的其他无效情形。</w:t>
      </w:r>
    </w:p>
    <w:p w14:paraId="678D59C2">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22.3在技术商务评审时，如发现下列情形之一的，</w:t>
      </w:r>
      <w:r>
        <w:rPr>
          <w:rFonts w:asciiTheme="minorEastAsia" w:hAnsiTheme="minorEastAsia"/>
          <w:color w:val="auto"/>
          <w:sz w:val="24"/>
          <w:szCs w:val="24"/>
          <w:highlight w:val="none"/>
        </w:rPr>
        <w:t>投标文件将被视为无效：</w:t>
      </w:r>
    </w:p>
    <w:p w14:paraId="25495361">
      <w:pPr>
        <w:pStyle w:val="94"/>
        <w:spacing w:line="460" w:lineRule="exact"/>
        <w:ind w:left="0" w:leftChars="0" w:firstLine="360" w:firstLineChars="150"/>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（1）</w:t>
      </w:r>
      <w:r>
        <w:rPr>
          <w:rFonts w:hint="eastAsia" w:cs="宋体" w:asciiTheme="minorEastAsia" w:hAnsiTheme="minorEastAsia"/>
          <w:color w:val="auto"/>
          <w:sz w:val="24"/>
          <w:szCs w:val="24"/>
          <w:highlight w:val="none"/>
        </w:rPr>
        <w:t>未提供或未如实提供投标货物的技术参数，或者投标文件标明的响应或偏离与事实不符或虚假投标的</w:t>
      </w:r>
      <w:r>
        <w:rPr>
          <w:rFonts w:cs="宋体" w:asciiTheme="minorEastAsia" w:hAnsiTheme="minorEastAsia"/>
          <w:color w:val="auto"/>
          <w:sz w:val="24"/>
          <w:szCs w:val="24"/>
          <w:highlight w:val="none"/>
        </w:rPr>
        <w:t>；</w:t>
      </w:r>
    </w:p>
    <w:p w14:paraId="678E1FB2">
      <w:pPr>
        <w:pStyle w:val="94"/>
        <w:spacing w:line="460" w:lineRule="exact"/>
        <w:ind w:left="0" w:leftChars="0" w:firstLine="360" w:firstLineChars="150"/>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rPr>
        <w:t>2</w:t>
      </w:r>
      <w:r>
        <w:rPr>
          <w:rFonts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rPr>
        <w:t>明显不符合采购文件要求的规格型号、质量标准</w:t>
      </w:r>
      <w:r>
        <w:rPr>
          <w:rFonts w:cs="宋体" w:asciiTheme="minorEastAsia" w:hAnsiTheme="minorEastAsia"/>
          <w:color w:val="auto"/>
          <w:sz w:val="24"/>
          <w:szCs w:val="24"/>
          <w:highlight w:val="none"/>
        </w:rPr>
        <w:t>；</w:t>
      </w:r>
    </w:p>
    <w:p w14:paraId="768161A2">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（3）投标技术方案不明确，存在一个或一个以上备选（替代）投标方案的。</w:t>
      </w:r>
    </w:p>
    <w:p w14:paraId="74488A54">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22.4</w:t>
      </w:r>
      <w:r>
        <w:rPr>
          <w:rFonts w:asciiTheme="minorEastAsia" w:hAnsiTheme="minorEastAsia"/>
          <w:color w:val="auto"/>
          <w:sz w:val="24"/>
          <w:szCs w:val="24"/>
          <w:highlight w:val="none"/>
        </w:rPr>
        <w:t>在报价评审时，如发现下列情形之一的，投标文件将被视为无效：</w:t>
      </w:r>
    </w:p>
    <w:p w14:paraId="432D760A">
      <w:pPr>
        <w:pStyle w:val="94"/>
        <w:spacing w:line="460" w:lineRule="exact"/>
        <w:ind w:left="0" w:leftChars="0" w:firstLine="360" w:firstLineChars="150"/>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（1）</w:t>
      </w:r>
      <w:r>
        <w:rPr>
          <w:rFonts w:hint="eastAsia" w:cs="宋体" w:asciiTheme="minorEastAsia" w:hAnsiTheme="minorEastAsia"/>
          <w:bCs/>
          <w:color w:val="auto"/>
          <w:sz w:val="24"/>
          <w:szCs w:val="24"/>
          <w:highlight w:val="none"/>
        </w:rPr>
        <w:t>报价超过采购文件中规定的预算金额或者最高限价的</w:t>
      </w:r>
      <w:r>
        <w:rPr>
          <w:rFonts w:cs="宋体" w:asciiTheme="minorEastAsia" w:hAnsiTheme="minorEastAsia"/>
          <w:color w:val="auto"/>
          <w:sz w:val="24"/>
          <w:szCs w:val="24"/>
          <w:highlight w:val="none"/>
        </w:rPr>
        <w:t>；</w:t>
      </w:r>
    </w:p>
    <w:p w14:paraId="1B333CCC">
      <w:pPr>
        <w:pStyle w:val="94"/>
        <w:spacing w:line="460" w:lineRule="exact"/>
        <w:ind w:left="0" w:leftChars="0" w:firstLine="360" w:firstLineChars="150"/>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（2）</w:t>
      </w:r>
      <w:r>
        <w:rPr>
          <w:rFonts w:hint="eastAsia" w:cs="宋体" w:asciiTheme="minorEastAsia" w:hAnsiTheme="minorEastAsia"/>
          <w:bCs/>
          <w:color w:val="auto"/>
          <w:sz w:val="24"/>
          <w:szCs w:val="24"/>
          <w:highlight w:val="none"/>
        </w:rPr>
        <w:t>未采用采购文件要求的报价形式报价的</w:t>
      </w:r>
      <w:r>
        <w:rPr>
          <w:rFonts w:hint="eastAsia" w:cs="宋体" w:asciiTheme="minorEastAsia" w:hAnsiTheme="minorEastAsia"/>
          <w:color w:val="auto"/>
          <w:sz w:val="24"/>
          <w:szCs w:val="24"/>
          <w:highlight w:val="none"/>
        </w:rPr>
        <w:t>；</w:t>
      </w:r>
    </w:p>
    <w:p w14:paraId="1CAED037">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（3）投标报价具有选择性的；</w:t>
      </w:r>
    </w:p>
    <w:p w14:paraId="692B7374">
      <w:pPr>
        <w:pStyle w:val="94"/>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（4）投标人的报价明显低于其他通过符合性审查供应商的报价，评标委员会认为有可能影响产品质量或者不能诚信履约要求其在评标</w:t>
      </w:r>
      <w:r>
        <w:rPr>
          <w:rFonts w:cs="宋体" w:asciiTheme="minorEastAsia" w:hAnsiTheme="minorEastAsia"/>
          <w:color w:val="auto"/>
          <w:sz w:val="24"/>
          <w:szCs w:val="24"/>
          <w:highlight w:val="none"/>
        </w:rPr>
        <w:t>现场</w:t>
      </w:r>
      <w:r>
        <w:rPr>
          <w:rFonts w:hint="eastAsia" w:cs="宋体" w:asciiTheme="minorEastAsia" w:hAnsiTheme="minorEastAsia"/>
          <w:color w:val="auto"/>
          <w:sz w:val="24"/>
          <w:szCs w:val="24"/>
          <w:highlight w:val="none"/>
        </w:rPr>
        <w:t>合理的时间内提供书面说明，必要时提交相关证明材料，投标人不能证明其报价合理性的；</w:t>
      </w:r>
    </w:p>
    <w:p w14:paraId="69DD5FB2">
      <w:pPr>
        <w:pStyle w:val="94"/>
        <w:spacing w:line="460" w:lineRule="exact"/>
        <w:ind w:left="0" w:leftChars="0" w:firstLine="48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（5）</w:t>
      </w:r>
      <w:r>
        <w:rPr>
          <w:rFonts w:hint="eastAsia" w:cs="宋体" w:asciiTheme="minorEastAsia" w:hAnsiTheme="minorEastAsia"/>
          <w:bCs/>
          <w:color w:val="auto"/>
          <w:sz w:val="24"/>
          <w:szCs w:val="24"/>
          <w:highlight w:val="none"/>
        </w:rPr>
        <w:t>采购文件规定的其他无效情形。</w:t>
      </w:r>
    </w:p>
    <w:p w14:paraId="496209BC">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22.5</w:t>
      </w:r>
      <w:r>
        <w:rPr>
          <w:rFonts w:asciiTheme="minorEastAsia" w:hAnsiTheme="minorEastAsia"/>
          <w:color w:val="auto"/>
          <w:sz w:val="24"/>
          <w:szCs w:val="24"/>
          <w:highlight w:val="none"/>
        </w:rPr>
        <w:t>被拒绝的投标文件为无效。</w:t>
      </w:r>
    </w:p>
    <w:p w14:paraId="6F5EC62C">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七、合同签订及其他</w:t>
      </w:r>
    </w:p>
    <w:p w14:paraId="0C8C9738">
      <w:pPr>
        <w:pStyle w:val="94"/>
        <w:spacing w:line="460" w:lineRule="exact"/>
        <w:ind w:left="0" w:leftChars="0" w:firstLine="0" w:firstLineChars="0"/>
        <w:jc w:val="left"/>
        <w:rPr>
          <w:rFonts w:asciiTheme="minorEastAsia" w:hAnsiTheme="minorEastAsia"/>
          <w:b/>
          <w:color w:val="auto"/>
          <w:sz w:val="24"/>
          <w:szCs w:val="24"/>
          <w:highlight w:val="none"/>
        </w:rPr>
      </w:pPr>
      <w:bookmarkStart w:id="69" w:name="_Toc425780305"/>
      <w:bookmarkStart w:id="70" w:name="_Toc429407721"/>
      <w:bookmarkStart w:id="71" w:name="_Toc425151761"/>
      <w:bookmarkStart w:id="72" w:name="_Toc430790242"/>
      <w:r>
        <w:rPr>
          <w:rFonts w:hint="eastAsia" w:asciiTheme="minorEastAsia" w:hAnsiTheme="minorEastAsia"/>
          <w:b/>
          <w:color w:val="auto"/>
          <w:sz w:val="24"/>
          <w:szCs w:val="24"/>
          <w:highlight w:val="none"/>
        </w:rPr>
        <w:t>23、</w:t>
      </w:r>
      <w:r>
        <w:rPr>
          <w:rFonts w:asciiTheme="minorEastAsia" w:hAnsiTheme="minorEastAsia"/>
          <w:b/>
          <w:color w:val="auto"/>
          <w:sz w:val="24"/>
          <w:szCs w:val="24"/>
          <w:highlight w:val="none"/>
        </w:rPr>
        <w:t>签订合同</w:t>
      </w:r>
      <w:bookmarkEnd w:id="69"/>
      <w:bookmarkEnd w:id="70"/>
      <w:bookmarkEnd w:id="71"/>
      <w:bookmarkEnd w:id="72"/>
    </w:p>
    <w:p w14:paraId="5600F0CB">
      <w:pPr>
        <w:pStyle w:val="94"/>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23.1</w:t>
      </w:r>
      <w:r>
        <w:rPr>
          <w:rFonts w:asciiTheme="minorEastAsia" w:hAnsiTheme="minorEastAsia"/>
          <w:color w:val="auto"/>
          <w:sz w:val="24"/>
          <w:szCs w:val="24"/>
          <w:highlight w:val="none"/>
        </w:rPr>
        <w:t>中标</w:t>
      </w:r>
      <w:r>
        <w:rPr>
          <w:rFonts w:hint="eastAsia" w:asciiTheme="minorEastAsia" w:hAnsiTheme="minorEastAsia"/>
          <w:color w:val="auto"/>
          <w:sz w:val="24"/>
          <w:szCs w:val="24"/>
          <w:highlight w:val="none"/>
        </w:rPr>
        <w:t>人</w:t>
      </w:r>
      <w:r>
        <w:rPr>
          <w:rFonts w:asciiTheme="minorEastAsia" w:hAnsiTheme="minorEastAsia"/>
          <w:color w:val="auto"/>
          <w:sz w:val="24"/>
          <w:szCs w:val="24"/>
          <w:highlight w:val="none"/>
        </w:rPr>
        <w:t>在本采购代理机构发出中标通知书的</w:t>
      </w:r>
      <w:r>
        <w:rPr>
          <w:rFonts w:hint="eastAsia" w:asciiTheme="minorEastAsia" w:hAnsiTheme="minorEastAsia"/>
          <w:color w:val="auto"/>
          <w:sz w:val="24"/>
          <w:szCs w:val="24"/>
          <w:highlight w:val="none"/>
        </w:rPr>
        <w:t>30</w:t>
      </w:r>
      <w:r>
        <w:rPr>
          <w:rFonts w:asciiTheme="minorEastAsia" w:hAnsiTheme="minorEastAsia"/>
          <w:color w:val="auto"/>
          <w:sz w:val="24"/>
          <w:szCs w:val="24"/>
          <w:highlight w:val="none"/>
        </w:rPr>
        <w:t>日内，应与采购人按照采购文件和中标</w:t>
      </w:r>
      <w:r>
        <w:rPr>
          <w:rFonts w:hint="eastAsia" w:asciiTheme="minorEastAsia" w:hAnsiTheme="minorEastAsia"/>
          <w:color w:val="auto"/>
          <w:sz w:val="24"/>
          <w:szCs w:val="24"/>
          <w:highlight w:val="none"/>
        </w:rPr>
        <w:t>人</w:t>
      </w:r>
      <w:r>
        <w:rPr>
          <w:rFonts w:asciiTheme="minorEastAsia" w:hAnsiTheme="minorEastAsia"/>
          <w:color w:val="auto"/>
          <w:sz w:val="24"/>
          <w:szCs w:val="24"/>
          <w:highlight w:val="none"/>
        </w:rPr>
        <w:t>的投标文件的约定内容签订书面合同。</w:t>
      </w:r>
      <w:r>
        <w:rPr>
          <w:rFonts w:hint="eastAsia" w:asciiTheme="minorEastAsia" w:hAnsiTheme="minorEastAsia"/>
          <w:color w:val="auto"/>
          <w:sz w:val="24"/>
          <w:szCs w:val="24"/>
          <w:highlight w:val="none"/>
        </w:rPr>
        <w:t>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4C2379A1">
      <w:pPr>
        <w:pStyle w:val="94"/>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23.2</w:t>
      </w:r>
      <w:r>
        <w:rPr>
          <w:rFonts w:asciiTheme="minorEastAsia" w:hAnsiTheme="minorEastAsia"/>
          <w:color w:val="auto"/>
          <w:sz w:val="24"/>
          <w:szCs w:val="24"/>
          <w:highlight w:val="none"/>
        </w:rPr>
        <w:t>采购文件、中标</w:t>
      </w:r>
      <w:r>
        <w:rPr>
          <w:rFonts w:hint="eastAsia" w:asciiTheme="minorEastAsia" w:hAnsiTheme="minorEastAsia"/>
          <w:color w:val="auto"/>
          <w:sz w:val="24"/>
          <w:szCs w:val="24"/>
          <w:highlight w:val="none"/>
        </w:rPr>
        <w:t>人</w:t>
      </w:r>
      <w:r>
        <w:rPr>
          <w:rFonts w:asciiTheme="minorEastAsia" w:hAnsiTheme="minorEastAsia"/>
          <w:color w:val="auto"/>
          <w:sz w:val="24"/>
          <w:szCs w:val="24"/>
          <w:highlight w:val="none"/>
        </w:rPr>
        <w:t>的投标文件及在评标过程中提交的澄清文件均应作为合同附件。</w:t>
      </w:r>
    </w:p>
    <w:p w14:paraId="7ED015B9">
      <w:pPr>
        <w:pStyle w:val="94"/>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23.3采购人应当自政府采购合同签订之日起2个工作日内，在省级以上财政部门指定的政府采购信息发布媒体及相关网站上公告。</w:t>
      </w:r>
    </w:p>
    <w:p w14:paraId="72BCCF71">
      <w:pPr>
        <w:pStyle w:val="94"/>
        <w:spacing w:line="460" w:lineRule="exact"/>
        <w:ind w:left="0" w:leftChars="0" w:firstLine="0" w:firstLineChars="0"/>
        <w:jc w:val="left"/>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24、</w:t>
      </w:r>
      <w:r>
        <w:rPr>
          <w:rFonts w:asciiTheme="minorEastAsia" w:hAnsiTheme="minorEastAsia"/>
          <w:b/>
          <w:color w:val="auto"/>
          <w:sz w:val="24"/>
          <w:szCs w:val="24"/>
          <w:highlight w:val="none"/>
        </w:rPr>
        <w:t>履约保证金</w:t>
      </w:r>
      <w:r>
        <w:rPr>
          <w:rFonts w:hint="eastAsia" w:asciiTheme="minorEastAsia" w:hAnsiTheme="minorEastAsia"/>
          <w:b/>
          <w:color w:val="auto"/>
          <w:sz w:val="24"/>
          <w:szCs w:val="24"/>
          <w:highlight w:val="none"/>
        </w:rPr>
        <w:t>（如有）</w:t>
      </w:r>
    </w:p>
    <w:p w14:paraId="64E0A91F">
      <w:pPr>
        <w:pStyle w:val="94"/>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24.1</w:t>
      </w:r>
      <w:r>
        <w:rPr>
          <w:rFonts w:asciiTheme="minorEastAsia" w:hAnsiTheme="minorEastAsia"/>
          <w:color w:val="auto"/>
          <w:sz w:val="24"/>
          <w:szCs w:val="24"/>
          <w:highlight w:val="none"/>
        </w:rPr>
        <w:t>签订合同</w:t>
      </w:r>
      <w:r>
        <w:rPr>
          <w:rFonts w:hint="eastAsia" w:asciiTheme="minorEastAsia" w:hAnsiTheme="minorEastAsia"/>
          <w:color w:val="auto"/>
          <w:sz w:val="24"/>
          <w:szCs w:val="24"/>
          <w:highlight w:val="none"/>
        </w:rPr>
        <w:t>后</w:t>
      </w:r>
      <w:r>
        <w:rPr>
          <w:rFonts w:asciiTheme="minorEastAsia" w:hAnsiTheme="minorEastAsia"/>
          <w:color w:val="auto"/>
          <w:sz w:val="24"/>
          <w:szCs w:val="24"/>
          <w:highlight w:val="none"/>
        </w:rPr>
        <w:t>，中标人应根据采购文件确定的履约保证金的金额交纳履约保证金。</w:t>
      </w:r>
    </w:p>
    <w:p w14:paraId="68878913">
      <w:pPr>
        <w:pStyle w:val="94"/>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24.2</w:t>
      </w:r>
      <w:r>
        <w:rPr>
          <w:rFonts w:asciiTheme="minorEastAsia" w:hAnsiTheme="minorEastAsia"/>
          <w:color w:val="auto"/>
          <w:sz w:val="24"/>
          <w:szCs w:val="24"/>
          <w:highlight w:val="none"/>
        </w:rPr>
        <w:t>签订合同后，如中标人不按双方合同约定履约，则没收其全部履约保证金，履约保证金不足以赔偿损失的，按实际损失赔偿。</w:t>
      </w:r>
    </w:p>
    <w:p w14:paraId="4C26CAEA">
      <w:pPr>
        <w:pStyle w:val="94"/>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24.3采购人负责对中标人的履约行为进行验收，验收标准为本项目的采购文件以及中标人的投标文件，要求验收必须符合相关政策法规和地方标准。</w:t>
      </w:r>
    </w:p>
    <w:p w14:paraId="6A5E78F7">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八、履约验收</w:t>
      </w:r>
    </w:p>
    <w:p w14:paraId="543CAE23">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25、采购人负责对中标供应商的履约行为进行验收。政府向社会公众提供的公共服务项目，验收时应当邀请服务对象参与并出具意见，验收结果应当向社会公告。</w:t>
      </w:r>
    </w:p>
    <w:p w14:paraId="42D8297E">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九、代理服务费</w:t>
      </w:r>
    </w:p>
    <w:p w14:paraId="6D51CA34">
      <w:pPr>
        <w:spacing w:line="360" w:lineRule="auto"/>
        <w:contextualSpacing/>
        <w:rPr>
          <w:b/>
          <w:color w:val="auto"/>
          <w:sz w:val="24"/>
          <w:highlight w:val="none"/>
        </w:rPr>
      </w:pPr>
      <w:r>
        <w:rPr>
          <w:rFonts w:hint="eastAsia" w:asciiTheme="minorEastAsia" w:hAnsiTheme="minorEastAsia"/>
          <w:b/>
          <w:color w:val="auto"/>
          <w:sz w:val="24"/>
          <w:highlight w:val="none"/>
        </w:rPr>
        <w:t>26、</w:t>
      </w:r>
      <w:r>
        <w:rPr>
          <w:rFonts w:hint="eastAsia"/>
          <w:b/>
          <w:color w:val="auto"/>
          <w:sz w:val="24"/>
          <w:highlight w:val="none"/>
        </w:rPr>
        <w:t>代理服务费</w:t>
      </w:r>
    </w:p>
    <w:p w14:paraId="7490E60F">
      <w:pPr>
        <w:spacing w:line="360" w:lineRule="auto"/>
        <w:ind w:firstLine="480" w:firstLineChars="200"/>
        <w:contextualSpacing/>
        <w:jc w:val="left"/>
        <w:rPr>
          <w:color w:val="auto"/>
          <w:sz w:val="24"/>
          <w:highlight w:val="none"/>
        </w:rPr>
      </w:pPr>
      <w:r>
        <w:rPr>
          <w:rFonts w:hint="eastAsia"/>
          <w:color w:val="auto"/>
          <w:sz w:val="24"/>
          <w:highlight w:val="none"/>
        </w:rPr>
        <w:t>中标人</w:t>
      </w:r>
      <w:r>
        <w:rPr>
          <w:color w:val="auto"/>
          <w:sz w:val="24"/>
          <w:highlight w:val="none"/>
        </w:rPr>
        <w:t>应向本采购代理机构支付</w:t>
      </w:r>
      <w:r>
        <w:rPr>
          <w:rFonts w:hint="eastAsia"/>
          <w:color w:val="auto"/>
          <w:sz w:val="24"/>
          <w:highlight w:val="none"/>
        </w:rPr>
        <w:t>代理服务费</w:t>
      </w:r>
      <w:r>
        <w:rPr>
          <w:color w:val="auto"/>
          <w:sz w:val="24"/>
          <w:highlight w:val="none"/>
        </w:rPr>
        <w:t>。</w:t>
      </w:r>
      <w:r>
        <w:rPr>
          <w:rFonts w:hint="eastAsia"/>
          <w:color w:val="auto"/>
          <w:sz w:val="24"/>
          <w:highlight w:val="none"/>
        </w:rPr>
        <w:t>代理服务费</w:t>
      </w:r>
      <w:r>
        <w:rPr>
          <w:color w:val="auto"/>
          <w:sz w:val="24"/>
          <w:highlight w:val="none"/>
        </w:rPr>
        <w:t>的收费依据及相关规定载明在采购文件《投标资料表》中。</w:t>
      </w:r>
    </w:p>
    <w:p w14:paraId="5CC7AAFC">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十、政府采购活动中有关中小企业的相关规定</w:t>
      </w:r>
    </w:p>
    <w:p w14:paraId="39752607">
      <w:pPr>
        <w:pStyle w:val="94"/>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（采购进口产品的项目不适用）</w:t>
      </w:r>
    </w:p>
    <w:p w14:paraId="2D006278">
      <w:pPr>
        <w:pStyle w:val="94"/>
        <w:spacing w:line="460" w:lineRule="exact"/>
        <w:ind w:left="0" w:leftChars="0" w:firstLine="0" w:firstLineChars="0"/>
        <w:rPr>
          <w:rFonts w:hint="eastAsia" w:ascii="宋体" w:hAnsi="宋体" w:eastAsia="宋体" w:cs="宋体"/>
          <w:b/>
          <w:color w:val="auto"/>
          <w:sz w:val="24"/>
          <w:szCs w:val="24"/>
          <w:highlight w:val="none"/>
        </w:rPr>
      </w:pPr>
      <w:r>
        <w:rPr>
          <w:rFonts w:hint="eastAsia" w:eastAsia="宋体" w:cs="宋体"/>
          <w:b/>
          <w:bCs w:val="0"/>
          <w:color w:val="auto"/>
          <w:sz w:val="24"/>
          <w:szCs w:val="24"/>
          <w:highlight w:val="none"/>
          <w:lang w:val="en-US" w:eastAsia="zh-CN"/>
        </w:rPr>
        <w:t>27、</w:t>
      </w:r>
      <w:r>
        <w:rPr>
          <w:rFonts w:hint="eastAsia" w:ascii="宋体" w:hAnsi="宋体" w:eastAsia="宋体" w:cs="宋体"/>
          <w:b w:val="0"/>
          <w:bCs/>
          <w:color w:val="auto"/>
          <w:sz w:val="24"/>
          <w:szCs w:val="24"/>
          <w:highlight w:val="none"/>
          <w:lang w:eastAsia="zh-CN"/>
        </w:rPr>
        <w:t>本项目</w:t>
      </w:r>
      <w:r>
        <w:rPr>
          <w:rFonts w:hint="eastAsia" w:eastAsia="宋体" w:cs="宋体"/>
          <w:b w:val="0"/>
          <w:bCs/>
          <w:color w:val="auto"/>
          <w:sz w:val="24"/>
          <w:szCs w:val="24"/>
          <w:highlight w:val="none"/>
          <w:u w:val="single"/>
          <w:lang w:eastAsia="zh-CN"/>
        </w:rPr>
        <w:t>非</w:t>
      </w:r>
      <w:r>
        <w:rPr>
          <w:rFonts w:hint="eastAsia" w:ascii="宋体" w:hAnsi="宋体" w:eastAsia="宋体" w:cs="宋体"/>
          <w:b w:val="0"/>
          <w:bCs/>
          <w:color w:val="auto"/>
          <w:sz w:val="24"/>
          <w:szCs w:val="24"/>
          <w:highlight w:val="none"/>
        </w:rPr>
        <w:t>专门面向中小企业采购。</w:t>
      </w:r>
    </w:p>
    <w:p w14:paraId="03620110">
      <w:pPr>
        <w:pStyle w:val="94"/>
        <w:spacing w:line="460" w:lineRule="exact"/>
        <w:ind w:left="0" w:leftChars="0" w:firstLine="0" w:firstLineChars="0"/>
        <w:rPr>
          <w:rFonts w:asciiTheme="minorEastAsia" w:hAnsiTheme="minorEastAsia"/>
          <w:b/>
          <w:color w:val="auto"/>
          <w:sz w:val="24"/>
          <w:szCs w:val="24"/>
          <w:highlight w:val="none"/>
          <w:u w:val="single"/>
        </w:rPr>
      </w:pPr>
      <w:r>
        <w:rPr>
          <w:rFonts w:hint="eastAsia" w:asciiTheme="minorEastAsia" w:hAnsiTheme="minorEastAsia"/>
          <w:b/>
          <w:color w:val="auto"/>
          <w:sz w:val="24"/>
          <w:szCs w:val="24"/>
          <w:highlight w:val="none"/>
        </w:rPr>
        <w:t>28、本项目对应的中小企业划型标准所属行业：</w:t>
      </w:r>
      <w:r>
        <w:rPr>
          <w:rFonts w:hint="eastAsia" w:asciiTheme="minorEastAsia" w:hAnsiTheme="minorEastAsia"/>
          <w:b/>
          <w:color w:val="auto"/>
          <w:sz w:val="24"/>
          <w:szCs w:val="24"/>
          <w:highlight w:val="none"/>
          <w:lang w:eastAsia="zh-CN"/>
        </w:rPr>
        <w:t>详见</w:t>
      </w:r>
      <w:r>
        <w:rPr>
          <w:rFonts w:hint="eastAsia" w:asciiTheme="minorEastAsia" w:hAnsiTheme="minorEastAsia"/>
          <w:b/>
          <w:color w:val="auto"/>
          <w:sz w:val="24"/>
          <w:szCs w:val="24"/>
          <w:highlight w:val="none"/>
          <w:u w:val="single"/>
        </w:rPr>
        <w:t>第二部分  投标资料表</w:t>
      </w:r>
      <w:r>
        <w:rPr>
          <w:rFonts w:hint="eastAsia" w:asciiTheme="minorEastAsia" w:hAnsiTheme="minorEastAsia"/>
          <w:b/>
          <w:color w:val="auto"/>
          <w:sz w:val="24"/>
          <w:szCs w:val="24"/>
          <w:highlight w:val="none"/>
          <w:u w:val="none"/>
        </w:rPr>
        <w:t>。</w:t>
      </w:r>
    </w:p>
    <w:p w14:paraId="03179EF8">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29、中小企业，是指在中华人民共和国境内依法设立，依据国务院批准的中小企业划分标准确定的中型企业、小型企业和微型企业，但与大企业的负责人为同一人，或者与大企业存在直接控股、管理关系的除外。</w:t>
      </w:r>
    </w:p>
    <w:p w14:paraId="2E2D2F8E">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符合中小企业划分标准的个体工商户，在政府采购活动中视同中小企业。</w:t>
      </w:r>
    </w:p>
    <w:p w14:paraId="6F53B706">
      <w:pPr>
        <w:pStyle w:val="94"/>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国务院批准的中小企业划分标准：具体见工信部联企业[2011]300号。</w:t>
      </w:r>
    </w:p>
    <w:p w14:paraId="5D206209">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30、在政府采购活动中，供应商提供的货物、工程或者服务符合下列情形的，可享受小型、微型企业（以下简称小微企业）的价格扣除：</w:t>
      </w:r>
    </w:p>
    <w:p w14:paraId="295A4054">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（1）在货物采购项目中，货物由小微企业制造，即货物由小微企业生产且使用该小微企业商号或者注册商标；</w:t>
      </w:r>
    </w:p>
    <w:p w14:paraId="0CDE02E9">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（2）在工程采购项目中，工程由小微企业承建，即工程施工单位为小微企业；</w:t>
      </w:r>
    </w:p>
    <w:p w14:paraId="013450AD">
      <w:pPr>
        <w:pStyle w:val="94"/>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（3）在服务采购项目中，服务由小微企业承接，即提供服务的人员为小微企业依照《中华人民共和国劳动合同法》订立劳动合同的从业人员。</w:t>
      </w:r>
    </w:p>
    <w:p w14:paraId="1AE72F7A">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31、在货物采购项目中，供应商提供的货物既有中小企业制造货物，也有大型企业制造货物的，不享受的小微企业价格扣除。</w:t>
      </w:r>
    </w:p>
    <w:p w14:paraId="277109C1">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FD508CD">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33、根据《关于促进残疾人就业政府采购政策的通知》（财库[2017]141号）规定，在政府采购活动中，残疾人福利性单位视同小型、微型企业。残疾人福利性单位参加政府采购活动时，提供《残疾人福利性单位声明函》。</w:t>
      </w:r>
    </w:p>
    <w:p w14:paraId="00AF9CF9">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34、按规定享受扶持政策获得政府采购合同的，小微企业不得将合同分包给大中型企业，中型企业不得将合同分包给大型企业。</w:t>
      </w:r>
    </w:p>
    <w:p w14:paraId="51F9F86D">
      <w:pPr>
        <w:pStyle w:val="94"/>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35、供应商按照《政府采购促进中小企业发展管理办法》（财库﹝2020﹞46号）规定提供声明函内容不实的，属于提供虚假材料谋取中标、成交，依照《中华人民共和国政府采购法》等国家有关规定追究相应责任。 </w:t>
      </w:r>
    </w:p>
    <w:p w14:paraId="1F7200AE">
      <w:pPr>
        <w:pageBreakBefore/>
        <w:spacing w:line="360" w:lineRule="auto"/>
        <w:jc w:val="center"/>
        <w:outlineLvl w:val="0"/>
        <w:rPr>
          <w:rFonts w:asciiTheme="minorEastAsia" w:hAnsiTheme="minorEastAsia" w:eastAsiaTheme="minorEastAsia"/>
          <w:b/>
          <w:color w:val="auto"/>
          <w:sz w:val="36"/>
          <w:szCs w:val="36"/>
          <w:highlight w:val="none"/>
        </w:rPr>
      </w:pPr>
      <w:bookmarkStart w:id="73" w:name="_Toc19405"/>
      <w:bookmarkStart w:id="74" w:name="_Toc3915"/>
      <w:bookmarkStart w:id="75" w:name="_Toc29648"/>
      <w:bookmarkStart w:id="76" w:name="_Toc15940"/>
      <w:bookmarkStart w:id="77" w:name="_Toc10854"/>
      <w:bookmarkStart w:id="78" w:name="_Toc4213"/>
      <w:bookmarkStart w:id="79" w:name="_Toc4644"/>
      <w:bookmarkStart w:id="80" w:name="_Toc9564"/>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73"/>
      <w:r>
        <w:rPr>
          <w:rFonts w:asciiTheme="minorEastAsia" w:hAnsiTheme="minorEastAsia" w:eastAsiaTheme="minorEastAsia"/>
          <w:color w:val="auto"/>
          <w:highlight w:val="none"/>
        </w:rPr>
        <w:fldChar w:fldCharType="end"/>
      </w:r>
      <w:bookmarkEnd w:id="74"/>
      <w:bookmarkEnd w:id="75"/>
      <w:bookmarkEnd w:id="76"/>
      <w:bookmarkEnd w:id="77"/>
      <w:bookmarkEnd w:id="78"/>
      <w:bookmarkEnd w:id="79"/>
      <w:bookmarkEnd w:id="80"/>
    </w:p>
    <w:p w14:paraId="5471A949">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一、采购组织机构将组织评标委员会，对投标人提供的投标文件进行综合评审。</w:t>
      </w:r>
    </w:p>
    <w:p w14:paraId="3EADC52B">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二、本次招标项目的评标方法为综合评分法，总计100分，其中资格及商务技术文件分值70分，投标报价分值30分。评标标准按评分细化条款及分值进行评审。</w:t>
      </w:r>
    </w:p>
    <w:p w14:paraId="5DBADDBC">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（一）商务技术文件中的</w:t>
      </w:r>
      <w:r>
        <w:rPr>
          <w:rFonts w:hint="eastAsia" w:asciiTheme="minorEastAsia" w:hAnsiTheme="minorEastAsia"/>
          <w:color w:val="auto"/>
          <w:sz w:val="24"/>
          <w:szCs w:val="24"/>
          <w:highlight w:val="none"/>
          <w:lang w:eastAsia="zh-CN"/>
        </w:rPr>
        <w:t>评分项</w:t>
      </w:r>
      <w:r>
        <w:rPr>
          <w:rFonts w:hint="eastAsia" w:asciiTheme="minorEastAsia" w:hAnsiTheme="minorEastAsia"/>
          <w:color w:val="auto"/>
          <w:sz w:val="24"/>
          <w:szCs w:val="24"/>
          <w:highlight w:val="none"/>
        </w:rPr>
        <w:t>由评标委员会在规定的分值内单独评定打分（小数点后保留1位）。</w:t>
      </w:r>
    </w:p>
    <w:p w14:paraId="07A886A2">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（二）各投标人资格及商务技术文件得分按照评标委员会成员的独立评分结果汇总后的算术平均分计算（小数点后保留2位），计算公式为：</w:t>
      </w:r>
    </w:p>
    <w:p w14:paraId="0EF70604">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资格及商务技术文件得分=评标委员会所有成员评分合计数/评标委员会组成人员数。</w:t>
      </w:r>
    </w:p>
    <w:p w14:paraId="7224682C">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（三）投标报价得分采用低价优先法计算（小数点后保留2位），即满足采购文件要求且投标价格最低的投标报价为评标基准价，其报价得满分。其他投标人的投标报价得分按下列公式计算：</w:t>
      </w:r>
    </w:p>
    <w:p w14:paraId="5AC08658">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投标报价得分=(评标基准价／投标报价)×30%×100 。</w:t>
      </w:r>
      <w:bookmarkStart w:id="190" w:name="_GoBack"/>
      <w:bookmarkEnd w:id="190"/>
    </w:p>
    <w:p w14:paraId="7CCE0D3D">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（四）投标人综合得分＝资格及商务技术文件得分＋投标报价得分。</w:t>
      </w:r>
    </w:p>
    <w:p w14:paraId="28E2A638">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（五）政府采购政策及优惠：</w:t>
      </w:r>
    </w:p>
    <w:p w14:paraId="2D9E19E9">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376E1230">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14:paraId="3B3DF9E9">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组成联合体或者接受分包的小微企业与联合体内其他企业、分包企业之间存在直接控股、管理关系的，不享受价格扣除优惠政策。</w:t>
      </w:r>
    </w:p>
    <w:p w14:paraId="7AC0BED8">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以联合体形式参加政府采购活动，联合体各方均为中小企业的，联合体视同中小企业。其中，联合体各方均为小微企业的，联合体视同小微企业。</w:t>
      </w:r>
    </w:p>
    <w:p w14:paraId="55476C8A">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投标文件中须同时出具《政府采购促进中小企业发展管理办法》【财库（2020）46号】规定的《中小企业声明函》，否则不得享受价格扣除。</w:t>
      </w:r>
    </w:p>
    <w:p w14:paraId="05F83ACF">
      <w:pPr>
        <w:pStyle w:val="94"/>
        <w:ind w:left="0" w:leftChars="0" w:firstLine="420"/>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本项目对符合规定的小微企业（含小型企业）报价给予10%的扣除。</w:t>
      </w:r>
    </w:p>
    <w:p w14:paraId="2D9A2718">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（2）根据《关于政府采购支持监狱企业发展有关问题的通知》（财库[2014]68号）的规定，供应商如为监狱企业且所投产品为小型或微型企业生产的，其投标报价扣除10%后参与评审。</w:t>
      </w:r>
    </w:p>
    <w:p w14:paraId="57AEFC52">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投标文件中须同时提供：供应商的省级以上监狱管理局、戒毒管理局（含新疆生产建设兵团）出具的属于监狱企业的证明文件，未提供完整证明材料的，投标报价不予扣减。</w:t>
      </w:r>
    </w:p>
    <w:p w14:paraId="468BB3D7">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6945C959">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享受政府采购支持政策的残疾人福利性单位应当同时满足以下条件：</w:t>
      </w:r>
    </w:p>
    <w:p w14:paraId="524AC523">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①安置的残疾人占本单位在职职工人数的比例不低于25%（含25%），并且安置的残疾人人数不少于10人（含10人）；</w:t>
      </w:r>
    </w:p>
    <w:p w14:paraId="0E1D02B8">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②依法与安置的每位残疾人签订了一年以上（含一年）的劳动合同或服务协议；</w:t>
      </w:r>
    </w:p>
    <w:p w14:paraId="71C56C35">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③为安置的每位残疾人按月足额缴纳了基本养老保险、基本医疗保险、失业保险、工伤保险和生育保险等社会保险费；</w:t>
      </w:r>
    </w:p>
    <w:p w14:paraId="506DEA01">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④通过银行等金融机构向安置的每位残疾人，按月支付了不低于单位所在区县适用的经省级人民政府批准的月最低工资标准的工资；</w:t>
      </w:r>
    </w:p>
    <w:p w14:paraId="3D2BB5FF">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⑤提供本单位制造的货物、承担的工程或者服务（以下简称产品），或者提供其他残疾人福利性单位制造的货物（不包括使用非残疾人福利性单位注册商标的货物）。</w:t>
      </w:r>
    </w:p>
    <w:p w14:paraId="67A9C216">
      <w:pPr>
        <w:pStyle w:val="94"/>
        <w:ind w:left="0" w:leftChars="0" w:firstLine="42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589B46">
      <w:pPr>
        <w:pStyle w:val="94"/>
        <w:ind w:left="0" w:leftChars="0" w:firstLine="482"/>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注：得分以系统计算为准，保留2位小数</w:t>
      </w:r>
      <w:r>
        <w:rPr>
          <w:rFonts w:hint="eastAsia" w:asciiTheme="minorEastAsia" w:hAnsiTheme="minorEastAsia"/>
          <w:b w:val="0"/>
          <w:bCs w:val="0"/>
          <w:color w:val="auto"/>
          <w:sz w:val="24"/>
          <w:szCs w:val="24"/>
          <w:highlight w:val="none"/>
        </w:rPr>
        <w:t>。</w:t>
      </w:r>
    </w:p>
    <w:p w14:paraId="321B291C">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三、在最大限度地满足采购文件实质性要求前提下，评标委员会按照采购文件中规定的各项因素进行综合评审后，推荐</w:t>
      </w:r>
      <w:r>
        <w:rPr>
          <w:rFonts w:hint="eastAsia" w:asciiTheme="minorEastAsia" w:hAnsiTheme="minorEastAsia"/>
          <w:color w:val="auto"/>
          <w:sz w:val="24"/>
          <w:szCs w:val="24"/>
          <w:highlight w:val="none"/>
          <w:lang w:eastAsia="zh-CN"/>
        </w:rPr>
        <w:t>两</w:t>
      </w:r>
      <w:r>
        <w:rPr>
          <w:rFonts w:hint="eastAsia" w:asciiTheme="minorEastAsia" w:hAnsiTheme="minorEastAsia"/>
          <w:color w:val="auto"/>
          <w:sz w:val="24"/>
          <w:szCs w:val="24"/>
          <w:highlight w:val="none"/>
        </w:rPr>
        <w:t>名合格的中标候选人，并按评标报告推荐的顺序确定排名第一的中标候选人为中标人。</w:t>
      </w:r>
    </w:p>
    <w:p w14:paraId="3078AF99">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四、如综合得分相同，投标报价低者为先；如综合得分且投标报价相同的，货物类采购项目以技术性能得分较高者为先，服务类采购项目以实力信誉及业绩得分较高者为先。</w:t>
      </w:r>
    </w:p>
    <w:p w14:paraId="37AA2B72">
      <w:pPr>
        <w:pStyle w:val="94"/>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五、</w:t>
      </w:r>
      <w:r>
        <w:rPr>
          <w:rFonts w:hint="eastAsia" w:asciiTheme="minorEastAsia" w:hAnsiTheme="minorEastAsia"/>
          <w:color w:val="auto"/>
          <w:sz w:val="24"/>
          <w:szCs w:val="24"/>
          <w:highlight w:val="none"/>
          <w:lang w:eastAsia="zh-CN"/>
        </w:rPr>
        <w:t>核心产品</w:t>
      </w:r>
      <w:r>
        <w:rPr>
          <w:rFonts w:hint="eastAsia" w:asciiTheme="minorEastAsia" w:hAnsiTheme="minorEastAsia"/>
          <w:color w:val="auto"/>
          <w:sz w:val="24"/>
          <w:szCs w:val="24"/>
          <w:highlight w:val="none"/>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6E31FF1D">
      <w:pPr>
        <w:pStyle w:val="94"/>
        <w:ind w:left="0" w:leftChars="0" w:firstLine="48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六、本次评分具体分值细化条款如下表：</w:t>
      </w:r>
    </w:p>
    <w:p w14:paraId="3CDD4CBE">
      <w:pPr>
        <w:pStyle w:val="94"/>
        <w:ind w:left="0" w:leftChars="0" w:firstLine="480"/>
        <w:rPr>
          <w:rFonts w:hint="eastAsia" w:asciiTheme="minorEastAsia" w:hAnsiTheme="minorEastAsia"/>
          <w:color w:val="auto"/>
          <w:sz w:val="24"/>
          <w:szCs w:val="24"/>
          <w:highlight w:val="none"/>
        </w:rPr>
      </w:pPr>
    </w:p>
    <w:p w14:paraId="751297D2">
      <w:pPr>
        <w:snapToGrid w:val="0"/>
        <w:spacing w:afterLines="50"/>
        <w:ind w:firstLine="562"/>
        <w:jc w:val="center"/>
        <w:rPr>
          <w:rFonts w:hint="eastAsia" w:eastAsia="宋体"/>
          <w:b/>
          <w:color w:val="auto"/>
          <w:sz w:val="28"/>
          <w:szCs w:val="28"/>
          <w:highlight w:val="none"/>
          <w:lang w:eastAsia="zh-CN"/>
        </w:rPr>
      </w:pPr>
      <w:r>
        <w:rPr>
          <w:b/>
          <w:color w:val="auto"/>
          <w:sz w:val="28"/>
          <w:szCs w:val="28"/>
          <w:highlight w:val="none"/>
        </w:rPr>
        <w:t>评分标准</w:t>
      </w:r>
    </w:p>
    <w:tbl>
      <w:tblPr>
        <w:tblStyle w:val="47"/>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41"/>
        <w:gridCol w:w="6340"/>
        <w:gridCol w:w="763"/>
      </w:tblGrid>
      <w:tr w14:paraId="1D79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6" w:type="dxa"/>
            <w:vAlign w:val="center"/>
          </w:tcPr>
          <w:p w14:paraId="3E8EA778">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41" w:type="dxa"/>
            <w:vAlign w:val="center"/>
          </w:tcPr>
          <w:p w14:paraId="3FA06D31">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6340" w:type="dxa"/>
            <w:vAlign w:val="center"/>
          </w:tcPr>
          <w:p w14:paraId="11428599">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763" w:type="dxa"/>
            <w:vAlign w:val="center"/>
          </w:tcPr>
          <w:p w14:paraId="00AE7044">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1425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B056C2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p>
        </w:tc>
        <w:tc>
          <w:tcPr>
            <w:tcW w:w="1241" w:type="dxa"/>
            <w:vAlign w:val="center"/>
          </w:tcPr>
          <w:p w14:paraId="7951A7E3">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技术指标（2</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6340" w:type="dxa"/>
            <w:vAlign w:val="center"/>
          </w:tcPr>
          <w:p w14:paraId="4E6D3948">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专家结合投标产品各项技术参数与招标文件要求的偏离情况综合打分，每1条带★号的技术参数不满足招标需求的扣2分，每1条一般参数不满足招标需求的扣1分，扣完为止。</w:t>
            </w:r>
            <w:r>
              <w:rPr>
                <w:rFonts w:hint="eastAsia" w:ascii="宋体" w:hAnsi="宋体" w:eastAsia="宋体" w:cs="宋体"/>
                <w:b/>
                <w:bCs/>
                <w:color w:val="auto"/>
                <w:sz w:val="24"/>
                <w:szCs w:val="24"/>
                <w:highlight w:val="none"/>
                <w:lang w:eastAsia="zh-CN"/>
              </w:rPr>
              <w:t>注：</w:t>
            </w:r>
            <w:r>
              <w:rPr>
                <w:rFonts w:hint="eastAsia" w:ascii="宋体" w:hAnsi="宋体" w:cs="宋体"/>
                <w:b/>
                <w:bCs/>
                <w:color w:val="auto"/>
                <w:kern w:val="0"/>
                <w:sz w:val="24"/>
                <w:szCs w:val="24"/>
                <w:highlight w:val="none"/>
                <w:lang w:val="en-US" w:eastAsia="zh-CN"/>
              </w:rPr>
              <w:t>如采购文件技术需求参数中注明需提供承诺书或</w:t>
            </w:r>
            <w:r>
              <w:rPr>
                <w:rFonts w:hint="eastAsia" w:ascii="宋体" w:hAnsi="宋体" w:eastAsia="宋体" w:cs="宋体"/>
                <w:b/>
                <w:bCs/>
                <w:color w:val="auto"/>
                <w:kern w:val="0"/>
                <w:sz w:val="24"/>
                <w:szCs w:val="24"/>
                <w:highlight w:val="none"/>
              </w:rPr>
              <w:t>功能截图</w:t>
            </w:r>
            <w:r>
              <w:rPr>
                <w:rFonts w:hint="eastAsia" w:ascii="宋体" w:hAnsi="宋体" w:cs="宋体"/>
                <w:b/>
                <w:bCs/>
                <w:color w:val="auto"/>
                <w:kern w:val="0"/>
                <w:sz w:val="24"/>
                <w:szCs w:val="24"/>
                <w:highlight w:val="none"/>
                <w:lang w:eastAsia="zh-CN"/>
              </w:rPr>
              <w:t>或检测报告或其它</w:t>
            </w:r>
            <w:r>
              <w:rPr>
                <w:rFonts w:hint="eastAsia" w:ascii="宋体" w:hAnsi="宋体" w:cs="宋体"/>
                <w:b/>
                <w:bCs/>
                <w:color w:val="auto"/>
                <w:kern w:val="0"/>
                <w:sz w:val="24"/>
                <w:szCs w:val="24"/>
                <w:highlight w:val="none"/>
                <w:lang w:val="en-US" w:eastAsia="zh-CN"/>
              </w:rPr>
              <w:t>相关证明材料的，未提供将视为负偏离。</w:t>
            </w:r>
          </w:p>
        </w:tc>
        <w:tc>
          <w:tcPr>
            <w:tcW w:w="763" w:type="dxa"/>
            <w:vAlign w:val="center"/>
          </w:tcPr>
          <w:p w14:paraId="67525731">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54E3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66" w:type="dxa"/>
            <w:vAlign w:val="center"/>
          </w:tcPr>
          <w:p w14:paraId="0477A21C">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p>
        </w:tc>
        <w:tc>
          <w:tcPr>
            <w:tcW w:w="1241" w:type="dxa"/>
            <w:vAlign w:val="center"/>
          </w:tcPr>
          <w:p w14:paraId="0D5E866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项目分析</w:t>
            </w:r>
          </w:p>
          <w:p w14:paraId="0D193B8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（3分）</w:t>
            </w:r>
          </w:p>
        </w:tc>
        <w:tc>
          <w:tcPr>
            <w:tcW w:w="6340" w:type="dxa"/>
            <w:vAlign w:val="center"/>
          </w:tcPr>
          <w:p w14:paraId="6EC48306">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根据投标人对现状分析、项目需求、项目背景、项目目标的理解程度进行打分</w:t>
            </w:r>
            <w:r>
              <w:rPr>
                <w:rFonts w:hint="eastAsia" w:ascii="宋体" w:hAnsi="宋体" w:eastAsia="宋体" w:cs="宋体"/>
                <w:color w:val="auto"/>
                <w:sz w:val="24"/>
                <w:szCs w:val="24"/>
                <w:highlight w:val="none"/>
                <w:lang w:eastAsia="zh-CN"/>
              </w:rPr>
              <w:t>：</w:t>
            </w:r>
          </w:p>
          <w:p w14:paraId="5159C7A7">
            <w:pPr>
              <w:keepNext w:val="0"/>
              <w:keepLines w:val="0"/>
              <w:numPr>
                <w:ilvl w:val="0"/>
                <w:numId w:val="8"/>
              </w:numPr>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分析透彻、</w:t>
            </w:r>
            <w:r>
              <w:rPr>
                <w:rFonts w:hint="eastAsia" w:ascii="宋体" w:hAnsi="宋体" w:eastAsia="宋体" w:cs="宋体"/>
                <w:color w:val="auto"/>
                <w:sz w:val="24"/>
                <w:szCs w:val="24"/>
                <w:highlight w:val="none"/>
              </w:rPr>
              <w:t>理解充分深入、合理的得2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-3分</w:t>
            </w:r>
            <w:r>
              <w:rPr>
                <w:rFonts w:hint="eastAsia" w:ascii="宋体" w:hAnsi="宋体" w:eastAsia="宋体" w:cs="宋体"/>
                <w:color w:val="auto"/>
                <w:sz w:val="24"/>
                <w:szCs w:val="24"/>
                <w:highlight w:val="none"/>
                <w:lang w:eastAsia="zh-CN"/>
              </w:rPr>
              <w:t>；</w:t>
            </w:r>
          </w:p>
          <w:p w14:paraId="7937357D">
            <w:pPr>
              <w:keepNext w:val="0"/>
              <w:keepLines w:val="0"/>
              <w:numPr>
                <w:ilvl w:val="0"/>
                <w:numId w:val="8"/>
              </w:numPr>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分析基本透彻、</w:t>
            </w:r>
            <w:r>
              <w:rPr>
                <w:rFonts w:hint="eastAsia" w:ascii="宋体" w:hAnsi="宋体" w:eastAsia="宋体" w:cs="宋体"/>
                <w:color w:val="auto"/>
                <w:sz w:val="24"/>
                <w:szCs w:val="24"/>
                <w:highlight w:val="none"/>
              </w:rPr>
              <w:t>理解</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充分、合理的得</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1C97EBD">
            <w:pPr>
              <w:keepNext w:val="0"/>
              <w:keepLines w:val="0"/>
              <w:numPr>
                <w:ilvl w:val="0"/>
                <w:numId w:val="8"/>
              </w:numPr>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分析不够透彻、</w:t>
            </w:r>
            <w:r>
              <w:rPr>
                <w:rFonts w:hint="eastAsia" w:ascii="宋体" w:hAnsi="宋体" w:eastAsia="宋体" w:cs="宋体"/>
                <w:color w:val="auto"/>
                <w:sz w:val="24"/>
                <w:szCs w:val="24"/>
                <w:highlight w:val="none"/>
              </w:rPr>
              <w:t>理解</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0D8F6599">
            <w:pPr>
              <w:keepNext w:val="0"/>
              <w:keepLines w:val="0"/>
              <w:numPr>
                <w:ilvl w:val="0"/>
                <w:numId w:val="8"/>
              </w:numPr>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未提供不得分。</w:t>
            </w:r>
          </w:p>
        </w:tc>
        <w:tc>
          <w:tcPr>
            <w:tcW w:w="763" w:type="dxa"/>
            <w:vAlign w:val="center"/>
          </w:tcPr>
          <w:p w14:paraId="719083B0">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52DD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766" w:type="dxa"/>
            <w:vAlign w:val="center"/>
          </w:tcPr>
          <w:p w14:paraId="4CDF4A0D">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p>
        </w:tc>
        <w:tc>
          <w:tcPr>
            <w:tcW w:w="1241" w:type="dxa"/>
            <w:vAlign w:val="center"/>
          </w:tcPr>
          <w:p w14:paraId="14697C0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技术方案的完整性和科学性</w:t>
            </w:r>
          </w:p>
          <w:p w14:paraId="25A977D2">
            <w:pPr>
              <w:pStyle w:val="46"/>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6340" w:type="dxa"/>
            <w:vAlign w:val="center"/>
          </w:tcPr>
          <w:p w14:paraId="65CA87E0">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根据投标人提供的方案内容的全面完整程度及科学性、针对性、可操作性进行综合打分</w:t>
            </w:r>
            <w:r>
              <w:rPr>
                <w:rFonts w:hint="eastAsia" w:ascii="宋体" w:hAnsi="宋体" w:eastAsia="宋体" w:cs="宋体"/>
                <w:color w:val="auto"/>
                <w:sz w:val="24"/>
                <w:szCs w:val="24"/>
                <w:highlight w:val="none"/>
                <w:lang w:eastAsia="zh-CN"/>
              </w:rPr>
              <w:t>：</w:t>
            </w:r>
          </w:p>
          <w:p w14:paraId="3BB5C83E">
            <w:pPr>
              <w:keepNext w:val="0"/>
              <w:keepLines w:val="0"/>
              <w:numPr>
                <w:ilvl w:val="0"/>
                <w:numId w:val="9"/>
              </w:numPr>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内容完整、功能性强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eastAsia="zh-CN"/>
              </w:rPr>
              <w:t>合理</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B827C39">
            <w:pPr>
              <w:keepNext w:val="0"/>
              <w:keepLines w:val="0"/>
              <w:numPr>
                <w:ilvl w:val="0"/>
                <w:numId w:val="9"/>
              </w:numPr>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内容相对完整、功能性一般</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eastAsia="zh-CN"/>
              </w:rPr>
              <w:t>合理</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A79F150">
            <w:pPr>
              <w:keepNext w:val="0"/>
              <w:keepLines w:val="0"/>
              <w:numPr>
                <w:ilvl w:val="0"/>
                <w:numId w:val="9"/>
              </w:numPr>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内容欠缺、功能性较差</w:t>
            </w:r>
            <w:r>
              <w:rPr>
                <w:rFonts w:hint="eastAsia" w:ascii="宋体" w:hAnsi="宋体" w:eastAsia="宋体" w:cs="宋体"/>
                <w:color w:val="auto"/>
                <w:sz w:val="24"/>
                <w:szCs w:val="24"/>
                <w:highlight w:val="none"/>
                <w:lang w:eastAsia="zh-CN"/>
              </w:rPr>
              <w:t>、不够</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eastAsia="zh-CN"/>
              </w:rPr>
              <w:t>合理</w:t>
            </w:r>
            <w:r>
              <w:rPr>
                <w:rFonts w:hint="eastAsia" w:ascii="宋体" w:hAnsi="宋体" w:eastAsia="宋体" w:cs="宋体"/>
                <w:color w:val="auto"/>
                <w:sz w:val="24"/>
                <w:szCs w:val="24"/>
                <w:highlight w:val="none"/>
              </w:rPr>
              <w:t>的0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EE83134">
            <w:pPr>
              <w:keepNext w:val="0"/>
              <w:keepLines w:val="0"/>
              <w:numPr>
                <w:ilvl w:val="0"/>
                <w:numId w:val="9"/>
              </w:numPr>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未提供不得分。</w:t>
            </w:r>
          </w:p>
        </w:tc>
        <w:tc>
          <w:tcPr>
            <w:tcW w:w="763" w:type="dxa"/>
            <w:vAlign w:val="center"/>
          </w:tcPr>
          <w:p w14:paraId="1C2C2E58">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64DE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4DAEE9C">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p>
        </w:tc>
        <w:tc>
          <w:tcPr>
            <w:tcW w:w="1241" w:type="dxa"/>
            <w:vAlign w:val="center"/>
          </w:tcPr>
          <w:p w14:paraId="6A0D88CD">
            <w:pPr>
              <w:pStyle w:val="17"/>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演示要求</w:t>
            </w:r>
          </w:p>
          <w:p w14:paraId="64D15DA3">
            <w:pPr>
              <w:pStyle w:val="17"/>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（16分）</w:t>
            </w:r>
          </w:p>
        </w:tc>
        <w:tc>
          <w:tcPr>
            <w:tcW w:w="6340" w:type="dxa"/>
            <w:vAlign w:val="center"/>
          </w:tcPr>
          <w:p w14:paraId="67689587">
            <w:pPr>
              <w:pStyle w:val="17"/>
              <w:keepNext w:val="0"/>
              <w:keepLines w:val="0"/>
              <w:suppressLineNumbers w:val="0"/>
              <w:spacing w:before="0" w:beforeAutospacing="0" w:after="0" w:afterAutospacing="0"/>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为保障课程的真实性及所采购资源的版权合法性，以及网络安全竞技平台的功能的真实性，投标时需提供课程资源及网络安全攻防竞技平台的录屏演示，演示时间控制在20分钟内，只提供PPT、图片演示不得分。</w:t>
            </w:r>
          </w:p>
          <w:p w14:paraId="331297AE">
            <w:pPr>
              <w:pStyle w:val="17"/>
              <w:keepNext w:val="0"/>
              <w:keepLines w:val="0"/>
              <w:suppressLineNumbers w:val="0"/>
              <w:spacing w:before="0" w:beforeAutospacing="0" w:after="0" w:afterAutospacing="0"/>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1、企业网及服务建设实训课程演示：</w:t>
            </w:r>
            <w:bookmarkStart w:id="81" w:name="OLE_LINK2"/>
            <w:bookmarkStart w:id="82" w:name="OLE_LINK1"/>
            <w:r>
              <w:rPr>
                <w:rFonts w:hint="eastAsia" w:ascii="宋体" w:hAnsi="宋体" w:cs="宋体"/>
                <w:color w:val="auto"/>
                <w:sz w:val="24"/>
                <w:szCs w:val="24"/>
                <w:highlight w:val="none"/>
              </w:rPr>
              <w:t>以项目式的工作流程进行教学，</w:t>
            </w:r>
            <w:r>
              <w:rPr>
                <w:rFonts w:hint="eastAsia" w:ascii="宋体" w:hAnsi="宋体" w:eastAsia="宋体" w:cs="宋体"/>
                <w:color w:val="auto"/>
                <w:sz w:val="24"/>
                <w:szCs w:val="24"/>
                <w:highlight w:val="none"/>
              </w:rPr>
              <w:t>包含①实验手册、②实验拓扑、③实验拓扑不少于18个网络节点、④可在线一键开启拓扑环境</w:t>
            </w:r>
            <w:bookmarkEnd w:id="81"/>
            <w:bookmarkEnd w:id="82"/>
            <w:r>
              <w:rPr>
                <w:rFonts w:hint="eastAsia" w:ascii="宋体" w:hAnsi="宋体" w:cs="宋体"/>
                <w:color w:val="auto"/>
                <w:sz w:val="24"/>
                <w:szCs w:val="24"/>
                <w:highlight w:val="none"/>
              </w:rPr>
              <w:t>。以上</w:t>
            </w:r>
            <w:r>
              <w:rPr>
                <w:rFonts w:hint="eastAsia" w:ascii="宋体" w:hAnsi="宋体" w:cs="宋体"/>
                <w:color w:val="auto"/>
                <w:sz w:val="24"/>
                <w:szCs w:val="24"/>
                <w:highlight w:val="none"/>
                <w:lang w:val="en-US" w:eastAsia="zh-CN"/>
              </w:rPr>
              <w:t>4项</w:t>
            </w:r>
            <w:r>
              <w:rPr>
                <w:rFonts w:hint="eastAsia" w:ascii="宋体" w:hAnsi="宋体" w:cs="宋体"/>
                <w:color w:val="auto"/>
                <w:sz w:val="24"/>
                <w:szCs w:val="24"/>
                <w:highlight w:val="none"/>
              </w:rPr>
              <w:t>功能每满足一项得1分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最高得4分</w:t>
            </w:r>
            <w:r>
              <w:rPr>
                <w:rFonts w:hint="eastAsia" w:ascii="宋体" w:hAnsi="宋体" w:cs="宋体"/>
                <w:color w:val="auto"/>
                <w:sz w:val="24"/>
                <w:szCs w:val="24"/>
                <w:highlight w:val="none"/>
              </w:rPr>
              <w:t>；</w:t>
            </w:r>
          </w:p>
          <w:p w14:paraId="55A10235">
            <w:pPr>
              <w:pStyle w:val="17"/>
              <w:keepNext w:val="0"/>
              <w:keepLines w:val="0"/>
              <w:suppressLineNumbers w:val="0"/>
              <w:spacing w:before="0" w:beforeAutospacing="0" w:after="0" w:afterAutospacing="0"/>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2、企业网渗透测试实训课程演示：以项目式的工作流程进行教学，包含</w:t>
            </w: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rPr>
              <w:t>实验手册、</w:t>
            </w: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rPr>
              <w:t>实验拓扑、</w:t>
            </w: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rPr>
              <w:t>实验拓扑不少于18个网络节点、</w:t>
            </w:r>
            <w:r>
              <w:rPr>
                <w:rFonts w:hint="eastAsia" w:ascii="宋体" w:hAnsi="宋体" w:eastAsia="宋体" w:cs="宋体"/>
                <w:color w:val="auto"/>
                <w:sz w:val="24"/>
                <w:szCs w:val="24"/>
                <w:highlight w:val="none"/>
              </w:rPr>
              <w:t>④</w:t>
            </w:r>
            <w:r>
              <w:rPr>
                <w:rFonts w:hint="eastAsia" w:ascii="宋体" w:hAnsi="宋体" w:cs="宋体"/>
                <w:color w:val="auto"/>
                <w:sz w:val="24"/>
                <w:szCs w:val="24"/>
                <w:highlight w:val="none"/>
              </w:rPr>
              <w:t>可在线一键开启拓扑环境。以上</w:t>
            </w:r>
            <w:r>
              <w:rPr>
                <w:rFonts w:hint="eastAsia" w:ascii="宋体" w:hAnsi="宋体" w:cs="宋体"/>
                <w:color w:val="auto"/>
                <w:sz w:val="24"/>
                <w:szCs w:val="24"/>
                <w:highlight w:val="none"/>
                <w:lang w:val="en-US" w:eastAsia="zh-CN"/>
              </w:rPr>
              <w:t>4项</w:t>
            </w:r>
            <w:r>
              <w:rPr>
                <w:rFonts w:hint="eastAsia" w:ascii="宋体" w:hAnsi="宋体" w:cs="宋体"/>
                <w:color w:val="auto"/>
                <w:sz w:val="24"/>
                <w:szCs w:val="24"/>
                <w:highlight w:val="none"/>
              </w:rPr>
              <w:t>功能每满足一项得1分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最高得4分</w:t>
            </w:r>
            <w:r>
              <w:rPr>
                <w:rFonts w:hint="eastAsia" w:ascii="宋体" w:hAnsi="宋体" w:cs="宋体"/>
                <w:color w:val="auto"/>
                <w:sz w:val="24"/>
                <w:szCs w:val="24"/>
                <w:highlight w:val="none"/>
              </w:rPr>
              <w:t>；</w:t>
            </w:r>
          </w:p>
          <w:p w14:paraId="197B7F09">
            <w:pPr>
              <w:pStyle w:val="17"/>
              <w:keepNext w:val="0"/>
              <w:keepLines w:val="0"/>
              <w:suppressLineNumbers w:val="0"/>
              <w:spacing w:before="0" w:beforeAutospacing="0" w:after="0" w:afterAutospacing="0"/>
              <w:ind w:left="0" w:righ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3、攻防竞技竞赛管理中心功能演示：</w:t>
            </w:r>
          </w:p>
          <w:p w14:paraId="2827A1F0">
            <w:pPr>
              <w:pStyle w:val="17"/>
              <w:keepNext w:val="0"/>
              <w:keepLines w:val="0"/>
              <w:suppressLineNumbers w:val="0"/>
              <w:spacing w:before="0" w:beforeAutospacing="0" w:after="0" w:afterAutospacing="0"/>
              <w:ind w:left="0" w:right="0"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平台支持</w:t>
            </w: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rPr>
              <w:t>准备模式、</w:t>
            </w: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rPr>
              <w:t>全通模式、</w:t>
            </w: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rPr>
              <w:t>解题模式、</w:t>
            </w:r>
            <w:r>
              <w:rPr>
                <w:rFonts w:hint="eastAsia" w:ascii="宋体" w:hAnsi="宋体" w:eastAsia="宋体" w:cs="宋体"/>
                <w:color w:val="auto"/>
                <w:sz w:val="24"/>
                <w:szCs w:val="24"/>
                <w:highlight w:val="none"/>
              </w:rPr>
              <w:t>④</w:t>
            </w:r>
            <w:r>
              <w:rPr>
                <w:rFonts w:hint="eastAsia" w:ascii="宋体" w:hAnsi="宋体" w:cs="宋体"/>
                <w:color w:val="auto"/>
                <w:sz w:val="24"/>
                <w:szCs w:val="24"/>
                <w:highlight w:val="none"/>
              </w:rPr>
              <w:t>解题+加固模式、</w:t>
            </w:r>
            <w:r>
              <w:rPr>
                <w:rFonts w:hint="eastAsia" w:ascii="宋体" w:hAnsi="宋体" w:eastAsia="宋体" w:cs="宋体"/>
                <w:color w:val="auto"/>
                <w:sz w:val="24"/>
                <w:szCs w:val="24"/>
                <w:highlight w:val="none"/>
              </w:rPr>
              <w:t>⑤</w:t>
            </w:r>
            <w:r>
              <w:rPr>
                <w:rFonts w:hint="eastAsia" w:ascii="宋体" w:hAnsi="宋体" w:cs="宋体"/>
                <w:color w:val="auto"/>
                <w:sz w:val="24"/>
                <w:szCs w:val="24"/>
                <w:highlight w:val="none"/>
              </w:rPr>
              <w:t>加固模式、</w:t>
            </w:r>
            <w:r>
              <w:rPr>
                <w:rFonts w:hint="eastAsia" w:ascii="宋体" w:hAnsi="宋体" w:eastAsia="宋体" w:cs="宋体"/>
                <w:color w:val="auto"/>
                <w:sz w:val="24"/>
                <w:szCs w:val="24"/>
                <w:highlight w:val="none"/>
              </w:rPr>
              <w:t>⑥</w:t>
            </w:r>
            <w:r>
              <w:rPr>
                <w:rFonts w:hint="eastAsia" w:ascii="宋体" w:hAnsi="宋体" w:cs="宋体"/>
                <w:color w:val="auto"/>
                <w:sz w:val="24"/>
                <w:szCs w:val="24"/>
                <w:highlight w:val="none"/>
              </w:rPr>
              <w:t>攻防模式的网络控制；以上</w:t>
            </w:r>
            <w:r>
              <w:rPr>
                <w:rFonts w:hint="eastAsia" w:ascii="宋体" w:hAnsi="宋体" w:cs="宋体"/>
                <w:color w:val="auto"/>
                <w:sz w:val="24"/>
                <w:szCs w:val="24"/>
                <w:highlight w:val="none"/>
                <w:lang w:val="en-US" w:eastAsia="zh-CN"/>
              </w:rPr>
              <w:t>6项</w:t>
            </w:r>
            <w:r>
              <w:rPr>
                <w:rFonts w:hint="eastAsia" w:ascii="宋体" w:hAnsi="宋体" w:cs="宋体"/>
                <w:color w:val="auto"/>
                <w:sz w:val="24"/>
                <w:szCs w:val="24"/>
                <w:highlight w:val="none"/>
              </w:rPr>
              <w:t>功能每满足一项得0.5分，</w:t>
            </w:r>
            <w:r>
              <w:rPr>
                <w:rFonts w:hint="eastAsia" w:ascii="宋体" w:hAnsi="宋体" w:cs="宋体"/>
                <w:color w:val="auto"/>
                <w:sz w:val="24"/>
                <w:szCs w:val="24"/>
                <w:highlight w:val="none"/>
                <w:lang w:val="en-US" w:eastAsia="zh-CN"/>
              </w:rPr>
              <w:t>最高得</w:t>
            </w:r>
            <w:r>
              <w:rPr>
                <w:rFonts w:hint="eastAsia" w:ascii="宋体" w:hAnsi="宋体" w:cs="宋体"/>
                <w:color w:val="auto"/>
                <w:sz w:val="24"/>
                <w:szCs w:val="24"/>
                <w:highlight w:val="none"/>
              </w:rPr>
              <w:t>3分。</w:t>
            </w:r>
          </w:p>
          <w:p w14:paraId="0A406013">
            <w:pPr>
              <w:pStyle w:val="17"/>
              <w:keepNext w:val="0"/>
              <w:keepLines w:val="0"/>
              <w:suppressLineNumbers w:val="0"/>
              <w:spacing w:before="0" w:beforeAutospacing="0" w:after="0" w:afterAutospacing="0"/>
              <w:ind w:left="0" w:right="0"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各模式之间一键配置，分别对平台、题目进行访问控制、环境隔离控制。</w:t>
            </w:r>
            <w:r>
              <w:rPr>
                <w:rFonts w:hint="eastAsia" w:ascii="宋体" w:hAnsi="宋体" w:cs="宋体"/>
                <w:color w:val="auto"/>
                <w:sz w:val="24"/>
                <w:szCs w:val="24"/>
                <w:highlight w:val="none"/>
                <w:lang w:val="en-US" w:eastAsia="zh-CN"/>
              </w:rPr>
              <w:t>该项功能完全</w:t>
            </w:r>
            <w:r>
              <w:rPr>
                <w:rFonts w:hint="eastAsia" w:ascii="宋体" w:hAnsi="宋体" w:cs="宋体"/>
                <w:color w:val="auto"/>
                <w:sz w:val="24"/>
                <w:szCs w:val="24"/>
                <w:highlight w:val="none"/>
              </w:rPr>
              <w:t>满足得1分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否则不得分</w:t>
            </w:r>
            <w:r>
              <w:rPr>
                <w:rFonts w:hint="eastAsia" w:ascii="宋体" w:hAnsi="宋体" w:cs="宋体"/>
                <w:color w:val="auto"/>
                <w:sz w:val="24"/>
                <w:szCs w:val="24"/>
                <w:highlight w:val="none"/>
              </w:rPr>
              <w:t>；</w:t>
            </w:r>
          </w:p>
          <w:p w14:paraId="2DD1B168">
            <w:pPr>
              <w:pStyle w:val="17"/>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4、攻防竞技竞赛管理中心功能演示：平台支持</w:t>
            </w: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rPr>
              <w:t>网络控制、</w:t>
            </w: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rPr>
              <w:t>动态flag、</w:t>
            </w: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rPr>
              <w:t>随机附件随机flag、</w:t>
            </w:r>
            <w:r>
              <w:rPr>
                <w:rFonts w:hint="eastAsia" w:ascii="宋体" w:hAnsi="宋体" w:eastAsia="宋体" w:cs="宋体"/>
                <w:color w:val="auto"/>
                <w:sz w:val="24"/>
                <w:szCs w:val="24"/>
                <w:highlight w:val="none"/>
              </w:rPr>
              <w:t>④</w:t>
            </w:r>
            <w:r>
              <w:rPr>
                <w:rFonts w:hint="eastAsia" w:ascii="宋体" w:hAnsi="宋体" w:cs="宋体"/>
                <w:color w:val="auto"/>
                <w:sz w:val="24"/>
                <w:szCs w:val="24"/>
                <w:highlight w:val="none"/>
              </w:rPr>
              <w:t>虚拟机动态密码、</w:t>
            </w:r>
            <w:r>
              <w:rPr>
                <w:rFonts w:hint="eastAsia" w:ascii="宋体" w:hAnsi="宋体" w:eastAsia="宋体" w:cs="宋体"/>
                <w:color w:val="auto"/>
                <w:sz w:val="24"/>
                <w:szCs w:val="24"/>
                <w:highlight w:val="none"/>
              </w:rPr>
              <w:t>⑤</w:t>
            </w:r>
            <w:r>
              <w:rPr>
                <w:rFonts w:hint="eastAsia" w:ascii="宋体" w:hAnsi="宋体" w:cs="宋体"/>
                <w:color w:val="auto"/>
                <w:sz w:val="24"/>
                <w:szCs w:val="24"/>
                <w:highlight w:val="none"/>
              </w:rPr>
              <w:t>服务检测、</w:t>
            </w:r>
            <w:r>
              <w:rPr>
                <w:rFonts w:hint="eastAsia" w:ascii="宋体" w:hAnsi="宋体" w:eastAsia="宋体" w:cs="宋体"/>
                <w:color w:val="auto"/>
                <w:sz w:val="24"/>
                <w:szCs w:val="24"/>
                <w:highlight w:val="none"/>
              </w:rPr>
              <w:t>⑥</w:t>
            </w:r>
            <w:r>
              <w:rPr>
                <w:rFonts w:hint="eastAsia" w:ascii="宋体" w:hAnsi="宋体" w:cs="宋体"/>
                <w:color w:val="auto"/>
                <w:sz w:val="24"/>
                <w:szCs w:val="24"/>
                <w:highlight w:val="none"/>
              </w:rPr>
              <w:t>Writeup、</w:t>
            </w:r>
            <w:r>
              <w:rPr>
                <w:rFonts w:hint="eastAsia" w:ascii="宋体" w:hAnsi="宋体" w:eastAsia="宋体" w:cs="宋体"/>
                <w:color w:val="auto"/>
                <w:sz w:val="24"/>
                <w:szCs w:val="24"/>
                <w:highlight w:val="none"/>
              </w:rPr>
              <w:t>⑦</w:t>
            </w:r>
            <w:r>
              <w:rPr>
                <w:rFonts w:hint="eastAsia" w:ascii="宋体" w:hAnsi="宋体" w:cs="宋体"/>
                <w:color w:val="auto"/>
                <w:sz w:val="24"/>
                <w:szCs w:val="24"/>
                <w:highlight w:val="none"/>
              </w:rPr>
              <w:t>终端IP段验证、</w:t>
            </w:r>
            <w:r>
              <w:rPr>
                <w:rFonts w:hint="eastAsia" w:ascii="宋体" w:hAnsi="宋体" w:eastAsia="宋体" w:cs="宋体"/>
                <w:color w:val="auto"/>
                <w:sz w:val="24"/>
                <w:szCs w:val="24"/>
                <w:highlight w:val="none"/>
              </w:rPr>
              <w:t>⑧</w:t>
            </w:r>
            <w:r>
              <w:rPr>
                <w:rFonts w:hint="eastAsia" w:ascii="宋体" w:hAnsi="宋体" w:cs="宋体"/>
                <w:color w:val="auto"/>
                <w:sz w:val="24"/>
                <w:szCs w:val="24"/>
                <w:highlight w:val="none"/>
              </w:rPr>
              <w:t>提交间隔时间限制等多种防作弊手段。以上</w:t>
            </w:r>
            <w:r>
              <w:rPr>
                <w:rFonts w:hint="eastAsia" w:ascii="宋体" w:hAnsi="宋体" w:cs="宋体"/>
                <w:color w:val="auto"/>
                <w:sz w:val="24"/>
                <w:szCs w:val="24"/>
                <w:highlight w:val="none"/>
                <w:lang w:val="en-US" w:eastAsia="zh-CN"/>
              </w:rPr>
              <w:t>8项</w:t>
            </w:r>
            <w:r>
              <w:rPr>
                <w:rFonts w:hint="eastAsia" w:ascii="宋体" w:hAnsi="宋体" w:cs="宋体"/>
                <w:color w:val="auto"/>
                <w:sz w:val="24"/>
                <w:szCs w:val="24"/>
                <w:highlight w:val="none"/>
              </w:rPr>
              <w:t>功能每满足一项得0.5分，</w:t>
            </w:r>
            <w:r>
              <w:rPr>
                <w:rFonts w:hint="eastAsia" w:ascii="宋体" w:hAnsi="宋体" w:cs="宋体"/>
                <w:color w:val="auto"/>
                <w:sz w:val="24"/>
                <w:szCs w:val="24"/>
                <w:highlight w:val="none"/>
                <w:lang w:val="en-US" w:eastAsia="zh-CN"/>
              </w:rPr>
              <w:t>最高得4</w:t>
            </w:r>
            <w:r>
              <w:rPr>
                <w:rFonts w:hint="eastAsia" w:ascii="宋体" w:hAnsi="宋体" w:cs="宋体"/>
                <w:color w:val="auto"/>
                <w:sz w:val="24"/>
                <w:szCs w:val="24"/>
                <w:highlight w:val="none"/>
              </w:rPr>
              <w:t>分。</w:t>
            </w:r>
          </w:p>
        </w:tc>
        <w:tc>
          <w:tcPr>
            <w:tcW w:w="763" w:type="dxa"/>
            <w:vAlign w:val="center"/>
          </w:tcPr>
          <w:p w14:paraId="15053ED4">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16分</w:t>
            </w:r>
          </w:p>
        </w:tc>
      </w:tr>
      <w:tr w14:paraId="289C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4606B9CB">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p>
        </w:tc>
        <w:tc>
          <w:tcPr>
            <w:tcW w:w="1241" w:type="dxa"/>
            <w:vAlign w:val="center"/>
          </w:tcPr>
          <w:p w14:paraId="6A734E6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技术支撑能力</w:t>
            </w:r>
          </w:p>
          <w:p w14:paraId="18CD8EEF">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tc>
        <w:tc>
          <w:tcPr>
            <w:tcW w:w="6340" w:type="dxa"/>
            <w:vAlign w:val="center"/>
          </w:tcPr>
          <w:p w14:paraId="5C54EE87">
            <w:pPr>
              <w:pStyle w:val="17"/>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1.本次项目平台交付质量要求较高，要求</w:t>
            </w:r>
            <w:r>
              <w:rPr>
                <w:rFonts w:hint="eastAsia" w:ascii="宋体" w:hAnsi="宋体" w:cs="宋体"/>
                <w:color w:val="auto"/>
                <w:sz w:val="24"/>
                <w:highlight w:val="none"/>
              </w:rPr>
              <w:t>网络安全竞技系统生产厂商</w:t>
            </w:r>
            <w:r>
              <w:rPr>
                <w:rFonts w:hint="eastAsia" w:ascii="宋体" w:hAnsi="宋体" w:cs="宋体"/>
                <w:color w:val="auto"/>
                <w:sz w:val="24"/>
                <w:szCs w:val="24"/>
                <w:highlight w:val="none"/>
              </w:rPr>
              <w:t>具备CIC信息化建设及数字化能力评价证书</w:t>
            </w:r>
            <w:r>
              <w:rPr>
                <w:rFonts w:hint="eastAsia" w:ascii="宋体" w:hAnsi="宋体" w:cs="宋体"/>
                <w:snapToGrid w:val="0"/>
                <w:color w:val="auto"/>
                <w:sz w:val="24"/>
                <w:szCs w:val="24"/>
                <w:highlight w:val="none"/>
              </w:rPr>
              <w:t>、ISO27701隐私信息管理体系认证证书，</w:t>
            </w:r>
            <w:r>
              <w:rPr>
                <w:rFonts w:hint="eastAsia" w:ascii="宋体" w:hAnsi="宋体" w:cs="宋体"/>
                <w:color w:val="auto"/>
                <w:sz w:val="24"/>
                <w:szCs w:val="24"/>
                <w:highlight w:val="none"/>
              </w:rPr>
              <w:t>以及ISO28000供应链安全管理体系认证证书，提供一项证书得1分，最高得3分。</w:t>
            </w:r>
            <w:r>
              <w:rPr>
                <w:rFonts w:hint="eastAsia" w:ascii="宋体" w:hAnsi="宋体" w:cs="宋体"/>
                <w:b/>
                <w:bCs/>
                <w:color w:val="auto"/>
                <w:sz w:val="24"/>
                <w:szCs w:val="24"/>
                <w:highlight w:val="none"/>
              </w:rPr>
              <w:t>须提供证书的扫描件并加盖投标人公章，编入投标文件中，否则不得分</w:t>
            </w:r>
            <w:r>
              <w:rPr>
                <w:rFonts w:hint="eastAsia" w:ascii="宋体" w:hAnsi="宋体" w:cs="宋体"/>
                <w:b/>
                <w:bCs/>
                <w:color w:val="auto"/>
                <w:sz w:val="24"/>
                <w:szCs w:val="24"/>
                <w:highlight w:val="none"/>
                <w:lang w:eastAsia="zh-CN"/>
              </w:rPr>
              <w:t>。</w:t>
            </w:r>
          </w:p>
          <w:p w14:paraId="1F4CFB4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cs="宋体"/>
                <w:color w:val="auto"/>
                <w:sz w:val="24"/>
                <w:highlight w:val="none"/>
              </w:rPr>
              <w:t>2.为更好传授漏洞挖掘相关实战经验，培养学生的漏洞挖掘实战能力，要求网络安全竞技系统生产厂商具备较强的漏洞挖掘能力</w:t>
            </w:r>
            <w:r>
              <w:rPr>
                <w:rFonts w:hint="eastAsia" w:ascii="宋体" w:hAnsi="宋体" w:cs="宋体"/>
                <w:color w:val="auto"/>
                <w:sz w:val="24"/>
                <w:highlight w:val="none"/>
                <w:lang w:eastAsia="zh-CN"/>
              </w:rPr>
              <w:t>：</w:t>
            </w:r>
            <w:r>
              <w:rPr>
                <w:rFonts w:hint="eastAsia" w:ascii="宋体" w:hAnsi="宋体" w:cs="宋体"/>
                <w:color w:val="auto"/>
                <w:sz w:val="24"/>
                <w:highlight w:val="none"/>
              </w:rPr>
              <w:t>在2023年向国家信息安全漏洞共享平台提供漏洞个数超过</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0000个，得0.5分，超过</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0000个得1分，超过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0000个 得1.5分，不满足不得分；在2022年向国家信息安全漏洞共享平台提供漏洞个数超过</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0000个，得0.5分，超过</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0000个得1分，超过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0000个 得1.5分，不满足不得分；</w:t>
            </w:r>
            <w:r>
              <w:rPr>
                <w:rFonts w:hint="eastAsia" w:ascii="宋体" w:hAnsi="宋体" w:cs="宋体"/>
                <w:color w:val="auto"/>
                <w:sz w:val="24"/>
                <w:highlight w:val="none"/>
                <w:lang w:eastAsia="zh-CN"/>
              </w:rPr>
              <w:t>本项最高得</w:t>
            </w:r>
            <w:r>
              <w:rPr>
                <w:rFonts w:hint="eastAsia" w:ascii="宋体" w:hAnsi="宋体" w:cs="宋体"/>
                <w:color w:val="auto"/>
                <w:sz w:val="24"/>
                <w:highlight w:val="none"/>
                <w:lang w:val="en-US" w:eastAsia="zh-CN"/>
              </w:rPr>
              <w:t>3分。</w:t>
            </w:r>
            <w:r>
              <w:rPr>
                <w:rFonts w:hint="eastAsia" w:ascii="宋体" w:hAnsi="宋体" w:cs="宋体"/>
                <w:b/>
                <w:bCs/>
                <w:color w:val="auto"/>
                <w:sz w:val="24"/>
                <w:highlight w:val="none"/>
              </w:rPr>
              <w:t>须提供相关证明材料并加盖投标人公章，编入投标文件中，否则不得分。</w:t>
            </w:r>
          </w:p>
        </w:tc>
        <w:tc>
          <w:tcPr>
            <w:tcW w:w="763" w:type="dxa"/>
            <w:vAlign w:val="center"/>
          </w:tcPr>
          <w:p w14:paraId="2F3F59B8">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04F8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C716662">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p>
        </w:tc>
        <w:tc>
          <w:tcPr>
            <w:tcW w:w="1241" w:type="dxa"/>
            <w:vAlign w:val="center"/>
          </w:tcPr>
          <w:p w14:paraId="0DEDD208">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同类产品           销售业绩（</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6340" w:type="dxa"/>
            <w:vAlign w:val="center"/>
          </w:tcPr>
          <w:p w14:paraId="6BA5BD56">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月1日以来</w:t>
            </w:r>
            <w:r>
              <w:rPr>
                <w:rFonts w:hint="eastAsia" w:ascii="宋体" w:hAnsi="宋体" w:eastAsia="宋体" w:cs="宋体"/>
                <w:color w:val="auto"/>
                <w:sz w:val="24"/>
                <w:szCs w:val="24"/>
                <w:highlight w:val="none"/>
                <w:lang w:eastAsia="zh-CN"/>
              </w:rPr>
              <w:t>（以合同签订日期为准）具有</w:t>
            </w:r>
            <w:r>
              <w:rPr>
                <w:rFonts w:hint="eastAsia" w:ascii="宋体" w:hAnsi="宋体" w:eastAsia="宋体" w:cs="宋体"/>
                <w:color w:val="auto"/>
                <w:sz w:val="24"/>
                <w:szCs w:val="24"/>
                <w:highlight w:val="none"/>
              </w:rPr>
              <w:t>同类项目</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的，每提供一份有效证明材料得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A628AA1">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扫描件并加盖电子公章，不提供不得分。</w:t>
            </w:r>
          </w:p>
        </w:tc>
        <w:tc>
          <w:tcPr>
            <w:tcW w:w="763" w:type="dxa"/>
            <w:vAlign w:val="center"/>
          </w:tcPr>
          <w:p w14:paraId="06150AF2">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D27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14:paraId="0E634BC2">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w:t>
            </w:r>
          </w:p>
        </w:tc>
        <w:tc>
          <w:tcPr>
            <w:tcW w:w="1241" w:type="dxa"/>
            <w:vMerge w:val="restart"/>
            <w:vAlign w:val="center"/>
          </w:tcPr>
          <w:p w14:paraId="3B9AA02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拟投入项目组人员情况</w:t>
            </w:r>
          </w:p>
          <w:p w14:paraId="4C508E9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（9分）</w:t>
            </w:r>
          </w:p>
        </w:tc>
        <w:tc>
          <w:tcPr>
            <w:tcW w:w="6340" w:type="dxa"/>
            <w:vAlign w:val="center"/>
          </w:tcPr>
          <w:p w14:paraId="239A3BFF">
            <w:pPr>
              <w:keepNext w:val="0"/>
              <w:keepLines w:val="0"/>
              <w:suppressLineNumbers w:val="0"/>
              <w:adjustRightInd w:val="0"/>
              <w:spacing w:before="0" w:beforeAutospacing="0" w:after="0" w:afterAutospacing="0" w:line="240"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拟派的项目负责人：具备信息系统项目管理师证书、信息安全工程师、高级大数据技术应用证书的</w:t>
            </w:r>
            <w:r>
              <w:rPr>
                <w:rFonts w:hint="eastAsia" w:ascii="宋体" w:hAnsi="宋体" w:cs="宋体"/>
                <w:color w:val="auto"/>
                <w:sz w:val="24"/>
                <w:szCs w:val="24"/>
                <w:highlight w:val="none"/>
                <w:lang w:eastAsia="zh-CN"/>
              </w:rPr>
              <w:t>，每提供一个</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9E5239E">
            <w:pPr>
              <w:keepNext w:val="0"/>
              <w:keepLines w:val="0"/>
              <w:suppressLineNumbers w:val="0"/>
              <w:spacing w:before="0" w:beforeAutospacing="0" w:after="0" w:afterAutospacing="0" w:line="240" w:lineRule="auto"/>
              <w:ind w:left="0" w:right="0"/>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注：须提供以上人员证书及自投标截止日前三个月内任意一个月的在投标人单位缴纳的社保证明的扫描件并加盖公章，编入投标文件中，否则不得分。</w:t>
            </w:r>
          </w:p>
        </w:tc>
        <w:tc>
          <w:tcPr>
            <w:tcW w:w="763" w:type="dxa"/>
            <w:vAlign w:val="center"/>
          </w:tcPr>
          <w:p w14:paraId="25D6FA37">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3A3D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5278A7B6">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p>
        </w:tc>
        <w:tc>
          <w:tcPr>
            <w:tcW w:w="1241" w:type="dxa"/>
            <w:vMerge w:val="continue"/>
            <w:vAlign w:val="center"/>
          </w:tcPr>
          <w:p w14:paraId="650FAFC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p>
        </w:tc>
        <w:tc>
          <w:tcPr>
            <w:tcW w:w="6340" w:type="dxa"/>
            <w:vAlign w:val="center"/>
          </w:tcPr>
          <w:p w14:paraId="4FD5E457">
            <w:pPr>
              <w:keepNext w:val="0"/>
              <w:keepLines w:val="0"/>
              <w:suppressLineNumbers w:val="0"/>
              <w:adjustRightInd w:val="0"/>
              <w:spacing w:before="0" w:beforeAutospacing="0" w:after="0" w:afterAutospacing="0" w:line="240"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拟派的技术负责人：具备高级大数据分析师证书、高级网络信息安全工程师的</w:t>
            </w:r>
            <w:r>
              <w:rPr>
                <w:rFonts w:hint="eastAsia" w:ascii="宋体" w:hAnsi="宋体" w:cs="宋体"/>
                <w:color w:val="auto"/>
                <w:sz w:val="24"/>
                <w:szCs w:val="24"/>
                <w:highlight w:val="none"/>
                <w:lang w:eastAsia="zh-CN"/>
              </w:rPr>
              <w:t>，每提供一个</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BB73AC9">
            <w:pPr>
              <w:keepNext w:val="0"/>
              <w:keepLines w:val="0"/>
              <w:suppressLineNumbers w:val="0"/>
              <w:spacing w:before="0" w:beforeAutospacing="0" w:after="0" w:afterAutospacing="0" w:line="240" w:lineRule="auto"/>
              <w:ind w:left="0" w:right="0"/>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注：须提供以上人员证书及自投标截止日前三个月内任意一个月的在投标人单位缴纳的社保证明的扫描件并加盖公章，编入投标文件中，否则不得分。</w:t>
            </w:r>
          </w:p>
        </w:tc>
        <w:tc>
          <w:tcPr>
            <w:tcW w:w="763" w:type="dxa"/>
            <w:vAlign w:val="center"/>
          </w:tcPr>
          <w:p w14:paraId="3ACD51F5">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r>
      <w:tr w14:paraId="0EC8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14:paraId="0743872F">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p>
        </w:tc>
        <w:tc>
          <w:tcPr>
            <w:tcW w:w="1241" w:type="dxa"/>
            <w:vMerge w:val="continue"/>
            <w:vAlign w:val="center"/>
          </w:tcPr>
          <w:p w14:paraId="3BC51B6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p>
        </w:tc>
        <w:tc>
          <w:tcPr>
            <w:tcW w:w="6340" w:type="dxa"/>
            <w:vAlign w:val="center"/>
          </w:tcPr>
          <w:p w14:paraId="63C91C9E">
            <w:pPr>
              <w:keepNext w:val="0"/>
              <w:keepLines w:val="0"/>
              <w:suppressLineNumbers w:val="0"/>
              <w:adjustRightInd w:val="0"/>
              <w:spacing w:before="0" w:beforeAutospacing="0" w:after="0" w:afterAutospacing="0" w:line="240" w:lineRule="auto"/>
              <w:ind w:left="0" w:right="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项目成员 (不含项目负责人、技术负责人):团队成员应具备数据中心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机房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运维管理工程师(高级)、综合布线工程师证书(高级)、高级人工智能应用工程师证书、高级信息系统运维管理工程师；每具备一本得1分，本项满分4分，一人</w:t>
            </w:r>
            <w:r>
              <w:rPr>
                <w:rFonts w:hint="eastAsia" w:ascii="宋体" w:hAnsi="宋体" w:eastAsia="宋体" w:cs="宋体"/>
                <w:color w:val="auto"/>
                <w:sz w:val="24"/>
                <w:szCs w:val="24"/>
                <w:highlight w:val="none"/>
                <w:lang w:eastAsia="zh-CN"/>
              </w:rPr>
              <w:t>多</w:t>
            </w:r>
            <w:r>
              <w:rPr>
                <w:rFonts w:hint="eastAsia" w:ascii="宋体" w:hAnsi="宋体" w:eastAsia="宋体" w:cs="宋体"/>
                <w:color w:val="auto"/>
                <w:sz w:val="24"/>
                <w:szCs w:val="24"/>
                <w:highlight w:val="none"/>
              </w:rPr>
              <w:t>证或同类证书</w:t>
            </w:r>
            <w:r>
              <w:rPr>
                <w:rFonts w:hint="eastAsia" w:ascii="宋体" w:hAnsi="宋体" w:eastAsia="宋体" w:cs="宋体"/>
                <w:color w:val="auto"/>
                <w:sz w:val="24"/>
                <w:szCs w:val="24"/>
                <w:highlight w:val="none"/>
                <w:lang w:eastAsia="zh-CN"/>
              </w:rPr>
              <w:t>多人均</w:t>
            </w:r>
            <w:r>
              <w:rPr>
                <w:rFonts w:hint="eastAsia" w:ascii="宋体" w:hAnsi="宋体" w:eastAsia="宋体" w:cs="宋体"/>
                <w:color w:val="auto"/>
                <w:sz w:val="24"/>
                <w:szCs w:val="24"/>
                <w:highlight w:val="none"/>
              </w:rPr>
              <w:t>不重复计分</w:t>
            </w:r>
            <w:r>
              <w:rPr>
                <w:rFonts w:hint="eastAsia" w:ascii="宋体" w:hAnsi="宋体" w:eastAsia="宋体" w:cs="宋体"/>
                <w:color w:val="auto"/>
                <w:sz w:val="24"/>
                <w:szCs w:val="24"/>
                <w:highlight w:val="none"/>
                <w:lang w:eastAsia="zh-CN"/>
              </w:rPr>
              <w:t>。</w:t>
            </w:r>
          </w:p>
          <w:p w14:paraId="6E2094B3">
            <w:pPr>
              <w:keepNext w:val="0"/>
              <w:keepLines w:val="0"/>
              <w:suppressLineNumbers w:val="0"/>
              <w:spacing w:before="0" w:beforeAutospacing="0" w:after="0" w:afterAutospacing="0" w:line="240" w:lineRule="auto"/>
              <w:ind w:left="0" w:right="0"/>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注：须提供以上人员证书及自投标截止日前三个月内任意一个月的在投标人单位缴纳的社保证明的扫描件并加盖公章，编入投标文件中，否则不得分。</w:t>
            </w:r>
          </w:p>
        </w:tc>
        <w:tc>
          <w:tcPr>
            <w:tcW w:w="763" w:type="dxa"/>
            <w:vAlign w:val="center"/>
          </w:tcPr>
          <w:p w14:paraId="72989A76">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rPr>
              <w:t>分</w:t>
            </w:r>
          </w:p>
        </w:tc>
      </w:tr>
      <w:tr w14:paraId="2BF3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75B5E054">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w:t>
            </w:r>
          </w:p>
        </w:tc>
        <w:tc>
          <w:tcPr>
            <w:tcW w:w="1241" w:type="dxa"/>
            <w:vAlign w:val="center"/>
          </w:tcPr>
          <w:p w14:paraId="00C4DB8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w:t>
            </w:r>
          </w:p>
          <w:p w14:paraId="002A8FC9">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（2分）</w:t>
            </w:r>
          </w:p>
        </w:tc>
        <w:tc>
          <w:tcPr>
            <w:tcW w:w="6340" w:type="dxa"/>
            <w:vAlign w:val="center"/>
          </w:tcPr>
          <w:p w14:paraId="53E25D7F">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根据投标人提供的售后服务体系完善程度及对招标文件服务要求的响应进行综合评估。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（1）根据售后自有网点数量、售后维护方案及承诺，售后自有网点较多、有完整、可行、合理的售后维护方案得</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w:t>
            </w:r>
          </w:p>
          <w:p w14:paraId="7FF68B1C">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（2）售后自有网点一般，有较完整、较可行、较合理的售后维护方案得0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p>
          <w:p w14:paraId="47D64E3F">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（3）未提供不得分。</w:t>
            </w:r>
          </w:p>
          <w:p w14:paraId="67F803D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注：需提供售后服务网点</w:t>
            </w:r>
            <w:r>
              <w:rPr>
                <w:rFonts w:hint="eastAsia" w:ascii="宋体" w:hAnsi="宋体" w:eastAsia="宋体" w:cs="宋体"/>
                <w:b/>
                <w:bCs/>
                <w:color w:val="auto"/>
                <w:sz w:val="24"/>
                <w:szCs w:val="24"/>
                <w:highlight w:val="none"/>
                <w:lang w:eastAsia="zh-CN"/>
              </w:rPr>
              <w:t>相关证明材料</w:t>
            </w:r>
            <w:r>
              <w:rPr>
                <w:rFonts w:hint="eastAsia" w:ascii="宋体" w:hAnsi="宋体" w:eastAsia="宋体" w:cs="宋体"/>
                <w:b/>
                <w:bCs/>
                <w:color w:val="auto"/>
                <w:sz w:val="24"/>
                <w:szCs w:val="24"/>
                <w:highlight w:val="none"/>
              </w:rPr>
              <w:t>，否则不得分</w:t>
            </w:r>
          </w:p>
        </w:tc>
        <w:tc>
          <w:tcPr>
            <w:tcW w:w="763" w:type="dxa"/>
            <w:vAlign w:val="center"/>
          </w:tcPr>
          <w:p w14:paraId="478CC8CB">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r>
      <w:tr w14:paraId="5473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7C16F2A8">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w:t>
            </w:r>
          </w:p>
        </w:tc>
        <w:tc>
          <w:tcPr>
            <w:tcW w:w="1241" w:type="dxa"/>
            <w:vAlign w:val="center"/>
          </w:tcPr>
          <w:p w14:paraId="4227F57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服务质量保证措施（2分）</w:t>
            </w:r>
          </w:p>
        </w:tc>
        <w:tc>
          <w:tcPr>
            <w:tcW w:w="6340" w:type="dxa"/>
            <w:vAlign w:val="center"/>
          </w:tcPr>
          <w:p w14:paraId="297AEA0D">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提出完善的服务质量保证措施和体系，以及详细的应急保障措施、风险控制措施以及故障响应机制等措施。</w:t>
            </w:r>
          </w:p>
          <w:p w14:paraId="58E8CF33">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（1）有较完整、较可行、较合理的服务质量保证措施得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1-2分</w:t>
            </w:r>
            <w:r>
              <w:rPr>
                <w:rFonts w:hint="eastAsia" w:ascii="宋体" w:hAnsi="宋体" w:eastAsia="宋体" w:cs="宋体"/>
                <w:color w:val="auto"/>
                <w:sz w:val="24"/>
                <w:szCs w:val="24"/>
                <w:highlight w:val="none"/>
                <w:lang w:eastAsia="zh-CN"/>
              </w:rPr>
              <w:t>；</w:t>
            </w:r>
          </w:p>
          <w:p w14:paraId="6FE8648C">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（2）内置质量较一般的服务质量保证措施得0.5-1分</w:t>
            </w:r>
            <w:r>
              <w:rPr>
                <w:rFonts w:hint="eastAsia" w:ascii="宋体" w:hAnsi="宋体" w:eastAsia="宋体" w:cs="宋体"/>
                <w:color w:val="auto"/>
                <w:sz w:val="24"/>
                <w:szCs w:val="24"/>
                <w:highlight w:val="none"/>
                <w:lang w:eastAsia="zh-CN"/>
              </w:rPr>
              <w:t>；</w:t>
            </w:r>
          </w:p>
          <w:p w14:paraId="59E32983">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（3）缺失、不匹配、不合理的服务质量保证措施得0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450C99F">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）未提供不得分。</w:t>
            </w:r>
          </w:p>
        </w:tc>
        <w:tc>
          <w:tcPr>
            <w:tcW w:w="763" w:type="dxa"/>
            <w:vAlign w:val="center"/>
          </w:tcPr>
          <w:p w14:paraId="3C9C41AB">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r>
      <w:tr w14:paraId="7E93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42AC6256">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1241" w:type="dxa"/>
            <w:vAlign w:val="center"/>
          </w:tcPr>
          <w:p w14:paraId="1CE4C548">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相关培训（2分）</w:t>
            </w:r>
          </w:p>
        </w:tc>
        <w:tc>
          <w:tcPr>
            <w:tcW w:w="6340" w:type="dxa"/>
            <w:vAlign w:val="center"/>
          </w:tcPr>
          <w:p w14:paraId="51542DEF">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投标人提供的可行合理的培训方案及培训计划：含培训方式、培训参加人员、培训内容、日程、课程安排等：</w:t>
            </w:r>
          </w:p>
          <w:p w14:paraId="39275D24">
            <w:pPr>
              <w:keepNext w:val="0"/>
              <w:keepLines w:val="0"/>
              <w:suppressLineNumbers w:val="0"/>
              <w:adjustRightInd w:val="0"/>
              <w:spacing w:before="0" w:beforeAutospacing="0" w:after="0" w:afterAutospacing="0" w:line="240" w:lineRule="auto"/>
              <w:ind w:left="0" w:right="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（1）培训方案措施明确、培训人员安排非常周到、培训内容非常丰富、课程安排非常合理的得1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-2分；</w:t>
            </w:r>
          </w:p>
          <w:p w14:paraId="1BA57786">
            <w:pPr>
              <w:keepNext w:val="0"/>
              <w:keepLines w:val="0"/>
              <w:suppressLineNumbers w:val="0"/>
              <w:adjustRightInd w:val="0"/>
              <w:spacing w:before="0" w:beforeAutospacing="0" w:after="0" w:afterAutospacing="0" w:line="240" w:lineRule="auto"/>
              <w:ind w:left="0" w:right="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（2）培训方案措施比较明确、培训人员安排比较周到、培训内容比较丰富、课程安排比较合理的得0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-1分；                            </w:t>
            </w:r>
          </w:p>
          <w:p w14:paraId="0B002C84">
            <w:pPr>
              <w:keepNext w:val="0"/>
              <w:keepLines w:val="0"/>
              <w:suppressLineNumbers w:val="0"/>
              <w:adjustRightInd w:val="0"/>
              <w:spacing w:before="0" w:beforeAutospacing="0" w:after="0" w:afterAutospacing="0" w:line="240" w:lineRule="auto"/>
              <w:ind w:left="0" w:right="0"/>
              <w:contextualSpacing/>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（3）未提供不得分。</w:t>
            </w:r>
          </w:p>
        </w:tc>
        <w:tc>
          <w:tcPr>
            <w:tcW w:w="763" w:type="dxa"/>
            <w:vAlign w:val="center"/>
          </w:tcPr>
          <w:p w14:paraId="66B32F3C">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r>
      <w:tr w14:paraId="1A02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CD3ABC6">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11</w:t>
            </w:r>
          </w:p>
        </w:tc>
        <w:tc>
          <w:tcPr>
            <w:tcW w:w="1241" w:type="dxa"/>
            <w:vAlign w:val="center"/>
          </w:tcPr>
          <w:p w14:paraId="1A2F5535">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投标人资质及信誉(</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6340" w:type="dxa"/>
            <w:vAlign w:val="center"/>
          </w:tcPr>
          <w:p w14:paraId="11D085AF">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投标人具备足够的实力，根据投标人的实力能力情况进行评分。</w:t>
            </w:r>
          </w:p>
          <w:p w14:paraId="63354B89">
            <w:pPr>
              <w:keepNext w:val="0"/>
              <w:keepLines w:val="0"/>
              <w:suppressLineNumbers w:val="0"/>
              <w:adjustRightInd w:val="0"/>
              <w:spacing w:before="0" w:beforeAutospacing="0" w:after="0" w:afterAutospacing="0" w:line="240"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投标人具有有效期内的ISO20000信息技术服务管理体系认证证书、ISO27001信息安全管理体系认证证书、ISO22301业务连续性管理体系认证证书、商品售后服务评价体系十二星证书；每提供1本证书得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分，不提供的不得分。</w:t>
            </w:r>
          </w:p>
          <w:p w14:paraId="29E7B23A">
            <w:pPr>
              <w:pStyle w:val="46"/>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注：上述证书需提供有效期内证书原件扫描件及在国家认证认可监督管理委员会官方网站（http://www.cnca.gov.cn/）查询的认证结果截图扫描件并加盖投标人公章，未提供或缺项不得分</w:t>
            </w:r>
            <w:r>
              <w:rPr>
                <w:rFonts w:hint="eastAsia" w:ascii="宋体" w:hAnsi="宋体" w:cs="宋体"/>
                <w:b/>
                <w:bCs/>
                <w:color w:val="auto"/>
                <w:sz w:val="24"/>
                <w:szCs w:val="24"/>
                <w:highlight w:val="none"/>
                <w:lang w:val="en-US" w:eastAsia="zh-CN"/>
              </w:rPr>
              <w:t>。</w:t>
            </w:r>
          </w:p>
        </w:tc>
        <w:tc>
          <w:tcPr>
            <w:tcW w:w="763" w:type="dxa"/>
            <w:vAlign w:val="center"/>
          </w:tcPr>
          <w:p w14:paraId="107B4F1B">
            <w:pPr>
              <w:keepNext w:val="0"/>
              <w:keepLines w:val="0"/>
              <w:suppressLineNumbers w:val="0"/>
              <w:adjustRightInd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B78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64F841A">
            <w:pPr>
              <w:keepNext w:val="0"/>
              <w:keepLines w:val="0"/>
              <w:suppressLineNumbers w:val="0"/>
              <w:autoSpaceDE w:val="0"/>
              <w:autoSpaceDN w:val="0"/>
              <w:spacing w:before="0" w:beforeAutospacing="0" w:after="0" w:afterAutospacing="0" w:line="240" w:lineRule="auto"/>
              <w:ind w:left="0" w:right="0"/>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12</w:t>
            </w:r>
          </w:p>
        </w:tc>
        <w:tc>
          <w:tcPr>
            <w:tcW w:w="1241" w:type="dxa"/>
            <w:vAlign w:val="center"/>
          </w:tcPr>
          <w:p w14:paraId="5702C78E">
            <w:pPr>
              <w:keepNext w:val="0"/>
              <w:keepLines w:val="0"/>
              <w:suppressLineNumbers w:val="0"/>
              <w:autoSpaceDE w:val="0"/>
              <w:autoSpaceDN w:val="0"/>
              <w:spacing w:before="0" w:beforeAutospacing="0" w:after="0" w:afterAutospacing="0" w:line="240" w:lineRule="auto"/>
              <w:ind w:left="0" w:right="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0分</w:t>
            </w:r>
          </w:p>
        </w:tc>
        <w:tc>
          <w:tcPr>
            <w:tcW w:w="6340" w:type="dxa"/>
            <w:vAlign w:val="center"/>
          </w:tcPr>
          <w:p w14:paraId="430CCE3F">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以有效报价的最低价为基准价，其价格分为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0分。其它投标人的价格分按照下列公式计算：投标报价得分=（评标基准价/投标报价）×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0（小数点后保留2位小数）（注：对于小型和微型企业产品的价格给予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%的扣除，用扣除后的价格参与评审。小型和微型企业需填写《中小企业声明函》、并加盖单位公章）。</w:t>
            </w:r>
          </w:p>
        </w:tc>
        <w:tc>
          <w:tcPr>
            <w:tcW w:w="763" w:type="dxa"/>
            <w:vAlign w:val="center"/>
          </w:tcPr>
          <w:p w14:paraId="0D29FA58">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r>
    </w:tbl>
    <w:p w14:paraId="69F27926">
      <w:pPr>
        <w:snapToGrid w:val="0"/>
        <w:spacing w:afterLines="50"/>
        <w:ind w:firstLine="562"/>
        <w:jc w:val="left"/>
        <w:rPr>
          <w:rFonts w:hint="eastAsia"/>
          <w:b/>
          <w:color w:val="auto"/>
          <w:sz w:val="24"/>
          <w:highlight w:val="none"/>
        </w:rPr>
      </w:pPr>
    </w:p>
    <w:p w14:paraId="3127EDEB">
      <w:pPr>
        <w:snapToGrid w:val="0"/>
        <w:spacing w:afterLines="50"/>
        <w:ind w:firstLine="562"/>
        <w:jc w:val="left"/>
        <w:rPr>
          <w:rFonts w:hint="eastAsia"/>
          <w:b/>
          <w:color w:val="auto"/>
          <w:sz w:val="24"/>
          <w:highlight w:val="none"/>
        </w:rPr>
      </w:pPr>
      <w:r>
        <w:rPr>
          <w:rFonts w:hint="eastAsia"/>
          <w:b/>
          <w:color w:val="auto"/>
          <w:sz w:val="24"/>
          <w:highlight w:val="none"/>
        </w:rPr>
        <w:t>(注：以上需提供的合同、证书、报告等各项证明需将原件扫描上传至投标文件，并加盖电子印章。评委打分保留1位小数)</w:t>
      </w:r>
    </w:p>
    <w:p w14:paraId="1DAEADC1">
      <w:pPr>
        <w:rPr>
          <w:b/>
          <w:color w:val="auto"/>
          <w:sz w:val="24"/>
          <w:highlight w:val="none"/>
        </w:rPr>
      </w:pPr>
      <w:r>
        <w:rPr>
          <w:b/>
          <w:color w:val="auto"/>
          <w:sz w:val="24"/>
          <w:highlight w:val="none"/>
        </w:rPr>
        <w:br w:type="page"/>
      </w:r>
    </w:p>
    <w:p w14:paraId="2E563C67">
      <w:pPr>
        <w:pageBreakBefore/>
        <w:spacing w:line="480" w:lineRule="auto"/>
        <w:jc w:val="center"/>
        <w:outlineLvl w:val="0"/>
        <w:rPr>
          <w:rFonts w:asciiTheme="minorEastAsia" w:hAnsiTheme="minorEastAsia" w:eastAsiaTheme="minorEastAsia"/>
          <w:b/>
          <w:color w:val="auto"/>
          <w:sz w:val="32"/>
          <w:szCs w:val="32"/>
          <w:highlight w:val="none"/>
        </w:rPr>
      </w:pPr>
      <w:bookmarkStart w:id="83" w:name="_Toc15735"/>
      <w:bookmarkStart w:id="84" w:name="_Toc2999"/>
      <w:bookmarkStart w:id="85" w:name="_Toc6241"/>
      <w:bookmarkStart w:id="86" w:name="_Toc10462"/>
      <w:bookmarkStart w:id="87" w:name="_Toc16946"/>
      <w:bookmarkStart w:id="88" w:name="_Toc1514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83"/>
      <w:bookmarkEnd w:id="84"/>
      <w:bookmarkEnd w:id="85"/>
      <w:bookmarkEnd w:id="86"/>
      <w:bookmarkEnd w:id="87"/>
      <w:bookmarkEnd w:id="88"/>
    </w:p>
    <w:p w14:paraId="0203D4C8">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szCs w:val="24"/>
          <w:highlight w:val="none"/>
          <w:lang w:eastAsia="zh-CN"/>
        </w:rPr>
      </w:pPr>
      <w:bookmarkStart w:id="89" w:name="_Toc18152"/>
      <w:r>
        <w:rPr>
          <w:rFonts w:hint="eastAsia" w:asciiTheme="minorEastAsia" w:hAnsiTheme="minorEastAsia" w:eastAsiaTheme="minorEastAsia"/>
          <w:b/>
          <w:color w:val="auto"/>
          <w:sz w:val="24"/>
          <w:szCs w:val="24"/>
          <w:highlight w:val="none"/>
        </w:rPr>
        <w:t>一、</w:t>
      </w:r>
      <w:r>
        <w:rPr>
          <w:rFonts w:hint="eastAsia" w:asciiTheme="minorEastAsia" w:hAnsiTheme="minorEastAsia" w:eastAsiaTheme="minorEastAsia"/>
          <w:b/>
          <w:color w:val="auto"/>
          <w:sz w:val="24"/>
          <w:szCs w:val="24"/>
          <w:highlight w:val="none"/>
          <w:lang w:eastAsia="zh-CN"/>
        </w:rPr>
        <w:t>项目概况</w:t>
      </w:r>
    </w:p>
    <w:p w14:paraId="62510913">
      <w:pPr>
        <w:tabs>
          <w:tab w:val="left" w:pos="8280"/>
        </w:tabs>
        <w:autoSpaceDE w:val="0"/>
        <w:autoSpaceDN w:val="0"/>
        <w:adjustRightInd w:val="0"/>
        <w:spacing w:line="440" w:lineRule="exact"/>
        <w:ind w:right="25"/>
        <w:rPr>
          <w:rFonts w:hint="eastAsia"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lang w:eastAsia="zh-CN"/>
        </w:rPr>
        <w:t>（一）</w:t>
      </w:r>
      <w:r>
        <w:rPr>
          <w:rFonts w:hint="eastAsia" w:asciiTheme="minorEastAsia" w:hAnsiTheme="minorEastAsia" w:eastAsiaTheme="minorEastAsia"/>
          <w:b/>
          <w:bCs w:val="0"/>
          <w:color w:val="auto"/>
          <w:sz w:val="24"/>
          <w:szCs w:val="24"/>
          <w:highlight w:val="none"/>
        </w:rPr>
        <w:t>项目背景</w:t>
      </w:r>
    </w:p>
    <w:p w14:paraId="33648061">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网络空间的竞争，归根到底是人才的竞争。随着国内外安全态势的深入发展，安全技术研究的逐步深化，整个网络安全的动态已逐渐从宣贯了解向实战研究转变。鉴于新形势下的网络安全严峻态势和国家对于优秀网络与信息安全人才的迫切需求，同时也是为贯彻国家关于加强一流网络安全学院建设的重要指示精神，落实《网络安全法》、《关于加强网络安全学科建设和人才培养的意见》明确的工作任务，在教育行业，高校教育作为国家培养安全人才的主力军，责无旁贷的要承担起网络安全人才的培养工作。</w:t>
      </w:r>
    </w:p>
    <w:p w14:paraId="482D55A1">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在网络安全保障工作中,人是最重要也是最活跃的因素。从我国现在网络安全保障工作的紧迫性来看,培养网络安全与信息化专业人才队伍更刻不容缓。</w:t>
      </w:r>
    </w:p>
    <w:p w14:paraId="76E9EEC8">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台州学院网络空间安全产业学院在过去的三年里取得了一定的成绩，从无到有，设计并装修完成教学实践场地，规划四个中心。为进一步强化台州学院网络空间安全产业学院建设和更好培养网络空间安全人才，需要进一步强化网络空间安全知识，通过体系化认证培训和攻防比武竞技等方式，进行基于攻击语境的信息安全教育与实操训练，培养适应当前的网络安全人才需求的复合型网络安全人才。</w:t>
      </w:r>
    </w:p>
    <w:p w14:paraId="40B60D25">
      <w:pPr>
        <w:tabs>
          <w:tab w:val="left" w:pos="8280"/>
        </w:tabs>
        <w:autoSpaceDE w:val="0"/>
        <w:autoSpaceDN w:val="0"/>
        <w:adjustRightInd w:val="0"/>
        <w:spacing w:line="440" w:lineRule="exact"/>
        <w:ind w:right="25"/>
        <w:rPr>
          <w:rFonts w:hint="eastAsia"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lang w:eastAsia="zh-CN"/>
        </w:rPr>
        <w:t>（二）</w:t>
      </w:r>
      <w:r>
        <w:rPr>
          <w:rFonts w:hint="eastAsia" w:asciiTheme="minorEastAsia" w:hAnsiTheme="minorEastAsia" w:eastAsiaTheme="minorEastAsia"/>
          <w:b/>
          <w:bCs w:val="0"/>
          <w:color w:val="auto"/>
          <w:sz w:val="24"/>
          <w:szCs w:val="24"/>
          <w:highlight w:val="none"/>
        </w:rPr>
        <w:t>建设目标</w:t>
      </w:r>
    </w:p>
    <w:p w14:paraId="524F71BD">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通过台州学院网络安全教学实训数字化项目，通过网络安全教学实训中心、网络安全攻防竞技中心、网络安全认证培训中心配套的设备建设，以丰富的实验模拟和虚拟实战等教学模式，提高学生的实操动手能力。同时结合攻防竞技，以安全技能比武的方式，以赛促学、以赛代练，提升学生的网络安全攻防技能；再以体系化的认证培训，为学生提供相应认证培训和考证工作，帮助学生评估和提高其网络安全水平</w:t>
      </w:r>
    </w:p>
    <w:p w14:paraId="40F63A73">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szCs w:val="24"/>
          <w:highlight w:val="none"/>
          <w:lang w:eastAsia="zh-CN"/>
        </w:rPr>
      </w:pPr>
    </w:p>
    <w:p w14:paraId="0E374573">
      <w:pPr>
        <w:tabs>
          <w:tab w:val="left" w:pos="8280"/>
        </w:tabs>
        <w:autoSpaceDE w:val="0"/>
        <w:autoSpaceDN w:val="0"/>
        <w:adjustRightInd w:val="0"/>
        <w:spacing w:line="440" w:lineRule="exact"/>
        <w:ind w:right="2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lang w:eastAsia="zh-CN"/>
        </w:rPr>
        <w:t>二</w:t>
      </w:r>
      <w:r>
        <w:rPr>
          <w:rFonts w:hint="eastAsia" w:asciiTheme="minorEastAsia" w:hAnsiTheme="minorEastAsia" w:eastAsiaTheme="minorEastAsia"/>
          <w:b/>
          <w:color w:val="auto"/>
          <w:sz w:val="24"/>
          <w:szCs w:val="24"/>
          <w:highlight w:val="none"/>
        </w:rPr>
        <w:t>、招标项目一览表</w:t>
      </w:r>
    </w:p>
    <w:p w14:paraId="5F3E6ADE">
      <w:pPr>
        <w:tabs>
          <w:tab w:val="left" w:pos="8280"/>
        </w:tabs>
        <w:autoSpaceDE w:val="0"/>
        <w:autoSpaceDN w:val="0"/>
        <w:adjustRightInd w:val="0"/>
        <w:spacing w:line="440" w:lineRule="exact"/>
        <w:ind w:right="25" w:firstLine="2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1.本次招标共</w:t>
      </w:r>
      <w:r>
        <w:rPr>
          <w:rFonts w:hint="eastAsia" w:asciiTheme="minorEastAsia" w:hAnsiTheme="minorEastAsia" w:eastAsiaTheme="minorEastAsia"/>
          <w:color w:val="auto"/>
          <w:sz w:val="24"/>
          <w:szCs w:val="24"/>
          <w:highlight w:val="none"/>
          <w:u w:val="single"/>
          <w:lang w:val="en-US" w:eastAsia="zh-CN"/>
        </w:rPr>
        <w:t>1</w:t>
      </w:r>
      <w:r>
        <w:rPr>
          <w:rFonts w:hint="eastAsia" w:asciiTheme="minorEastAsia" w:hAnsiTheme="minorEastAsia" w:eastAsiaTheme="minorEastAsia"/>
          <w:color w:val="auto"/>
          <w:sz w:val="24"/>
          <w:szCs w:val="24"/>
          <w:highlight w:val="none"/>
        </w:rPr>
        <w:t>个标段，具体内容如下表：</w:t>
      </w:r>
    </w:p>
    <w:tbl>
      <w:tblPr>
        <w:tblStyle w:val="47"/>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909"/>
        <w:gridCol w:w="1406"/>
        <w:gridCol w:w="858"/>
        <w:gridCol w:w="842"/>
        <w:gridCol w:w="1133"/>
        <w:gridCol w:w="1754"/>
      </w:tblGrid>
      <w:tr w14:paraId="2BDD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77" w:type="dxa"/>
            <w:shd w:val="clear" w:color="auto" w:fill="EEECE1" w:themeFill="background2"/>
            <w:vAlign w:val="center"/>
          </w:tcPr>
          <w:p w14:paraId="51D53A6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b/>
                <w:color w:val="auto"/>
                <w:sz w:val="24"/>
                <w:szCs w:val="24"/>
                <w:highlight w:val="none"/>
                <w:lang w:eastAsia="zh-CN"/>
              </w:rPr>
              <w:t>标项</w:t>
            </w:r>
          </w:p>
        </w:tc>
        <w:tc>
          <w:tcPr>
            <w:tcW w:w="2909" w:type="dxa"/>
            <w:shd w:val="clear" w:color="auto" w:fill="EEECE1" w:themeFill="background2"/>
            <w:vAlign w:val="center"/>
          </w:tcPr>
          <w:p w14:paraId="22001B6E">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default"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项目名称</w:t>
            </w:r>
          </w:p>
        </w:tc>
        <w:tc>
          <w:tcPr>
            <w:tcW w:w="1406" w:type="dxa"/>
            <w:shd w:val="clear" w:color="auto" w:fill="EEECE1" w:themeFill="background2"/>
            <w:vAlign w:val="center"/>
          </w:tcPr>
          <w:p w14:paraId="65159A49">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规格型号</w:t>
            </w:r>
          </w:p>
        </w:tc>
        <w:tc>
          <w:tcPr>
            <w:tcW w:w="858" w:type="dxa"/>
            <w:shd w:val="clear" w:color="auto" w:fill="EEECE1" w:themeFill="background2"/>
            <w:vAlign w:val="center"/>
          </w:tcPr>
          <w:p w14:paraId="10FF59C2">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842" w:type="dxa"/>
            <w:shd w:val="clear" w:color="auto" w:fill="EEECE1" w:themeFill="background2"/>
            <w:vAlign w:val="center"/>
          </w:tcPr>
          <w:p w14:paraId="446003D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1133" w:type="dxa"/>
            <w:shd w:val="clear" w:color="auto" w:fill="EEECE1" w:themeFill="background2"/>
            <w:vAlign w:val="center"/>
          </w:tcPr>
          <w:p w14:paraId="1F296449">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预算</w:t>
            </w:r>
          </w:p>
          <w:p w14:paraId="5F7D447A">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（万元）</w:t>
            </w:r>
          </w:p>
        </w:tc>
        <w:tc>
          <w:tcPr>
            <w:tcW w:w="1754" w:type="dxa"/>
            <w:shd w:val="clear" w:color="auto" w:fill="EEECE1" w:themeFill="background2"/>
            <w:vAlign w:val="center"/>
          </w:tcPr>
          <w:p w14:paraId="02288DEC">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交货地点</w:t>
            </w:r>
          </w:p>
        </w:tc>
      </w:tr>
      <w:tr w14:paraId="4288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7" w:type="dxa"/>
            <w:vAlign w:val="center"/>
          </w:tcPr>
          <w:p w14:paraId="6CC07984">
            <w:pPr>
              <w:keepNext w:val="0"/>
              <w:keepLines w:val="0"/>
              <w:widowControl/>
              <w:suppressLineNumbers w:val="0"/>
              <w:spacing w:before="0" w:beforeAutospacing="0" w:after="0" w:afterAutospacing="0"/>
              <w:ind w:left="0" w:right="0"/>
              <w:jc w:val="center"/>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w:t>
            </w:r>
          </w:p>
        </w:tc>
        <w:tc>
          <w:tcPr>
            <w:tcW w:w="2909" w:type="dxa"/>
            <w:vAlign w:val="center"/>
          </w:tcPr>
          <w:p w14:paraId="3E71411C">
            <w:pPr>
              <w:keepNext w:val="0"/>
              <w:keepLines w:val="0"/>
              <w:widowControl/>
              <w:suppressLineNumbers w:val="0"/>
              <w:spacing w:before="0" w:beforeAutospacing="0" w:after="0" w:afterAutospacing="0"/>
              <w:ind w:left="0" w:right="0"/>
              <w:jc w:val="center"/>
              <w:rPr>
                <w:rFonts w:hint="eastAsia"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u w:val="none"/>
                <w:lang w:eastAsia="zh-CN"/>
              </w:rPr>
              <w:t>台州学院网络安全教学实训数字化建设项目</w:t>
            </w:r>
          </w:p>
        </w:tc>
        <w:tc>
          <w:tcPr>
            <w:tcW w:w="1406" w:type="dxa"/>
            <w:vAlign w:val="center"/>
          </w:tcPr>
          <w:p w14:paraId="4DE67EF1">
            <w:pPr>
              <w:keepNext w:val="0"/>
              <w:keepLines w:val="0"/>
              <w:widowControl/>
              <w:suppressLineNumbers w:val="0"/>
              <w:spacing w:before="0" w:beforeAutospacing="0" w:after="0" w:afterAutospacing="0"/>
              <w:ind w:left="0" w:right="0"/>
              <w:jc w:val="center"/>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详见技术需求</w:t>
            </w:r>
          </w:p>
        </w:tc>
        <w:tc>
          <w:tcPr>
            <w:tcW w:w="858" w:type="dxa"/>
            <w:vAlign w:val="center"/>
          </w:tcPr>
          <w:p w14:paraId="3CE3BDBE">
            <w:pPr>
              <w:keepNext w:val="0"/>
              <w:keepLines w:val="0"/>
              <w:widowControl/>
              <w:suppressLineNumbers w:val="0"/>
              <w:spacing w:before="0" w:beforeAutospacing="0" w:after="0" w:afterAutospacing="0"/>
              <w:ind w:left="0" w:right="0"/>
              <w:jc w:val="center"/>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w:t>
            </w:r>
          </w:p>
        </w:tc>
        <w:tc>
          <w:tcPr>
            <w:tcW w:w="842" w:type="dxa"/>
            <w:vAlign w:val="center"/>
          </w:tcPr>
          <w:p w14:paraId="7AFCEBF5">
            <w:pPr>
              <w:keepNext w:val="0"/>
              <w:keepLines w:val="0"/>
              <w:widowControl/>
              <w:suppressLineNumbers w:val="0"/>
              <w:spacing w:before="0" w:beforeAutospacing="0" w:after="0" w:afterAutospacing="0"/>
              <w:ind w:left="0" w:right="0"/>
              <w:jc w:val="center"/>
              <w:rPr>
                <w:rFonts w:hint="eastAsia" w:cs="Times New Roman" w:asciiTheme="minorEastAsia" w:hAnsiTheme="minorEastAsia" w:eastAsiaTheme="minorEastAsia"/>
                <w:color w:val="auto"/>
                <w:sz w:val="24"/>
                <w:szCs w:val="24"/>
                <w:highlight w:val="none"/>
                <w:lang w:eastAsia="zh-CN"/>
              </w:rPr>
            </w:pPr>
            <w:r>
              <w:rPr>
                <w:rFonts w:hint="eastAsia" w:ascii="宋体" w:hAnsi="宋体" w:cs="宋体"/>
                <w:color w:val="auto"/>
                <w:sz w:val="24"/>
                <w:szCs w:val="24"/>
                <w:highlight w:val="none"/>
                <w:lang w:eastAsia="zh-CN"/>
              </w:rPr>
              <w:t>批</w:t>
            </w:r>
          </w:p>
        </w:tc>
        <w:tc>
          <w:tcPr>
            <w:tcW w:w="1133" w:type="dxa"/>
            <w:vAlign w:val="center"/>
          </w:tcPr>
          <w:p w14:paraId="4EF17F9B">
            <w:pPr>
              <w:keepNext w:val="0"/>
              <w:keepLines w:val="0"/>
              <w:widowControl/>
              <w:suppressLineNumbers w:val="0"/>
              <w:spacing w:before="0" w:beforeAutospacing="0" w:after="0" w:afterAutospacing="0"/>
              <w:ind w:left="0" w:right="0"/>
              <w:jc w:val="center"/>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lang w:val="en-US" w:eastAsia="zh-CN"/>
              </w:rPr>
              <w:t>79.52</w:t>
            </w:r>
          </w:p>
        </w:tc>
        <w:tc>
          <w:tcPr>
            <w:tcW w:w="1754" w:type="dxa"/>
            <w:vAlign w:val="center"/>
          </w:tcPr>
          <w:p w14:paraId="489E5FAA">
            <w:pPr>
              <w:keepNext w:val="0"/>
              <w:keepLines w:val="0"/>
              <w:widowControl/>
              <w:suppressLineNumbers w:val="0"/>
              <w:spacing w:before="0" w:beforeAutospacing="0" w:after="0" w:afterAutospacing="0"/>
              <w:ind w:left="0" w:right="0"/>
              <w:jc w:val="center"/>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rPr>
              <w:t>台州学院椒江校区</w:t>
            </w:r>
          </w:p>
        </w:tc>
      </w:tr>
    </w:tbl>
    <w:p w14:paraId="482450B7">
      <w:pPr>
        <w:tabs>
          <w:tab w:val="left" w:pos="8280"/>
        </w:tabs>
        <w:autoSpaceDE w:val="0"/>
        <w:autoSpaceDN w:val="0"/>
        <w:adjustRightInd w:val="0"/>
        <w:spacing w:line="440" w:lineRule="exact"/>
        <w:ind w:right="25" w:firstLine="240" w:firstLineChars="100"/>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lang w:val="en-US" w:eastAsia="zh-CN"/>
        </w:rPr>
        <w:t>2.</w:t>
      </w:r>
      <w:r>
        <w:rPr>
          <w:rFonts w:hint="eastAsia" w:cs="Times New Roman" w:asciiTheme="minorEastAsia" w:hAnsiTheme="minorEastAsia" w:eastAsiaTheme="minorEastAsia"/>
          <w:b w:val="0"/>
          <w:bCs/>
          <w:color w:val="auto"/>
          <w:sz w:val="24"/>
          <w:szCs w:val="24"/>
          <w:highlight w:val="none"/>
        </w:rPr>
        <w:t>采购清单</w:t>
      </w:r>
    </w:p>
    <w:tbl>
      <w:tblPr>
        <w:tblStyle w:val="4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042"/>
        <w:gridCol w:w="1309"/>
        <w:gridCol w:w="3627"/>
        <w:gridCol w:w="2155"/>
        <w:gridCol w:w="764"/>
      </w:tblGrid>
      <w:tr w14:paraId="1CA2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50FD1B4">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288" w:lineRule="auto"/>
              <w:ind w:left="0" w:right="25"/>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序号</w:t>
            </w:r>
          </w:p>
        </w:tc>
        <w:tc>
          <w:tcPr>
            <w:tcW w:w="104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F7DA121">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288" w:lineRule="auto"/>
              <w:ind w:left="0" w:right="25"/>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建设项</w:t>
            </w:r>
          </w:p>
        </w:tc>
        <w:tc>
          <w:tcPr>
            <w:tcW w:w="13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8D90E36">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288" w:lineRule="auto"/>
              <w:ind w:left="0" w:right="25"/>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建设子项</w:t>
            </w:r>
          </w:p>
        </w:tc>
        <w:tc>
          <w:tcPr>
            <w:tcW w:w="36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2CA5FFE">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288" w:lineRule="auto"/>
              <w:ind w:left="0" w:right="25"/>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建设内容</w:t>
            </w:r>
          </w:p>
        </w:tc>
        <w:tc>
          <w:tcPr>
            <w:tcW w:w="215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C85F0E7">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288" w:lineRule="auto"/>
              <w:ind w:left="0" w:right="25"/>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技术要求</w:t>
            </w:r>
          </w:p>
        </w:tc>
        <w:tc>
          <w:tcPr>
            <w:tcW w:w="76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BFB0052">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288" w:lineRule="auto"/>
              <w:ind w:left="0" w:right="25"/>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数量</w:t>
            </w:r>
          </w:p>
        </w:tc>
      </w:tr>
      <w:tr w14:paraId="6E48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59E3D94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42" w:type="dxa"/>
            <w:vMerge w:val="restart"/>
            <w:tcBorders>
              <w:top w:val="single" w:color="auto" w:sz="4" w:space="0"/>
              <w:left w:val="single" w:color="auto" w:sz="4" w:space="0"/>
              <w:bottom w:val="single" w:color="auto" w:sz="4" w:space="0"/>
              <w:right w:val="single" w:color="auto" w:sz="4" w:space="0"/>
            </w:tcBorders>
            <w:vAlign w:val="center"/>
          </w:tcPr>
          <w:p w14:paraId="2629AA9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（一）网络安全教学实训中心建设</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14:paraId="3242B3A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网络安全实训系统虚拟实验资源扩容</w:t>
            </w:r>
          </w:p>
        </w:tc>
        <w:tc>
          <w:tcPr>
            <w:tcW w:w="3627" w:type="dxa"/>
            <w:tcBorders>
              <w:top w:val="single" w:color="auto" w:sz="4" w:space="0"/>
              <w:left w:val="single" w:color="auto" w:sz="4" w:space="0"/>
              <w:bottom w:val="single" w:color="auto" w:sz="4" w:space="0"/>
              <w:right w:val="single" w:color="auto" w:sz="4" w:space="0"/>
            </w:tcBorders>
            <w:vAlign w:val="center"/>
          </w:tcPr>
          <w:p w14:paraId="28F17BB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虚拟化防火墙</w:t>
            </w:r>
          </w:p>
        </w:tc>
        <w:tc>
          <w:tcPr>
            <w:tcW w:w="2155" w:type="dxa"/>
            <w:tcBorders>
              <w:top w:val="single" w:color="auto" w:sz="4" w:space="0"/>
              <w:left w:val="single" w:color="auto" w:sz="4" w:space="0"/>
              <w:bottom w:val="single" w:color="auto" w:sz="4" w:space="0"/>
              <w:right w:val="single" w:color="auto" w:sz="4" w:space="0"/>
            </w:tcBorders>
            <w:vAlign w:val="center"/>
          </w:tcPr>
          <w:p w14:paraId="2601388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4C9F66F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7D79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0D32747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39A624E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3C7FF29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5FB0319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虚拟化上网行为管理</w:t>
            </w:r>
          </w:p>
        </w:tc>
        <w:tc>
          <w:tcPr>
            <w:tcW w:w="2155" w:type="dxa"/>
            <w:tcBorders>
              <w:top w:val="single" w:color="auto" w:sz="4" w:space="0"/>
              <w:left w:val="single" w:color="auto" w:sz="4" w:space="0"/>
              <w:bottom w:val="single" w:color="auto" w:sz="4" w:space="0"/>
              <w:right w:val="single" w:color="auto" w:sz="4" w:space="0"/>
            </w:tcBorders>
            <w:vAlign w:val="center"/>
          </w:tcPr>
          <w:p w14:paraId="3C0D8DC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260780D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7DBC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4ADF661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15689FA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6F5CD24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7C41ABE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虚拟化WEB应用防火墙 </w:t>
            </w:r>
          </w:p>
        </w:tc>
        <w:tc>
          <w:tcPr>
            <w:tcW w:w="2155" w:type="dxa"/>
            <w:tcBorders>
              <w:top w:val="single" w:color="auto" w:sz="4" w:space="0"/>
              <w:left w:val="single" w:color="auto" w:sz="4" w:space="0"/>
              <w:bottom w:val="single" w:color="auto" w:sz="4" w:space="0"/>
              <w:right w:val="single" w:color="auto" w:sz="4" w:space="0"/>
            </w:tcBorders>
            <w:vAlign w:val="center"/>
          </w:tcPr>
          <w:p w14:paraId="29D24CC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618F9E9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538A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25D7ED9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34A94E0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190F18C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18CA705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虚拟化入侵防御系统</w:t>
            </w:r>
          </w:p>
        </w:tc>
        <w:tc>
          <w:tcPr>
            <w:tcW w:w="2155" w:type="dxa"/>
            <w:tcBorders>
              <w:top w:val="single" w:color="auto" w:sz="4" w:space="0"/>
              <w:left w:val="single" w:color="auto" w:sz="4" w:space="0"/>
              <w:bottom w:val="single" w:color="auto" w:sz="4" w:space="0"/>
              <w:right w:val="single" w:color="auto" w:sz="4" w:space="0"/>
            </w:tcBorders>
            <w:vAlign w:val="center"/>
          </w:tcPr>
          <w:p w14:paraId="3BFB9DB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3E11562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711C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2A22C2C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66C304A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4FBF903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14AD56C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虚拟化漏洞扫描与防护</w:t>
            </w:r>
          </w:p>
        </w:tc>
        <w:tc>
          <w:tcPr>
            <w:tcW w:w="2155" w:type="dxa"/>
            <w:tcBorders>
              <w:top w:val="single" w:color="auto" w:sz="4" w:space="0"/>
              <w:left w:val="single" w:color="auto" w:sz="4" w:space="0"/>
              <w:bottom w:val="single" w:color="auto" w:sz="4" w:space="0"/>
              <w:right w:val="single" w:color="auto" w:sz="4" w:space="0"/>
            </w:tcBorders>
            <w:vAlign w:val="center"/>
          </w:tcPr>
          <w:p w14:paraId="10D7070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39575DB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30DE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71803F0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2104049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restart"/>
            <w:tcBorders>
              <w:top w:val="single" w:color="auto" w:sz="4" w:space="0"/>
              <w:left w:val="single" w:color="auto" w:sz="4" w:space="0"/>
              <w:bottom w:val="single" w:color="auto" w:sz="4" w:space="0"/>
              <w:right w:val="single" w:color="auto" w:sz="4" w:space="0"/>
            </w:tcBorders>
            <w:vAlign w:val="center"/>
          </w:tcPr>
          <w:p w14:paraId="77608F6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网络安全实训系统课程资源包扩容</w:t>
            </w:r>
          </w:p>
        </w:tc>
        <w:tc>
          <w:tcPr>
            <w:tcW w:w="3627" w:type="dxa"/>
            <w:tcBorders>
              <w:top w:val="single" w:color="auto" w:sz="4" w:space="0"/>
              <w:left w:val="single" w:color="auto" w:sz="4" w:space="0"/>
              <w:bottom w:val="single" w:color="auto" w:sz="4" w:space="0"/>
              <w:right w:val="single" w:color="auto" w:sz="4" w:space="0"/>
            </w:tcBorders>
            <w:vAlign w:val="center"/>
          </w:tcPr>
          <w:p w14:paraId="4568CB8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CTF竞赛解题实战课程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34E287C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331EF82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5346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5131750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3B63435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2C70D4A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1CC3DF4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网络安全攻防技术实战课程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716D0C2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01A9FD5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592A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6376C23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406DAF2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6CD9016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6D8F475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企业网及服务建设课程</w:t>
            </w:r>
            <w:r>
              <w:rPr>
                <w:rFonts w:hint="eastAsia" w:ascii="宋体" w:hAnsi="宋体" w:cs="宋体"/>
                <w:color w:val="auto"/>
                <w:sz w:val="24"/>
                <w:szCs w:val="24"/>
                <w:highlight w:val="none"/>
                <w:lang w:val="en-US" w:eastAsia="zh-CN"/>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0D26F1D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3A583C0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5140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2E71771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721E5CB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2F5F053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466B1E7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WEB安全综合实战课程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08ACCC3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1158917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207D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48551A1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62DC471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5944B43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3376933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Linux操作系统安全课程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2BF16F3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6E528E0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4563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2BB0EFD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16AF2A1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58077CE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3339DCC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入侵检测基础课程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180C49B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722B0E4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48E5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1876B9C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1AB97A7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487A764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44E4F06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网络安全技术基础课程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2A7F646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1D562C1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537E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4111E8D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168B056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4AF154C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5693C62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网络安全应急响应课程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4D518BC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5BD4327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02D3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06C99C1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1E8EE4A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6A80634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03B681F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逆向工程技术实战课程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3C75C22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74CA664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02FC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699CED0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546D3FA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5C54498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2D79160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企业网渗透测试课程</w:t>
            </w:r>
            <w:r>
              <w:rPr>
                <w:rFonts w:hint="eastAsia" w:ascii="宋体" w:hAnsi="宋体" w:cs="宋体"/>
                <w:b/>
                <w:bCs/>
                <w:color w:val="auto"/>
                <w:kern w:val="0"/>
                <w:sz w:val="24"/>
                <w:szCs w:val="24"/>
                <w:highlight w:val="none"/>
                <w:lang w:val="en-US" w:eastAsia="zh-CN"/>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1A8B97B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6C422CD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40F7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2B51D5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0AEDFE2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4B78538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2"/>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3A41098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密码学算法编程课程</w:t>
            </w:r>
            <w:r>
              <w:rPr>
                <w:rFonts w:hint="eastAsia" w:ascii="宋体" w:hAnsi="宋体" w:eastAsia="宋体" w:cs="宋体"/>
                <w:b w:val="0"/>
                <w:bCs w:val="0"/>
                <w:color w:val="auto"/>
                <w:kern w:val="0"/>
                <w:sz w:val="24"/>
                <w:szCs w:val="24"/>
                <w:highlight w:val="none"/>
              </w:rPr>
              <w:t>资源包</w:t>
            </w:r>
          </w:p>
        </w:tc>
        <w:tc>
          <w:tcPr>
            <w:tcW w:w="2155" w:type="dxa"/>
            <w:tcBorders>
              <w:top w:val="single" w:color="auto" w:sz="4" w:space="0"/>
              <w:left w:val="single" w:color="auto" w:sz="4" w:space="0"/>
              <w:bottom w:val="single" w:color="auto" w:sz="4" w:space="0"/>
              <w:right w:val="single" w:color="auto" w:sz="4" w:space="0"/>
            </w:tcBorders>
            <w:vAlign w:val="center"/>
          </w:tcPr>
          <w:p w14:paraId="2817B1C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4D3E72F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06C7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6DFD4D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042" w:type="dxa"/>
            <w:tcBorders>
              <w:top w:val="single" w:color="auto" w:sz="4" w:space="0"/>
              <w:left w:val="single" w:color="auto" w:sz="4" w:space="0"/>
              <w:right w:val="single" w:color="auto" w:sz="4" w:space="0"/>
            </w:tcBorders>
            <w:vAlign w:val="center"/>
          </w:tcPr>
          <w:p w14:paraId="6AEB692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(二)网络安全攻防竞技中心建设</w:t>
            </w:r>
          </w:p>
        </w:tc>
        <w:tc>
          <w:tcPr>
            <w:tcW w:w="1309" w:type="dxa"/>
            <w:tcBorders>
              <w:top w:val="single" w:color="auto" w:sz="4" w:space="0"/>
              <w:left w:val="single" w:color="auto" w:sz="4" w:space="0"/>
              <w:bottom w:val="single" w:color="auto" w:sz="4" w:space="0"/>
              <w:right w:val="single" w:color="auto" w:sz="4" w:space="0"/>
            </w:tcBorders>
            <w:vAlign w:val="center"/>
          </w:tcPr>
          <w:p w14:paraId="4024EB2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网络安全竞技系统</w:t>
            </w:r>
          </w:p>
        </w:tc>
        <w:tc>
          <w:tcPr>
            <w:tcW w:w="3627" w:type="dxa"/>
            <w:tcBorders>
              <w:top w:val="single" w:color="auto" w:sz="4" w:space="0"/>
              <w:left w:val="single" w:color="auto" w:sz="4" w:space="0"/>
              <w:bottom w:val="single" w:color="auto" w:sz="4" w:space="0"/>
              <w:right w:val="single" w:color="auto" w:sz="4" w:space="0"/>
            </w:tcBorders>
            <w:vAlign w:val="center"/>
          </w:tcPr>
          <w:p w14:paraId="3030FCC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提供账号、队伍、角色权限管理，并提供系统配置、审计日志、系统版本管理。</w:t>
            </w:r>
          </w:p>
          <w:p w14:paraId="4C12C10A">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系统提供竞赛创建、竞赛中管理、竞赛结果导出、题库管理、工具管理、竞赛展屏。可支撑个人赛、团体赛2种参赛方式；理论赛、解题赛、攻防赛3种竞赛形式，并配有1000道选择类题目。</w:t>
            </w:r>
          </w:p>
          <w:p w14:paraId="1465280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150道解题赛题目(题库包含CRYPTO、MISC、WEB、PWN、Revers方向)，20道攻防赛题目，并配有解题思路。</w:t>
            </w:r>
          </w:p>
          <w:p w14:paraId="4DB8811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可支撑用户自主刷题，查看解题思路，并统计训练人次、通过率、训练题目分类、题目占比等数据。</w:t>
            </w:r>
          </w:p>
        </w:tc>
        <w:tc>
          <w:tcPr>
            <w:tcW w:w="2155" w:type="dxa"/>
            <w:tcBorders>
              <w:top w:val="single" w:color="auto" w:sz="4" w:space="0"/>
              <w:left w:val="single" w:color="auto" w:sz="4" w:space="0"/>
              <w:bottom w:val="single" w:color="auto" w:sz="4" w:space="0"/>
              <w:right w:val="single" w:color="auto" w:sz="4" w:space="0"/>
            </w:tcBorders>
            <w:vAlign w:val="center"/>
          </w:tcPr>
          <w:p w14:paraId="2AAA2496">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25A472E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6479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right w:val="single" w:color="auto" w:sz="4" w:space="0"/>
            </w:tcBorders>
            <w:vAlign w:val="center"/>
          </w:tcPr>
          <w:p w14:paraId="6CD959B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042" w:type="dxa"/>
            <w:vMerge w:val="restart"/>
            <w:tcBorders>
              <w:top w:val="single" w:color="auto" w:sz="4" w:space="0"/>
              <w:left w:val="single" w:color="auto" w:sz="4" w:space="0"/>
              <w:right w:val="single" w:color="auto" w:sz="4" w:space="0"/>
            </w:tcBorders>
            <w:vAlign w:val="center"/>
          </w:tcPr>
          <w:p w14:paraId="7522851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(三)网络安全认证培训中心增补</w:t>
            </w:r>
          </w:p>
        </w:tc>
        <w:tc>
          <w:tcPr>
            <w:tcW w:w="1309" w:type="dxa"/>
            <w:vMerge w:val="restart"/>
            <w:tcBorders>
              <w:top w:val="single" w:color="auto" w:sz="4" w:space="0"/>
              <w:left w:val="single" w:color="auto" w:sz="4" w:space="0"/>
              <w:right w:val="single" w:color="auto" w:sz="4" w:space="0"/>
            </w:tcBorders>
            <w:vAlign w:val="center"/>
          </w:tcPr>
          <w:p w14:paraId="3C3B278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认证实训设备</w:t>
            </w:r>
          </w:p>
        </w:tc>
        <w:tc>
          <w:tcPr>
            <w:tcW w:w="3627" w:type="dxa"/>
            <w:tcBorders>
              <w:top w:val="single" w:color="auto" w:sz="4" w:space="0"/>
              <w:left w:val="single" w:color="auto" w:sz="4" w:space="0"/>
              <w:bottom w:val="single" w:color="auto" w:sz="4" w:space="0"/>
              <w:right w:val="single" w:color="auto" w:sz="4" w:space="0"/>
            </w:tcBorders>
          </w:tcPr>
          <w:p w14:paraId="1708CAB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边界防火墙认证模块</w:t>
            </w:r>
          </w:p>
        </w:tc>
        <w:tc>
          <w:tcPr>
            <w:tcW w:w="2155" w:type="dxa"/>
            <w:tcBorders>
              <w:top w:val="single" w:color="auto" w:sz="4" w:space="0"/>
              <w:left w:val="single" w:color="auto" w:sz="4" w:space="0"/>
              <w:bottom w:val="single" w:color="auto" w:sz="4" w:space="0"/>
              <w:right w:val="single" w:color="auto" w:sz="4" w:space="0"/>
            </w:tcBorders>
          </w:tcPr>
          <w:p w14:paraId="51C4413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649F236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w:t>
            </w:r>
          </w:p>
        </w:tc>
      </w:tr>
      <w:tr w14:paraId="6DE6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44ADE63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042" w:type="dxa"/>
            <w:vMerge w:val="continue"/>
            <w:tcBorders>
              <w:left w:val="single" w:color="auto" w:sz="4" w:space="0"/>
              <w:right w:val="single" w:color="auto" w:sz="4" w:space="0"/>
            </w:tcBorders>
            <w:vAlign w:val="center"/>
          </w:tcPr>
          <w:p w14:paraId="414E4DE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26DB5BD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tcPr>
          <w:p w14:paraId="0FF5E0F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上网行为管理认证模块</w:t>
            </w:r>
          </w:p>
        </w:tc>
        <w:tc>
          <w:tcPr>
            <w:tcW w:w="2155" w:type="dxa"/>
            <w:tcBorders>
              <w:top w:val="single" w:color="auto" w:sz="4" w:space="0"/>
              <w:left w:val="single" w:color="auto" w:sz="4" w:space="0"/>
              <w:bottom w:val="single" w:color="auto" w:sz="4" w:space="0"/>
              <w:right w:val="single" w:color="auto" w:sz="4" w:space="0"/>
            </w:tcBorders>
          </w:tcPr>
          <w:p w14:paraId="1C43FCA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0BB8578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w:t>
            </w:r>
          </w:p>
        </w:tc>
      </w:tr>
      <w:tr w14:paraId="11B9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461F368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042" w:type="dxa"/>
            <w:vMerge w:val="continue"/>
            <w:tcBorders>
              <w:left w:val="single" w:color="auto" w:sz="4" w:space="0"/>
              <w:right w:val="single" w:color="auto" w:sz="4" w:space="0"/>
            </w:tcBorders>
            <w:vAlign w:val="center"/>
          </w:tcPr>
          <w:p w14:paraId="61B10D2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6FA6336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tcPr>
          <w:p w14:paraId="68D85BA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IPS认证模块</w:t>
            </w:r>
          </w:p>
        </w:tc>
        <w:tc>
          <w:tcPr>
            <w:tcW w:w="2155" w:type="dxa"/>
            <w:tcBorders>
              <w:top w:val="single" w:color="auto" w:sz="4" w:space="0"/>
              <w:left w:val="single" w:color="auto" w:sz="4" w:space="0"/>
              <w:bottom w:val="single" w:color="auto" w:sz="4" w:space="0"/>
              <w:right w:val="single" w:color="auto" w:sz="4" w:space="0"/>
            </w:tcBorders>
          </w:tcPr>
          <w:p w14:paraId="41E67E1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2A4C101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w:t>
            </w:r>
          </w:p>
        </w:tc>
      </w:tr>
      <w:tr w14:paraId="1A10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0D2838A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042" w:type="dxa"/>
            <w:vMerge w:val="continue"/>
            <w:tcBorders>
              <w:left w:val="single" w:color="auto" w:sz="4" w:space="0"/>
              <w:right w:val="single" w:color="auto" w:sz="4" w:space="0"/>
            </w:tcBorders>
            <w:vAlign w:val="center"/>
          </w:tcPr>
          <w:p w14:paraId="24D02E3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2629920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tcPr>
          <w:p w14:paraId="23F84B3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WAF认证模块</w:t>
            </w:r>
          </w:p>
        </w:tc>
        <w:tc>
          <w:tcPr>
            <w:tcW w:w="2155" w:type="dxa"/>
            <w:tcBorders>
              <w:top w:val="single" w:color="auto" w:sz="4" w:space="0"/>
              <w:left w:val="single" w:color="auto" w:sz="4" w:space="0"/>
              <w:bottom w:val="single" w:color="auto" w:sz="4" w:space="0"/>
              <w:right w:val="single" w:color="auto" w:sz="4" w:space="0"/>
            </w:tcBorders>
          </w:tcPr>
          <w:p w14:paraId="6BB287A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08440B8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w:t>
            </w:r>
          </w:p>
        </w:tc>
      </w:tr>
      <w:tr w14:paraId="3386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23051A5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042" w:type="dxa"/>
            <w:vMerge w:val="continue"/>
            <w:tcBorders>
              <w:left w:val="single" w:color="auto" w:sz="4" w:space="0"/>
              <w:right w:val="single" w:color="auto" w:sz="4" w:space="0"/>
            </w:tcBorders>
            <w:vAlign w:val="center"/>
          </w:tcPr>
          <w:p w14:paraId="4DBFEC9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3121993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tcPr>
          <w:p w14:paraId="20DC6BB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日志审计系统认证模块</w:t>
            </w:r>
          </w:p>
        </w:tc>
        <w:tc>
          <w:tcPr>
            <w:tcW w:w="2155" w:type="dxa"/>
            <w:tcBorders>
              <w:top w:val="single" w:color="auto" w:sz="4" w:space="0"/>
              <w:left w:val="single" w:color="auto" w:sz="4" w:space="0"/>
              <w:bottom w:val="single" w:color="auto" w:sz="4" w:space="0"/>
              <w:right w:val="single" w:color="auto" w:sz="4" w:space="0"/>
            </w:tcBorders>
          </w:tcPr>
          <w:p w14:paraId="27A5EA3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2DDF152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14:paraId="0F03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1352F45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042" w:type="dxa"/>
            <w:vMerge w:val="continue"/>
            <w:tcBorders>
              <w:left w:val="single" w:color="auto" w:sz="4" w:space="0"/>
              <w:right w:val="single" w:color="auto" w:sz="4" w:space="0"/>
            </w:tcBorders>
            <w:vAlign w:val="center"/>
          </w:tcPr>
          <w:p w14:paraId="24F19C3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24624EC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tcPr>
          <w:p w14:paraId="46A9DD7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数据库审计系统认证模块</w:t>
            </w:r>
          </w:p>
        </w:tc>
        <w:tc>
          <w:tcPr>
            <w:tcW w:w="2155" w:type="dxa"/>
            <w:tcBorders>
              <w:top w:val="single" w:color="auto" w:sz="4" w:space="0"/>
              <w:left w:val="single" w:color="auto" w:sz="4" w:space="0"/>
              <w:bottom w:val="single" w:color="auto" w:sz="4" w:space="0"/>
              <w:right w:val="single" w:color="auto" w:sz="4" w:space="0"/>
            </w:tcBorders>
          </w:tcPr>
          <w:p w14:paraId="150DCE6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07A2080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14:paraId="43D4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4E70E2C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042" w:type="dxa"/>
            <w:vMerge w:val="continue"/>
            <w:tcBorders>
              <w:left w:val="single" w:color="auto" w:sz="4" w:space="0"/>
              <w:right w:val="single" w:color="auto" w:sz="4" w:space="0"/>
            </w:tcBorders>
            <w:vAlign w:val="center"/>
          </w:tcPr>
          <w:p w14:paraId="06B78CD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640E823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tcPr>
          <w:p w14:paraId="669826C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堡垒机认证模块</w:t>
            </w:r>
          </w:p>
        </w:tc>
        <w:tc>
          <w:tcPr>
            <w:tcW w:w="2155" w:type="dxa"/>
            <w:tcBorders>
              <w:top w:val="single" w:color="auto" w:sz="4" w:space="0"/>
              <w:left w:val="single" w:color="auto" w:sz="4" w:space="0"/>
              <w:bottom w:val="single" w:color="auto" w:sz="4" w:space="0"/>
              <w:right w:val="single" w:color="auto" w:sz="4" w:space="0"/>
            </w:tcBorders>
          </w:tcPr>
          <w:p w14:paraId="73F568C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1D59754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14:paraId="4C19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7BAFEDB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042" w:type="dxa"/>
            <w:vMerge w:val="continue"/>
            <w:tcBorders>
              <w:left w:val="single" w:color="auto" w:sz="4" w:space="0"/>
              <w:right w:val="single" w:color="auto" w:sz="4" w:space="0"/>
            </w:tcBorders>
            <w:vAlign w:val="center"/>
          </w:tcPr>
          <w:p w14:paraId="6F50879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4BC486F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tcPr>
          <w:p w14:paraId="4A4FEEE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态势感知认证模块</w:t>
            </w:r>
          </w:p>
        </w:tc>
        <w:tc>
          <w:tcPr>
            <w:tcW w:w="2155" w:type="dxa"/>
            <w:tcBorders>
              <w:top w:val="single" w:color="auto" w:sz="4" w:space="0"/>
              <w:left w:val="single" w:color="auto" w:sz="4" w:space="0"/>
              <w:bottom w:val="single" w:color="auto" w:sz="4" w:space="0"/>
              <w:right w:val="single" w:color="auto" w:sz="4" w:space="0"/>
            </w:tcBorders>
          </w:tcPr>
          <w:p w14:paraId="2726EBC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2CA7070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14:paraId="4786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584BCF0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26</w:t>
            </w:r>
          </w:p>
        </w:tc>
        <w:tc>
          <w:tcPr>
            <w:tcW w:w="1042" w:type="dxa"/>
            <w:vMerge w:val="continue"/>
            <w:tcBorders>
              <w:left w:val="single" w:color="auto" w:sz="4" w:space="0"/>
              <w:right w:val="single" w:color="auto" w:sz="4" w:space="0"/>
            </w:tcBorders>
            <w:vAlign w:val="center"/>
          </w:tcPr>
          <w:p w14:paraId="09CE513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1309" w:type="dxa"/>
            <w:vMerge w:val="continue"/>
            <w:tcBorders>
              <w:left w:val="single" w:color="auto" w:sz="4" w:space="0"/>
              <w:right w:val="single" w:color="auto" w:sz="4" w:space="0"/>
            </w:tcBorders>
            <w:vAlign w:val="center"/>
          </w:tcPr>
          <w:p w14:paraId="1A87030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3627" w:type="dxa"/>
            <w:tcBorders>
              <w:top w:val="single" w:color="auto" w:sz="4" w:space="0"/>
              <w:left w:val="single" w:color="auto" w:sz="4" w:space="0"/>
              <w:bottom w:val="single" w:color="auto" w:sz="4" w:space="0"/>
              <w:right w:val="single" w:color="auto" w:sz="4" w:space="0"/>
            </w:tcBorders>
            <w:vAlign w:val="center"/>
          </w:tcPr>
          <w:p w14:paraId="5766AD3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网络准入控制认证模块</w:t>
            </w:r>
          </w:p>
        </w:tc>
        <w:tc>
          <w:tcPr>
            <w:tcW w:w="2155" w:type="dxa"/>
            <w:tcBorders>
              <w:top w:val="single" w:color="auto" w:sz="4" w:space="0"/>
              <w:left w:val="single" w:color="auto" w:sz="4" w:space="0"/>
              <w:bottom w:val="single" w:color="auto" w:sz="4" w:space="0"/>
              <w:right w:val="single" w:color="auto" w:sz="4" w:space="0"/>
            </w:tcBorders>
            <w:vAlign w:val="center"/>
          </w:tcPr>
          <w:p w14:paraId="46CFDE5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45589C5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1套</w:t>
            </w:r>
          </w:p>
        </w:tc>
      </w:tr>
      <w:tr w14:paraId="4B3C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03E09BF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042" w:type="dxa"/>
            <w:vMerge w:val="continue"/>
            <w:tcBorders>
              <w:left w:val="single" w:color="auto" w:sz="4" w:space="0"/>
              <w:right w:val="single" w:color="auto" w:sz="4" w:space="0"/>
            </w:tcBorders>
            <w:vAlign w:val="center"/>
          </w:tcPr>
          <w:p w14:paraId="7BD2E3E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3B1D746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05D9E07D">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核心交换机</w:t>
            </w:r>
          </w:p>
        </w:tc>
        <w:tc>
          <w:tcPr>
            <w:tcW w:w="2155" w:type="dxa"/>
            <w:tcBorders>
              <w:top w:val="single" w:color="auto" w:sz="4" w:space="0"/>
              <w:left w:val="single" w:color="auto" w:sz="4" w:space="0"/>
              <w:bottom w:val="single" w:color="auto" w:sz="4" w:space="0"/>
              <w:right w:val="single" w:color="auto" w:sz="4" w:space="0"/>
            </w:tcBorders>
            <w:vAlign w:val="center"/>
          </w:tcPr>
          <w:p w14:paraId="0D35665C">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359CAA5B">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1台</w:t>
            </w:r>
          </w:p>
        </w:tc>
      </w:tr>
      <w:tr w14:paraId="4123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vAlign w:val="center"/>
          </w:tcPr>
          <w:p w14:paraId="55BBA49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042" w:type="dxa"/>
            <w:vMerge w:val="continue"/>
            <w:tcBorders>
              <w:left w:val="single" w:color="auto" w:sz="4" w:space="0"/>
              <w:right w:val="single" w:color="auto" w:sz="4" w:space="0"/>
            </w:tcBorders>
            <w:vAlign w:val="center"/>
          </w:tcPr>
          <w:p w14:paraId="3CC0D5C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right w:val="single" w:color="auto" w:sz="4" w:space="0"/>
            </w:tcBorders>
            <w:vAlign w:val="center"/>
          </w:tcPr>
          <w:p w14:paraId="6C1B331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03DC21D0">
            <w:pPr>
              <w:keepNext w:val="0"/>
              <w:keepLines w:val="0"/>
              <w:suppressLineNumbers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汇聚交换机</w:t>
            </w:r>
          </w:p>
        </w:tc>
        <w:tc>
          <w:tcPr>
            <w:tcW w:w="2155" w:type="dxa"/>
            <w:tcBorders>
              <w:top w:val="single" w:color="auto" w:sz="4" w:space="0"/>
              <w:left w:val="single" w:color="auto" w:sz="4" w:space="0"/>
              <w:bottom w:val="single" w:color="auto" w:sz="4" w:space="0"/>
              <w:right w:val="single" w:color="auto" w:sz="4" w:space="0"/>
            </w:tcBorders>
            <w:vAlign w:val="center"/>
          </w:tcPr>
          <w:p w14:paraId="6D360AA9">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520E4B07">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台</w:t>
            </w:r>
          </w:p>
        </w:tc>
      </w:tr>
      <w:tr w14:paraId="4BBD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bottom w:val="single" w:color="auto" w:sz="4" w:space="0"/>
              <w:right w:val="single" w:color="auto" w:sz="4" w:space="0"/>
            </w:tcBorders>
            <w:vAlign w:val="center"/>
          </w:tcPr>
          <w:p w14:paraId="4C21809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042" w:type="dxa"/>
            <w:vMerge w:val="continue"/>
            <w:tcBorders>
              <w:left w:val="single" w:color="auto" w:sz="4" w:space="0"/>
              <w:bottom w:val="single" w:color="auto" w:sz="4" w:space="0"/>
              <w:right w:val="single" w:color="auto" w:sz="4" w:space="0"/>
            </w:tcBorders>
            <w:vAlign w:val="center"/>
          </w:tcPr>
          <w:p w14:paraId="7726395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1309" w:type="dxa"/>
            <w:vMerge w:val="continue"/>
            <w:tcBorders>
              <w:left w:val="single" w:color="auto" w:sz="4" w:space="0"/>
              <w:bottom w:val="single" w:color="auto" w:sz="4" w:space="0"/>
              <w:right w:val="single" w:color="auto" w:sz="4" w:space="0"/>
            </w:tcBorders>
            <w:vAlign w:val="center"/>
          </w:tcPr>
          <w:p w14:paraId="4FEDB6D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6E8D6D4F">
            <w:pPr>
              <w:keepNext w:val="0"/>
              <w:keepLines w:val="0"/>
              <w:suppressLineNumbers w:val="0"/>
              <w:spacing w:before="0" w:beforeAutospacing="0" w:after="0" w:afterAutospacing="0" w:line="288" w:lineRule="auto"/>
              <w:ind w:left="0" w:right="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网络机柜</w:t>
            </w:r>
          </w:p>
        </w:tc>
        <w:tc>
          <w:tcPr>
            <w:tcW w:w="2155" w:type="dxa"/>
            <w:tcBorders>
              <w:top w:val="single" w:color="auto" w:sz="4" w:space="0"/>
              <w:left w:val="single" w:color="auto" w:sz="4" w:space="0"/>
              <w:bottom w:val="single" w:color="auto" w:sz="4" w:space="0"/>
              <w:right w:val="single" w:color="auto" w:sz="4" w:space="0"/>
            </w:tcBorders>
            <w:vAlign w:val="center"/>
          </w:tcPr>
          <w:p w14:paraId="4D5A2BD1">
            <w:pPr>
              <w:keepNext w:val="0"/>
              <w:keepLines w:val="0"/>
              <w:suppressLineNumbers w:val="0"/>
              <w:spacing w:before="0" w:beforeAutospacing="0" w:after="0" w:afterAutospacing="0" w:line="288"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详见技术需求参数</w:t>
            </w:r>
          </w:p>
        </w:tc>
        <w:tc>
          <w:tcPr>
            <w:tcW w:w="764" w:type="dxa"/>
            <w:tcBorders>
              <w:top w:val="single" w:color="auto" w:sz="4" w:space="0"/>
              <w:left w:val="single" w:color="auto" w:sz="4" w:space="0"/>
              <w:bottom w:val="single" w:color="auto" w:sz="4" w:space="0"/>
              <w:right w:val="single" w:color="auto" w:sz="4" w:space="0"/>
            </w:tcBorders>
            <w:vAlign w:val="center"/>
          </w:tcPr>
          <w:p w14:paraId="5A516235">
            <w:pPr>
              <w:keepNext w:val="0"/>
              <w:keepLines w:val="0"/>
              <w:suppressLineNumbers w:val="0"/>
              <w:spacing w:before="0" w:beforeAutospacing="0" w:after="0" w:afterAutospacing="0" w:line="288" w:lineRule="auto"/>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2个</w:t>
            </w:r>
          </w:p>
        </w:tc>
      </w:tr>
    </w:tbl>
    <w:p w14:paraId="5F5693EC">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val="en-US" w:eastAsia="zh-CN"/>
        </w:rPr>
      </w:pPr>
    </w:p>
    <w:p w14:paraId="529ED36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技术需求参数</w:t>
      </w:r>
    </w:p>
    <w:p w14:paraId="4A5FD86C">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(一)网络安全教学实训中心</w:t>
      </w:r>
    </w:p>
    <w:p w14:paraId="28A4225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建设子项</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highlight w:val="none"/>
        </w:rPr>
        <w:t>网络安全实训系统虚拟实验资源扩容</w:t>
      </w:r>
    </w:p>
    <w:p w14:paraId="56475F5B">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1.虚拟化防火墙</w:t>
      </w:r>
    </w:p>
    <w:tbl>
      <w:tblPr>
        <w:tblStyle w:val="47"/>
        <w:tblW w:w="5364" w:type="pct"/>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36"/>
        <w:gridCol w:w="7908"/>
      </w:tblGrid>
      <w:tr w14:paraId="2A52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99" w:type="pct"/>
            <w:shd w:val="clear" w:color="auto" w:fill="EEECE1" w:themeFill="background2"/>
            <w:vAlign w:val="center"/>
          </w:tcPr>
          <w:p w14:paraId="378463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533" w:type="pct"/>
            <w:shd w:val="clear" w:color="auto" w:fill="EEECE1" w:themeFill="background2"/>
            <w:vAlign w:val="center"/>
          </w:tcPr>
          <w:p w14:paraId="6C3418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w:t>
            </w:r>
          </w:p>
        </w:tc>
        <w:tc>
          <w:tcPr>
            <w:tcW w:w="4067" w:type="pct"/>
            <w:shd w:val="clear" w:color="auto" w:fill="EEECE1" w:themeFill="background2"/>
            <w:vAlign w:val="center"/>
          </w:tcPr>
          <w:p w14:paraId="47B8A5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44CA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9" w:type="pct"/>
            <w:vMerge w:val="restart"/>
            <w:shd w:val="clear" w:color="auto" w:fill="auto"/>
            <w:textDirection w:val="tbRlV"/>
            <w:vAlign w:val="center"/>
          </w:tcPr>
          <w:p w14:paraId="42AD5D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基础组网</w:t>
            </w:r>
          </w:p>
        </w:tc>
        <w:tc>
          <w:tcPr>
            <w:tcW w:w="533" w:type="pct"/>
            <w:shd w:val="clear" w:color="auto" w:fill="auto"/>
            <w:vAlign w:val="center"/>
          </w:tcPr>
          <w:p w14:paraId="36FE0FA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兼容性</w:t>
            </w:r>
          </w:p>
        </w:tc>
        <w:tc>
          <w:tcPr>
            <w:tcW w:w="4067" w:type="pct"/>
            <w:shd w:val="clear" w:color="auto" w:fill="auto"/>
            <w:vAlign w:val="center"/>
          </w:tcPr>
          <w:p w14:paraId="0A28406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采购的虚拟化防火墙实验模块要求与我院现有信息安全实训平台无缝对接，构建虚拟化的实验环境，打破物理安全设备的局限性，提高教学、实训上课效率，实现更高效真实的攻防实训、仿真测试的需要，开展防火墙技术及应用的相关课程。</w:t>
            </w:r>
            <w:r>
              <w:rPr>
                <w:rFonts w:hint="eastAsia" w:ascii="宋体" w:hAnsi="宋体" w:eastAsia="宋体" w:cs="宋体"/>
                <w:b/>
                <w:bCs/>
                <w:color w:val="auto"/>
                <w:kern w:val="0"/>
                <w:sz w:val="24"/>
                <w:szCs w:val="24"/>
                <w:highlight w:val="none"/>
              </w:rPr>
              <w:t>（投标时提供盖章承诺书）。</w:t>
            </w:r>
          </w:p>
        </w:tc>
      </w:tr>
      <w:tr w14:paraId="7356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99" w:type="pct"/>
            <w:vMerge w:val="continue"/>
            <w:shd w:val="clear" w:color="auto" w:fill="auto"/>
            <w:vAlign w:val="center"/>
          </w:tcPr>
          <w:p w14:paraId="7F1E7BB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38985B4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网络协议</w:t>
            </w:r>
          </w:p>
        </w:tc>
        <w:tc>
          <w:tcPr>
            <w:tcW w:w="4067" w:type="pct"/>
            <w:shd w:val="clear" w:color="auto" w:fill="auto"/>
            <w:vAlign w:val="center"/>
          </w:tcPr>
          <w:p w14:paraId="7D6F9AD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w:t>
            </w:r>
            <w:r>
              <w:rPr>
                <w:rFonts w:hint="eastAsia" w:ascii="宋体" w:hAnsi="宋体" w:eastAsia="宋体" w:cs="宋体"/>
                <w:b/>
                <w:bCs/>
                <w:color w:val="auto"/>
                <w:kern w:val="0"/>
                <w:sz w:val="24"/>
                <w:szCs w:val="24"/>
                <w:highlight w:val="none"/>
              </w:rPr>
              <w:t>（提供功能截图）</w:t>
            </w:r>
          </w:p>
        </w:tc>
      </w:tr>
      <w:tr w14:paraId="59CA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99" w:type="pct"/>
            <w:vMerge w:val="continue"/>
            <w:shd w:val="clear" w:color="auto" w:fill="auto"/>
            <w:vAlign w:val="center"/>
          </w:tcPr>
          <w:p w14:paraId="073BE88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057797C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742C8E9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所投产品必须支持MPLS流量透传；支持针对MPLS流量的安全审查，包括漏洞防护、反病毒、间谍软件防护、内容过滤、URL过滤、基于终端状态访问控制等安全防护功能； </w:t>
            </w:r>
          </w:p>
        </w:tc>
      </w:tr>
      <w:tr w14:paraId="2EE5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99" w:type="pct"/>
            <w:vMerge w:val="continue"/>
            <w:shd w:val="clear" w:color="auto" w:fill="auto"/>
            <w:vAlign w:val="center"/>
          </w:tcPr>
          <w:p w14:paraId="15A122C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1303FF2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路由协议</w:t>
            </w:r>
          </w:p>
        </w:tc>
        <w:tc>
          <w:tcPr>
            <w:tcW w:w="4067" w:type="pct"/>
            <w:shd w:val="clear" w:color="auto" w:fill="auto"/>
            <w:vAlign w:val="center"/>
          </w:tcPr>
          <w:p w14:paraId="7CE4345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所投产品必须支持支持静态路由、策略路由及动态路由。策略路由支持用户自定义其优先级，动态路由应至少支持RIP v1/v2/ng， OSPFv2/v3，BGP4/4+协议；必须支持静态和动态多播路由，动态多播路由必须支持PIM-SM（稀疏模式）</w:t>
            </w:r>
          </w:p>
        </w:tc>
      </w:tr>
      <w:tr w14:paraId="4712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399" w:type="pct"/>
            <w:vMerge w:val="continue"/>
            <w:shd w:val="clear" w:color="auto" w:fill="auto"/>
            <w:vAlign w:val="center"/>
          </w:tcPr>
          <w:p w14:paraId="1FB2632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02349AE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6699D30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w:t>
            </w:r>
          </w:p>
        </w:tc>
      </w:tr>
      <w:tr w14:paraId="6567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99" w:type="pct"/>
            <w:vMerge w:val="continue"/>
            <w:shd w:val="clear" w:color="auto" w:fill="auto"/>
            <w:vAlign w:val="center"/>
          </w:tcPr>
          <w:p w14:paraId="1C2F7C7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1FCEAB4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地址转换</w:t>
            </w:r>
          </w:p>
        </w:tc>
        <w:tc>
          <w:tcPr>
            <w:tcW w:w="4067" w:type="pct"/>
            <w:shd w:val="clear" w:color="auto" w:fill="auto"/>
            <w:vAlign w:val="center"/>
          </w:tcPr>
          <w:p w14:paraId="783A8B0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所投产品必须支持全面的NAT转换配置，包括一对一，一对多，多对一的源、目的地址转换，并至少支持FULL_CONE模式和SYMMETRIC模式</w:t>
            </w:r>
          </w:p>
        </w:tc>
      </w:tr>
      <w:tr w14:paraId="7D8F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99" w:type="pct"/>
            <w:vMerge w:val="continue"/>
            <w:shd w:val="clear" w:color="auto" w:fill="auto"/>
            <w:vAlign w:val="center"/>
          </w:tcPr>
          <w:p w14:paraId="4899019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63AEDB4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5691BA8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所投产品必须支持在会话的源、目的地址同为IPv4地址时，可将目的地址转换至指定服务器地址</w:t>
            </w:r>
          </w:p>
        </w:tc>
      </w:tr>
      <w:tr w14:paraId="1E0B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9" w:type="pct"/>
            <w:vMerge w:val="continue"/>
            <w:shd w:val="clear" w:color="auto" w:fill="auto"/>
            <w:vAlign w:val="center"/>
          </w:tcPr>
          <w:p w14:paraId="3729792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64F3717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43CE7CA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所投产品必须支持在源地址转换过程中，对SNAT（源地址转换）使用的地址池利用率进行监控，并在地址池利用率超过阈值时，通过SNMP Trap、邮件等方式告警。</w:t>
            </w:r>
            <w:r>
              <w:rPr>
                <w:rFonts w:hint="eastAsia" w:ascii="宋体" w:hAnsi="宋体" w:eastAsia="宋体" w:cs="宋体"/>
                <w:b/>
                <w:bCs/>
                <w:color w:val="auto"/>
                <w:kern w:val="0"/>
                <w:sz w:val="24"/>
                <w:szCs w:val="24"/>
                <w:highlight w:val="none"/>
              </w:rPr>
              <w:t>（提供功能截图）</w:t>
            </w:r>
          </w:p>
        </w:tc>
      </w:tr>
      <w:tr w14:paraId="0F0B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9" w:type="pct"/>
            <w:vMerge w:val="continue"/>
            <w:shd w:val="clear" w:color="auto" w:fill="auto"/>
            <w:vAlign w:val="center"/>
          </w:tcPr>
          <w:p w14:paraId="21AB4AE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4A1B674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DNS代理</w:t>
            </w:r>
          </w:p>
        </w:tc>
        <w:tc>
          <w:tcPr>
            <w:tcW w:w="4067" w:type="pct"/>
            <w:shd w:val="clear" w:color="auto" w:fill="auto"/>
            <w:vAlign w:val="center"/>
          </w:tcPr>
          <w:p w14:paraId="68A7F14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支持IPv4的DNS代理功能，即从指定的入接口或源ISP接收到的DNS解析请求</w:t>
            </w:r>
          </w:p>
        </w:tc>
      </w:tr>
      <w:tr w14:paraId="3519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99" w:type="pct"/>
            <w:vMerge w:val="continue"/>
            <w:shd w:val="clear" w:color="auto" w:fill="auto"/>
            <w:vAlign w:val="center"/>
          </w:tcPr>
          <w:p w14:paraId="6596DB4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47F2DFE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21E42EF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支持出站的DNS代理功能，支持在不更改内网终端设备DNS服务器地址设置的情况下，将DNS解析请求发送至指定的DNS服务器，并代理原DNS服务器返回解析结果</w:t>
            </w:r>
          </w:p>
        </w:tc>
      </w:tr>
      <w:tr w14:paraId="389A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99" w:type="pct"/>
            <w:vMerge w:val="continue"/>
            <w:shd w:val="clear" w:color="auto" w:fill="auto"/>
            <w:vAlign w:val="center"/>
          </w:tcPr>
          <w:p w14:paraId="5779133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471BC74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23F83C6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支持DDNS功能，支持Oray向日葵、Pubyun公云、Noip、Changeip提供的DDNS服务，将动态获取的IP地址映射为固定的域名 </w:t>
            </w:r>
          </w:p>
        </w:tc>
      </w:tr>
      <w:tr w14:paraId="004A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99" w:type="pct"/>
            <w:vMerge w:val="continue"/>
            <w:shd w:val="clear" w:color="auto" w:fill="auto"/>
            <w:vAlign w:val="center"/>
          </w:tcPr>
          <w:p w14:paraId="1625911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shd w:val="clear" w:color="auto" w:fill="auto"/>
            <w:vAlign w:val="center"/>
          </w:tcPr>
          <w:p w14:paraId="3F24BE7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高可靠性</w:t>
            </w:r>
          </w:p>
        </w:tc>
        <w:tc>
          <w:tcPr>
            <w:tcW w:w="4067" w:type="pct"/>
            <w:shd w:val="clear" w:color="auto" w:fill="auto"/>
            <w:vAlign w:val="center"/>
          </w:tcPr>
          <w:p w14:paraId="6502F44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w:t>
            </w:r>
          </w:p>
        </w:tc>
      </w:tr>
      <w:tr w14:paraId="6ACD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99" w:type="pct"/>
            <w:vMerge w:val="restart"/>
            <w:shd w:val="clear" w:color="auto" w:fill="auto"/>
            <w:textDirection w:val="tbRlV"/>
            <w:vAlign w:val="center"/>
          </w:tcPr>
          <w:p w14:paraId="1C4F2E7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访问控制</w:t>
            </w:r>
          </w:p>
        </w:tc>
        <w:tc>
          <w:tcPr>
            <w:tcW w:w="533" w:type="pct"/>
            <w:vMerge w:val="restart"/>
            <w:shd w:val="clear" w:color="auto" w:fill="auto"/>
            <w:vAlign w:val="center"/>
          </w:tcPr>
          <w:p w14:paraId="08F3077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w:t>
            </w:r>
            <w:r>
              <w:rPr>
                <w:rFonts w:hint="eastAsia" w:ascii="宋体" w:hAnsi="宋体" w:eastAsia="宋体" w:cs="宋体"/>
                <w:color w:val="auto"/>
                <w:kern w:val="0"/>
                <w:sz w:val="24"/>
                <w:szCs w:val="24"/>
                <w:highlight w:val="none"/>
              </w:rPr>
              <w:t>访问控制</w:t>
            </w:r>
          </w:p>
        </w:tc>
        <w:tc>
          <w:tcPr>
            <w:tcW w:w="4067" w:type="pct"/>
            <w:shd w:val="clear" w:color="auto" w:fill="auto"/>
            <w:vAlign w:val="center"/>
          </w:tcPr>
          <w:p w14:paraId="4EAD568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源安全域、目的安全域、源用户、源地址、源地区、目的地址、目的地区、服务、应用、隧道、时间、VLAN等多种方式进行访问控制。支持一种基于用户的安全访问控制的方法及装置的技术(投标时提供中国网络安全审查技术与认证中心或国家知识产权局或公安部第三研究所的相关证明文件)，并支持地理区域对象的导入以及重复策略的检查。</w:t>
            </w:r>
          </w:p>
        </w:tc>
      </w:tr>
      <w:tr w14:paraId="0BAF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99" w:type="pct"/>
            <w:vMerge w:val="continue"/>
            <w:shd w:val="clear" w:color="auto" w:fill="auto"/>
            <w:vAlign w:val="center"/>
          </w:tcPr>
          <w:p w14:paraId="3A64002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118225C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2DB547E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所投产品比如支持基于IPv4/v6地址、应用的会话限制，限制动作包每IP新建、每IP并发、所有IP新建、所有IP并发，且可以基于安全域指定限制方向。</w:t>
            </w:r>
          </w:p>
        </w:tc>
      </w:tr>
      <w:tr w14:paraId="10BF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99" w:type="pct"/>
            <w:vMerge w:val="continue"/>
            <w:shd w:val="clear" w:color="auto" w:fill="auto"/>
            <w:vAlign w:val="center"/>
          </w:tcPr>
          <w:p w14:paraId="4756726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51DAD80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应用识别与控制</w:t>
            </w:r>
          </w:p>
        </w:tc>
        <w:tc>
          <w:tcPr>
            <w:tcW w:w="4067" w:type="pct"/>
            <w:shd w:val="clear" w:color="auto" w:fill="auto"/>
            <w:vAlign w:val="center"/>
          </w:tcPr>
          <w:p w14:paraId="6207982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应用识别，应用特征库包含的应用数量（非应用协议的规则总数）大于200种，可深度识别每种应用的属性，为每种应用提供预定义的风险系数，并将应用基于类型、使用场景、数据传输、风险等级等特征分类</w:t>
            </w:r>
            <w:r>
              <w:rPr>
                <w:rFonts w:hint="eastAsia" w:ascii="宋体" w:hAnsi="宋体" w:eastAsia="宋体" w:cs="宋体"/>
                <w:b/>
                <w:bCs/>
                <w:color w:val="auto"/>
                <w:kern w:val="0"/>
                <w:sz w:val="24"/>
                <w:szCs w:val="24"/>
                <w:highlight w:val="none"/>
              </w:rPr>
              <w:t>（提供功能截图）</w:t>
            </w:r>
          </w:p>
        </w:tc>
      </w:tr>
      <w:tr w14:paraId="77D9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9" w:type="pct"/>
            <w:vMerge w:val="continue"/>
            <w:shd w:val="clear" w:color="auto" w:fill="auto"/>
            <w:vAlign w:val="center"/>
          </w:tcPr>
          <w:p w14:paraId="5144187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01D6C16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5AF077D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所投产品可直观展示不同风险等级的应用在1天（24小时）或一周（7天）内传输流量的绝对数值及占全网流量的百分比。</w:t>
            </w:r>
          </w:p>
        </w:tc>
      </w:tr>
      <w:tr w14:paraId="4B77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99" w:type="pct"/>
            <w:vMerge w:val="continue"/>
            <w:shd w:val="clear" w:color="auto" w:fill="auto"/>
            <w:vAlign w:val="center"/>
          </w:tcPr>
          <w:p w14:paraId="4050863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14AEB4C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用户识别与认证</w:t>
            </w:r>
          </w:p>
        </w:tc>
        <w:tc>
          <w:tcPr>
            <w:tcW w:w="4067" w:type="pct"/>
            <w:shd w:val="clear" w:color="auto" w:fill="auto"/>
            <w:vAlign w:val="center"/>
          </w:tcPr>
          <w:p w14:paraId="3B57333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所投产品必须支持基于用户的访问控制，可与LDAP/Radius/证书/Active Directory/TACACS+/POP3等用户认证系统联动</w:t>
            </w:r>
          </w:p>
        </w:tc>
      </w:tr>
      <w:tr w14:paraId="69B5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9" w:type="pct"/>
            <w:vMerge w:val="continue"/>
            <w:shd w:val="clear" w:color="auto" w:fill="auto"/>
            <w:vAlign w:val="center"/>
          </w:tcPr>
          <w:p w14:paraId="0FF15CF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1F36587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537FC97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所投产品必须支持802.1x认证，要求支持基于端口和MAC两种接入控制方式</w:t>
            </w:r>
          </w:p>
        </w:tc>
      </w:tr>
      <w:tr w14:paraId="63F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99" w:type="pct"/>
            <w:vMerge w:val="continue"/>
            <w:shd w:val="clear" w:color="auto" w:fill="auto"/>
            <w:vAlign w:val="center"/>
          </w:tcPr>
          <w:p w14:paraId="3BABCE6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shd w:val="clear" w:color="auto" w:fill="auto"/>
            <w:vAlign w:val="center"/>
          </w:tcPr>
          <w:p w14:paraId="3AD618A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邮件过滤</w:t>
            </w:r>
          </w:p>
        </w:tc>
        <w:tc>
          <w:tcPr>
            <w:tcW w:w="4067" w:type="pct"/>
            <w:shd w:val="clear" w:color="auto" w:fill="auto"/>
            <w:vAlign w:val="center"/>
          </w:tcPr>
          <w:p w14:paraId="51CCBAF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所投产品必须支持基于关键字的接收、发送或双向Email发件人、收件人过滤，并支持自定义RLB服务器地址配置，并可结合IP黑名单或白名单</w:t>
            </w:r>
          </w:p>
        </w:tc>
      </w:tr>
      <w:tr w14:paraId="21D9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99" w:type="pct"/>
            <w:vMerge w:val="continue"/>
            <w:shd w:val="clear" w:color="auto" w:fill="auto"/>
            <w:vAlign w:val="center"/>
          </w:tcPr>
          <w:p w14:paraId="1DB2387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080834A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文件过滤</w:t>
            </w:r>
          </w:p>
        </w:tc>
        <w:tc>
          <w:tcPr>
            <w:tcW w:w="4067" w:type="pct"/>
            <w:shd w:val="clear" w:color="auto" w:fill="auto"/>
            <w:vAlign w:val="center"/>
          </w:tcPr>
          <w:p w14:paraId="5EB52BD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所投产品必须支持对应用的文件传输行为进行上传、下载、双向的文件类型过滤，应用至少包含即时通讯、常用协议、文件共享、论坛、博客、网页邮件五种分类；</w:t>
            </w:r>
          </w:p>
        </w:tc>
      </w:tr>
      <w:tr w14:paraId="4C9B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399" w:type="pct"/>
            <w:vMerge w:val="continue"/>
            <w:shd w:val="clear" w:color="auto" w:fill="auto"/>
            <w:vAlign w:val="center"/>
          </w:tcPr>
          <w:p w14:paraId="496A557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022527F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2E96A2D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上传、下载、双向的文件内容过滤；内容过滤支持手工及文件批量导入两种方式进行敏感信息定义；内容过滤至少支持html、doc、docx、xls、xlsx、ppt、pptx、chm、7z等30种常见文件类型；文件类型识别基于文件特征而非扩展名，更改文件扩展名后仍可有效识别</w:t>
            </w:r>
          </w:p>
        </w:tc>
      </w:tr>
      <w:tr w14:paraId="7ACD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99" w:type="pct"/>
            <w:vMerge w:val="continue"/>
            <w:shd w:val="clear" w:color="auto" w:fill="auto"/>
            <w:vAlign w:val="center"/>
          </w:tcPr>
          <w:p w14:paraId="6D9CD36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shd w:val="clear" w:color="auto" w:fill="auto"/>
            <w:vAlign w:val="center"/>
          </w:tcPr>
          <w:p w14:paraId="15B948B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流量管理</w:t>
            </w:r>
          </w:p>
        </w:tc>
        <w:tc>
          <w:tcPr>
            <w:tcW w:w="4067" w:type="pct"/>
            <w:shd w:val="clear" w:color="auto" w:fill="auto"/>
            <w:vAlign w:val="center"/>
          </w:tcPr>
          <w:p w14:paraId="6069085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所投产品必须支持多调度类相互嵌套最大5级的带宽管理设置。支持设置每IP最大或最小带宽，支持对每IP进行带宽配额管理，可通过优先级实现多应用的差分服务。</w:t>
            </w:r>
          </w:p>
        </w:tc>
      </w:tr>
      <w:tr w14:paraId="6486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99" w:type="pct"/>
            <w:vMerge w:val="restart"/>
            <w:shd w:val="clear" w:color="auto" w:fill="auto"/>
            <w:textDirection w:val="tbRlV"/>
            <w:vAlign w:val="center"/>
          </w:tcPr>
          <w:p w14:paraId="7AB274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攻击防护</w:t>
            </w:r>
          </w:p>
        </w:tc>
        <w:tc>
          <w:tcPr>
            <w:tcW w:w="533" w:type="pct"/>
            <w:vMerge w:val="restart"/>
            <w:shd w:val="clear" w:color="auto" w:fill="auto"/>
            <w:vAlign w:val="center"/>
          </w:tcPr>
          <w:p w14:paraId="7FCD4E2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网络攻击防护</w:t>
            </w:r>
          </w:p>
        </w:tc>
        <w:tc>
          <w:tcPr>
            <w:tcW w:w="4067" w:type="pct"/>
            <w:shd w:val="clear" w:color="auto" w:fill="auto"/>
            <w:vAlign w:val="center"/>
          </w:tcPr>
          <w:p w14:paraId="4EECE8E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所投产品必须支持基于不同安全区域防御SYN Flood、UDP  Flood、ICMP  Flood、IP  Flood、DNS Flood、HTTP Flood攻击，并支持警告、丢弃、普通防护、增强防护、授权服务器防护等多种防护措施</w:t>
            </w:r>
            <w:r>
              <w:rPr>
                <w:rFonts w:hint="eastAsia" w:ascii="宋体" w:hAnsi="宋体" w:eastAsia="宋体" w:cs="宋体"/>
                <w:b/>
                <w:bCs/>
                <w:color w:val="auto"/>
                <w:kern w:val="0"/>
                <w:sz w:val="24"/>
                <w:szCs w:val="24"/>
                <w:highlight w:val="none"/>
              </w:rPr>
              <w:t>（提供功能截图）</w:t>
            </w:r>
          </w:p>
        </w:tc>
      </w:tr>
      <w:tr w14:paraId="56F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9" w:type="pct"/>
            <w:vMerge w:val="continue"/>
            <w:shd w:val="clear" w:color="auto" w:fill="auto"/>
            <w:vAlign w:val="center"/>
          </w:tcPr>
          <w:p w14:paraId="4DFB48A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121638D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3CC0497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所投产品必须支持可配置阈值的基于安全域或基于二层接口局域网广播防护，防止局域网内广播和多播数据包泛滥</w:t>
            </w:r>
          </w:p>
        </w:tc>
      </w:tr>
      <w:tr w14:paraId="50C0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9" w:type="pct"/>
            <w:vMerge w:val="continue"/>
            <w:shd w:val="clear" w:color="auto" w:fill="auto"/>
            <w:vAlign w:val="center"/>
          </w:tcPr>
          <w:p w14:paraId="6CEC9D3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179C5E5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2D00802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所投产品必须支持DHCP协议防护；支持手动定义可信DHCP服务器IPv4和基于阈值限制DHCP请求传输速率</w:t>
            </w:r>
          </w:p>
        </w:tc>
      </w:tr>
      <w:tr w14:paraId="4662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399" w:type="pct"/>
            <w:vMerge w:val="continue"/>
            <w:shd w:val="clear" w:color="auto" w:fill="auto"/>
            <w:vAlign w:val="center"/>
          </w:tcPr>
          <w:p w14:paraId="7D6816D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282F372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5FC1A78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所投产品必须支持基于安全区域的异常包攻击防御，异常包攻击类型至少包括Ping of Death、Teardrop、IP选项、TCP异常、Smurf、Fraggle、Land、Winnuke、DNS异常、IP分片等；并可在设备页面显示每种攻击类型的丢包统计结果</w:t>
            </w:r>
          </w:p>
        </w:tc>
      </w:tr>
      <w:tr w14:paraId="663A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9" w:type="pct"/>
            <w:vMerge w:val="continue"/>
            <w:shd w:val="clear" w:color="auto" w:fill="auto"/>
            <w:vAlign w:val="center"/>
          </w:tcPr>
          <w:p w14:paraId="3F28A52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2A702F3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306E0F2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所投产品必须支持防御基于安全域的IP地址欺骗攻击，指定IP或网段必须从特定安全域流入</w:t>
            </w:r>
          </w:p>
        </w:tc>
      </w:tr>
      <w:tr w14:paraId="03B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9" w:type="pct"/>
            <w:vMerge w:val="continue"/>
            <w:shd w:val="clear" w:color="auto" w:fill="auto"/>
            <w:vAlign w:val="center"/>
          </w:tcPr>
          <w:p w14:paraId="142C3C9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743711A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病毒防护</w:t>
            </w:r>
          </w:p>
        </w:tc>
        <w:tc>
          <w:tcPr>
            <w:tcW w:w="4067" w:type="pct"/>
            <w:shd w:val="clear" w:color="auto" w:fill="auto"/>
            <w:vAlign w:val="center"/>
          </w:tcPr>
          <w:p w14:paraId="6BD97CE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所投产品必须能够对HTTP/FTP/POP3/SMTP/IMAP/SMB六种协议进行病毒查杀； </w:t>
            </w:r>
          </w:p>
        </w:tc>
      </w:tr>
      <w:tr w14:paraId="4365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99" w:type="pct"/>
            <w:vMerge w:val="continue"/>
            <w:shd w:val="clear" w:color="auto" w:fill="auto"/>
            <w:vAlign w:val="center"/>
          </w:tcPr>
          <w:p w14:paraId="2C9640F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690EFC7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016D119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所投产品必须支持对最多6级的压缩文件进行解压查杀</w:t>
            </w:r>
          </w:p>
        </w:tc>
      </w:tr>
      <w:tr w14:paraId="2CE9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9" w:type="pct"/>
            <w:vMerge w:val="continue"/>
            <w:shd w:val="clear" w:color="auto" w:fill="auto"/>
            <w:vAlign w:val="center"/>
          </w:tcPr>
          <w:p w14:paraId="45B98E0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647B306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6EFA8E2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所投产品必须支持基于MD5的自定义病毒签名；支持设置例外特征，对特定的病毒特征不进行查杀</w:t>
            </w:r>
            <w:r>
              <w:rPr>
                <w:rFonts w:hint="eastAsia" w:ascii="宋体" w:hAnsi="宋体" w:eastAsia="宋体" w:cs="宋体"/>
                <w:b/>
                <w:bCs/>
                <w:color w:val="auto"/>
                <w:kern w:val="0"/>
                <w:sz w:val="24"/>
                <w:szCs w:val="24"/>
                <w:highlight w:val="none"/>
              </w:rPr>
              <w:t>（提供功能截图）</w:t>
            </w:r>
          </w:p>
        </w:tc>
      </w:tr>
      <w:tr w14:paraId="5F0F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9" w:type="pct"/>
            <w:vMerge w:val="continue"/>
            <w:shd w:val="clear" w:color="auto" w:fill="auto"/>
            <w:vAlign w:val="center"/>
          </w:tcPr>
          <w:p w14:paraId="647FB4B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0ED652E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入侵防御</w:t>
            </w:r>
          </w:p>
        </w:tc>
        <w:tc>
          <w:tcPr>
            <w:tcW w:w="4067" w:type="pct"/>
            <w:shd w:val="clear" w:color="auto" w:fill="auto"/>
            <w:vAlign w:val="center"/>
          </w:tcPr>
          <w:p w14:paraId="2B7E06C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w:t>
            </w:r>
            <w:r>
              <w:rPr>
                <w:rFonts w:hint="eastAsia" w:ascii="宋体" w:hAnsi="宋体" w:eastAsia="宋体" w:cs="宋体"/>
                <w:b/>
                <w:bCs/>
                <w:color w:val="auto"/>
                <w:kern w:val="0"/>
                <w:sz w:val="24"/>
                <w:szCs w:val="24"/>
                <w:highlight w:val="none"/>
              </w:rPr>
              <w:t>（提供功能截图）</w:t>
            </w:r>
          </w:p>
        </w:tc>
      </w:tr>
      <w:tr w14:paraId="4E0A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99" w:type="pct"/>
            <w:vMerge w:val="continue"/>
            <w:shd w:val="clear" w:color="auto" w:fill="auto"/>
            <w:vAlign w:val="center"/>
          </w:tcPr>
          <w:p w14:paraId="29216E2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2B5AE02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6B65236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所投产品必须支持间谍软件防护功能，同时将间谍软件特征库分类，至少包括木马后门、病毒蠕虫、僵尸网络等三种分类; </w:t>
            </w:r>
          </w:p>
        </w:tc>
      </w:tr>
      <w:tr w14:paraId="7402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99" w:type="pct"/>
            <w:vMerge w:val="continue"/>
            <w:shd w:val="clear" w:color="auto" w:fill="auto"/>
            <w:vAlign w:val="center"/>
          </w:tcPr>
          <w:p w14:paraId="23E7142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2F89F99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01DDE71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自定义TCP、UDP、HTTP协议的漏洞特征，漏洞特征可通过多个字段以文本或正则表达式的形式进行有序和无序匹配，并可自定义漏洞的源、目的端口范围；同时可标识自定义漏洞的CVE编号或CNNVD编号。支持一种网络入侵行为检测系统及检测方法</w:t>
            </w:r>
            <w:r>
              <w:rPr>
                <w:rFonts w:hint="eastAsia" w:ascii="宋体" w:hAnsi="宋体" w:eastAsia="宋体" w:cs="宋体"/>
                <w:b/>
                <w:bCs/>
                <w:color w:val="auto"/>
                <w:kern w:val="0"/>
                <w:sz w:val="24"/>
                <w:szCs w:val="24"/>
                <w:highlight w:val="none"/>
              </w:rPr>
              <w:t>(投标时提供中国网络安全审查技术与认证中心或国家知识产权局或公安部第三研究所的相关证明文件)。</w:t>
            </w:r>
          </w:p>
        </w:tc>
      </w:tr>
      <w:tr w14:paraId="6376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99" w:type="pct"/>
            <w:vMerge w:val="continue"/>
            <w:shd w:val="clear" w:color="auto" w:fill="auto"/>
            <w:vAlign w:val="center"/>
          </w:tcPr>
          <w:p w14:paraId="64EED45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50B1980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00B8276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所投产品必须支持自定义基于TCP、UDP、HTTP协议的间谍软件特征。间谍软件特征可通过多个字段以文本或正则表达式的形式进行有序和无序匹配；并可自定义间谍软件的源、目的端口范围</w:t>
            </w:r>
            <w:r>
              <w:rPr>
                <w:rFonts w:hint="eastAsia" w:ascii="宋体" w:hAnsi="宋体" w:eastAsia="宋体" w:cs="宋体"/>
                <w:b/>
                <w:bCs/>
                <w:color w:val="auto"/>
                <w:kern w:val="0"/>
                <w:sz w:val="24"/>
                <w:szCs w:val="24"/>
                <w:highlight w:val="none"/>
              </w:rPr>
              <w:t>（提供功能截图）</w:t>
            </w:r>
          </w:p>
        </w:tc>
      </w:tr>
      <w:tr w14:paraId="75EA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99" w:type="pct"/>
            <w:shd w:val="clear" w:color="auto" w:fill="auto"/>
            <w:vAlign w:val="center"/>
          </w:tcPr>
          <w:p w14:paraId="294CBB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VPN</w:t>
            </w:r>
          </w:p>
        </w:tc>
        <w:tc>
          <w:tcPr>
            <w:tcW w:w="533" w:type="pct"/>
            <w:shd w:val="clear" w:color="auto" w:fill="auto"/>
            <w:vAlign w:val="center"/>
          </w:tcPr>
          <w:p w14:paraId="6EC60A6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IPSecVPN</w:t>
            </w:r>
          </w:p>
        </w:tc>
        <w:tc>
          <w:tcPr>
            <w:tcW w:w="4067" w:type="pct"/>
            <w:shd w:val="clear" w:color="auto" w:fill="auto"/>
            <w:vAlign w:val="center"/>
          </w:tcPr>
          <w:p w14:paraId="4DF87D4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所投产品必须支持支持IPSec VPN功能，支持基于主模式（Main Mode）、积极模式（Aggressive Mode）、国密三种协商模式建立的网关-网关加密隧道； </w:t>
            </w:r>
          </w:p>
        </w:tc>
      </w:tr>
      <w:tr w14:paraId="090A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99" w:type="pct"/>
            <w:vMerge w:val="restart"/>
            <w:shd w:val="clear" w:color="auto" w:fill="auto"/>
            <w:textDirection w:val="tbRlV"/>
            <w:vAlign w:val="center"/>
          </w:tcPr>
          <w:p w14:paraId="6AD5DD6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安全管理</w:t>
            </w:r>
          </w:p>
        </w:tc>
        <w:tc>
          <w:tcPr>
            <w:tcW w:w="533" w:type="pct"/>
            <w:vMerge w:val="restart"/>
            <w:shd w:val="clear" w:color="auto" w:fill="auto"/>
            <w:vAlign w:val="center"/>
          </w:tcPr>
          <w:p w14:paraId="3299AC7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网络异常感知</w:t>
            </w:r>
          </w:p>
        </w:tc>
        <w:tc>
          <w:tcPr>
            <w:tcW w:w="4067" w:type="pct"/>
            <w:shd w:val="clear" w:color="auto" w:fill="auto"/>
            <w:vAlign w:val="center"/>
          </w:tcPr>
          <w:p w14:paraId="4D900EC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所投产品必须支持基于主机或威胁情报视图，统计网络中确认被入侵、攻破的主机数量，至少可查看被入侵、攻破的时间、威胁类别、情报来源、威胁简介、被入侵、攻破的主机IP、用户名、资产等信息。</w:t>
            </w:r>
          </w:p>
        </w:tc>
      </w:tr>
      <w:tr w14:paraId="21FA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9" w:type="pct"/>
            <w:vMerge w:val="continue"/>
            <w:shd w:val="clear" w:color="auto" w:fill="auto"/>
            <w:vAlign w:val="center"/>
          </w:tcPr>
          <w:p w14:paraId="03D4A33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1583E9A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6D6C2CF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用户自定义重点URL分类和应用，并可基于定义的重点关注对象进行用户维度关联，并结合分析中心进行基于关联的用户/地址、URL分类、应用进行二次递进式深度分析，挖掘异常用户及异常网络行为。</w:t>
            </w:r>
          </w:p>
        </w:tc>
      </w:tr>
      <w:tr w14:paraId="7A24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Merge w:val="continue"/>
            <w:shd w:val="clear" w:color="auto" w:fill="auto"/>
            <w:vAlign w:val="center"/>
          </w:tcPr>
          <w:p w14:paraId="57DD471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78A53EE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策略与处置</w:t>
            </w:r>
          </w:p>
        </w:tc>
        <w:tc>
          <w:tcPr>
            <w:tcW w:w="4067" w:type="pct"/>
            <w:shd w:val="clear" w:color="auto" w:fill="auto"/>
            <w:vAlign w:val="center"/>
          </w:tcPr>
          <w:p w14:paraId="59AEDEB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所投设备可在单条策略中启用病毒防护、入侵防御、网址过滤、文件过滤、文件内容过滤、终端过滤等安全功能选项。</w:t>
            </w:r>
            <w:r>
              <w:rPr>
                <w:rFonts w:hint="eastAsia" w:ascii="宋体" w:hAnsi="宋体" w:eastAsia="宋体" w:cs="宋体"/>
                <w:b/>
                <w:bCs/>
                <w:color w:val="auto"/>
                <w:kern w:val="0"/>
                <w:sz w:val="24"/>
                <w:szCs w:val="24"/>
                <w:highlight w:val="none"/>
              </w:rPr>
              <w:t>（提供功能截图）</w:t>
            </w:r>
          </w:p>
        </w:tc>
      </w:tr>
      <w:tr w14:paraId="2A18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99" w:type="pct"/>
            <w:vMerge w:val="continue"/>
            <w:shd w:val="clear" w:color="auto" w:fill="auto"/>
            <w:vAlign w:val="center"/>
          </w:tcPr>
          <w:p w14:paraId="006B6AD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462F94D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6F45F3F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所投设备必须支持安全策略的快速检索及基于名称、地址、端口、协议多维度的高级策略检索，支持策略的复制、调序、查询</w:t>
            </w:r>
          </w:p>
        </w:tc>
      </w:tr>
      <w:tr w14:paraId="3B3B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99" w:type="pct"/>
            <w:vMerge w:val="continue"/>
            <w:shd w:val="clear" w:color="auto" w:fill="auto"/>
            <w:vAlign w:val="center"/>
          </w:tcPr>
          <w:p w14:paraId="6072DD7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4339BA3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1DD432E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所投产品必须支持接收针对突发重大安全事件的“应急响应消息”，并至少在界面显示安全事件名称、类型、当前防护状态、处置状态以及相应的操作等信息</w:t>
            </w:r>
            <w:r>
              <w:rPr>
                <w:rFonts w:hint="eastAsia" w:ascii="宋体" w:hAnsi="宋体" w:eastAsia="宋体" w:cs="宋体"/>
                <w:b/>
                <w:bCs/>
                <w:color w:val="auto"/>
                <w:kern w:val="0"/>
                <w:sz w:val="24"/>
                <w:szCs w:val="24"/>
                <w:highlight w:val="none"/>
              </w:rPr>
              <w:t>（提供功能截图）</w:t>
            </w:r>
          </w:p>
        </w:tc>
      </w:tr>
      <w:tr w14:paraId="2B37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99" w:type="pct"/>
            <w:vMerge w:val="continue"/>
            <w:shd w:val="clear" w:color="auto" w:fill="auto"/>
            <w:vAlign w:val="center"/>
          </w:tcPr>
          <w:p w14:paraId="6C93888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restart"/>
            <w:shd w:val="clear" w:color="auto" w:fill="auto"/>
            <w:vAlign w:val="center"/>
          </w:tcPr>
          <w:p w14:paraId="7AFB219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运维管理</w:t>
            </w:r>
          </w:p>
        </w:tc>
        <w:tc>
          <w:tcPr>
            <w:tcW w:w="4067" w:type="pct"/>
            <w:shd w:val="clear" w:color="auto" w:fill="auto"/>
            <w:vAlign w:val="center"/>
          </w:tcPr>
          <w:p w14:paraId="4B2DC11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所投产品必须支持双系统备份，且在系统切换中可实现配置的自动迁移；可记录不同时间点的历史配置文件。</w:t>
            </w:r>
            <w:r>
              <w:rPr>
                <w:rFonts w:hint="eastAsia" w:ascii="宋体" w:hAnsi="宋体" w:eastAsia="宋体" w:cs="宋体"/>
                <w:b/>
                <w:bCs/>
                <w:color w:val="auto"/>
                <w:kern w:val="0"/>
                <w:sz w:val="24"/>
                <w:szCs w:val="24"/>
                <w:highlight w:val="none"/>
              </w:rPr>
              <w:t>（提供历史配置文件＞2个设备截图）</w:t>
            </w:r>
          </w:p>
        </w:tc>
      </w:tr>
      <w:tr w14:paraId="6B76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99" w:type="pct"/>
            <w:vMerge w:val="continue"/>
            <w:shd w:val="clear" w:color="auto" w:fill="auto"/>
            <w:vAlign w:val="center"/>
          </w:tcPr>
          <w:p w14:paraId="1A94221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0F1147B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36B8FB9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所投产品必须支持三权分立管理 ，权限设置至少包括全部权限，仅具有策略变更权限和仅具有日志审计权限、仅具有账户配置权限、虚系统配置管理权限以及虚系统审计权限；并支持以读写、只读、无权限的方式自定义权限管理，权限管理的范围至少包括策略配置、对象配置、网络配置、系统配置、统计分析、威胁处置等</w:t>
            </w:r>
          </w:p>
        </w:tc>
      </w:tr>
      <w:tr w14:paraId="0045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99" w:type="pct"/>
            <w:vMerge w:val="continue"/>
            <w:shd w:val="clear" w:color="auto" w:fill="auto"/>
            <w:vAlign w:val="center"/>
          </w:tcPr>
          <w:p w14:paraId="67C84BC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447C23C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2A1BBA1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所投产品必须支持将告警信息以SNMP Trap、邮件、声音、短信等形式通知管理员，告警信息的范围至少包括配置变更、病毒事件、攻击事件、异常事件、CPU利用率、内存利用率、硬盘利用率、接口带宽利用率、NAT端口池利用率等；</w:t>
            </w:r>
            <w:r>
              <w:rPr>
                <w:rFonts w:hint="eastAsia" w:ascii="宋体" w:hAnsi="宋体" w:eastAsia="宋体" w:cs="宋体"/>
                <w:b/>
                <w:bCs/>
                <w:color w:val="auto"/>
                <w:kern w:val="0"/>
                <w:sz w:val="24"/>
                <w:szCs w:val="24"/>
                <w:highlight w:val="none"/>
              </w:rPr>
              <w:t>（提供功能截图）</w:t>
            </w:r>
          </w:p>
        </w:tc>
      </w:tr>
      <w:tr w14:paraId="4BDE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99" w:type="pct"/>
            <w:vMerge w:val="continue"/>
            <w:shd w:val="clear" w:color="auto" w:fill="auto"/>
            <w:vAlign w:val="center"/>
          </w:tcPr>
          <w:p w14:paraId="4D870FF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vMerge w:val="continue"/>
            <w:shd w:val="clear" w:color="auto" w:fill="auto"/>
            <w:vAlign w:val="center"/>
          </w:tcPr>
          <w:p w14:paraId="61F67BF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067" w:type="pct"/>
            <w:shd w:val="clear" w:color="auto" w:fill="auto"/>
            <w:vAlign w:val="center"/>
          </w:tcPr>
          <w:p w14:paraId="1ADB7A1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将不同设备模块产生的不同重要性的日志发送至不同的日志服务器，设备模块至少包括流量、URL过滤、内容过滤、邮件过滤、行为、威胁等，重要性等级至少包括紧急、警报、严重、错误、告警、通知、信息、调试八种。</w:t>
            </w:r>
          </w:p>
        </w:tc>
      </w:tr>
      <w:tr w14:paraId="0EDB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99" w:type="pct"/>
            <w:vMerge w:val="continue"/>
            <w:shd w:val="clear" w:color="auto" w:fill="auto"/>
            <w:vAlign w:val="center"/>
          </w:tcPr>
          <w:p w14:paraId="1AD4468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33" w:type="pct"/>
            <w:shd w:val="clear" w:color="auto" w:fill="auto"/>
            <w:vAlign w:val="center"/>
          </w:tcPr>
          <w:p w14:paraId="0993973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课程资源</w:t>
            </w:r>
          </w:p>
        </w:tc>
        <w:tc>
          <w:tcPr>
            <w:tcW w:w="4067" w:type="pct"/>
            <w:shd w:val="clear" w:color="auto" w:fill="auto"/>
            <w:vAlign w:val="center"/>
          </w:tcPr>
          <w:p w14:paraId="67A6F3E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技术与应用》课程资源需包含课程大纲、教学ppt、实验指导书、实训实验等丰富的教学及实操资源，可满足学校一个学期的理论和实验教学需求。以虚拟化防火墙系统为教学基准，主要介绍防火墙的基本知识、结构、配置方法。通过本课程能够学习防火墙系统的部署运维等。</w:t>
            </w:r>
          </w:p>
        </w:tc>
      </w:tr>
      <w:tr w14:paraId="733B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32" w:type="pct"/>
            <w:gridSpan w:val="2"/>
            <w:shd w:val="clear" w:color="auto" w:fill="auto"/>
            <w:vAlign w:val="center"/>
          </w:tcPr>
          <w:p w14:paraId="196AB04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教程编写能力</w:t>
            </w:r>
          </w:p>
        </w:tc>
        <w:tc>
          <w:tcPr>
            <w:tcW w:w="4067" w:type="pct"/>
            <w:shd w:val="clear" w:color="auto" w:fill="auto"/>
            <w:vAlign w:val="center"/>
          </w:tcPr>
          <w:p w14:paraId="399FFFB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为保证平台能够与教学深度融合，投标人所投品牌的厂商需具备网络安全教材编写能力，并通过正规出版社出版发行，需提供正式发行的书号。</w:t>
            </w:r>
          </w:p>
        </w:tc>
      </w:tr>
    </w:tbl>
    <w:p w14:paraId="22C86363">
      <w:pPr>
        <w:keepNext/>
        <w:keepLines/>
        <w:widowControl w:val="0"/>
        <w:numPr>
          <w:ilvl w:val="3"/>
          <w:numId w:val="0"/>
        </w:numPr>
        <w:spacing w:before="280" w:after="290" w:line="240" w:lineRule="auto"/>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2.虚拟化上网行为管理</w:t>
      </w:r>
    </w:p>
    <w:tbl>
      <w:tblPr>
        <w:tblStyle w:val="47"/>
        <w:tblW w:w="5358" w:type="pct"/>
        <w:tblInd w:w="-281" w:type="dxa"/>
        <w:tblLayout w:type="autofit"/>
        <w:tblCellMar>
          <w:top w:w="0" w:type="dxa"/>
          <w:left w:w="108" w:type="dxa"/>
          <w:bottom w:w="0" w:type="dxa"/>
          <w:right w:w="108" w:type="dxa"/>
        </w:tblCellMar>
      </w:tblPr>
      <w:tblGrid>
        <w:gridCol w:w="1116"/>
        <w:gridCol w:w="507"/>
        <w:gridCol w:w="1352"/>
        <w:gridCol w:w="6734"/>
      </w:tblGrid>
      <w:tr w14:paraId="2608C057">
        <w:tblPrEx>
          <w:tblCellMar>
            <w:top w:w="0" w:type="dxa"/>
            <w:left w:w="108" w:type="dxa"/>
            <w:bottom w:w="0" w:type="dxa"/>
            <w:right w:w="108" w:type="dxa"/>
          </w:tblCellMar>
        </w:tblPrEx>
        <w:trPr>
          <w:trHeight w:val="439" w:hRule="atLeast"/>
        </w:trPr>
        <w:tc>
          <w:tcPr>
            <w:tcW w:w="575"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704EB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指标项</w:t>
            </w:r>
          </w:p>
        </w:tc>
        <w:tc>
          <w:tcPr>
            <w:tcW w:w="4424" w:type="pct"/>
            <w:gridSpan w:val="3"/>
            <w:tcBorders>
              <w:top w:val="single" w:color="auto" w:sz="4" w:space="0"/>
              <w:left w:val="nil"/>
              <w:bottom w:val="single" w:color="auto" w:sz="4" w:space="0"/>
              <w:right w:val="single" w:color="auto" w:sz="4" w:space="0"/>
            </w:tcBorders>
            <w:shd w:val="clear" w:color="auto" w:fill="EEECE1" w:themeFill="background2"/>
            <w:vAlign w:val="center"/>
          </w:tcPr>
          <w:p w14:paraId="5A758A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指标要求</w:t>
            </w:r>
          </w:p>
        </w:tc>
      </w:tr>
      <w:tr w14:paraId="533CC86F">
        <w:tblPrEx>
          <w:tblCellMar>
            <w:top w:w="0" w:type="dxa"/>
            <w:left w:w="108" w:type="dxa"/>
            <w:bottom w:w="0" w:type="dxa"/>
            <w:right w:w="108" w:type="dxa"/>
          </w:tblCellMar>
        </w:tblPrEx>
        <w:trPr>
          <w:trHeight w:val="720"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7B4418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兼容性</w:t>
            </w:r>
          </w:p>
        </w:tc>
        <w:tc>
          <w:tcPr>
            <w:tcW w:w="4424" w:type="pct"/>
            <w:gridSpan w:val="3"/>
            <w:tcBorders>
              <w:top w:val="single" w:color="auto" w:sz="4" w:space="0"/>
              <w:left w:val="nil"/>
              <w:bottom w:val="single" w:color="auto" w:sz="4" w:space="0"/>
              <w:right w:val="single" w:color="auto" w:sz="4" w:space="0"/>
            </w:tcBorders>
            <w:shd w:val="clear" w:color="auto" w:fill="auto"/>
            <w:vAlign w:val="center"/>
          </w:tcPr>
          <w:p w14:paraId="682157E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次采购的虚拟化行为安全管理实验模块要求与我院现有信息安全实训平台无缝对接，构建虚拟化的实验环境，打破物理安全设备的局限性，提高教学、实训上课效率，实现更高效真实的攻防实训、仿真测试的需要，开展行为安全管理的相关课程。</w:t>
            </w:r>
            <w:r>
              <w:rPr>
                <w:rFonts w:hint="eastAsia" w:ascii="宋体" w:hAnsi="宋体" w:eastAsia="宋体" w:cs="宋体"/>
                <w:b/>
                <w:bCs w:val="0"/>
                <w:color w:val="auto"/>
                <w:kern w:val="0"/>
                <w:sz w:val="24"/>
                <w:szCs w:val="24"/>
                <w:highlight w:val="none"/>
              </w:rPr>
              <w:t>（投标时提供盖章承诺书）</w:t>
            </w:r>
          </w:p>
        </w:tc>
      </w:tr>
      <w:tr w14:paraId="5486050C">
        <w:tblPrEx>
          <w:tblCellMar>
            <w:top w:w="0" w:type="dxa"/>
            <w:left w:w="108" w:type="dxa"/>
            <w:bottom w:w="0" w:type="dxa"/>
            <w:right w:w="108" w:type="dxa"/>
          </w:tblCellMar>
        </w:tblPrEx>
        <w:trPr>
          <w:trHeight w:val="720"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84CE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设备部署</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01BDFC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网关模式</w:t>
            </w:r>
          </w:p>
        </w:tc>
        <w:tc>
          <w:tcPr>
            <w:tcW w:w="3466" w:type="pct"/>
            <w:tcBorders>
              <w:top w:val="single" w:color="auto" w:sz="4" w:space="0"/>
              <w:left w:val="nil"/>
              <w:bottom w:val="single" w:color="auto" w:sz="4" w:space="0"/>
              <w:right w:val="single" w:color="auto" w:sz="4" w:space="0"/>
            </w:tcBorders>
            <w:shd w:val="clear" w:color="auto" w:fill="auto"/>
            <w:vAlign w:val="center"/>
          </w:tcPr>
          <w:p w14:paraId="3066B1D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设备可部署在网络中提供路由转发和NAT功能，可连接ADSL线路和专线。</w:t>
            </w:r>
          </w:p>
        </w:tc>
      </w:tr>
      <w:tr w14:paraId="450D9A11">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9E6C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5C82B1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镜像模式</w:t>
            </w:r>
          </w:p>
        </w:tc>
        <w:tc>
          <w:tcPr>
            <w:tcW w:w="3466" w:type="pct"/>
            <w:tcBorders>
              <w:top w:val="single" w:color="auto" w:sz="4" w:space="0"/>
              <w:left w:val="nil"/>
              <w:bottom w:val="single" w:color="auto" w:sz="4" w:space="0"/>
              <w:right w:val="single" w:color="auto" w:sz="4" w:space="0"/>
            </w:tcBorders>
            <w:shd w:val="clear" w:color="auto" w:fill="auto"/>
            <w:vAlign w:val="center"/>
          </w:tcPr>
          <w:p w14:paraId="2178FF7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设备可连接一条或多条镜像线路，获取网络信息，进行行为分析和审计。</w:t>
            </w:r>
          </w:p>
        </w:tc>
      </w:tr>
      <w:tr w14:paraId="59983F33">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595B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682923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网桥模式</w:t>
            </w:r>
          </w:p>
        </w:tc>
        <w:tc>
          <w:tcPr>
            <w:tcW w:w="3466" w:type="pct"/>
            <w:tcBorders>
              <w:top w:val="single" w:color="auto" w:sz="4" w:space="0"/>
              <w:left w:val="nil"/>
              <w:bottom w:val="single" w:color="auto" w:sz="4" w:space="0"/>
              <w:right w:val="single" w:color="auto" w:sz="4" w:space="0"/>
            </w:tcBorders>
            <w:shd w:val="clear" w:color="auto" w:fill="auto"/>
            <w:vAlign w:val="center"/>
          </w:tcPr>
          <w:p w14:paraId="6ED4EA3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设备可直路串联在一条或多条原有网络线路上，进行行为分析、审计和控制。不改变网络拓扑，路由表项。</w:t>
            </w:r>
          </w:p>
        </w:tc>
      </w:tr>
      <w:tr w14:paraId="1949BF57">
        <w:tblPrEx>
          <w:tblCellMar>
            <w:top w:w="0" w:type="dxa"/>
            <w:left w:w="108" w:type="dxa"/>
            <w:bottom w:w="0" w:type="dxa"/>
            <w:right w:w="108" w:type="dxa"/>
          </w:tblCellMar>
        </w:tblPrEx>
        <w:trPr>
          <w:trHeight w:val="72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E3AC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780B73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Portal模式</w:t>
            </w:r>
          </w:p>
        </w:tc>
        <w:tc>
          <w:tcPr>
            <w:tcW w:w="3466" w:type="pct"/>
            <w:tcBorders>
              <w:top w:val="single" w:color="auto" w:sz="4" w:space="0"/>
              <w:left w:val="nil"/>
              <w:bottom w:val="single" w:color="auto" w:sz="4" w:space="0"/>
              <w:right w:val="single" w:color="auto" w:sz="4" w:space="0"/>
            </w:tcBorders>
            <w:shd w:val="clear" w:color="auto" w:fill="auto"/>
            <w:vAlign w:val="center"/>
          </w:tcPr>
          <w:p w14:paraId="48BC230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设备在部署时支持模式选择，可设置为Portal模式，实现Portal服务器功能；</w:t>
            </w:r>
            <w:r>
              <w:rPr>
                <w:rFonts w:hint="eastAsia" w:ascii="宋体" w:hAnsi="宋体" w:eastAsia="宋体" w:cs="宋体"/>
                <w:b/>
                <w:bCs w:val="0"/>
                <w:color w:val="auto"/>
                <w:kern w:val="0"/>
                <w:sz w:val="24"/>
                <w:szCs w:val="24"/>
                <w:highlight w:val="none"/>
              </w:rPr>
              <w:t>（必须提供配置界面截图）</w:t>
            </w:r>
          </w:p>
        </w:tc>
      </w:tr>
      <w:tr w14:paraId="612FF734">
        <w:tblPrEx>
          <w:tblCellMar>
            <w:top w:w="0" w:type="dxa"/>
            <w:left w:w="108" w:type="dxa"/>
            <w:bottom w:w="0" w:type="dxa"/>
            <w:right w:w="108" w:type="dxa"/>
          </w:tblCellMar>
        </w:tblPrEx>
        <w:trPr>
          <w:trHeight w:val="488"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0ED77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系统监控</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21F186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首页行为风险面板</w:t>
            </w:r>
          </w:p>
        </w:tc>
        <w:tc>
          <w:tcPr>
            <w:tcW w:w="3466" w:type="pct"/>
            <w:tcBorders>
              <w:top w:val="single" w:color="auto" w:sz="4" w:space="0"/>
              <w:left w:val="nil"/>
              <w:bottom w:val="single" w:color="auto" w:sz="4" w:space="0"/>
              <w:right w:val="single" w:color="auto" w:sz="4" w:space="0"/>
            </w:tcBorders>
            <w:shd w:val="clear" w:color="auto" w:fill="auto"/>
            <w:vAlign w:val="center"/>
          </w:tcPr>
          <w:p w14:paraId="7697DF2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可集中呈现上网行为风险等级和状态。</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行为风险等级包括安全等级、业务防护等级、合规等级和数据防护等级。</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行为状态包括管控效果、运行状态、安全状态、业务风险状态、外发状态和应用使用状态。</w:t>
            </w:r>
          </w:p>
        </w:tc>
      </w:tr>
      <w:tr w14:paraId="4C0224E9">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537E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3E11A7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设备状态</w:t>
            </w:r>
          </w:p>
        </w:tc>
        <w:tc>
          <w:tcPr>
            <w:tcW w:w="3466" w:type="pct"/>
            <w:tcBorders>
              <w:top w:val="single" w:color="auto" w:sz="4" w:space="0"/>
              <w:left w:val="nil"/>
              <w:bottom w:val="single" w:color="auto" w:sz="4" w:space="0"/>
              <w:right w:val="single" w:color="auto" w:sz="4" w:space="0"/>
            </w:tcBorders>
            <w:shd w:val="clear" w:color="auto" w:fill="auto"/>
            <w:vAlign w:val="center"/>
          </w:tcPr>
          <w:p w14:paraId="18E58FB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能够实时提供产品CPU、内存、磁盘使用率、网口状态、授权状态、系统情况等信息。</w:t>
            </w:r>
          </w:p>
        </w:tc>
      </w:tr>
      <w:tr w14:paraId="1B1368EF">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B30C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47DDED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网络状态</w:t>
            </w:r>
          </w:p>
        </w:tc>
        <w:tc>
          <w:tcPr>
            <w:tcW w:w="3466" w:type="pct"/>
            <w:tcBorders>
              <w:top w:val="single" w:color="auto" w:sz="4" w:space="0"/>
              <w:left w:val="nil"/>
              <w:bottom w:val="single" w:color="auto" w:sz="4" w:space="0"/>
              <w:right w:val="single" w:color="auto" w:sz="4" w:space="0"/>
            </w:tcBorders>
            <w:shd w:val="clear" w:color="auto" w:fill="auto"/>
            <w:vAlign w:val="center"/>
          </w:tcPr>
          <w:p w14:paraId="0E80357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能够实时提供在线用户趋势、设备流速趋势、用户流量排名、应用流量排名、用户实时流量和应用实时流量等信息。</w:t>
            </w:r>
          </w:p>
        </w:tc>
      </w:tr>
      <w:tr w14:paraId="59C750C7">
        <w:tblPrEx>
          <w:tblCellMar>
            <w:top w:w="0" w:type="dxa"/>
            <w:left w:w="108" w:type="dxa"/>
            <w:bottom w:w="0" w:type="dxa"/>
            <w:right w:w="108" w:type="dxa"/>
          </w:tblCellMar>
        </w:tblPrEx>
        <w:trPr>
          <w:trHeight w:val="27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DEA17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37CD2D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在线用户</w:t>
            </w:r>
          </w:p>
        </w:tc>
        <w:tc>
          <w:tcPr>
            <w:tcW w:w="3466" w:type="pct"/>
            <w:tcBorders>
              <w:top w:val="single" w:color="auto" w:sz="4" w:space="0"/>
              <w:left w:val="nil"/>
              <w:bottom w:val="single" w:color="auto" w:sz="4" w:space="0"/>
              <w:right w:val="single" w:color="auto" w:sz="4" w:space="0"/>
            </w:tcBorders>
            <w:shd w:val="clear" w:color="auto" w:fill="auto"/>
            <w:vAlign w:val="center"/>
          </w:tcPr>
          <w:p w14:paraId="3C709A3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可监控到当前在线的用户信息并支持强制下线</w:t>
            </w:r>
          </w:p>
        </w:tc>
      </w:tr>
      <w:tr w14:paraId="7F922191">
        <w:tblPrEx>
          <w:tblCellMar>
            <w:top w:w="0" w:type="dxa"/>
            <w:left w:w="108" w:type="dxa"/>
            <w:bottom w:w="0" w:type="dxa"/>
            <w:right w:w="108" w:type="dxa"/>
          </w:tblCellMar>
        </w:tblPrEx>
        <w:trPr>
          <w:trHeight w:val="119"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9107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安全管理</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30F7F1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支持对病毒的云查杀</w:t>
            </w:r>
          </w:p>
        </w:tc>
        <w:tc>
          <w:tcPr>
            <w:tcW w:w="3466" w:type="pct"/>
            <w:tcBorders>
              <w:top w:val="single" w:color="auto" w:sz="4" w:space="0"/>
              <w:left w:val="nil"/>
              <w:bottom w:val="single" w:color="auto" w:sz="4" w:space="0"/>
              <w:right w:val="single" w:color="auto" w:sz="4" w:space="0"/>
            </w:tcBorders>
            <w:shd w:val="clear" w:color="auto" w:fill="auto"/>
            <w:vAlign w:val="center"/>
          </w:tcPr>
          <w:p w14:paraId="107E135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至少应支持对以下几类网络应用传输的文件进行病毒云查杀：HTTP/FTP/IMAP/SMTP/POP3"</w:t>
            </w:r>
            <w:r>
              <w:rPr>
                <w:rFonts w:hint="eastAsia" w:ascii="宋体" w:hAnsi="宋体" w:eastAsia="宋体" w:cs="宋体"/>
                <w:b/>
                <w:bCs w:val="0"/>
                <w:color w:val="auto"/>
                <w:kern w:val="0"/>
                <w:sz w:val="24"/>
                <w:szCs w:val="24"/>
                <w:highlight w:val="none"/>
              </w:rPr>
              <w:t>（提供功能截图）</w:t>
            </w:r>
          </w:p>
        </w:tc>
      </w:tr>
      <w:tr w14:paraId="6CE129F3">
        <w:tblPrEx>
          <w:tblCellMar>
            <w:top w:w="0" w:type="dxa"/>
            <w:left w:w="108" w:type="dxa"/>
            <w:bottom w:w="0" w:type="dxa"/>
            <w:right w:w="108" w:type="dxa"/>
          </w:tblCellMar>
        </w:tblPrEx>
        <w:trPr>
          <w:trHeight w:val="129"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C074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6CD2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支持失陷主机检测</w:t>
            </w:r>
          </w:p>
        </w:tc>
        <w:tc>
          <w:tcPr>
            <w:tcW w:w="3466" w:type="pct"/>
            <w:tcBorders>
              <w:top w:val="single" w:color="auto" w:sz="4" w:space="0"/>
              <w:left w:val="nil"/>
              <w:bottom w:val="single" w:color="auto" w:sz="4" w:space="0"/>
              <w:right w:val="single" w:color="auto" w:sz="4" w:space="0"/>
            </w:tcBorders>
            <w:shd w:val="clear" w:color="auto" w:fill="auto"/>
            <w:vAlign w:val="center"/>
          </w:tcPr>
          <w:p w14:paraId="4EEB194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支持威胁情报、挖矿、间谍软件三种失陷特征识别</w:t>
            </w:r>
          </w:p>
        </w:tc>
      </w:tr>
      <w:tr w14:paraId="0CA24C8E">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DA77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CCBF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3466" w:type="pct"/>
            <w:tcBorders>
              <w:top w:val="single" w:color="auto" w:sz="4" w:space="0"/>
              <w:left w:val="nil"/>
              <w:bottom w:val="single" w:color="auto" w:sz="4" w:space="0"/>
              <w:right w:val="single" w:color="auto" w:sz="4" w:space="0"/>
            </w:tcBorders>
            <w:shd w:val="clear" w:color="auto" w:fill="auto"/>
            <w:vAlign w:val="center"/>
          </w:tcPr>
          <w:p w14:paraId="59FDB5B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支持拦截请求并记录日志，阻塞IP并记录日志以及仅记录日志三种动作模式设置</w:t>
            </w:r>
          </w:p>
        </w:tc>
      </w:tr>
      <w:tr w14:paraId="5374F42E">
        <w:tblPrEx>
          <w:tblCellMar>
            <w:top w:w="0" w:type="dxa"/>
            <w:left w:w="108" w:type="dxa"/>
            <w:bottom w:w="0" w:type="dxa"/>
            <w:right w:w="108" w:type="dxa"/>
          </w:tblCellMar>
        </w:tblPrEx>
        <w:trPr>
          <w:trHeight w:val="1872"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F5143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应用管理</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04F9E05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应用分类</w:t>
            </w:r>
          </w:p>
        </w:tc>
        <w:tc>
          <w:tcPr>
            <w:tcW w:w="3466" w:type="pct"/>
            <w:tcBorders>
              <w:top w:val="single" w:color="auto" w:sz="4" w:space="0"/>
              <w:left w:val="nil"/>
              <w:bottom w:val="single" w:color="auto" w:sz="4" w:space="0"/>
              <w:right w:val="single" w:color="auto" w:sz="4" w:space="0"/>
            </w:tcBorders>
            <w:shd w:val="clear" w:color="auto" w:fill="auto"/>
            <w:vAlign w:val="center"/>
          </w:tcPr>
          <w:p w14:paraId="2F6A07B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可以对下载工具、视频播放、网络游戏、金融理财、即时消息、移动应用有独立的分类进行识别控制。</w:t>
            </w:r>
          </w:p>
          <w:p w14:paraId="41D5C86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为覆盖工作无关应用，移动应用不少于1000种，即时消息应不低于150种；</w:t>
            </w:r>
          </w:p>
          <w:p w14:paraId="62A0EFB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为规避外发类风险，论坛发帖应不低于3000种，网络存储不低于100种，代理隧道不低于100种。</w:t>
            </w:r>
          </w:p>
        </w:tc>
      </w:tr>
      <w:tr w14:paraId="6B64CA51">
        <w:tblPrEx>
          <w:tblCellMar>
            <w:top w:w="0" w:type="dxa"/>
            <w:left w:w="108" w:type="dxa"/>
            <w:bottom w:w="0" w:type="dxa"/>
            <w:right w:w="108" w:type="dxa"/>
          </w:tblCellMar>
        </w:tblPrEx>
        <w:trPr>
          <w:trHeight w:val="82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E89C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3E0A64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内置应用标签</w:t>
            </w:r>
          </w:p>
        </w:tc>
        <w:tc>
          <w:tcPr>
            <w:tcW w:w="3466" w:type="pct"/>
            <w:tcBorders>
              <w:top w:val="single" w:color="auto" w:sz="4" w:space="0"/>
              <w:left w:val="nil"/>
              <w:bottom w:val="single" w:color="auto" w:sz="4" w:space="0"/>
              <w:right w:val="single" w:color="auto" w:sz="4" w:space="0"/>
            </w:tcBorders>
            <w:shd w:val="clear" w:color="auto" w:fill="auto"/>
            <w:vAlign w:val="center"/>
          </w:tcPr>
          <w:p w14:paraId="045DF7C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设备内置常用应用标签，分类至少包含内容外发风险、期货行业合规、证券行业合规、高安全风险、影响工作效率、消耗带宽6大类；</w:t>
            </w:r>
          </w:p>
        </w:tc>
      </w:tr>
      <w:tr w14:paraId="4E1135D1">
        <w:tblPrEx>
          <w:tblCellMar>
            <w:top w:w="0" w:type="dxa"/>
            <w:left w:w="108" w:type="dxa"/>
            <w:bottom w:w="0" w:type="dxa"/>
            <w:right w:w="108" w:type="dxa"/>
          </w:tblCellMar>
        </w:tblPrEx>
        <w:trPr>
          <w:trHeight w:val="55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0F36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459259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网安应用行为策略</w:t>
            </w:r>
          </w:p>
        </w:tc>
        <w:tc>
          <w:tcPr>
            <w:tcW w:w="3466" w:type="pct"/>
            <w:tcBorders>
              <w:top w:val="single" w:color="auto" w:sz="4" w:space="0"/>
              <w:left w:val="nil"/>
              <w:bottom w:val="single" w:color="auto" w:sz="4" w:space="0"/>
              <w:right w:val="single" w:color="auto" w:sz="4" w:space="0"/>
            </w:tcBorders>
            <w:shd w:val="clear" w:color="auto" w:fill="auto"/>
            <w:vAlign w:val="center"/>
          </w:tcPr>
          <w:p w14:paraId="7220738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支持独立的网安应用行为审计策略，支持基于用户、时间、位置、工具进行策略设置。</w:t>
            </w:r>
            <w:r>
              <w:rPr>
                <w:rFonts w:hint="eastAsia" w:ascii="宋体" w:hAnsi="宋体" w:eastAsia="宋体" w:cs="宋体"/>
                <w:b/>
                <w:bCs w:val="0"/>
                <w:color w:val="auto"/>
                <w:kern w:val="0"/>
                <w:sz w:val="24"/>
                <w:szCs w:val="24"/>
                <w:highlight w:val="none"/>
              </w:rPr>
              <w:t>（提供功能截图）</w:t>
            </w:r>
          </w:p>
        </w:tc>
      </w:tr>
      <w:tr w14:paraId="61B164A7">
        <w:tblPrEx>
          <w:tblCellMar>
            <w:top w:w="0" w:type="dxa"/>
            <w:left w:w="108" w:type="dxa"/>
            <w:bottom w:w="0" w:type="dxa"/>
            <w:right w:w="108" w:type="dxa"/>
          </w:tblCellMar>
        </w:tblPrEx>
        <w:trPr>
          <w:trHeight w:val="439"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C9F5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网页管理</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5E4884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搜索关键字审计与管理</w:t>
            </w:r>
          </w:p>
        </w:tc>
        <w:tc>
          <w:tcPr>
            <w:tcW w:w="3466" w:type="pct"/>
            <w:tcBorders>
              <w:top w:val="single" w:color="auto" w:sz="4" w:space="0"/>
              <w:left w:val="nil"/>
              <w:bottom w:val="single" w:color="auto" w:sz="4" w:space="0"/>
              <w:right w:val="single" w:color="auto" w:sz="4" w:space="0"/>
            </w:tcBorders>
            <w:shd w:val="clear" w:color="auto" w:fill="auto"/>
            <w:vAlign w:val="center"/>
          </w:tcPr>
          <w:p w14:paraId="48F3578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根据关键字管理搜索引擎访问；一条策略实现搜索关键字的阻断、记录、告警，方便维护；</w:t>
            </w:r>
          </w:p>
        </w:tc>
      </w:tr>
      <w:tr w14:paraId="1423294F">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82B2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09C774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网址访问审计与管理</w:t>
            </w:r>
          </w:p>
        </w:tc>
        <w:tc>
          <w:tcPr>
            <w:tcW w:w="3466" w:type="pct"/>
            <w:tcBorders>
              <w:top w:val="single" w:color="auto" w:sz="4" w:space="0"/>
              <w:left w:val="nil"/>
              <w:bottom w:val="single" w:color="auto" w:sz="4" w:space="0"/>
              <w:right w:val="single" w:color="auto" w:sz="4" w:space="0"/>
            </w:tcBorders>
            <w:shd w:val="clear" w:color="auto" w:fill="auto"/>
            <w:vAlign w:val="center"/>
          </w:tcPr>
          <w:p w14:paraId="07E18DA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根据URL库及URL关键字进行网址访问管理，一条策略实现阻断、记录、告警，方便维护；</w:t>
            </w:r>
          </w:p>
        </w:tc>
      </w:tr>
      <w:tr w14:paraId="05B8F824">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16A3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501679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网页内容关键字过滤</w:t>
            </w:r>
          </w:p>
        </w:tc>
        <w:tc>
          <w:tcPr>
            <w:tcW w:w="3466" w:type="pct"/>
            <w:tcBorders>
              <w:top w:val="single" w:color="auto" w:sz="4" w:space="0"/>
              <w:left w:val="nil"/>
              <w:bottom w:val="single" w:color="auto" w:sz="4" w:space="0"/>
              <w:right w:val="single" w:color="auto" w:sz="4" w:space="0"/>
            </w:tcBorders>
            <w:shd w:val="clear" w:color="auto" w:fill="auto"/>
            <w:vAlign w:val="center"/>
          </w:tcPr>
          <w:p w14:paraId="4A87185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可根据网页内容关键字进行审计与过滤，一条策略实现阻断、记录、告警；每个关键字对象要求可至少录入500个关键字</w:t>
            </w:r>
          </w:p>
        </w:tc>
      </w:tr>
      <w:tr w14:paraId="1D44DE72">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C7C6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00E01F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发帖审计与管理</w:t>
            </w:r>
          </w:p>
        </w:tc>
        <w:tc>
          <w:tcPr>
            <w:tcW w:w="3466" w:type="pct"/>
            <w:tcBorders>
              <w:top w:val="single" w:color="auto" w:sz="4" w:space="0"/>
              <w:left w:val="nil"/>
              <w:bottom w:val="single" w:color="auto" w:sz="4" w:space="0"/>
              <w:right w:val="single" w:color="auto" w:sz="4" w:space="0"/>
            </w:tcBorders>
            <w:shd w:val="clear" w:color="auto" w:fill="auto"/>
            <w:vAlign w:val="center"/>
          </w:tcPr>
          <w:p w14:paraId="01BD154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对网站的发帖正文关键字进行管理，一条策略可同时实现控制、记录、告警、便于维护管理；</w:t>
            </w:r>
          </w:p>
        </w:tc>
      </w:tr>
      <w:tr w14:paraId="59540047">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3C3F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0C1933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广告推送</w:t>
            </w:r>
          </w:p>
        </w:tc>
        <w:tc>
          <w:tcPr>
            <w:tcW w:w="3466" w:type="pct"/>
            <w:tcBorders>
              <w:top w:val="single" w:color="auto" w:sz="4" w:space="0"/>
              <w:left w:val="nil"/>
              <w:bottom w:val="single" w:color="auto" w:sz="4" w:space="0"/>
              <w:right w:val="single" w:color="auto" w:sz="4" w:space="0"/>
            </w:tcBorders>
            <w:shd w:val="clear" w:color="auto" w:fill="auto"/>
            <w:vAlign w:val="center"/>
          </w:tcPr>
          <w:p w14:paraId="06D2E55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支持基于用户、时间、网站分类或具体网站和搜索关键字推送广告。广告页面支持自定义和设置推送频率。</w:t>
            </w:r>
          </w:p>
        </w:tc>
      </w:tr>
      <w:tr w14:paraId="4CEF8BA4">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0839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0B8169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免监控域名</w:t>
            </w:r>
          </w:p>
        </w:tc>
        <w:tc>
          <w:tcPr>
            <w:tcW w:w="3466" w:type="pct"/>
            <w:tcBorders>
              <w:top w:val="single" w:color="auto" w:sz="4" w:space="0"/>
              <w:left w:val="nil"/>
              <w:bottom w:val="single" w:color="auto" w:sz="4" w:space="0"/>
              <w:right w:val="single" w:color="auto" w:sz="4" w:space="0"/>
            </w:tcBorders>
            <w:shd w:val="clear" w:color="auto" w:fill="auto"/>
            <w:vAlign w:val="center"/>
          </w:tcPr>
          <w:p w14:paraId="5289DD8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支持配置免监控域名，用户在认证前即可访问免监控域名</w:t>
            </w:r>
          </w:p>
        </w:tc>
      </w:tr>
      <w:tr w14:paraId="61C31A84">
        <w:tblPrEx>
          <w:tblCellMar>
            <w:top w:w="0" w:type="dxa"/>
            <w:left w:w="108" w:type="dxa"/>
            <w:bottom w:w="0" w:type="dxa"/>
            <w:right w:w="108" w:type="dxa"/>
          </w:tblCellMar>
        </w:tblPrEx>
        <w:trPr>
          <w:trHeight w:val="480"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E6FA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邮件管理</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38FFBE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Webmail管理</w:t>
            </w:r>
          </w:p>
        </w:tc>
        <w:tc>
          <w:tcPr>
            <w:tcW w:w="3466" w:type="pct"/>
            <w:tcBorders>
              <w:top w:val="single" w:color="auto" w:sz="4" w:space="0"/>
              <w:left w:val="nil"/>
              <w:bottom w:val="single" w:color="auto" w:sz="4" w:space="0"/>
              <w:right w:val="single" w:color="auto" w:sz="4" w:space="0"/>
            </w:tcBorders>
            <w:shd w:val="clear" w:color="auto" w:fill="auto"/>
            <w:vAlign w:val="center"/>
          </w:tcPr>
          <w:p w14:paraId="612C840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一条策略可实现Webmail以及SSL加密的Webmail基于发件人、收件人、主题、内容、附件名维度的记录、阻塞、告警；</w:t>
            </w:r>
          </w:p>
        </w:tc>
      </w:tr>
      <w:tr w14:paraId="59AFCE68">
        <w:tblPrEx>
          <w:tblCellMar>
            <w:top w:w="0" w:type="dxa"/>
            <w:left w:w="108" w:type="dxa"/>
            <w:bottom w:w="0" w:type="dxa"/>
            <w:right w:w="108" w:type="dxa"/>
          </w:tblCellMar>
        </w:tblPrEx>
        <w:trPr>
          <w:trHeight w:val="72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B10C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20226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客户端邮件收发管理</w:t>
            </w:r>
          </w:p>
        </w:tc>
        <w:tc>
          <w:tcPr>
            <w:tcW w:w="3466" w:type="pct"/>
            <w:tcBorders>
              <w:top w:val="single" w:color="auto" w:sz="4" w:space="0"/>
              <w:left w:val="nil"/>
              <w:bottom w:val="single" w:color="auto" w:sz="4" w:space="0"/>
              <w:right w:val="single" w:color="auto" w:sz="4" w:space="0"/>
            </w:tcBorders>
            <w:shd w:val="clear" w:color="auto" w:fill="auto"/>
            <w:vAlign w:val="center"/>
          </w:tcPr>
          <w:p w14:paraId="64E0E36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能够基于发件人、收件人、主题、内容、附件名维度进行过滤、记录、告警；能够支持SSL加密的SMTP邮件审计；</w:t>
            </w:r>
            <w:r>
              <w:rPr>
                <w:rFonts w:hint="eastAsia" w:ascii="宋体" w:hAnsi="宋体" w:eastAsia="宋体" w:cs="宋体"/>
                <w:b/>
                <w:bCs w:val="0"/>
                <w:color w:val="auto"/>
                <w:kern w:val="0"/>
                <w:sz w:val="24"/>
                <w:szCs w:val="24"/>
                <w:highlight w:val="none"/>
              </w:rPr>
              <w:t>（提供功能截图）</w:t>
            </w:r>
          </w:p>
        </w:tc>
      </w:tr>
      <w:tr w14:paraId="24D4C1A6">
        <w:tblPrEx>
          <w:tblCellMar>
            <w:top w:w="0" w:type="dxa"/>
            <w:left w:w="108" w:type="dxa"/>
            <w:bottom w:w="0" w:type="dxa"/>
            <w:right w:w="108" w:type="dxa"/>
          </w:tblCellMar>
        </w:tblPrEx>
        <w:trPr>
          <w:trHeight w:val="27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7863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79FA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3466" w:type="pct"/>
            <w:tcBorders>
              <w:top w:val="single" w:color="auto" w:sz="4" w:space="0"/>
              <w:left w:val="nil"/>
              <w:bottom w:val="single" w:color="auto" w:sz="4" w:space="0"/>
              <w:right w:val="single" w:color="auto" w:sz="4" w:space="0"/>
            </w:tcBorders>
            <w:shd w:val="clear" w:color="auto" w:fill="auto"/>
            <w:vAlign w:val="center"/>
          </w:tcPr>
          <w:p w14:paraId="3D1D045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能够对POP3、IMAP邮件接收进行审计</w:t>
            </w:r>
          </w:p>
        </w:tc>
      </w:tr>
      <w:tr w14:paraId="484EDB9C">
        <w:tblPrEx>
          <w:tblCellMar>
            <w:top w:w="0" w:type="dxa"/>
            <w:left w:w="108" w:type="dxa"/>
            <w:bottom w:w="0" w:type="dxa"/>
            <w:right w:w="108" w:type="dxa"/>
          </w:tblCellMar>
        </w:tblPrEx>
        <w:trPr>
          <w:trHeight w:val="720"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CBC1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文件管理</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5EBF8C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FTP文件外发管理</w:t>
            </w:r>
          </w:p>
        </w:tc>
        <w:tc>
          <w:tcPr>
            <w:tcW w:w="3466" w:type="pct"/>
            <w:tcBorders>
              <w:top w:val="single" w:color="auto" w:sz="4" w:space="0"/>
              <w:left w:val="nil"/>
              <w:bottom w:val="single" w:color="auto" w:sz="4" w:space="0"/>
              <w:right w:val="single" w:color="auto" w:sz="4" w:space="0"/>
            </w:tcBorders>
            <w:shd w:val="clear" w:color="auto" w:fill="auto"/>
            <w:vAlign w:val="center"/>
          </w:tcPr>
          <w:p w14:paraId="48B5CF1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支持FTP文件上传管理，可根据文件大小、文件名、扩展名、传输方向、内容关键字进行审计过滤；支持对帐号、命令的审计与过滤</w:t>
            </w:r>
          </w:p>
        </w:tc>
      </w:tr>
      <w:tr w14:paraId="709A062F">
        <w:tblPrEx>
          <w:tblCellMar>
            <w:top w:w="0" w:type="dxa"/>
            <w:left w:w="108" w:type="dxa"/>
            <w:bottom w:w="0" w:type="dxa"/>
            <w:right w:w="108" w:type="dxa"/>
          </w:tblCellMar>
        </w:tblPrEx>
        <w:trPr>
          <w:trHeight w:val="72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C992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344378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网页文件管理</w:t>
            </w:r>
          </w:p>
        </w:tc>
        <w:tc>
          <w:tcPr>
            <w:tcW w:w="3466" w:type="pct"/>
            <w:tcBorders>
              <w:top w:val="single" w:color="auto" w:sz="4" w:space="0"/>
              <w:left w:val="nil"/>
              <w:bottom w:val="single" w:color="auto" w:sz="4" w:space="0"/>
              <w:right w:val="single" w:color="auto" w:sz="4" w:space="0"/>
            </w:tcBorders>
            <w:shd w:val="clear" w:color="auto" w:fill="auto"/>
            <w:vAlign w:val="center"/>
          </w:tcPr>
          <w:p w14:paraId="6562339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可以对网页的文件，根据传输方向、文件名、扩展名、文件大小、网站域名进行控制管理，违规文件下载阻塞同时可以告警；</w:t>
            </w:r>
          </w:p>
        </w:tc>
      </w:tr>
      <w:tr w14:paraId="5DA6C2A6">
        <w:tblPrEx>
          <w:tblCellMar>
            <w:top w:w="0" w:type="dxa"/>
            <w:left w:w="108" w:type="dxa"/>
            <w:bottom w:w="0" w:type="dxa"/>
            <w:right w:w="108" w:type="dxa"/>
          </w:tblCellMar>
        </w:tblPrEx>
        <w:trPr>
          <w:trHeight w:val="72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D4DA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5E593E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PC客户端文件外发关键字过滤</w:t>
            </w:r>
          </w:p>
        </w:tc>
        <w:tc>
          <w:tcPr>
            <w:tcW w:w="3466" w:type="pct"/>
            <w:tcBorders>
              <w:top w:val="single" w:color="auto" w:sz="4" w:space="0"/>
              <w:left w:val="nil"/>
              <w:bottom w:val="single" w:color="auto" w:sz="4" w:space="0"/>
              <w:right w:val="single" w:color="auto" w:sz="4" w:space="0"/>
            </w:tcBorders>
            <w:shd w:val="clear" w:color="auto" w:fill="auto"/>
            <w:vAlign w:val="center"/>
          </w:tcPr>
          <w:p w14:paraId="25B3EDD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支持对QQ、微信和百度网盘的PC客户端外发文件进行关键字过滤和封堵。</w:t>
            </w:r>
            <w:r>
              <w:rPr>
                <w:rFonts w:hint="eastAsia" w:ascii="宋体" w:hAnsi="宋体" w:eastAsia="宋体" w:cs="宋体"/>
                <w:b/>
                <w:bCs w:val="0"/>
                <w:color w:val="auto"/>
                <w:kern w:val="0"/>
                <w:sz w:val="24"/>
                <w:szCs w:val="24"/>
                <w:highlight w:val="none"/>
              </w:rPr>
              <w:t>（提供功能截图）</w:t>
            </w:r>
          </w:p>
        </w:tc>
      </w:tr>
      <w:tr w14:paraId="29162E32">
        <w:tblPrEx>
          <w:tblCellMar>
            <w:top w:w="0" w:type="dxa"/>
            <w:left w:w="108" w:type="dxa"/>
            <w:bottom w:w="0" w:type="dxa"/>
            <w:right w:w="108" w:type="dxa"/>
          </w:tblCellMar>
        </w:tblPrEx>
        <w:trPr>
          <w:trHeight w:val="960"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271341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IM管理</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080DF9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QQ审计与管理</w:t>
            </w:r>
          </w:p>
        </w:tc>
        <w:tc>
          <w:tcPr>
            <w:tcW w:w="3466" w:type="pct"/>
            <w:tcBorders>
              <w:top w:val="single" w:color="auto" w:sz="4" w:space="0"/>
              <w:left w:val="nil"/>
              <w:bottom w:val="single" w:color="auto" w:sz="4" w:space="0"/>
              <w:right w:val="single" w:color="auto" w:sz="4" w:space="0"/>
            </w:tcBorders>
            <w:shd w:val="clear" w:color="auto" w:fill="auto"/>
            <w:vAlign w:val="center"/>
          </w:tcPr>
          <w:p w14:paraId="0485107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可针对QQ账号制定策略，对聊天、登录及登出的行为进行记录与控制；能够对QQ文件传输行为进行审计，并且能够对传输的文件进行备份留存；支持对QQ聊天内容进行审计。</w:t>
            </w:r>
          </w:p>
        </w:tc>
      </w:tr>
      <w:tr w14:paraId="4B3D003D">
        <w:tblPrEx>
          <w:tblCellMar>
            <w:top w:w="0" w:type="dxa"/>
            <w:left w:w="108" w:type="dxa"/>
            <w:bottom w:w="0" w:type="dxa"/>
            <w:right w:w="108" w:type="dxa"/>
          </w:tblCellMar>
        </w:tblPrEx>
        <w:trPr>
          <w:trHeight w:val="960"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327F51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数据库审计</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47C23A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数据库审计控制</w:t>
            </w:r>
          </w:p>
        </w:tc>
        <w:tc>
          <w:tcPr>
            <w:tcW w:w="3466" w:type="pct"/>
            <w:tcBorders>
              <w:top w:val="single" w:color="auto" w:sz="4" w:space="0"/>
              <w:left w:val="nil"/>
              <w:bottom w:val="single" w:color="auto" w:sz="4" w:space="0"/>
              <w:right w:val="single" w:color="auto" w:sz="4" w:space="0"/>
            </w:tcBorders>
            <w:shd w:val="clear" w:color="auto" w:fill="auto"/>
            <w:vAlign w:val="center"/>
          </w:tcPr>
          <w:p w14:paraId="697652C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可审计、控制Oracle, MySql, SqlServer, PostgreSQL等数据库的访问与操作，包括添加、删除、修改、查询等。</w:t>
            </w:r>
            <w:r>
              <w:rPr>
                <w:rFonts w:hint="eastAsia" w:ascii="宋体" w:hAnsi="宋体" w:eastAsia="宋体" w:cs="宋体"/>
                <w:b/>
                <w:bCs w:val="0"/>
                <w:color w:val="auto"/>
                <w:kern w:val="0"/>
                <w:sz w:val="24"/>
                <w:szCs w:val="24"/>
                <w:highlight w:val="none"/>
              </w:rPr>
              <w:t>（提供功能截图）</w:t>
            </w:r>
          </w:p>
        </w:tc>
      </w:tr>
      <w:tr w14:paraId="09FF3E64">
        <w:tblPrEx>
          <w:tblCellMar>
            <w:top w:w="0" w:type="dxa"/>
            <w:left w:w="108" w:type="dxa"/>
            <w:bottom w:w="0" w:type="dxa"/>
            <w:right w:w="108" w:type="dxa"/>
          </w:tblCellMar>
        </w:tblPrEx>
        <w:trPr>
          <w:trHeight w:val="480"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6143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协议审计</w:t>
            </w: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CB0B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Https审计</w:t>
            </w:r>
          </w:p>
        </w:tc>
        <w:tc>
          <w:tcPr>
            <w:tcW w:w="3466" w:type="pct"/>
            <w:tcBorders>
              <w:top w:val="single" w:color="auto" w:sz="4" w:space="0"/>
              <w:left w:val="single" w:color="auto" w:sz="4" w:space="0"/>
              <w:bottom w:val="single" w:color="auto" w:sz="4" w:space="0"/>
              <w:right w:val="single" w:color="auto" w:sz="4" w:space="0"/>
            </w:tcBorders>
            <w:shd w:val="clear" w:color="auto" w:fill="auto"/>
            <w:vAlign w:val="center"/>
          </w:tcPr>
          <w:p w14:paraId="452B753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通过HTTPS审计功能，可以针对网站分类、证书颁发者、证书所有者、证书有效期等进行审计，加以控制</w:t>
            </w:r>
          </w:p>
        </w:tc>
      </w:tr>
      <w:tr w14:paraId="5353E001">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8F49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A6C8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ftp审计</w:t>
            </w:r>
          </w:p>
        </w:tc>
        <w:tc>
          <w:tcPr>
            <w:tcW w:w="3466" w:type="pct"/>
            <w:tcBorders>
              <w:top w:val="single" w:color="auto" w:sz="4" w:space="0"/>
              <w:left w:val="nil"/>
              <w:bottom w:val="single" w:color="auto" w:sz="4" w:space="0"/>
              <w:right w:val="single" w:color="auto" w:sz="4" w:space="0"/>
            </w:tcBorders>
            <w:shd w:val="clear" w:color="auto" w:fill="auto"/>
            <w:vAlign w:val="center"/>
          </w:tcPr>
          <w:p w14:paraId="20D0748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通过设置FTP审计策略对使用ftp的用户、位置、命令、文件名/目录名进行审计和控制</w:t>
            </w:r>
          </w:p>
        </w:tc>
      </w:tr>
      <w:tr w14:paraId="58FA572E">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F5C6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55E3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telnet审计</w:t>
            </w:r>
          </w:p>
        </w:tc>
        <w:tc>
          <w:tcPr>
            <w:tcW w:w="3466" w:type="pct"/>
            <w:tcBorders>
              <w:top w:val="single" w:color="auto" w:sz="4" w:space="0"/>
              <w:left w:val="nil"/>
              <w:bottom w:val="single" w:color="auto" w:sz="4" w:space="0"/>
              <w:right w:val="single" w:color="auto" w:sz="4" w:space="0"/>
            </w:tcBorders>
            <w:shd w:val="clear" w:color="auto" w:fill="auto"/>
            <w:vAlign w:val="center"/>
          </w:tcPr>
          <w:p w14:paraId="414F078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通过设置telnet策略，对使用Telnet的用户、位置、登录名、命令等，实现对telnet使用的控制和审计</w:t>
            </w:r>
          </w:p>
        </w:tc>
      </w:tr>
      <w:tr w14:paraId="1D23BC33">
        <w:tblPrEx>
          <w:tblCellMar>
            <w:top w:w="0" w:type="dxa"/>
            <w:left w:w="108" w:type="dxa"/>
            <w:bottom w:w="0" w:type="dxa"/>
            <w:right w:w="108" w:type="dxa"/>
          </w:tblCellMar>
        </w:tblPrEx>
        <w:trPr>
          <w:trHeight w:val="27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220D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EFC9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DNS审计</w:t>
            </w:r>
          </w:p>
        </w:tc>
        <w:tc>
          <w:tcPr>
            <w:tcW w:w="3466" w:type="pct"/>
            <w:tcBorders>
              <w:top w:val="single" w:color="auto" w:sz="4" w:space="0"/>
              <w:left w:val="nil"/>
              <w:bottom w:val="single" w:color="auto" w:sz="4" w:space="0"/>
              <w:right w:val="single" w:color="auto" w:sz="4" w:space="0"/>
            </w:tcBorders>
            <w:shd w:val="clear" w:color="auto" w:fill="auto"/>
            <w:vAlign w:val="center"/>
          </w:tcPr>
          <w:p w14:paraId="16C07EC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通过DNS审计策略对DNS通信内容进行审计和控制</w:t>
            </w:r>
          </w:p>
        </w:tc>
      </w:tr>
      <w:tr w14:paraId="3CD0BC4F">
        <w:tblPrEx>
          <w:tblCellMar>
            <w:top w:w="0" w:type="dxa"/>
            <w:left w:w="108" w:type="dxa"/>
            <w:bottom w:w="0" w:type="dxa"/>
            <w:right w:w="108" w:type="dxa"/>
          </w:tblCellMar>
        </w:tblPrEx>
        <w:trPr>
          <w:trHeight w:val="27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ADFF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0533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SNMP审计</w:t>
            </w:r>
          </w:p>
        </w:tc>
        <w:tc>
          <w:tcPr>
            <w:tcW w:w="3466" w:type="pct"/>
            <w:tcBorders>
              <w:top w:val="single" w:color="auto" w:sz="4" w:space="0"/>
              <w:left w:val="nil"/>
              <w:bottom w:val="single" w:color="auto" w:sz="4" w:space="0"/>
              <w:right w:val="single" w:color="auto" w:sz="4" w:space="0"/>
            </w:tcBorders>
            <w:shd w:val="clear" w:color="auto" w:fill="auto"/>
            <w:vAlign w:val="center"/>
          </w:tcPr>
          <w:p w14:paraId="029E80E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通过SNMP审计策略对SNMP通信内容进行审计和控制</w:t>
            </w:r>
          </w:p>
        </w:tc>
      </w:tr>
      <w:tr w14:paraId="6CD97668">
        <w:tblPrEx>
          <w:tblCellMar>
            <w:top w:w="0" w:type="dxa"/>
            <w:left w:w="108" w:type="dxa"/>
            <w:bottom w:w="0" w:type="dxa"/>
            <w:right w:w="108" w:type="dxa"/>
          </w:tblCellMar>
        </w:tblPrEx>
        <w:trPr>
          <w:trHeight w:val="27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480B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700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NFS审计</w:t>
            </w:r>
          </w:p>
        </w:tc>
        <w:tc>
          <w:tcPr>
            <w:tcW w:w="3466" w:type="pct"/>
            <w:tcBorders>
              <w:top w:val="single" w:color="auto" w:sz="4" w:space="0"/>
              <w:left w:val="nil"/>
              <w:bottom w:val="single" w:color="auto" w:sz="4" w:space="0"/>
              <w:right w:val="single" w:color="auto" w:sz="4" w:space="0"/>
            </w:tcBorders>
            <w:shd w:val="clear" w:color="auto" w:fill="auto"/>
            <w:vAlign w:val="center"/>
          </w:tcPr>
          <w:p w14:paraId="32F331F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通过NFS审计策略对NFS访问和传输文件进行审计和控制</w:t>
            </w:r>
            <w:r>
              <w:rPr>
                <w:rFonts w:hint="eastAsia" w:ascii="宋体" w:hAnsi="宋体" w:eastAsia="宋体" w:cs="宋体"/>
                <w:b/>
                <w:bCs w:val="0"/>
                <w:color w:val="auto"/>
                <w:kern w:val="0"/>
                <w:sz w:val="24"/>
                <w:szCs w:val="24"/>
                <w:highlight w:val="none"/>
              </w:rPr>
              <w:t>（提供功能截图）</w:t>
            </w:r>
          </w:p>
        </w:tc>
      </w:tr>
      <w:tr w14:paraId="304DD76E">
        <w:tblPrEx>
          <w:tblCellMar>
            <w:top w:w="0" w:type="dxa"/>
            <w:left w:w="108" w:type="dxa"/>
            <w:bottom w:w="0" w:type="dxa"/>
            <w:right w:w="108" w:type="dxa"/>
          </w:tblCellMar>
        </w:tblPrEx>
        <w:trPr>
          <w:trHeight w:val="72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C9BE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8110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NETBIOS审计</w:t>
            </w:r>
          </w:p>
        </w:tc>
        <w:tc>
          <w:tcPr>
            <w:tcW w:w="3466" w:type="pct"/>
            <w:tcBorders>
              <w:top w:val="single" w:color="auto" w:sz="4" w:space="0"/>
              <w:left w:val="nil"/>
              <w:bottom w:val="single" w:color="auto" w:sz="4" w:space="0"/>
              <w:right w:val="single" w:color="auto" w:sz="4" w:space="0"/>
            </w:tcBorders>
            <w:shd w:val="clear" w:color="auto" w:fill="auto"/>
            <w:vAlign w:val="center"/>
          </w:tcPr>
          <w:p w14:paraId="3A4C8EB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通过NETBIOS审计策略对NETBIOS通信、登录名及文件、目录进行审计和控制</w:t>
            </w:r>
          </w:p>
        </w:tc>
      </w:tr>
      <w:tr w14:paraId="242C7397">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EBAA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3EE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流控策略</w:t>
            </w:r>
          </w:p>
        </w:tc>
        <w:tc>
          <w:tcPr>
            <w:tcW w:w="3466" w:type="pct"/>
            <w:tcBorders>
              <w:top w:val="single" w:color="auto" w:sz="4" w:space="0"/>
              <w:left w:val="nil"/>
              <w:bottom w:val="single" w:color="auto" w:sz="4" w:space="0"/>
              <w:right w:val="single" w:color="auto" w:sz="4" w:space="0"/>
            </w:tcBorders>
            <w:shd w:val="clear" w:color="auto" w:fill="auto"/>
            <w:vAlign w:val="center"/>
          </w:tcPr>
          <w:p w14:paraId="7AE2227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支持基于用户、时间、应用、源IP、目的IP和服务创建流量控制策略</w:t>
            </w:r>
          </w:p>
        </w:tc>
      </w:tr>
      <w:tr w14:paraId="4E6E5706">
        <w:tblPrEx>
          <w:tblCellMar>
            <w:top w:w="0" w:type="dxa"/>
            <w:left w:w="108" w:type="dxa"/>
            <w:bottom w:w="0" w:type="dxa"/>
            <w:right w:w="108" w:type="dxa"/>
          </w:tblCellMar>
        </w:tblPrEx>
        <w:trPr>
          <w:trHeight w:val="233"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C8771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688E0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连接限制</w:t>
            </w:r>
          </w:p>
        </w:tc>
        <w:tc>
          <w:tcPr>
            <w:tcW w:w="3466" w:type="pct"/>
            <w:tcBorders>
              <w:top w:val="single" w:color="auto" w:sz="4" w:space="0"/>
              <w:left w:val="nil"/>
              <w:bottom w:val="single" w:color="auto" w:sz="4" w:space="0"/>
              <w:right w:val="single" w:color="auto" w:sz="4" w:space="0"/>
            </w:tcBorders>
            <w:shd w:val="clear" w:color="auto" w:fill="auto"/>
            <w:vAlign w:val="center"/>
          </w:tcPr>
          <w:p w14:paraId="0132457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支持基于连接数进行流量管理，可以每个人的并发/新建连接数量进行控制</w:t>
            </w:r>
          </w:p>
        </w:tc>
      </w:tr>
      <w:tr w14:paraId="435547E7">
        <w:tblPrEx>
          <w:tblCellMar>
            <w:top w:w="0" w:type="dxa"/>
            <w:left w:w="108" w:type="dxa"/>
            <w:bottom w:w="0" w:type="dxa"/>
            <w:right w:w="108" w:type="dxa"/>
          </w:tblCellMar>
        </w:tblPrEx>
        <w:trPr>
          <w:trHeight w:val="48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8FD5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C215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每用户带宽限制</w:t>
            </w:r>
          </w:p>
        </w:tc>
        <w:tc>
          <w:tcPr>
            <w:tcW w:w="3466" w:type="pct"/>
            <w:tcBorders>
              <w:top w:val="single" w:color="auto" w:sz="4" w:space="0"/>
              <w:left w:val="nil"/>
              <w:bottom w:val="single" w:color="auto" w:sz="4" w:space="0"/>
              <w:right w:val="single" w:color="auto" w:sz="4" w:space="0"/>
            </w:tcBorders>
            <w:shd w:val="clear" w:color="auto" w:fill="auto"/>
            <w:vAlign w:val="center"/>
          </w:tcPr>
          <w:p w14:paraId="0665E0E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可以指定每个人的最大上传、下载带宽</w:t>
            </w:r>
          </w:p>
        </w:tc>
      </w:tr>
      <w:tr w14:paraId="20B84E93">
        <w:tblPrEx>
          <w:tblCellMar>
            <w:top w:w="0" w:type="dxa"/>
            <w:left w:w="108" w:type="dxa"/>
            <w:bottom w:w="0" w:type="dxa"/>
            <w:right w:w="108" w:type="dxa"/>
          </w:tblCellMar>
        </w:tblPrEx>
        <w:trPr>
          <w:trHeight w:val="480"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30F5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终端管理软件联动</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02BC24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终端管理软件联动</w:t>
            </w:r>
          </w:p>
        </w:tc>
        <w:tc>
          <w:tcPr>
            <w:tcW w:w="3466" w:type="pct"/>
            <w:tcBorders>
              <w:top w:val="single" w:color="auto" w:sz="4" w:space="0"/>
              <w:left w:val="nil"/>
              <w:bottom w:val="single" w:color="auto" w:sz="4" w:space="0"/>
              <w:right w:val="single" w:color="auto" w:sz="4" w:space="0"/>
            </w:tcBorders>
            <w:shd w:val="clear" w:color="auto" w:fill="auto"/>
            <w:vAlign w:val="center"/>
          </w:tcPr>
          <w:p w14:paraId="17611B2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能够与终端管理软件联动，设备检测到未安装终端管理软件的PC，可将其Web访问自动重定向到特定页面并提示下载；</w:t>
            </w:r>
            <w:r>
              <w:rPr>
                <w:rFonts w:hint="eastAsia" w:ascii="宋体" w:hAnsi="宋体" w:eastAsia="宋体" w:cs="宋体"/>
                <w:b/>
                <w:bCs w:val="0"/>
                <w:color w:val="auto"/>
                <w:kern w:val="0"/>
                <w:sz w:val="24"/>
                <w:szCs w:val="24"/>
                <w:highlight w:val="none"/>
              </w:rPr>
              <w:t>（提供功能截图）</w:t>
            </w:r>
          </w:p>
        </w:tc>
      </w:tr>
      <w:tr w14:paraId="7EC95C12">
        <w:tblPrEx>
          <w:tblCellMar>
            <w:top w:w="0" w:type="dxa"/>
            <w:left w:w="108" w:type="dxa"/>
            <w:bottom w:w="0" w:type="dxa"/>
            <w:right w:w="108" w:type="dxa"/>
          </w:tblCellMar>
        </w:tblPrEx>
        <w:trPr>
          <w:trHeight w:val="216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46F82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418AF6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终端准入控制</w:t>
            </w:r>
          </w:p>
        </w:tc>
        <w:tc>
          <w:tcPr>
            <w:tcW w:w="3466" w:type="pct"/>
            <w:tcBorders>
              <w:top w:val="single" w:color="auto" w:sz="4" w:space="0"/>
              <w:left w:val="nil"/>
              <w:bottom w:val="single" w:color="auto" w:sz="4" w:space="0"/>
              <w:right w:val="single" w:color="auto" w:sz="4" w:space="0"/>
            </w:tcBorders>
            <w:shd w:val="clear" w:color="auto" w:fill="auto"/>
            <w:vAlign w:val="center"/>
          </w:tcPr>
          <w:p w14:paraId="324A303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设备能够根据终端管理软件检测到的信息配置准入控制策略，准入规则应包括：</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1、系统是否存在某个特定进程</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2、注册表中是否含有特定内容</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3、制定位置是否存在特定文件</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4、操作系统类型和版本等</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5、系统是否安装了特定的杀毒软件和特定版本</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6、系统是否安装了特定的漏洞补丁</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7、系统是否开启了文件实施防护功能</w:t>
            </w:r>
          </w:p>
        </w:tc>
      </w:tr>
      <w:tr w14:paraId="2B344FE8">
        <w:tblPrEx>
          <w:tblCellMar>
            <w:top w:w="0" w:type="dxa"/>
            <w:left w:w="108" w:type="dxa"/>
            <w:bottom w:w="0" w:type="dxa"/>
            <w:right w:w="108" w:type="dxa"/>
          </w:tblCellMar>
        </w:tblPrEx>
        <w:trPr>
          <w:trHeight w:val="728"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9ACFA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用户管理</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7373FF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web认证</w:t>
            </w:r>
          </w:p>
        </w:tc>
        <w:tc>
          <w:tcPr>
            <w:tcW w:w="3466" w:type="pct"/>
            <w:tcBorders>
              <w:top w:val="single" w:color="auto" w:sz="4" w:space="0"/>
              <w:left w:val="nil"/>
              <w:bottom w:val="single" w:color="auto" w:sz="4" w:space="0"/>
              <w:right w:val="single" w:color="auto" w:sz="4" w:space="0"/>
            </w:tcBorders>
            <w:shd w:val="clear" w:color="auto" w:fill="auto"/>
            <w:vAlign w:val="center"/>
          </w:tcPr>
          <w:p w14:paraId="2320A95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支持本地、LDAP、Radius、邮件认证方式的WEB认证。支持在界面上通过配置，将一台设备作为独立的认证服务器配合审计设备使用，提升认证性能。</w:t>
            </w:r>
          </w:p>
        </w:tc>
      </w:tr>
      <w:tr w14:paraId="58E5F47E">
        <w:tblPrEx>
          <w:tblCellMar>
            <w:top w:w="0" w:type="dxa"/>
            <w:left w:w="108" w:type="dxa"/>
            <w:bottom w:w="0" w:type="dxa"/>
            <w:right w:w="108" w:type="dxa"/>
          </w:tblCellMar>
        </w:tblPrEx>
        <w:trPr>
          <w:trHeight w:val="72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71AC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5057BF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短信认证</w:t>
            </w:r>
          </w:p>
        </w:tc>
        <w:tc>
          <w:tcPr>
            <w:tcW w:w="3466" w:type="pct"/>
            <w:tcBorders>
              <w:top w:val="single" w:color="auto" w:sz="4" w:space="0"/>
              <w:left w:val="nil"/>
              <w:bottom w:val="single" w:color="auto" w:sz="4" w:space="0"/>
              <w:right w:val="single" w:color="auto" w:sz="4" w:space="0"/>
            </w:tcBorders>
            <w:shd w:val="clear" w:color="auto" w:fill="auto"/>
            <w:vAlign w:val="center"/>
          </w:tcPr>
          <w:p w14:paraId="3B0D2F0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短信认证方式，用户输入手机号作为用户名，设备通过短信网关为用户手机发送密码。短信认证能够根据不同用户推送不同认证页面，该认证页面可自定义。支持白名单。支持完整短信认证功能，无需额外购买短信网关。</w:t>
            </w:r>
          </w:p>
        </w:tc>
      </w:tr>
      <w:tr w14:paraId="61AE5642">
        <w:tblPrEx>
          <w:tblCellMar>
            <w:top w:w="0" w:type="dxa"/>
            <w:left w:w="108" w:type="dxa"/>
            <w:bottom w:w="0" w:type="dxa"/>
            <w:right w:w="108" w:type="dxa"/>
          </w:tblCellMar>
        </w:tblPrEx>
        <w:trPr>
          <w:trHeight w:val="27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99C5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5649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微信认证</w:t>
            </w:r>
          </w:p>
        </w:tc>
        <w:tc>
          <w:tcPr>
            <w:tcW w:w="3466" w:type="pct"/>
            <w:tcBorders>
              <w:top w:val="single" w:color="auto" w:sz="4" w:space="0"/>
              <w:left w:val="nil"/>
              <w:bottom w:val="single" w:color="auto" w:sz="4" w:space="0"/>
              <w:right w:val="single" w:color="auto" w:sz="4" w:space="0"/>
            </w:tcBorders>
            <w:shd w:val="clear" w:color="auto" w:fill="auto"/>
            <w:vAlign w:val="center"/>
          </w:tcPr>
          <w:p w14:paraId="0E91455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支持通过微信“扫一扫”二维码方式，快速连接Wi-Fi</w:t>
            </w:r>
          </w:p>
        </w:tc>
      </w:tr>
      <w:tr w14:paraId="2AD4A61A">
        <w:tblPrEx>
          <w:tblCellMar>
            <w:top w:w="0" w:type="dxa"/>
            <w:left w:w="108" w:type="dxa"/>
            <w:bottom w:w="0" w:type="dxa"/>
            <w:right w:w="108" w:type="dxa"/>
          </w:tblCellMar>
        </w:tblPrEx>
        <w:trPr>
          <w:trHeight w:val="27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475D9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1745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3466" w:type="pct"/>
            <w:tcBorders>
              <w:top w:val="single" w:color="auto" w:sz="4" w:space="0"/>
              <w:left w:val="nil"/>
              <w:bottom w:val="single" w:color="auto" w:sz="4" w:space="0"/>
              <w:right w:val="single" w:color="auto" w:sz="4" w:space="0"/>
            </w:tcBorders>
            <w:shd w:val="clear" w:color="auto" w:fill="auto"/>
            <w:vAlign w:val="center"/>
          </w:tcPr>
          <w:p w14:paraId="081E280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支持利用微信公众号进行网络接入的身份准入认证 </w:t>
            </w:r>
          </w:p>
        </w:tc>
      </w:tr>
      <w:tr w14:paraId="7E4D3BE2">
        <w:tblPrEx>
          <w:tblCellMar>
            <w:top w:w="0" w:type="dxa"/>
            <w:left w:w="108" w:type="dxa"/>
            <w:bottom w:w="0" w:type="dxa"/>
            <w:right w:w="108" w:type="dxa"/>
          </w:tblCellMar>
        </w:tblPrEx>
        <w:trPr>
          <w:trHeight w:val="275"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3379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59501A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认证策略</w:t>
            </w:r>
          </w:p>
        </w:tc>
        <w:tc>
          <w:tcPr>
            <w:tcW w:w="3466" w:type="pct"/>
            <w:tcBorders>
              <w:top w:val="single" w:color="auto" w:sz="4" w:space="0"/>
              <w:left w:val="nil"/>
              <w:bottom w:val="single" w:color="auto" w:sz="4" w:space="0"/>
              <w:right w:val="single" w:color="auto" w:sz="4" w:space="0"/>
            </w:tcBorders>
            <w:shd w:val="clear" w:color="auto" w:fill="auto"/>
            <w:vAlign w:val="center"/>
          </w:tcPr>
          <w:p w14:paraId="3493A30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可以基于IP、MAC等多因素进行用户认证、识别</w:t>
            </w:r>
          </w:p>
        </w:tc>
      </w:tr>
      <w:tr w14:paraId="2AF7A2A8">
        <w:tblPrEx>
          <w:tblCellMar>
            <w:top w:w="0" w:type="dxa"/>
            <w:left w:w="108" w:type="dxa"/>
            <w:bottom w:w="0" w:type="dxa"/>
            <w:right w:w="108" w:type="dxa"/>
          </w:tblCellMar>
        </w:tblPrEx>
        <w:trPr>
          <w:trHeight w:val="960"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B9EC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7A6D6A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用户识别</w:t>
            </w:r>
          </w:p>
        </w:tc>
        <w:tc>
          <w:tcPr>
            <w:tcW w:w="3466" w:type="pct"/>
            <w:tcBorders>
              <w:top w:val="single" w:color="auto" w:sz="4" w:space="0"/>
              <w:left w:val="nil"/>
              <w:bottom w:val="single" w:color="auto" w:sz="4" w:space="0"/>
              <w:right w:val="single" w:color="auto" w:sz="4" w:space="0"/>
            </w:tcBorders>
            <w:shd w:val="clear" w:color="auto" w:fill="auto"/>
            <w:vAlign w:val="center"/>
          </w:tcPr>
          <w:p w14:paraId="4F125A2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支持对802.1X、华为controller、Kerberos、AD、POP3、Radius、数据库识别、PPPOE、城市热点、深澜计费等系统的单点登录。</w:t>
            </w:r>
            <w:r>
              <w:rPr>
                <w:rFonts w:hint="eastAsia" w:ascii="宋体" w:hAnsi="宋体" w:eastAsia="宋体" w:cs="宋体"/>
                <w:b/>
                <w:bCs w:val="0"/>
                <w:color w:val="auto"/>
                <w:kern w:val="0"/>
                <w:sz w:val="24"/>
                <w:szCs w:val="24"/>
                <w:highlight w:val="none"/>
              </w:rPr>
              <w:t>（提供功能截图）</w:t>
            </w:r>
          </w:p>
        </w:tc>
      </w:tr>
      <w:tr w14:paraId="0CB4988A">
        <w:tblPrEx>
          <w:tblCellMar>
            <w:top w:w="0" w:type="dxa"/>
            <w:left w:w="108" w:type="dxa"/>
            <w:bottom w:w="0" w:type="dxa"/>
            <w:right w:w="108" w:type="dxa"/>
          </w:tblCellMar>
        </w:tblPrEx>
        <w:trPr>
          <w:trHeight w:val="1248"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3EAC101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日志统计与报表</w:t>
            </w:r>
          </w:p>
        </w:tc>
        <w:tc>
          <w:tcPr>
            <w:tcW w:w="9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EE79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日志FTP导出</w:t>
            </w:r>
          </w:p>
        </w:tc>
        <w:tc>
          <w:tcPr>
            <w:tcW w:w="3466" w:type="pct"/>
            <w:tcBorders>
              <w:top w:val="single" w:color="auto" w:sz="4" w:space="0"/>
              <w:left w:val="single" w:color="auto" w:sz="4" w:space="0"/>
              <w:bottom w:val="single" w:color="auto" w:sz="4" w:space="0"/>
              <w:right w:val="single" w:color="auto" w:sz="4" w:space="0"/>
            </w:tcBorders>
            <w:shd w:val="clear" w:color="auto" w:fill="auto"/>
            <w:vAlign w:val="center"/>
          </w:tcPr>
          <w:p w14:paraId="072FFBA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支持通过FTP和SFTP方式将日志导出到指定服务器，日志支持SSL加密和ZIP压缩，支持自定义导出数据的时间段和数据定时上传的频率。支持定义导出日志数据的范围、用户、位置和工具。</w:t>
            </w:r>
          </w:p>
        </w:tc>
      </w:tr>
      <w:tr w14:paraId="67FF6DE3">
        <w:tblPrEx>
          <w:tblCellMar>
            <w:top w:w="0" w:type="dxa"/>
            <w:left w:w="108" w:type="dxa"/>
            <w:bottom w:w="0" w:type="dxa"/>
            <w:right w:w="108" w:type="dxa"/>
          </w:tblCellMar>
        </w:tblPrEx>
        <w:trPr>
          <w:trHeight w:val="313" w:hRule="atLeast"/>
        </w:trPr>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87A84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系统管理</w:t>
            </w: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622EEAA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界面配置</w:t>
            </w:r>
          </w:p>
        </w:tc>
        <w:tc>
          <w:tcPr>
            <w:tcW w:w="3466" w:type="pct"/>
            <w:tcBorders>
              <w:top w:val="single" w:color="auto" w:sz="4" w:space="0"/>
              <w:left w:val="nil"/>
              <w:bottom w:val="single" w:color="auto" w:sz="4" w:space="0"/>
              <w:right w:val="single" w:color="auto" w:sz="4" w:space="0"/>
            </w:tcBorders>
            <w:shd w:val="clear" w:color="auto" w:fill="auto"/>
            <w:vAlign w:val="center"/>
          </w:tcPr>
          <w:p w14:paraId="6410049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管理员登录支持登录失败次数配置和阻断时长配置</w:t>
            </w:r>
          </w:p>
        </w:tc>
      </w:tr>
      <w:tr w14:paraId="789E93A7">
        <w:tblPrEx>
          <w:tblCellMar>
            <w:top w:w="0" w:type="dxa"/>
            <w:left w:w="108" w:type="dxa"/>
            <w:bottom w:w="0" w:type="dxa"/>
            <w:right w:w="108" w:type="dxa"/>
          </w:tblCellMar>
        </w:tblPrEx>
        <w:trPr>
          <w:trHeight w:val="686" w:hRule="atLeast"/>
        </w:trPr>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E748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957" w:type="pct"/>
            <w:gridSpan w:val="2"/>
            <w:tcBorders>
              <w:top w:val="single" w:color="auto" w:sz="4" w:space="0"/>
              <w:left w:val="nil"/>
              <w:bottom w:val="single" w:color="auto" w:sz="4" w:space="0"/>
              <w:right w:val="single" w:color="auto" w:sz="4" w:space="0"/>
            </w:tcBorders>
            <w:shd w:val="clear" w:color="auto" w:fill="auto"/>
            <w:vAlign w:val="center"/>
          </w:tcPr>
          <w:p w14:paraId="691CD9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支持三权制衡管理机制</w:t>
            </w:r>
          </w:p>
        </w:tc>
        <w:tc>
          <w:tcPr>
            <w:tcW w:w="3466" w:type="pct"/>
            <w:tcBorders>
              <w:top w:val="single" w:color="auto" w:sz="4" w:space="0"/>
              <w:left w:val="nil"/>
              <w:bottom w:val="single" w:color="auto" w:sz="4" w:space="0"/>
              <w:right w:val="single" w:color="auto" w:sz="4" w:space="0"/>
            </w:tcBorders>
            <w:shd w:val="clear" w:color="auto" w:fill="auto"/>
            <w:vAlign w:val="center"/>
          </w:tcPr>
          <w:p w14:paraId="579C9C7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支持策略管理、日志审计、权限分配相互独立的三权制衡管理机制，避免超级管理员权限过大的弊端。</w:t>
            </w:r>
          </w:p>
        </w:tc>
      </w:tr>
      <w:tr w14:paraId="501F1871">
        <w:tblPrEx>
          <w:tblCellMar>
            <w:top w:w="0" w:type="dxa"/>
            <w:left w:w="108" w:type="dxa"/>
            <w:bottom w:w="0" w:type="dxa"/>
            <w:right w:w="108" w:type="dxa"/>
          </w:tblCellMar>
        </w:tblPrEx>
        <w:trPr>
          <w:trHeight w:val="686"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4E4DDB9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课程资源</w:t>
            </w:r>
          </w:p>
        </w:tc>
        <w:tc>
          <w:tcPr>
            <w:tcW w:w="4424" w:type="pct"/>
            <w:gridSpan w:val="3"/>
            <w:tcBorders>
              <w:top w:val="single" w:color="auto" w:sz="4" w:space="0"/>
              <w:left w:val="nil"/>
              <w:bottom w:val="single" w:color="auto" w:sz="4" w:space="0"/>
              <w:right w:val="single" w:color="auto" w:sz="4" w:space="0"/>
            </w:tcBorders>
            <w:shd w:val="clear" w:color="auto" w:fill="auto"/>
            <w:vAlign w:val="center"/>
          </w:tcPr>
          <w:p w14:paraId="7DE7C7F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行为安全管理》课程资源需包含课程大纲、教学ppt、实验指导书、实训实验等丰富的教学及实操资源，可满足学校一个学期的理论和实验教学需求。以上网行为管理系统为教学基准，主要介绍行为安全管理系统的基本知识、结构、配置方法。通过本课程能够学习上网行为管理系统的部署运维等。</w:t>
            </w:r>
          </w:p>
        </w:tc>
      </w:tr>
      <w:tr w14:paraId="446DCF2E">
        <w:tblPrEx>
          <w:tblCellMar>
            <w:top w:w="0" w:type="dxa"/>
            <w:left w:w="108" w:type="dxa"/>
            <w:bottom w:w="0" w:type="dxa"/>
            <w:right w:w="108" w:type="dxa"/>
          </w:tblCellMar>
        </w:tblPrEx>
        <w:trPr>
          <w:trHeight w:val="686" w:hRule="atLeast"/>
        </w:trPr>
        <w:tc>
          <w:tcPr>
            <w:tcW w:w="8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4576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教程编写能力</w:t>
            </w:r>
          </w:p>
        </w:tc>
        <w:tc>
          <w:tcPr>
            <w:tcW w:w="4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003DB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★为保证平台能够与教学深度融合，投标人所投品牌的厂商需具备网络安全教材编写能力，并通过正规出版社出版发行，</w:t>
            </w:r>
            <w:r>
              <w:rPr>
                <w:rFonts w:hint="eastAsia" w:ascii="宋体" w:hAnsi="宋体" w:eastAsia="宋体" w:cs="宋体"/>
                <w:b/>
                <w:bCs/>
                <w:color w:val="auto"/>
                <w:kern w:val="0"/>
                <w:sz w:val="24"/>
                <w:szCs w:val="24"/>
                <w:highlight w:val="none"/>
              </w:rPr>
              <w:t>需提供正式发行的书号。</w:t>
            </w:r>
          </w:p>
        </w:tc>
      </w:tr>
    </w:tbl>
    <w:p w14:paraId="08BDAD28">
      <w:pPr>
        <w:keepNext/>
        <w:keepLines/>
        <w:widowControl w:val="0"/>
        <w:numPr>
          <w:ilvl w:val="3"/>
          <w:numId w:val="0"/>
        </w:numPr>
        <w:spacing w:before="280" w:after="290" w:line="240" w:lineRule="auto"/>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3.虚拟化WEB应用防火墙</w:t>
      </w:r>
    </w:p>
    <w:tbl>
      <w:tblPr>
        <w:tblStyle w:val="47"/>
        <w:tblW w:w="5482" w:type="pct"/>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9"/>
        <w:gridCol w:w="8519"/>
      </w:tblGrid>
      <w:tr w14:paraId="55F3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617" w:type="pct"/>
            <w:shd w:val="clear" w:color="auto" w:fill="EEECE1" w:themeFill="background2"/>
            <w:noWrap/>
            <w:tcMar>
              <w:top w:w="10" w:type="dxa"/>
              <w:left w:w="10" w:type="dxa"/>
              <w:bottom w:w="0" w:type="dxa"/>
              <w:right w:w="10" w:type="dxa"/>
            </w:tcMar>
            <w:vAlign w:val="center"/>
          </w:tcPr>
          <w:p w14:paraId="7CC5C8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指标项</w:t>
            </w:r>
          </w:p>
        </w:tc>
        <w:tc>
          <w:tcPr>
            <w:tcW w:w="4382" w:type="pct"/>
            <w:shd w:val="clear" w:color="auto" w:fill="EEECE1" w:themeFill="background2"/>
            <w:noWrap/>
            <w:tcMar>
              <w:top w:w="10" w:type="dxa"/>
              <w:left w:w="10" w:type="dxa"/>
              <w:bottom w:w="0" w:type="dxa"/>
              <w:right w:w="10" w:type="dxa"/>
            </w:tcMar>
            <w:vAlign w:val="center"/>
          </w:tcPr>
          <w:p w14:paraId="520627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指标要求</w:t>
            </w:r>
          </w:p>
        </w:tc>
      </w:tr>
      <w:tr w14:paraId="1A7A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5000" w:type="pct"/>
            <w:gridSpan w:val="2"/>
            <w:noWrap/>
            <w:tcMar>
              <w:top w:w="10" w:type="dxa"/>
              <w:left w:w="10" w:type="dxa"/>
              <w:bottom w:w="0" w:type="dxa"/>
              <w:right w:w="10" w:type="dxa"/>
            </w:tcMar>
            <w:vAlign w:val="center"/>
          </w:tcPr>
          <w:p w14:paraId="34EE63E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功能要求</w:t>
            </w:r>
          </w:p>
        </w:tc>
      </w:tr>
      <w:tr w14:paraId="209B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17" w:type="pct"/>
            <w:tcMar>
              <w:top w:w="10" w:type="dxa"/>
              <w:left w:w="10" w:type="dxa"/>
              <w:bottom w:w="0" w:type="dxa"/>
              <w:right w:w="10" w:type="dxa"/>
            </w:tcMar>
            <w:vAlign w:val="center"/>
          </w:tcPr>
          <w:p w14:paraId="2995F35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bCs/>
                <w:color w:val="auto"/>
                <w:kern w:val="0"/>
                <w:sz w:val="24"/>
                <w:szCs w:val="24"/>
                <w:highlight w:val="none"/>
              </w:rPr>
              <w:t>兼容性</w:t>
            </w:r>
          </w:p>
        </w:tc>
        <w:tc>
          <w:tcPr>
            <w:tcW w:w="4382" w:type="pct"/>
            <w:tcMar>
              <w:top w:w="10" w:type="dxa"/>
              <w:left w:w="10" w:type="dxa"/>
              <w:bottom w:w="0" w:type="dxa"/>
              <w:right w:w="10" w:type="dxa"/>
            </w:tcMar>
            <w:vAlign w:val="center"/>
          </w:tcPr>
          <w:p w14:paraId="3FBEFED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次采购的虚拟化Web应用防火墙系统实验模块要求与我院现有信息安全实训平台无缝对接，构建虚拟化的实验环境，打破物理安全设备的局限性，提高教学、实训上课效率，实现更高效真实的攻防实训、仿真测试的需要，开展WEB应用防火墙的相关课程。</w:t>
            </w:r>
            <w:r>
              <w:rPr>
                <w:rFonts w:hint="eastAsia" w:ascii="宋体" w:hAnsi="宋体" w:eastAsia="宋体" w:cs="宋体"/>
                <w:b/>
                <w:bCs w:val="0"/>
                <w:color w:val="auto"/>
                <w:kern w:val="0"/>
                <w:sz w:val="24"/>
                <w:szCs w:val="24"/>
                <w:highlight w:val="none"/>
              </w:rPr>
              <w:t>（投标时提供盖章承诺书）</w:t>
            </w:r>
          </w:p>
        </w:tc>
      </w:tr>
      <w:tr w14:paraId="6048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trPr>
        <w:tc>
          <w:tcPr>
            <w:tcW w:w="617" w:type="pct"/>
            <w:vMerge w:val="restart"/>
            <w:tcMar>
              <w:top w:w="10" w:type="dxa"/>
              <w:left w:w="10" w:type="dxa"/>
              <w:bottom w:w="0" w:type="dxa"/>
              <w:right w:w="10" w:type="dxa"/>
            </w:tcMar>
            <w:vAlign w:val="center"/>
          </w:tcPr>
          <w:p w14:paraId="13ACDA2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基础防护</w:t>
            </w:r>
          </w:p>
        </w:tc>
        <w:tc>
          <w:tcPr>
            <w:tcW w:w="4382" w:type="pct"/>
            <w:tcMar>
              <w:top w:w="10" w:type="dxa"/>
              <w:left w:w="10" w:type="dxa"/>
              <w:bottom w:w="0" w:type="dxa"/>
              <w:right w:w="10" w:type="dxa"/>
            </w:tcMar>
            <w:vAlign w:val="center"/>
          </w:tcPr>
          <w:p w14:paraId="2523C31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支持IPv4和IPv6双协议栈流量过滤防护</w:t>
            </w:r>
          </w:p>
        </w:tc>
      </w:tr>
      <w:tr w14:paraId="1902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trPr>
        <w:tc>
          <w:tcPr>
            <w:tcW w:w="617" w:type="pct"/>
            <w:vMerge w:val="continue"/>
            <w:vAlign w:val="center"/>
          </w:tcPr>
          <w:p w14:paraId="0009658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6947850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支持产品页面一键断网（禁止访问）功能，在特殊情况下，实现对特定网站的快速下线</w:t>
            </w:r>
            <w:r>
              <w:rPr>
                <w:rFonts w:hint="eastAsia" w:ascii="宋体" w:hAnsi="宋体" w:eastAsia="宋体" w:cs="宋体"/>
                <w:b/>
                <w:bCs w:val="0"/>
                <w:color w:val="auto"/>
                <w:kern w:val="0"/>
                <w:sz w:val="24"/>
                <w:szCs w:val="24"/>
                <w:highlight w:val="none"/>
              </w:rPr>
              <w:t>（提供功能截图）</w:t>
            </w:r>
          </w:p>
        </w:tc>
      </w:tr>
      <w:tr w14:paraId="0B7B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trPr>
        <w:tc>
          <w:tcPr>
            <w:tcW w:w="617" w:type="pct"/>
            <w:vMerge w:val="continue"/>
            <w:vAlign w:val="center"/>
          </w:tcPr>
          <w:p w14:paraId="7F1617A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7739DD1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支持代理模式下对HTTP、HTTPS协议的单个连接允许请求数、长连接有效时间、最大空闲连接数和上传文件最大值等数据进行自定义配置</w:t>
            </w:r>
          </w:p>
        </w:tc>
      </w:tr>
      <w:tr w14:paraId="55FD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trPr>
        <w:tc>
          <w:tcPr>
            <w:tcW w:w="617" w:type="pct"/>
            <w:vMerge w:val="restart"/>
            <w:tcMar>
              <w:top w:w="10" w:type="dxa"/>
              <w:left w:w="10" w:type="dxa"/>
              <w:bottom w:w="0" w:type="dxa"/>
              <w:right w:w="10" w:type="dxa"/>
            </w:tcMar>
            <w:vAlign w:val="center"/>
          </w:tcPr>
          <w:p w14:paraId="2457F83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状态监控</w:t>
            </w:r>
          </w:p>
        </w:tc>
        <w:tc>
          <w:tcPr>
            <w:tcW w:w="4382" w:type="pct"/>
            <w:tcMar>
              <w:top w:w="10" w:type="dxa"/>
              <w:left w:w="10" w:type="dxa"/>
              <w:bottom w:w="0" w:type="dxa"/>
              <w:right w:w="10" w:type="dxa"/>
            </w:tcMar>
            <w:vAlign w:val="center"/>
          </w:tcPr>
          <w:p w14:paraId="3CB479F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支持对产品的CPU、内存使用率实时监控并以图形化方式展现</w:t>
            </w:r>
          </w:p>
        </w:tc>
      </w:tr>
      <w:tr w14:paraId="0AAD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trPr>
        <w:tc>
          <w:tcPr>
            <w:tcW w:w="617" w:type="pct"/>
            <w:vMerge w:val="continue"/>
            <w:vAlign w:val="center"/>
          </w:tcPr>
          <w:p w14:paraId="58F4861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53D5701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支持对产品的网络接口收发流量进行实时监控并以图形化方式展现</w:t>
            </w:r>
          </w:p>
        </w:tc>
      </w:tr>
      <w:tr w14:paraId="0DAB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trPr>
        <w:tc>
          <w:tcPr>
            <w:tcW w:w="617" w:type="pct"/>
            <w:vMerge w:val="continue"/>
            <w:vAlign w:val="center"/>
          </w:tcPr>
          <w:p w14:paraId="218BDD6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0AF4CAF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支持协议连接实时监控展示，可针对监控协议进行阻断以及加黑操作</w:t>
            </w:r>
          </w:p>
        </w:tc>
      </w:tr>
      <w:tr w14:paraId="09AE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trPr>
        <w:tc>
          <w:tcPr>
            <w:tcW w:w="617" w:type="pct"/>
            <w:vMerge w:val="continue"/>
            <w:vAlign w:val="center"/>
          </w:tcPr>
          <w:p w14:paraId="0973A77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076F508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支持系统状态实时展示，支持对CPU、内存使用情况实时呈现，设备信息呈现</w:t>
            </w:r>
            <w:r>
              <w:rPr>
                <w:rFonts w:hint="eastAsia" w:ascii="宋体" w:hAnsi="宋体" w:eastAsia="宋体" w:cs="宋体"/>
                <w:b/>
                <w:bCs w:val="0"/>
                <w:color w:val="auto"/>
                <w:kern w:val="0"/>
                <w:sz w:val="24"/>
                <w:szCs w:val="24"/>
                <w:highlight w:val="none"/>
              </w:rPr>
              <w:t>（提供功能截图）</w:t>
            </w:r>
          </w:p>
        </w:tc>
      </w:tr>
      <w:tr w14:paraId="6BB9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trPr>
        <w:tc>
          <w:tcPr>
            <w:tcW w:w="617" w:type="pct"/>
            <w:vMerge w:val="continue"/>
            <w:vAlign w:val="center"/>
          </w:tcPr>
          <w:p w14:paraId="3020B15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4F9651F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支持防护资产安全状态展示，可针对资产的TCP，UDP,ICMP/ICMP6，RAW-IP,HTTP,DNS等数据进行统计</w:t>
            </w:r>
          </w:p>
        </w:tc>
      </w:tr>
      <w:tr w14:paraId="2330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617" w:type="pct"/>
            <w:tcMar>
              <w:top w:w="10" w:type="dxa"/>
              <w:left w:w="10" w:type="dxa"/>
              <w:bottom w:w="0" w:type="dxa"/>
              <w:right w:w="10" w:type="dxa"/>
            </w:tcMar>
            <w:vAlign w:val="center"/>
          </w:tcPr>
          <w:p w14:paraId="06CDF21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态势感知</w:t>
            </w:r>
          </w:p>
        </w:tc>
        <w:tc>
          <w:tcPr>
            <w:tcW w:w="4382" w:type="pct"/>
            <w:tcMar>
              <w:top w:w="10" w:type="dxa"/>
              <w:left w:w="10" w:type="dxa"/>
              <w:bottom w:w="0" w:type="dxa"/>
              <w:right w:w="10" w:type="dxa"/>
            </w:tcMar>
            <w:vAlign w:val="center"/>
          </w:tcPr>
          <w:p w14:paraId="10AA570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支持攻击态势大屏实时展示，可通过产品自带的实时态势监测模块进行攻击态势地图展示，包含对源地址、源地域、目标资产、安全防护攻击类型、攻击趋势、HTTP并发请求及实时事件的动画统计</w:t>
            </w:r>
            <w:r>
              <w:rPr>
                <w:rFonts w:hint="eastAsia" w:ascii="宋体" w:hAnsi="宋体" w:eastAsia="宋体" w:cs="宋体"/>
                <w:b/>
                <w:bCs w:val="0"/>
                <w:color w:val="auto"/>
                <w:kern w:val="0"/>
                <w:sz w:val="24"/>
                <w:szCs w:val="24"/>
                <w:highlight w:val="none"/>
              </w:rPr>
              <w:t>（提供功能截图）</w:t>
            </w:r>
          </w:p>
        </w:tc>
      </w:tr>
      <w:tr w14:paraId="249E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restart"/>
            <w:tcMar>
              <w:top w:w="10" w:type="dxa"/>
              <w:left w:w="10" w:type="dxa"/>
              <w:bottom w:w="0" w:type="dxa"/>
              <w:right w:w="10" w:type="dxa"/>
            </w:tcMar>
            <w:vAlign w:val="center"/>
          </w:tcPr>
          <w:p w14:paraId="3DF055C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访问控制防护</w:t>
            </w:r>
          </w:p>
        </w:tc>
        <w:tc>
          <w:tcPr>
            <w:tcW w:w="4382" w:type="pct"/>
            <w:tcMar>
              <w:top w:w="10" w:type="dxa"/>
              <w:left w:w="10" w:type="dxa"/>
              <w:bottom w:w="0" w:type="dxa"/>
              <w:right w:w="10" w:type="dxa"/>
            </w:tcMar>
            <w:vAlign w:val="center"/>
          </w:tcPr>
          <w:p w14:paraId="5CF5F1A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支持黑白名单策略，包括IP及URL黑白名单</w:t>
            </w:r>
          </w:p>
        </w:tc>
      </w:tr>
      <w:tr w14:paraId="47C6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2B177C0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60B72EA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支持IP访问控制，可根据源目的IP，端口，协议等进行访问控制处理，并可自定义访问过期时长</w:t>
            </w:r>
          </w:p>
        </w:tc>
      </w:tr>
      <w:tr w14:paraId="282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5D13D33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2096107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支持地域访问控制功能，支持根据国家、地区、城市等元素进行地域访问控制，并可自定义访问过期时长</w:t>
            </w:r>
            <w:r>
              <w:rPr>
                <w:rFonts w:hint="eastAsia" w:ascii="宋体" w:hAnsi="宋体" w:eastAsia="宋体" w:cs="宋体"/>
                <w:b/>
                <w:bCs w:val="0"/>
                <w:color w:val="auto"/>
                <w:kern w:val="0"/>
                <w:sz w:val="24"/>
                <w:szCs w:val="24"/>
                <w:highlight w:val="none"/>
              </w:rPr>
              <w:t>（提供功能截图）</w:t>
            </w:r>
          </w:p>
        </w:tc>
      </w:tr>
      <w:tr w14:paraId="6A4F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17A63D3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2E97BA0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支持HTTP访问控制，可根据实际网络状况自定义请求方法等参数的访问控制规则，支持设置HTTP 0.9/1.0/1.1/2.0版本和10多种http访问控制方法</w:t>
            </w:r>
          </w:p>
        </w:tc>
      </w:tr>
      <w:tr w14:paraId="6881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restart"/>
            <w:tcMar>
              <w:top w:w="10" w:type="dxa"/>
              <w:left w:w="10" w:type="dxa"/>
              <w:bottom w:w="0" w:type="dxa"/>
              <w:right w:w="10" w:type="dxa"/>
            </w:tcMar>
            <w:vAlign w:val="center"/>
          </w:tcPr>
          <w:p w14:paraId="4B5065E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安全防御</w:t>
            </w:r>
          </w:p>
        </w:tc>
        <w:tc>
          <w:tcPr>
            <w:tcW w:w="4382" w:type="pct"/>
            <w:tcMar>
              <w:top w:w="10" w:type="dxa"/>
              <w:left w:w="10" w:type="dxa"/>
              <w:bottom w:w="0" w:type="dxa"/>
              <w:right w:w="10" w:type="dxa"/>
            </w:tcMar>
            <w:vAlign w:val="center"/>
          </w:tcPr>
          <w:p w14:paraId="06DE03B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支持协议合规校验，可根据实际网络状况自定义协议参数合规标准，过滤非法数据</w:t>
            </w:r>
          </w:p>
        </w:tc>
      </w:tr>
      <w:tr w14:paraId="1CD6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7983E81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78A7D25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支持HTTP请求走私防护</w:t>
            </w:r>
          </w:p>
        </w:tc>
      </w:tr>
      <w:tr w14:paraId="4B0E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6634B58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34E8A1F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支持SQL注入、XSS跨站攻击防御策略，支持特征检测与语义分析算法检测</w:t>
            </w:r>
            <w:r>
              <w:rPr>
                <w:rFonts w:hint="eastAsia" w:ascii="宋体" w:hAnsi="宋体" w:eastAsia="宋体" w:cs="宋体"/>
                <w:b/>
                <w:bCs w:val="0"/>
                <w:color w:val="auto"/>
                <w:kern w:val="0"/>
                <w:sz w:val="24"/>
                <w:szCs w:val="24"/>
                <w:highlight w:val="none"/>
              </w:rPr>
              <w:t>（提供功能截图）</w:t>
            </w:r>
          </w:p>
        </w:tc>
      </w:tr>
      <w:tr w14:paraId="6E6B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59BC50A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2EEC3C0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支持Web攻击防护功能，包括命令注入攻击，组件漏洞防护、Web扫描防护、XPATH注入防护、XML注入防护、SSI注入防护、JOSN注入防护、LDAP注入防护、webshell防护</w:t>
            </w:r>
          </w:p>
        </w:tc>
      </w:tr>
      <w:tr w14:paraId="468F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0F66A1A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051B2A5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支持Web业务控制防御功能，提供针对爬虫、黑链、盗链以及内网代理的防护功能</w:t>
            </w:r>
          </w:p>
        </w:tc>
      </w:tr>
      <w:tr w14:paraId="55EE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1D9DE2E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7DBB0CE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支持敏感信息检测防护，检测类型包括：中间件信息保护，数据库信息保护，敏感文件保护，代码错误信息保护，隐私信息保护</w:t>
            </w:r>
          </w:p>
        </w:tc>
      </w:tr>
      <w:tr w14:paraId="5E2D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17" w:type="pct"/>
            <w:vMerge w:val="continue"/>
            <w:vAlign w:val="center"/>
          </w:tcPr>
          <w:p w14:paraId="0AEBFF2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531C82B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支持Web业务加固防御功能，提供弱密码检测、CGI安全、跨站请求伪造等防御功能</w:t>
            </w:r>
          </w:p>
        </w:tc>
      </w:tr>
      <w:tr w14:paraId="3C23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55F7855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0390EF3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支持人机识别功能，可针对自动化攻击进行有效防护</w:t>
            </w:r>
          </w:p>
        </w:tc>
      </w:tr>
      <w:tr w14:paraId="1D4E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17" w:type="pct"/>
            <w:vMerge w:val="continue"/>
            <w:vAlign w:val="center"/>
          </w:tcPr>
          <w:p w14:paraId="1555829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033F3A9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支持防暴力破解功能，可支持频率阈值，动态令牌以及频率阈值+动态令牌等三种方式实现暴力破解防护</w:t>
            </w:r>
            <w:r>
              <w:rPr>
                <w:rFonts w:hint="eastAsia" w:ascii="宋体" w:hAnsi="宋体" w:eastAsia="宋体" w:cs="宋体"/>
                <w:b/>
                <w:bCs w:val="0"/>
                <w:color w:val="auto"/>
                <w:kern w:val="0"/>
                <w:sz w:val="24"/>
                <w:szCs w:val="24"/>
                <w:highlight w:val="none"/>
              </w:rPr>
              <w:t>（提供功能截图）</w:t>
            </w:r>
          </w:p>
        </w:tc>
      </w:tr>
      <w:tr w14:paraId="7786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409F2A1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5780297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支持会话安全防护，Cookie加固、Cookie加密、会话固定等属性设置</w:t>
            </w:r>
          </w:p>
        </w:tc>
      </w:tr>
      <w:tr w14:paraId="345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0F5CDAE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3F329A9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支持业务流程控制，防止非法用户通过不合规流程请求，对web服务器进行攻击</w:t>
            </w:r>
          </w:p>
        </w:tc>
      </w:tr>
      <w:tr w14:paraId="39C1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continue"/>
            <w:vAlign w:val="center"/>
          </w:tcPr>
          <w:p w14:paraId="5134880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0C4BFDF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支持自定义应用层攻击特征库，可在页面直接编写攻击特征写入设备</w:t>
            </w:r>
          </w:p>
        </w:tc>
      </w:tr>
      <w:tr w14:paraId="3969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tcMar>
              <w:top w:w="10" w:type="dxa"/>
              <w:left w:w="10" w:type="dxa"/>
              <w:bottom w:w="0" w:type="dxa"/>
              <w:right w:w="10" w:type="dxa"/>
            </w:tcMar>
            <w:vAlign w:val="center"/>
          </w:tcPr>
          <w:p w14:paraId="2C449BE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虚拟补丁</w:t>
            </w:r>
          </w:p>
        </w:tc>
        <w:tc>
          <w:tcPr>
            <w:tcW w:w="4382" w:type="pct"/>
            <w:tcMar>
              <w:top w:w="10" w:type="dxa"/>
              <w:left w:w="10" w:type="dxa"/>
              <w:bottom w:w="0" w:type="dxa"/>
              <w:right w:w="10" w:type="dxa"/>
            </w:tcMar>
            <w:vAlign w:val="center"/>
          </w:tcPr>
          <w:p w14:paraId="6C98DFD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支持虚拟补丁功能，支持导入appscan和RayScan扫描器的扫描结果生成WAF的规则，对此类网站漏洞直接防护</w:t>
            </w:r>
            <w:r>
              <w:rPr>
                <w:rFonts w:hint="eastAsia" w:ascii="宋体" w:hAnsi="宋体" w:eastAsia="宋体" w:cs="宋体"/>
                <w:b/>
                <w:bCs w:val="0"/>
                <w:color w:val="auto"/>
                <w:kern w:val="0"/>
                <w:sz w:val="24"/>
                <w:szCs w:val="24"/>
                <w:highlight w:val="none"/>
              </w:rPr>
              <w:t>（提供功能截图）</w:t>
            </w:r>
          </w:p>
        </w:tc>
      </w:tr>
      <w:tr w14:paraId="34CE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617" w:type="pct"/>
            <w:tcMar>
              <w:top w:w="10" w:type="dxa"/>
              <w:left w:w="10" w:type="dxa"/>
              <w:bottom w:w="0" w:type="dxa"/>
              <w:right w:w="10" w:type="dxa"/>
            </w:tcMar>
            <w:vAlign w:val="center"/>
          </w:tcPr>
          <w:p w14:paraId="4BF6B4E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蜜罐防护</w:t>
            </w:r>
          </w:p>
        </w:tc>
        <w:tc>
          <w:tcPr>
            <w:tcW w:w="4382" w:type="pct"/>
            <w:tcMar>
              <w:top w:w="10" w:type="dxa"/>
              <w:left w:w="10" w:type="dxa"/>
              <w:bottom w:w="0" w:type="dxa"/>
              <w:right w:w="10" w:type="dxa"/>
            </w:tcMar>
            <w:vAlign w:val="center"/>
          </w:tcPr>
          <w:p w14:paraId="65EBB40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支持轻量级蜜罐防御功能，提供伪造的后台管理系统页面，主动诱使黑客进行攻击，记录攻击行为</w:t>
            </w:r>
            <w:r>
              <w:rPr>
                <w:rFonts w:hint="eastAsia" w:ascii="宋体" w:hAnsi="宋体" w:eastAsia="宋体" w:cs="宋体"/>
                <w:b/>
                <w:bCs w:val="0"/>
                <w:color w:val="auto"/>
                <w:kern w:val="0"/>
                <w:sz w:val="24"/>
                <w:szCs w:val="24"/>
                <w:highlight w:val="none"/>
              </w:rPr>
              <w:t>（提供功能截图）</w:t>
            </w:r>
          </w:p>
        </w:tc>
      </w:tr>
      <w:tr w14:paraId="72FC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617" w:type="pct"/>
            <w:tcMar>
              <w:top w:w="10" w:type="dxa"/>
              <w:left w:w="10" w:type="dxa"/>
              <w:bottom w:w="0" w:type="dxa"/>
              <w:right w:w="10" w:type="dxa"/>
            </w:tcMar>
            <w:vAlign w:val="center"/>
          </w:tcPr>
          <w:p w14:paraId="7EEA9D5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爬虫陷阱</w:t>
            </w:r>
          </w:p>
        </w:tc>
        <w:tc>
          <w:tcPr>
            <w:tcW w:w="4382" w:type="pct"/>
            <w:tcMar>
              <w:top w:w="10" w:type="dxa"/>
              <w:left w:w="10" w:type="dxa"/>
              <w:bottom w:w="0" w:type="dxa"/>
              <w:right w:w="10" w:type="dxa"/>
            </w:tcMar>
            <w:vAlign w:val="center"/>
          </w:tcPr>
          <w:p w14:paraId="61B953F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支持爬虫陷阱防护</w:t>
            </w:r>
            <w:r>
              <w:rPr>
                <w:rFonts w:hint="eastAsia" w:ascii="宋体" w:hAnsi="宋体" w:eastAsia="宋体" w:cs="宋体"/>
                <w:b/>
                <w:bCs w:val="0"/>
                <w:color w:val="auto"/>
                <w:kern w:val="0"/>
                <w:sz w:val="24"/>
                <w:szCs w:val="24"/>
                <w:highlight w:val="none"/>
              </w:rPr>
              <w:t>（提供功能截图）</w:t>
            </w:r>
          </w:p>
        </w:tc>
      </w:tr>
      <w:tr w14:paraId="3AC7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17" w:type="pct"/>
            <w:tcMar>
              <w:top w:w="10" w:type="dxa"/>
              <w:left w:w="10" w:type="dxa"/>
              <w:bottom w:w="0" w:type="dxa"/>
              <w:right w:w="10" w:type="dxa"/>
            </w:tcMar>
            <w:vAlign w:val="center"/>
          </w:tcPr>
          <w:p w14:paraId="08A6291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智能封禁</w:t>
            </w:r>
          </w:p>
        </w:tc>
        <w:tc>
          <w:tcPr>
            <w:tcW w:w="4382" w:type="pct"/>
            <w:tcMar>
              <w:top w:w="10" w:type="dxa"/>
              <w:left w:w="10" w:type="dxa"/>
              <w:bottom w:w="0" w:type="dxa"/>
              <w:right w:w="10" w:type="dxa"/>
            </w:tcMar>
            <w:vAlign w:val="center"/>
          </w:tcPr>
          <w:p w14:paraId="0FE09AD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支持智能封禁，通过对网站发起的攻击次数、危害级别两个维度进行算法分析与识别，进行智能封禁，并自定义攻击者封禁时间</w:t>
            </w:r>
            <w:r>
              <w:rPr>
                <w:rFonts w:hint="eastAsia" w:ascii="宋体" w:hAnsi="宋体" w:eastAsia="宋体" w:cs="宋体"/>
                <w:b/>
                <w:bCs w:val="0"/>
                <w:color w:val="auto"/>
                <w:kern w:val="0"/>
                <w:sz w:val="24"/>
                <w:szCs w:val="24"/>
                <w:highlight w:val="none"/>
              </w:rPr>
              <w:t>（提供功能截图）</w:t>
            </w:r>
          </w:p>
        </w:tc>
      </w:tr>
      <w:tr w14:paraId="2421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617" w:type="pct"/>
            <w:vMerge w:val="restart"/>
            <w:tcMar>
              <w:top w:w="10" w:type="dxa"/>
              <w:left w:w="10" w:type="dxa"/>
              <w:bottom w:w="0" w:type="dxa"/>
              <w:right w:w="10" w:type="dxa"/>
            </w:tcMar>
            <w:vAlign w:val="center"/>
          </w:tcPr>
          <w:p w14:paraId="14CEDD4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资产探测</w:t>
            </w:r>
          </w:p>
        </w:tc>
        <w:tc>
          <w:tcPr>
            <w:tcW w:w="4382" w:type="pct"/>
            <w:tcMar>
              <w:top w:w="10" w:type="dxa"/>
              <w:left w:w="10" w:type="dxa"/>
              <w:bottom w:w="0" w:type="dxa"/>
              <w:right w:w="10" w:type="dxa"/>
            </w:tcMar>
            <w:vAlign w:val="center"/>
          </w:tcPr>
          <w:p w14:paraId="2DC7F36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支持资产探测功能，提供自动识别资产系统类型和开放端口</w:t>
            </w:r>
            <w:r>
              <w:rPr>
                <w:rFonts w:hint="eastAsia" w:ascii="宋体" w:hAnsi="宋体" w:eastAsia="宋体" w:cs="宋体"/>
                <w:b/>
                <w:bCs w:val="0"/>
                <w:color w:val="auto"/>
                <w:kern w:val="0"/>
                <w:sz w:val="24"/>
                <w:szCs w:val="24"/>
                <w:highlight w:val="none"/>
              </w:rPr>
              <w:t>（提供功能截图）</w:t>
            </w:r>
          </w:p>
        </w:tc>
      </w:tr>
      <w:tr w14:paraId="0C6C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617" w:type="pct"/>
            <w:vMerge w:val="continue"/>
            <w:vAlign w:val="center"/>
          </w:tcPr>
          <w:p w14:paraId="6939D58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39C5912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支持周期性针对资产识别探测，支持自定义每天、每周、每月自动化探测功能</w:t>
            </w:r>
          </w:p>
        </w:tc>
      </w:tr>
      <w:tr w14:paraId="074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tcMar>
              <w:top w:w="10" w:type="dxa"/>
              <w:left w:w="10" w:type="dxa"/>
              <w:bottom w:w="0" w:type="dxa"/>
              <w:right w:w="10" w:type="dxa"/>
            </w:tcMar>
            <w:vAlign w:val="center"/>
          </w:tcPr>
          <w:p w14:paraId="00BF65E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外联检测</w:t>
            </w:r>
          </w:p>
        </w:tc>
        <w:tc>
          <w:tcPr>
            <w:tcW w:w="4382" w:type="pct"/>
            <w:tcMar>
              <w:top w:w="10" w:type="dxa"/>
              <w:left w:w="10" w:type="dxa"/>
              <w:bottom w:w="0" w:type="dxa"/>
              <w:right w:w="10" w:type="dxa"/>
            </w:tcMar>
            <w:vAlign w:val="center"/>
          </w:tcPr>
          <w:p w14:paraId="485C209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支持非法URL外联检测功能，针对特定外联URL进行监控或阻断，并且支持自定义URL地址</w:t>
            </w:r>
            <w:r>
              <w:rPr>
                <w:rFonts w:hint="eastAsia" w:ascii="宋体" w:hAnsi="宋体" w:eastAsia="宋体" w:cs="宋体"/>
                <w:b/>
                <w:bCs w:val="0"/>
                <w:color w:val="auto"/>
                <w:kern w:val="0"/>
                <w:sz w:val="24"/>
                <w:szCs w:val="24"/>
                <w:highlight w:val="none"/>
              </w:rPr>
              <w:t>（提供功能截图）</w:t>
            </w:r>
          </w:p>
        </w:tc>
      </w:tr>
      <w:tr w14:paraId="0877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17" w:type="pct"/>
            <w:vMerge w:val="restart"/>
            <w:tcMar>
              <w:top w:w="10" w:type="dxa"/>
              <w:left w:w="10" w:type="dxa"/>
              <w:bottom w:w="0" w:type="dxa"/>
              <w:right w:w="10" w:type="dxa"/>
            </w:tcMar>
            <w:vAlign w:val="center"/>
          </w:tcPr>
          <w:p w14:paraId="0BFB07E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流量限速</w:t>
            </w:r>
          </w:p>
        </w:tc>
        <w:tc>
          <w:tcPr>
            <w:tcW w:w="4382" w:type="pct"/>
            <w:tcMar>
              <w:top w:w="10" w:type="dxa"/>
              <w:left w:w="10" w:type="dxa"/>
              <w:bottom w:w="0" w:type="dxa"/>
              <w:right w:w="10" w:type="dxa"/>
            </w:tcMar>
            <w:vAlign w:val="center"/>
          </w:tcPr>
          <w:p w14:paraId="6AF79D1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支持流量限速功能，根据流量智能自动生成流量阈值</w:t>
            </w:r>
          </w:p>
        </w:tc>
      </w:tr>
      <w:tr w14:paraId="1452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17" w:type="pct"/>
            <w:vMerge w:val="continue"/>
            <w:vAlign w:val="center"/>
          </w:tcPr>
          <w:p w14:paraId="21CF644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4382" w:type="pct"/>
            <w:tcMar>
              <w:top w:w="10" w:type="dxa"/>
              <w:left w:w="10" w:type="dxa"/>
              <w:bottom w:w="0" w:type="dxa"/>
              <w:right w:w="10" w:type="dxa"/>
            </w:tcMar>
            <w:vAlign w:val="center"/>
          </w:tcPr>
          <w:p w14:paraId="56F00F0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支持检测TCP并发链接数，TCP新建链接数，TCP带宽（c2s），UDP带宽（c2s），ICMP带宽（c2s），HTTP GET 速率，HTTP POST 速率，HTTP 其他请求速率，DNS 查询请求速率，并发IP数量等单用户和总量进行自定义阈值配置</w:t>
            </w:r>
            <w:r>
              <w:rPr>
                <w:rFonts w:hint="eastAsia" w:ascii="宋体" w:hAnsi="宋体" w:eastAsia="宋体" w:cs="宋体"/>
                <w:b/>
                <w:bCs w:val="0"/>
                <w:color w:val="auto"/>
                <w:kern w:val="0"/>
                <w:sz w:val="24"/>
                <w:szCs w:val="24"/>
                <w:highlight w:val="none"/>
              </w:rPr>
              <w:t>（提供功能截图）</w:t>
            </w:r>
          </w:p>
        </w:tc>
      </w:tr>
      <w:tr w14:paraId="351A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17" w:type="pct"/>
            <w:vAlign w:val="center"/>
          </w:tcPr>
          <w:p w14:paraId="20C86A0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课程资源</w:t>
            </w:r>
          </w:p>
        </w:tc>
        <w:tc>
          <w:tcPr>
            <w:tcW w:w="4382" w:type="pct"/>
            <w:tcMar>
              <w:top w:w="10" w:type="dxa"/>
              <w:left w:w="10" w:type="dxa"/>
              <w:bottom w:w="0" w:type="dxa"/>
              <w:right w:w="10" w:type="dxa"/>
            </w:tcMar>
            <w:vAlign w:val="center"/>
          </w:tcPr>
          <w:p w14:paraId="3B2D414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eb应用防火墙技术与应用》课程资源需包含课程大纲、教学ppt、实验指导书、实训实验等丰富的教学及实操资源，可满足学校一个学期的理论和实验教学需求。以虚拟化web应用防火墙系统为教学基准，主要介绍web应用防火墙系统的基本知识、结构、配置方法。通过本课程能够学习web应用防火墙系统的部署运维等。</w:t>
            </w:r>
          </w:p>
        </w:tc>
      </w:tr>
      <w:tr w14:paraId="5B89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17" w:type="pct"/>
            <w:vAlign w:val="center"/>
          </w:tcPr>
          <w:p w14:paraId="3E21F5F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★教程编写能力</w:t>
            </w:r>
          </w:p>
        </w:tc>
        <w:tc>
          <w:tcPr>
            <w:tcW w:w="4382" w:type="pct"/>
            <w:tcMar>
              <w:top w:w="10" w:type="dxa"/>
              <w:left w:w="10" w:type="dxa"/>
              <w:bottom w:w="0" w:type="dxa"/>
              <w:right w:w="10" w:type="dxa"/>
            </w:tcMar>
            <w:vAlign w:val="center"/>
          </w:tcPr>
          <w:p w14:paraId="2E877EB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为保证平台能够与教学深度融合，投标人所投品牌的厂商需具备网络安全教材编写能力，并通过正规出版社出版发行，需提供正式发行的书号。</w:t>
            </w:r>
          </w:p>
        </w:tc>
      </w:tr>
    </w:tbl>
    <w:p w14:paraId="0FE92C90">
      <w:pPr>
        <w:keepNext/>
        <w:keepLines/>
        <w:widowControl w:val="0"/>
        <w:numPr>
          <w:ilvl w:val="3"/>
          <w:numId w:val="0"/>
        </w:numPr>
        <w:spacing w:before="280" w:after="290" w:line="240" w:lineRule="auto"/>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4.虚拟化入侵防御系统</w:t>
      </w:r>
    </w:p>
    <w:tbl>
      <w:tblPr>
        <w:tblStyle w:val="47"/>
        <w:tblW w:w="969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8400"/>
      </w:tblGrid>
      <w:tr w14:paraId="1E2D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96" w:type="dxa"/>
            <w:shd w:val="clear" w:color="000000" w:fill="EEECE1" w:themeFill="background2"/>
            <w:vAlign w:val="center"/>
          </w:tcPr>
          <w:p w14:paraId="4B1526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指标项</w:t>
            </w:r>
          </w:p>
        </w:tc>
        <w:tc>
          <w:tcPr>
            <w:tcW w:w="8400" w:type="dxa"/>
            <w:shd w:val="clear" w:color="000000" w:fill="EEECE1" w:themeFill="background2"/>
            <w:vAlign w:val="center"/>
          </w:tcPr>
          <w:p w14:paraId="72D291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指标要求</w:t>
            </w:r>
          </w:p>
        </w:tc>
      </w:tr>
      <w:tr w14:paraId="4FD2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6" w:type="dxa"/>
            <w:shd w:val="clear" w:color="auto" w:fill="auto"/>
            <w:vAlign w:val="center"/>
          </w:tcPr>
          <w:p w14:paraId="08B95F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bCs/>
                <w:color w:val="auto"/>
                <w:kern w:val="0"/>
                <w:sz w:val="24"/>
                <w:szCs w:val="24"/>
                <w:highlight w:val="none"/>
              </w:rPr>
              <w:t>兼容性</w:t>
            </w:r>
          </w:p>
        </w:tc>
        <w:tc>
          <w:tcPr>
            <w:tcW w:w="8400" w:type="dxa"/>
            <w:shd w:val="clear" w:color="000000" w:fill="FFFFFF"/>
            <w:vAlign w:val="center"/>
          </w:tcPr>
          <w:p w14:paraId="3783F2A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次采购的虚拟化入侵防御实验模块要求与我院现有信息安全实训平台无缝对接，构建虚拟化的实验环境，打破物理安全设备的局限性，提高教学、实训上课效率，实现更高效真实的攻防实训、仿真测试的需要，开展入侵防御与入侵检测的相关课程。</w:t>
            </w:r>
            <w:r>
              <w:rPr>
                <w:rFonts w:hint="eastAsia" w:ascii="宋体" w:hAnsi="宋体" w:eastAsia="宋体" w:cs="宋体"/>
                <w:b/>
                <w:bCs w:val="0"/>
                <w:color w:val="auto"/>
                <w:kern w:val="0"/>
                <w:sz w:val="24"/>
                <w:szCs w:val="24"/>
                <w:highlight w:val="none"/>
              </w:rPr>
              <w:t>（投标时提供的盖章承诺书）</w:t>
            </w:r>
          </w:p>
        </w:tc>
      </w:tr>
      <w:tr w14:paraId="352F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96" w:type="dxa"/>
            <w:vAlign w:val="center"/>
          </w:tcPr>
          <w:p w14:paraId="303D4E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网络配置</w:t>
            </w:r>
          </w:p>
        </w:tc>
        <w:tc>
          <w:tcPr>
            <w:tcW w:w="8400" w:type="dxa"/>
            <w:shd w:val="clear" w:color="auto" w:fill="auto"/>
            <w:vAlign w:val="center"/>
          </w:tcPr>
          <w:p w14:paraId="6CECBD9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"_支持静态ARP配置以及动态ARP获取"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支持静态ARP配置以及动态ARP获取</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w:t>
            </w:r>
            <w:r>
              <w:rPr>
                <w:rFonts w:hint="eastAsia" w:ascii="宋体" w:hAnsi="宋体" w:eastAsia="宋体" w:cs="宋体"/>
                <w:b/>
                <w:bCs w:val="0"/>
                <w:color w:val="auto"/>
                <w:kern w:val="0"/>
                <w:sz w:val="24"/>
                <w:szCs w:val="24"/>
                <w:highlight w:val="none"/>
              </w:rPr>
              <w:t>（提供功能截图）</w:t>
            </w:r>
          </w:p>
        </w:tc>
      </w:tr>
      <w:tr w14:paraId="0C1B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96" w:type="dxa"/>
            <w:vAlign w:val="center"/>
          </w:tcPr>
          <w:p w14:paraId="36797E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大屏展示</w:t>
            </w:r>
          </w:p>
        </w:tc>
        <w:tc>
          <w:tcPr>
            <w:tcW w:w="8400" w:type="dxa"/>
            <w:shd w:val="clear" w:color="auto" w:fill="auto"/>
            <w:vAlign w:val="center"/>
          </w:tcPr>
          <w:p w14:paraId="373BA58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支持态势感知大屏展示，综合展示攻击风险情况</w:t>
            </w:r>
          </w:p>
        </w:tc>
      </w:tr>
      <w:tr w14:paraId="0DCF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96" w:type="dxa"/>
            <w:vMerge w:val="restart"/>
            <w:vAlign w:val="center"/>
          </w:tcPr>
          <w:p w14:paraId="0D5116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IPS防护</w:t>
            </w:r>
          </w:p>
        </w:tc>
        <w:tc>
          <w:tcPr>
            <w:tcW w:w="8400" w:type="dxa"/>
            <w:shd w:val="clear" w:color="auto" w:fill="auto"/>
            <w:vAlign w:val="center"/>
          </w:tcPr>
          <w:p w14:paraId="357A031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支持根据攻击特征进行的攻击检测技术，对于攻击特征进行有效分类和组织便于用户管理和维护；</w:t>
            </w:r>
          </w:p>
        </w:tc>
      </w:tr>
      <w:tr w14:paraId="433E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6" w:type="dxa"/>
            <w:vMerge w:val="continue"/>
            <w:shd w:val="clear" w:color="auto" w:fill="auto"/>
            <w:vAlign w:val="center"/>
          </w:tcPr>
          <w:p w14:paraId="5C54264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auto" w:fill="auto"/>
            <w:vAlign w:val="center"/>
          </w:tcPr>
          <w:p w14:paraId="11149DD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支持自定义IPS特征； </w:t>
            </w:r>
          </w:p>
        </w:tc>
      </w:tr>
      <w:tr w14:paraId="143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6" w:type="dxa"/>
            <w:vMerge w:val="continue"/>
            <w:vAlign w:val="center"/>
          </w:tcPr>
          <w:p w14:paraId="5B39CDF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auto" w:fill="auto"/>
            <w:vAlign w:val="center"/>
          </w:tcPr>
          <w:p w14:paraId="064A70D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"_支持检测恶意活动，包括恶意URL证书、钓鱼攻击、非法获取权限等"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支持检测恶意活动，包括恶意SSL证书、钓鱼攻击、非法获取权限等</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w:t>
            </w:r>
            <w:r>
              <w:rPr>
                <w:rFonts w:hint="eastAsia" w:ascii="宋体" w:hAnsi="宋体" w:eastAsia="宋体" w:cs="宋体"/>
                <w:b/>
                <w:bCs w:val="0"/>
                <w:color w:val="auto"/>
                <w:kern w:val="0"/>
                <w:sz w:val="24"/>
                <w:szCs w:val="24"/>
                <w:highlight w:val="none"/>
              </w:rPr>
              <w:t>（提供功能截图）</w:t>
            </w:r>
          </w:p>
        </w:tc>
      </w:tr>
      <w:tr w14:paraId="26B2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6" w:type="dxa"/>
            <w:vMerge w:val="continue"/>
            <w:vAlign w:val="center"/>
          </w:tcPr>
          <w:p w14:paraId="44FC46F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auto" w:fill="auto"/>
            <w:vAlign w:val="center"/>
          </w:tcPr>
          <w:p w14:paraId="6D23870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"表格8"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支持检测漏洞后门类攻击，包括漏洞利用、后门攻击、文件包含、缓冲溢出、目录遍历等</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w:t>
            </w:r>
            <w:r>
              <w:rPr>
                <w:rFonts w:hint="eastAsia" w:ascii="宋体" w:hAnsi="宋体" w:eastAsia="宋体" w:cs="宋体"/>
                <w:b/>
                <w:bCs w:val="0"/>
                <w:color w:val="auto"/>
                <w:kern w:val="0"/>
                <w:sz w:val="24"/>
                <w:szCs w:val="24"/>
                <w:highlight w:val="none"/>
              </w:rPr>
              <w:t>（提供功能截图）</w:t>
            </w:r>
          </w:p>
        </w:tc>
      </w:tr>
      <w:tr w14:paraId="23FF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96" w:type="dxa"/>
            <w:vMerge w:val="continue"/>
            <w:vAlign w:val="center"/>
          </w:tcPr>
          <w:p w14:paraId="3E18C31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auto" w:fill="auto"/>
            <w:vAlign w:val="center"/>
          </w:tcPr>
          <w:p w14:paraId="666022D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"_支持检测僵木蠕类攻击，包括木马、蠕虫病毒、僵尸网络等"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支持检测僵木蠕类攻击，包括木马、蠕虫病毒、僵尸网络等</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w:t>
            </w:r>
            <w:r>
              <w:rPr>
                <w:rFonts w:hint="eastAsia" w:ascii="宋体" w:hAnsi="宋体" w:eastAsia="宋体" w:cs="宋体"/>
                <w:b/>
                <w:bCs w:val="0"/>
                <w:color w:val="auto"/>
                <w:kern w:val="0"/>
                <w:sz w:val="24"/>
                <w:szCs w:val="24"/>
                <w:highlight w:val="none"/>
              </w:rPr>
              <w:t>（提供功能截图）</w:t>
            </w:r>
          </w:p>
        </w:tc>
      </w:tr>
      <w:tr w14:paraId="5728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96" w:type="dxa"/>
            <w:vMerge w:val="continue"/>
            <w:vAlign w:val="center"/>
          </w:tcPr>
          <w:p w14:paraId="569585A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auto" w:fill="auto"/>
            <w:vAlign w:val="center"/>
          </w:tcPr>
          <w:p w14:paraId="4195E32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支持检测Web攻击类攻击，包括注入攻击、跨站脚本、Webshell等；</w:t>
            </w:r>
          </w:p>
        </w:tc>
      </w:tr>
      <w:tr w14:paraId="10BD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96" w:type="dxa"/>
            <w:vMerge w:val="continue"/>
            <w:vAlign w:val="center"/>
          </w:tcPr>
          <w:p w14:paraId="46DF717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auto" w:fill="auto"/>
            <w:vAlign w:val="center"/>
          </w:tcPr>
          <w:p w14:paraId="7E155A9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"_支持检测恶意软件类攻击，包括恶意软件、间谍软件等；"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支持检测恶意软件类攻击，包括恶意软件、间谍软件等；</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 </w:t>
            </w:r>
          </w:p>
        </w:tc>
      </w:tr>
      <w:tr w14:paraId="73D3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96" w:type="dxa"/>
            <w:vMerge w:val="continue"/>
            <w:vAlign w:val="center"/>
          </w:tcPr>
          <w:p w14:paraId="4F25EE2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auto" w:fill="auto"/>
            <w:vAlign w:val="center"/>
          </w:tcPr>
          <w:p w14:paraId="35D70B3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支持针对不同的策略设置例外规则</w:t>
            </w:r>
          </w:p>
        </w:tc>
      </w:tr>
      <w:tr w14:paraId="429F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96" w:type="dxa"/>
            <w:vAlign w:val="center"/>
          </w:tcPr>
          <w:p w14:paraId="0105B6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IPv4和IPv6安全</w:t>
            </w:r>
          </w:p>
        </w:tc>
        <w:tc>
          <w:tcPr>
            <w:tcW w:w="8400" w:type="dxa"/>
            <w:shd w:val="clear" w:color="auto" w:fill="auto"/>
            <w:vAlign w:val="center"/>
          </w:tcPr>
          <w:p w14:paraId="3CA70C7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"_支持IPv4和IPv6的双栈防护；（要求提供界面截图证明）"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支持IPv4和IPv6的双栈防护；</w:t>
            </w:r>
            <w:r>
              <w:rPr>
                <w:rFonts w:hint="eastAsia" w:ascii="宋体" w:hAnsi="宋体" w:eastAsia="宋体" w:cs="宋体"/>
                <w:bCs/>
                <w:color w:val="auto"/>
                <w:kern w:val="0"/>
                <w:sz w:val="24"/>
                <w:szCs w:val="24"/>
                <w:highlight w:val="none"/>
              </w:rPr>
              <w:fldChar w:fldCharType="end"/>
            </w:r>
          </w:p>
        </w:tc>
      </w:tr>
      <w:tr w14:paraId="0D56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6" w:type="dxa"/>
            <w:vMerge w:val="restart"/>
            <w:shd w:val="clear" w:color="auto" w:fill="auto"/>
            <w:vAlign w:val="center"/>
          </w:tcPr>
          <w:p w14:paraId="192112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外联检测</w:t>
            </w:r>
          </w:p>
        </w:tc>
        <w:tc>
          <w:tcPr>
            <w:tcW w:w="8400" w:type="dxa"/>
            <w:shd w:val="clear" w:color="auto" w:fill="auto"/>
            <w:vAlign w:val="center"/>
          </w:tcPr>
          <w:p w14:paraId="606D5BD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支持URL外联检测功能，针对特定外联URL进行监控或阻断；</w:t>
            </w:r>
          </w:p>
        </w:tc>
      </w:tr>
      <w:tr w14:paraId="0B65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96" w:type="dxa"/>
            <w:vMerge w:val="continue"/>
            <w:vAlign w:val="center"/>
          </w:tcPr>
          <w:p w14:paraId="3EBFFE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8400" w:type="dxa"/>
            <w:shd w:val="clear" w:color="auto" w:fill="auto"/>
            <w:vAlign w:val="center"/>
          </w:tcPr>
          <w:p w14:paraId="0C49B59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支持自定义URL过滤；</w:t>
            </w:r>
          </w:p>
        </w:tc>
      </w:tr>
      <w:tr w14:paraId="204B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96" w:type="dxa"/>
            <w:vMerge w:val="restart"/>
            <w:vAlign w:val="center"/>
          </w:tcPr>
          <w:p w14:paraId="294A91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攻击特征库和升级方式</w:t>
            </w:r>
          </w:p>
        </w:tc>
        <w:tc>
          <w:tcPr>
            <w:tcW w:w="8400" w:type="dxa"/>
            <w:shd w:val="clear" w:color="auto" w:fill="auto"/>
            <w:vAlign w:val="center"/>
          </w:tcPr>
          <w:p w14:paraId="5BDB77C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"_内置攻击特征库≥13000条；（要求提供界面截图证明）"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内置入侵攻击特征库不少于15000条；</w:t>
            </w:r>
            <w:r>
              <w:rPr>
                <w:rFonts w:hint="eastAsia" w:ascii="宋体" w:hAnsi="宋体" w:eastAsia="宋体" w:cs="宋体"/>
                <w:b/>
                <w:bCs w:val="0"/>
                <w:color w:val="auto"/>
                <w:kern w:val="0"/>
                <w:sz w:val="24"/>
                <w:szCs w:val="24"/>
                <w:highlight w:val="none"/>
              </w:rPr>
              <w:t>（提供功能截图）</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 xml:space="preserve"> </w:t>
            </w:r>
          </w:p>
        </w:tc>
      </w:tr>
      <w:tr w14:paraId="14DD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6" w:type="dxa"/>
            <w:vMerge w:val="continue"/>
            <w:vAlign w:val="center"/>
          </w:tcPr>
          <w:p w14:paraId="0178DC9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000000" w:fill="FFFFFF"/>
            <w:vAlign w:val="center"/>
          </w:tcPr>
          <w:p w14:paraId="2EC77D9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攻击特征库可支持本地、FTP服务器升级，同时支持在线更新和自动更新；</w:t>
            </w:r>
          </w:p>
        </w:tc>
      </w:tr>
      <w:tr w14:paraId="248A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6" w:type="dxa"/>
            <w:vMerge w:val="restart"/>
            <w:shd w:val="clear" w:color="auto" w:fill="auto"/>
            <w:vAlign w:val="center"/>
          </w:tcPr>
          <w:p w14:paraId="461E43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管理维护</w:t>
            </w:r>
          </w:p>
        </w:tc>
        <w:tc>
          <w:tcPr>
            <w:tcW w:w="8400" w:type="dxa"/>
            <w:shd w:val="clear" w:color="auto" w:fill="auto"/>
            <w:vAlign w:val="center"/>
          </w:tcPr>
          <w:p w14:paraId="64C9446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"_支持日志告警和内存告警配置，当设备达到设置阈值时会进行弹窗警报；（要求"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支持日志告警和内存告警配置，当设备达到设置阈值时会进行弹窗警报；</w:t>
            </w:r>
            <w:r>
              <w:rPr>
                <w:rFonts w:hint="eastAsia" w:ascii="宋体" w:hAnsi="宋体" w:eastAsia="宋体" w:cs="宋体"/>
                <w:bCs/>
                <w:color w:val="auto"/>
                <w:kern w:val="0"/>
                <w:sz w:val="24"/>
                <w:szCs w:val="24"/>
                <w:highlight w:val="none"/>
              </w:rPr>
              <w:fldChar w:fldCharType="end"/>
            </w:r>
          </w:p>
        </w:tc>
      </w:tr>
      <w:tr w14:paraId="4DA6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6" w:type="dxa"/>
            <w:vMerge w:val="continue"/>
            <w:vAlign w:val="center"/>
          </w:tcPr>
          <w:p w14:paraId="3748A5B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000000" w:fill="FFFFFF"/>
            <w:vAlign w:val="center"/>
          </w:tcPr>
          <w:p w14:paraId="6670E2D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"_支持手工备份和自动备份功能，可按每天、每周、每月自定义备份周期，并支持"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bCs/>
                <w:color w:val="auto"/>
                <w:kern w:val="0"/>
                <w:sz w:val="24"/>
                <w:szCs w:val="24"/>
                <w:highlight w:val="none"/>
              </w:rPr>
              <w:t>支持手工备份和自动备份功能，可按每天、每周、每月自定义备份周期，并支持自动清除历史备份数据，保障数据和配置安全性;</w:t>
            </w:r>
            <w:r>
              <w:rPr>
                <w:rFonts w:hint="eastAsia" w:ascii="宋体" w:hAnsi="宋体" w:eastAsia="宋体" w:cs="宋体"/>
                <w:bCs/>
                <w:color w:val="auto"/>
                <w:kern w:val="0"/>
                <w:sz w:val="24"/>
                <w:szCs w:val="24"/>
                <w:highlight w:val="none"/>
              </w:rPr>
              <w:fldChar w:fldCharType="end"/>
            </w:r>
          </w:p>
        </w:tc>
      </w:tr>
      <w:tr w14:paraId="20F2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6" w:type="dxa"/>
            <w:vMerge w:val="continue"/>
            <w:vAlign w:val="center"/>
          </w:tcPr>
          <w:p w14:paraId="4B7BDF6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000000" w:fill="FFFFFF"/>
            <w:vAlign w:val="center"/>
          </w:tcPr>
          <w:p w14:paraId="0E81A1B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支持一键诊断工具，一键完成系统信息收集；</w:t>
            </w:r>
          </w:p>
        </w:tc>
      </w:tr>
      <w:tr w14:paraId="0F68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6" w:type="dxa"/>
            <w:vMerge w:val="continue"/>
            <w:vAlign w:val="center"/>
          </w:tcPr>
          <w:p w14:paraId="0B2E859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p>
        </w:tc>
        <w:tc>
          <w:tcPr>
            <w:tcW w:w="8400" w:type="dxa"/>
            <w:shd w:val="clear" w:color="000000" w:fill="FFFFFF"/>
            <w:vAlign w:val="center"/>
          </w:tcPr>
          <w:p w14:paraId="27E7C86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支持基于Web的在线运维工具，包括Webshell、Ping、tcpdump、traceroute等;</w:t>
            </w:r>
          </w:p>
        </w:tc>
      </w:tr>
      <w:tr w14:paraId="56AE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6" w:type="dxa"/>
            <w:vAlign w:val="center"/>
          </w:tcPr>
          <w:p w14:paraId="00F241B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课程资源</w:t>
            </w:r>
          </w:p>
        </w:tc>
        <w:tc>
          <w:tcPr>
            <w:tcW w:w="8400" w:type="dxa"/>
            <w:shd w:val="clear" w:color="000000" w:fill="FFFFFF"/>
            <w:vAlign w:val="center"/>
          </w:tcPr>
          <w:p w14:paraId="1FFFACD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入侵检测与防御技术》课程资源需包含课程大纲、教学ppt、实验指导书、实训实验等丰富的教学及实操资源，可满足学校一个学期的理论和实验教学需求。以虚拟化入侵防御系统为教学基准，主要介绍入侵防御系统的基本知识、结构、配置方法。通过本课程能够学习入侵防御系统的部署运维等。</w:t>
            </w:r>
          </w:p>
        </w:tc>
      </w:tr>
      <w:tr w14:paraId="4280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6" w:type="dxa"/>
            <w:vAlign w:val="center"/>
          </w:tcPr>
          <w:p w14:paraId="23E9529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教程编写能力</w:t>
            </w:r>
          </w:p>
        </w:tc>
        <w:tc>
          <w:tcPr>
            <w:tcW w:w="8400" w:type="dxa"/>
            <w:shd w:val="clear" w:color="000000" w:fill="FFFFFF"/>
            <w:vAlign w:val="center"/>
          </w:tcPr>
          <w:p w14:paraId="33AB306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为保证平台能够与教学深度融合，投标人所投品牌的厂商需具备网络安全教材编写能力，并通过正规出版社出版发行，需提供正式发行的书号。</w:t>
            </w:r>
          </w:p>
        </w:tc>
      </w:tr>
    </w:tbl>
    <w:p w14:paraId="459DC5F3">
      <w:pPr>
        <w:widowControl/>
        <w:spacing w:line="240" w:lineRule="auto"/>
        <w:jc w:val="left"/>
        <w:rPr>
          <w:rFonts w:hint="eastAsia" w:ascii="宋体" w:hAnsi="宋体" w:eastAsia="宋体" w:cs="宋体"/>
          <w:color w:val="auto"/>
          <w:kern w:val="0"/>
          <w:sz w:val="24"/>
          <w:szCs w:val="24"/>
          <w:highlight w:val="none"/>
        </w:rPr>
      </w:pPr>
    </w:p>
    <w:p w14:paraId="2F6CE069">
      <w:pPr>
        <w:keepNext/>
        <w:keepLines/>
        <w:widowControl w:val="0"/>
        <w:numPr>
          <w:ilvl w:val="3"/>
          <w:numId w:val="0"/>
        </w:numPr>
        <w:spacing w:before="280" w:after="290" w:line="240" w:lineRule="auto"/>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5.虚拟化漏洞扫描与防护</w:t>
      </w:r>
    </w:p>
    <w:tbl>
      <w:tblPr>
        <w:tblStyle w:val="47"/>
        <w:tblW w:w="5380" w:type="pct"/>
        <w:tblInd w:w="-350" w:type="dxa"/>
        <w:tblLayout w:type="autofit"/>
        <w:tblCellMar>
          <w:top w:w="0" w:type="dxa"/>
          <w:left w:w="108" w:type="dxa"/>
          <w:bottom w:w="0" w:type="dxa"/>
          <w:right w:w="108" w:type="dxa"/>
        </w:tblCellMar>
      </w:tblPr>
      <w:tblGrid>
        <w:gridCol w:w="1348"/>
        <w:gridCol w:w="8401"/>
      </w:tblGrid>
      <w:tr w14:paraId="6945B72D">
        <w:tblPrEx>
          <w:tblCellMar>
            <w:top w:w="0" w:type="dxa"/>
            <w:left w:w="108" w:type="dxa"/>
            <w:bottom w:w="0" w:type="dxa"/>
            <w:right w:w="108" w:type="dxa"/>
          </w:tblCellMar>
        </w:tblPrEx>
        <w:trPr>
          <w:trHeight w:val="420" w:hRule="atLeast"/>
        </w:trPr>
        <w:tc>
          <w:tcPr>
            <w:tcW w:w="691"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6E816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指标项</w:t>
            </w:r>
          </w:p>
        </w:tc>
        <w:tc>
          <w:tcPr>
            <w:tcW w:w="4308"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79126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指标要求</w:t>
            </w:r>
          </w:p>
        </w:tc>
      </w:tr>
      <w:tr w14:paraId="4A274752">
        <w:tblPrEx>
          <w:tblCellMar>
            <w:top w:w="0" w:type="dxa"/>
            <w:left w:w="108" w:type="dxa"/>
            <w:bottom w:w="0" w:type="dxa"/>
            <w:right w:w="108" w:type="dxa"/>
          </w:tblCellMar>
        </w:tblPrEx>
        <w:trPr>
          <w:trHeight w:val="90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1C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兼容性</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9E5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rPr>
              <w:t>本次采购的虚拟化漏洞扫描与防护实验模块要求与我院现有信息安全实训平台无缝对接，构建虚拟化的实验环境，打破物理安全设备的局限性，提高教学、实训上课效率，实现更高效真实的攻防实训、仿真测试的需要，开展漏洞扫描与防护的相关课程。</w:t>
            </w:r>
            <w:r>
              <w:rPr>
                <w:rFonts w:hint="eastAsia" w:ascii="宋体" w:hAnsi="宋体" w:eastAsia="宋体" w:cs="宋体"/>
                <w:b/>
                <w:bCs w:val="0"/>
                <w:color w:val="auto"/>
                <w:kern w:val="0"/>
                <w:sz w:val="24"/>
                <w:szCs w:val="24"/>
                <w:highlight w:val="none"/>
              </w:rPr>
              <w:t>（投标时提供的盖章承诺书）</w:t>
            </w:r>
          </w:p>
        </w:tc>
      </w:tr>
      <w:tr w14:paraId="7C0A02C7">
        <w:tblPrEx>
          <w:tblCellMar>
            <w:top w:w="0" w:type="dxa"/>
            <w:left w:w="108" w:type="dxa"/>
            <w:bottom w:w="0" w:type="dxa"/>
            <w:right w:w="108" w:type="dxa"/>
          </w:tblCellMar>
        </w:tblPrEx>
        <w:trPr>
          <w:trHeight w:val="900"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0DF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基本要求</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D69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系统应能提供4大独立扫描模块，包含系统扫描、Web扫描、数据库扫描、弱口令扫描的全面扫描能力，每个模块具备各自的配置项，可灵活修改每个模块的配置参数以满足不同场景下的扫描需求。</w:t>
            </w:r>
            <w:r>
              <w:rPr>
                <w:rFonts w:hint="eastAsia" w:ascii="宋体" w:hAnsi="宋体" w:eastAsia="宋体" w:cs="宋体"/>
                <w:b/>
                <w:bCs w:val="0"/>
                <w:color w:val="auto"/>
                <w:kern w:val="0"/>
                <w:sz w:val="24"/>
                <w:szCs w:val="24"/>
                <w:highlight w:val="none"/>
              </w:rPr>
              <w:t>（提供功能截图）</w:t>
            </w:r>
          </w:p>
        </w:tc>
      </w:tr>
      <w:tr w14:paraId="02FB1481">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E9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6BB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采用B/S设计架构，SSL加密方式通信，无须安装客户端，用户可通过浏览器远程管理系统。</w:t>
            </w:r>
          </w:p>
        </w:tc>
      </w:tr>
      <w:tr w14:paraId="6D296B63">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97B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C3C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系统应支持部署在IPv4、IPv6环境下，且系统扫描、Web扫描、数据库扫描、弱口令扫描等各类型任务均支持添加IPv6扫描目标。</w:t>
            </w:r>
          </w:p>
        </w:tc>
      </w:tr>
      <w:tr w14:paraId="7FA63FFB">
        <w:tblPrEx>
          <w:tblCellMar>
            <w:top w:w="0" w:type="dxa"/>
            <w:left w:w="108" w:type="dxa"/>
            <w:bottom w:w="0" w:type="dxa"/>
            <w:right w:w="108" w:type="dxa"/>
          </w:tblCellMar>
        </w:tblPrEx>
        <w:trPr>
          <w:trHeight w:val="900"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607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任务管理</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8B9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系统应支持针对指定IP段，同时一键下发系统扫描、Web扫描、弱口令扫描任务，其中Web扫描能够自动发现该网段内的在线网站并开展扫描；弱口令扫描能自动发现该网段IP开放服务并自动开展弱口令扫描。</w:t>
            </w:r>
            <w:r>
              <w:rPr>
                <w:rFonts w:hint="eastAsia" w:ascii="宋体" w:hAnsi="宋体" w:eastAsia="宋体" w:cs="宋体"/>
                <w:b/>
                <w:bCs w:val="0"/>
                <w:color w:val="auto"/>
                <w:kern w:val="0"/>
                <w:sz w:val="24"/>
                <w:szCs w:val="24"/>
                <w:highlight w:val="none"/>
              </w:rPr>
              <w:t>（提供功能截图）</w:t>
            </w:r>
          </w:p>
        </w:tc>
      </w:tr>
      <w:tr w14:paraId="2B586E2C">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87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BB0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系统应支持实时显示扫描进度及结果，能够在扫描过程中实时查看主机信息及漏洞信息。</w:t>
            </w:r>
          </w:p>
        </w:tc>
      </w:tr>
      <w:tr w14:paraId="6256BD46">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5B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CAD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系统应支持一键复制指定任务的配置，针对新的扫描目标创建相同配置的任务。</w:t>
            </w:r>
          </w:p>
        </w:tc>
      </w:tr>
      <w:tr w14:paraId="0B7BF03F">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C3D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314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系统应支持自定义任务执行方式，支持立即扫描、定时扫描、周期性扫描等多种扫描方式，自定义周期扫描时间可精确到每天、每周或每月的某天、某时、某分；</w:t>
            </w:r>
          </w:p>
        </w:tc>
      </w:tr>
      <w:tr w14:paraId="37375D39">
        <w:tblPrEx>
          <w:tblCellMar>
            <w:top w:w="0" w:type="dxa"/>
            <w:left w:w="108" w:type="dxa"/>
            <w:bottom w:w="0" w:type="dxa"/>
            <w:right w:w="108" w:type="dxa"/>
          </w:tblCellMar>
        </w:tblPrEx>
        <w:trPr>
          <w:trHeight w:val="600"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2B4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系统扫描</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6C0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系统应支持检测的系统漏洞数不少于17万个，覆盖CVE、CVSS、CNVD、CNNVD、CNCVE、Bugtraq多种漏洞标准。</w:t>
            </w:r>
            <w:r>
              <w:rPr>
                <w:rFonts w:hint="eastAsia" w:ascii="宋体" w:hAnsi="宋体" w:eastAsia="宋体" w:cs="宋体"/>
                <w:b/>
                <w:bCs w:val="0"/>
                <w:color w:val="auto"/>
                <w:kern w:val="0"/>
                <w:sz w:val="24"/>
                <w:szCs w:val="24"/>
                <w:highlight w:val="none"/>
              </w:rPr>
              <w:t>（提供功能截图）</w:t>
            </w:r>
          </w:p>
        </w:tc>
      </w:tr>
      <w:tr w14:paraId="727B1541">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69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4BC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扫描通用操作系统，涵盖Windows系列、苹果操作系统、Linux、AIX、HPUX、IRIX、BSD、Solaris等；支持扫描交换路由设备，涵盖Cisco、Juniper、华为、F5、Checkpoint、锐捷在内的主流厂商的设备；支持扫描安全设备，涵盖Checkpoint、Cisco、Juniper、华为在内的主流厂商的防火墙等安全设备；</w:t>
            </w:r>
          </w:p>
        </w:tc>
      </w:tr>
      <w:tr w14:paraId="59323B0C">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49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241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系统应支持通过SSH、SMB、TELNET、RDP、POP、POP3、IMAP、FTP、WMI、RSH、REXEC、WINRM、SNMP等协议对目标主机进行登录扫描。</w:t>
            </w:r>
          </w:p>
        </w:tc>
      </w:tr>
      <w:tr w14:paraId="43D8A076">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1D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E62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系统应支持批量导入认证信息，能够批量验证登录认证信息是否正确。</w:t>
            </w:r>
          </w:p>
        </w:tc>
      </w:tr>
      <w:tr w14:paraId="2A202416">
        <w:tblPrEx>
          <w:tblCellMar>
            <w:top w:w="0" w:type="dxa"/>
            <w:left w:w="108" w:type="dxa"/>
            <w:bottom w:w="0" w:type="dxa"/>
            <w:right w:w="108" w:type="dxa"/>
          </w:tblCellMar>
        </w:tblPrEx>
        <w:trPr>
          <w:trHeight w:val="523"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790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187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支持中间件漏洞扫描，涵盖Apache、Resin、Nginx、Tomcat、BIND、DOMINO、WebSphere、IIS、Jboss等；</w:t>
            </w:r>
          </w:p>
        </w:tc>
      </w:tr>
      <w:tr w14:paraId="20D43B74">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BBD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B82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系统支持大数据组件框架漏洞检测，如zookeeper、ElasticSearch、ActiveMQ 、Kibana、Hadoop等。</w:t>
            </w:r>
          </w:p>
        </w:tc>
      </w:tr>
      <w:tr w14:paraId="63054EAC">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94B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BDD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系统应支持不同维度的漏洞库视图，包含漏洞类别维度、操作系统维度、漏洞发现时间维度、服务维度、应用维度。</w:t>
            </w:r>
          </w:p>
        </w:tc>
      </w:tr>
      <w:tr w14:paraId="6A75E3AF">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CED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123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系统应默认内置多种不同的检测模式，包含但不限于标准扫描、快速扫描、完全扫描、深度扫描，不同检测模式默认对应不同的扫描任务策略及配置。</w:t>
            </w:r>
          </w:p>
        </w:tc>
      </w:tr>
      <w:tr w14:paraId="4D003EAB">
        <w:tblPrEx>
          <w:tblCellMar>
            <w:top w:w="0" w:type="dxa"/>
            <w:left w:w="108" w:type="dxa"/>
            <w:bottom w:w="0" w:type="dxa"/>
            <w:right w:w="108" w:type="dxa"/>
          </w:tblCellMar>
        </w:tblPrEx>
        <w:trPr>
          <w:trHeight w:val="9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436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095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系统应提供高级漏洞模板过滤器，支持通过漏洞名称、漏洞编号（含CVE编号、CNNVD编号、CNVD编号）、漏洞级别、发现时间、操作系统类别、应用类别、服务类别过滤出满足需求的漏洞并创建漏洞模板。</w:t>
            </w:r>
          </w:p>
        </w:tc>
      </w:tr>
      <w:tr w14:paraId="66A257B2">
        <w:tblPrEx>
          <w:tblCellMar>
            <w:top w:w="0" w:type="dxa"/>
            <w:left w:w="108" w:type="dxa"/>
            <w:bottom w:w="0" w:type="dxa"/>
            <w:right w:w="108" w:type="dxa"/>
          </w:tblCellMar>
        </w:tblPrEx>
        <w:trPr>
          <w:trHeight w:val="300"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0CF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Web扫描</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4EC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系统应支持Web漏洞扫描，支持检测OWASP Top10定义的常见10大类Web漏洞。</w:t>
            </w:r>
          </w:p>
        </w:tc>
      </w:tr>
      <w:tr w14:paraId="51B53B61">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986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D57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漏洞结果系统应支持展示详细的HTTP请求头信息。</w:t>
            </w:r>
          </w:p>
        </w:tc>
      </w:tr>
      <w:tr w14:paraId="76C727EE">
        <w:tblPrEx>
          <w:tblCellMar>
            <w:top w:w="0" w:type="dxa"/>
            <w:left w:w="108" w:type="dxa"/>
            <w:bottom w:w="0" w:type="dxa"/>
            <w:right w:w="108" w:type="dxa"/>
          </w:tblCellMar>
        </w:tblPrEx>
        <w:trPr>
          <w:trHeight w:val="9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66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2FF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系统应支持Web登录扫描，系统应支持Cookie认证、Form认证、Basic认证、NTLM认证、Session认证、Digest认证、SSL，并支持Web登陆验证，确保Web登录成功。</w:t>
            </w:r>
            <w:r>
              <w:rPr>
                <w:rFonts w:hint="eastAsia" w:ascii="宋体" w:hAnsi="宋体" w:eastAsia="宋体" w:cs="宋体"/>
                <w:b/>
                <w:bCs w:val="0"/>
                <w:color w:val="auto"/>
                <w:kern w:val="0"/>
                <w:sz w:val="24"/>
                <w:szCs w:val="24"/>
                <w:highlight w:val="none"/>
              </w:rPr>
              <w:t>（提供功能截图）</w:t>
            </w:r>
          </w:p>
        </w:tc>
      </w:tr>
      <w:tr w14:paraId="300D189A">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824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F2F9">
            <w:pPr>
              <w:keepNext w:val="0"/>
              <w:keepLines w:val="0"/>
              <w:widowControl/>
              <w:suppressLineNumbers w:val="0"/>
              <w:tabs>
                <w:tab w:val="right" w:pos="7565"/>
              </w:tabs>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系统应支持Web扫描代理检测，能够使用HTTP代理和SOCKS代理方式。</w:t>
            </w:r>
            <w:r>
              <w:rPr>
                <w:rFonts w:hint="eastAsia" w:ascii="宋体" w:hAnsi="宋体" w:eastAsia="宋体" w:cs="宋体"/>
                <w:bCs/>
                <w:color w:val="auto"/>
                <w:kern w:val="0"/>
                <w:sz w:val="24"/>
                <w:szCs w:val="24"/>
                <w:highlight w:val="none"/>
                <w:lang w:bidi="ar"/>
              </w:rPr>
              <w:tab/>
            </w:r>
          </w:p>
        </w:tc>
      </w:tr>
      <w:tr w14:paraId="462E835E">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21A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D5D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系统应支持自定义检测网站时爬虫爬取网站的页面深度。</w:t>
            </w:r>
          </w:p>
        </w:tc>
      </w:tr>
      <w:tr w14:paraId="39039A01">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E88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32D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系统应支持自定义检测方向设置，即爬虫在爬取网站树时，采用的先后顺序策略。</w:t>
            </w:r>
          </w:p>
        </w:tc>
      </w:tr>
      <w:tr w14:paraId="01C9D1D8">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B94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8EA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系统应支持自定义爬虫模拟提交时的表单填充内容。</w:t>
            </w:r>
          </w:p>
        </w:tc>
      </w:tr>
      <w:tr w14:paraId="5E99A66C">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35F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0F2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系统应支持自定义例外URL、例外文件类型、例外特定检测参数。</w:t>
            </w:r>
          </w:p>
        </w:tc>
      </w:tr>
      <w:tr w14:paraId="2DC4B3C4">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125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0DF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系统应支持扫描并发线程数设置。</w:t>
            </w:r>
          </w:p>
        </w:tc>
      </w:tr>
      <w:tr w14:paraId="60CA0B92">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F2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704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系统应支持大小写敏感或不敏感的检测方式。</w:t>
            </w:r>
          </w:p>
        </w:tc>
      </w:tr>
      <w:tr w14:paraId="1E322899">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D11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DA8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系统应支持自定义最大类似页面数和同目录下最大页面数。</w:t>
            </w:r>
          </w:p>
        </w:tc>
      </w:tr>
      <w:tr w14:paraId="31871AA1">
        <w:tblPrEx>
          <w:tblCellMar>
            <w:top w:w="0" w:type="dxa"/>
            <w:left w:w="108" w:type="dxa"/>
            <w:bottom w:w="0" w:type="dxa"/>
            <w:right w:w="108" w:type="dxa"/>
          </w:tblCellMar>
        </w:tblPrEx>
        <w:trPr>
          <w:trHeight w:val="600"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4DA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数据库扫描</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C32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系统应支持主流数据库漏洞的检测，应包括但不限于：Oracle、Sybase、SQLServer、DB2、MySQL、Postgres、Informix、达梦、南大通用、人大金仓、神通等。</w:t>
            </w:r>
          </w:p>
        </w:tc>
      </w:tr>
      <w:tr w14:paraId="33FE8341">
        <w:tblPrEx>
          <w:tblCellMar>
            <w:top w:w="0" w:type="dxa"/>
            <w:left w:w="108" w:type="dxa"/>
            <w:bottom w:w="0" w:type="dxa"/>
            <w:right w:w="108" w:type="dxa"/>
          </w:tblCellMar>
        </w:tblPrEx>
        <w:trPr>
          <w:trHeight w:val="12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F87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DE6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Oralce、Sybase、SQLServer、DB2、MySQL、Postgres、Informix数据库的登录扫描，包括数据库账号、密码，SYSDBA、SYSOPER、NORMAL认证，SID、数据库名称、实例名称及实例号等登录选项的设置，系统应支持数据库在线登陆验证。</w:t>
            </w:r>
          </w:p>
        </w:tc>
      </w:tr>
      <w:tr w14:paraId="2E97A4C2">
        <w:tblPrEx>
          <w:tblCellMar>
            <w:top w:w="0" w:type="dxa"/>
            <w:left w:w="108" w:type="dxa"/>
            <w:bottom w:w="0" w:type="dxa"/>
            <w:right w:w="108" w:type="dxa"/>
          </w:tblCellMar>
        </w:tblPrEx>
        <w:trPr>
          <w:trHeight w:val="900"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424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弱口令扫描</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FB7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系统应支持目前主流协议、数据库、中间件、HTTP web服务、HTTPS web服务、常用摄像头弱口令检测。</w:t>
            </w:r>
            <w:r>
              <w:rPr>
                <w:rFonts w:hint="eastAsia" w:ascii="宋体" w:hAnsi="宋体" w:eastAsia="宋体" w:cs="宋体"/>
                <w:b/>
                <w:bCs w:val="0"/>
                <w:color w:val="auto"/>
                <w:kern w:val="0"/>
                <w:sz w:val="24"/>
                <w:szCs w:val="24"/>
                <w:highlight w:val="none"/>
              </w:rPr>
              <w:t>（提供功能截图）</w:t>
            </w:r>
          </w:p>
          <w:p w14:paraId="12695F0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主流服务/协议弱口令包括：TELNET、FTP、SSH、POP3、SMB、SNMP、RDP、SMTP</w:t>
            </w:r>
          </w:p>
          <w:p w14:paraId="38865AC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主流数据库弱口令包括：Oracle、REDIS、MySQL、PostgreSQL、MsSQL、DB2、MongoDB、Sybase 、Informix</w:t>
            </w:r>
          </w:p>
          <w:p w14:paraId="5BFA2D1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rPr>
              <w:t>主流中间件</w:t>
            </w:r>
            <w:r>
              <w:rPr>
                <w:rFonts w:hint="eastAsia" w:ascii="宋体" w:hAnsi="宋体" w:eastAsia="宋体" w:cs="宋体"/>
                <w:bCs/>
                <w:color w:val="auto"/>
                <w:kern w:val="0"/>
                <w:sz w:val="24"/>
                <w:szCs w:val="24"/>
                <w:highlight w:val="none"/>
                <w:lang w:bidi="ar"/>
              </w:rPr>
              <w:t>弱口令</w:t>
            </w:r>
            <w:r>
              <w:rPr>
                <w:rFonts w:hint="eastAsia" w:ascii="宋体" w:hAnsi="宋体" w:eastAsia="宋体" w:cs="宋体"/>
                <w:bCs/>
                <w:color w:val="auto"/>
                <w:kern w:val="0"/>
                <w:sz w:val="24"/>
                <w:szCs w:val="24"/>
                <w:highlight w:val="none"/>
              </w:rPr>
              <w:t>包括：</w:t>
            </w:r>
            <w:r>
              <w:rPr>
                <w:rFonts w:hint="eastAsia" w:ascii="宋体" w:hAnsi="宋体" w:eastAsia="宋体" w:cs="宋体"/>
                <w:bCs/>
                <w:color w:val="auto"/>
                <w:kern w:val="0"/>
                <w:sz w:val="24"/>
                <w:szCs w:val="24"/>
                <w:highlight w:val="none"/>
                <w:lang w:bidi="ar"/>
              </w:rPr>
              <w:t>Tomcat、WebLogic、JBoss、WebSphere、GlassFish</w:t>
            </w:r>
          </w:p>
          <w:p w14:paraId="6FD8F55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HTTP</w:t>
            </w:r>
            <w:r>
              <w:rPr>
                <w:rFonts w:hint="eastAsia" w:ascii="宋体" w:hAnsi="宋体" w:eastAsia="宋体" w:cs="宋体"/>
                <w:bCs/>
                <w:color w:val="auto"/>
                <w:kern w:val="0"/>
                <w:sz w:val="24"/>
                <w:szCs w:val="24"/>
                <w:highlight w:val="none"/>
                <w:lang w:bidi="ar"/>
              </w:rPr>
              <w:t>类型的web弱口令</w:t>
            </w:r>
            <w:r>
              <w:rPr>
                <w:rFonts w:hint="eastAsia" w:ascii="宋体" w:hAnsi="宋体" w:eastAsia="宋体" w:cs="宋体"/>
                <w:bCs/>
                <w:color w:val="auto"/>
                <w:kern w:val="0"/>
                <w:sz w:val="24"/>
                <w:szCs w:val="24"/>
                <w:highlight w:val="none"/>
              </w:rPr>
              <w:t>包括：http-get、http-get-form、http-post-form、http-head、http-post</w:t>
            </w:r>
          </w:p>
          <w:p w14:paraId="7710C16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HTTPS</w:t>
            </w:r>
            <w:r>
              <w:rPr>
                <w:rFonts w:hint="eastAsia" w:ascii="宋体" w:hAnsi="宋体" w:eastAsia="宋体" w:cs="宋体"/>
                <w:bCs/>
                <w:color w:val="auto"/>
                <w:kern w:val="0"/>
                <w:sz w:val="24"/>
                <w:szCs w:val="24"/>
                <w:highlight w:val="none"/>
                <w:lang w:bidi="ar"/>
              </w:rPr>
              <w:t>类型的web弱口令</w:t>
            </w:r>
            <w:r>
              <w:rPr>
                <w:rFonts w:hint="eastAsia" w:ascii="宋体" w:hAnsi="宋体" w:eastAsia="宋体" w:cs="宋体"/>
                <w:bCs/>
                <w:color w:val="auto"/>
                <w:kern w:val="0"/>
                <w:sz w:val="24"/>
                <w:szCs w:val="24"/>
                <w:highlight w:val="none"/>
              </w:rPr>
              <w:t>包括：https-get、https-get-form、https-post-form、https-head、https-post</w:t>
            </w:r>
          </w:p>
          <w:p w14:paraId="5DFD162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eastAsia="zh-CN" w:bidi="ar"/>
              </w:rPr>
            </w:pPr>
            <w:r>
              <w:rPr>
                <w:rFonts w:hint="eastAsia" w:ascii="宋体" w:hAnsi="宋体" w:eastAsia="宋体" w:cs="宋体"/>
                <w:bCs/>
                <w:color w:val="auto"/>
                <w:kern w:val="0"/>
                <w:sz w:val="24"/>
                <w:szCs w:val="24"/>
                <w:highlight w:val="none"/>
                <w:lang w:bidi="ar"/>
              </w:rPr>
              <w:t>主流摄像头弱口令包括：大华、华为、宇视、海康摄像头</w:t>
            </w:r>
            <w:r>
              <w:rPr>
                <w:rFonts w:hint="eastAsia" w:ascii="宋体" w:hAnsi="宋体" w:eastAsia="宋体" w:cs="宋体"/>
                <w:bCs/>
                <w:color w:val="auto"/>
                <w:kern w:val="0"/>
                <w:sz w:val="24"/>
                <w:szCs w:val="24"/>
                <w:highlight w:val="none"/>
                <w:lang w:eastAsia="zh-CN" w:bidi="ar"/>
              </w:rPr>
              <w:t>或相当于</w:t>
            </w:r>
          </w:p>
        </w:tc>
      </w:tr>
      <w:tr w14:paraId="63EBCA6D">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7CD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2DC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系统应支持用户自定义口令字典。</w:t>
            </w:r>
          </w:p>
        </w:tc>
      </w:tr>
      <w:tr w14:paraId="2455DFFE">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432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84F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系统应支持通过用户名字典、密码字典、用户名密码组合字典进行检测。</w:t>
            </w:r>
          </w:p>
        </w:tc>
      </w:tr>
      <w:tr w14:paraId="44A88818">
        <w:tblPrEx>
          <w:tblCellMar>
            <w:top w:w="0" w:type="dxa"/>
            <w:left w:w="108" w:type="dxa"/>
            <w:bottom w:w="0" w:type="dxa"/>
            <w:right w:w="108" w:type="dxa"/>
          </w:tblCellMar>
        </w:tblPrEx>
        <w:trPr>
          <w:trHeight w:val="405"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83B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资产管理</w:t>
            </w:r>
          </w:p>
        </w:tc>
        <w:tc>
          <w:tcPr>
            <w:tcW w:w="4308" w:type="pct"/>
            <w:tcBorders>
              <w:top w:val="single" w:color="000000" w:sz="4" w:space="0"/>
              <w:left w:val="single" w:color="000000" w:sz="4" w:space="0"/>
              <w:right w:val="single" w:color="000000" w:sz="4" w:space="0"/>
            </w:tcBorders>
            <w:shd w:val="clear" w:color="auto" w:fill="auto"/>
            <w:vAlign w:val="center"/>
          </w:tcPr>
          <w:p w14:paraId="23CA722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系统应支持资产统一管理，支持按照IP、URL、网页编码、操作系统、MAC地址、所属资产组、资产标签、资产评分对资产进行高级检索和分析。</w:t>
            </w:r>
          </w:p>
        </w:tc>
      </w:tr>
      <w:tr w14:paraId="364B387C">
        <w:tblPrEx>
          <w:tblCellMar>
            <w:top w:w="0" w:type="dxa"/>
            <w:left w:w="108" w:type="dxa"/>
            <w:bottom w:w="0" w:type="dxa"/>
            <w:right w:w="108" w:type="dxa"/>
          </w:tblCellMar>
        </w:tblPrEx>
        <w:trPr>
          <w:trHeight w:val="3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9D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925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系统应支持对资产及资产检测结果进行备份恢复。</w:t>
            </w:r>
          </w:p>
        </w:tc>
      </w:tr>
      <w:tr w14:paraId="152C5728">
        <w:tblPrEx>
          <w:tblCellMar>
            <w:top w:w="0" w:type="dxa"/>
            <w:left w:w="108" w:type="dxa"/>
            <w:bottom w:w="0" w:type="dxa"/>
            <w:right w:w="108" w:type="dxa"/>
          </w:tblCellMar>
        </w:tblPrEx>
        <w:trPr>
          <w:trHeight w:val="900"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A97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数据分析及报表管理</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368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系统应支持漏洞数据高级检索及分析，系统应支持按照目标IP或URL、操作系统、MAC地址、资产评分、漏洞等级、漏洞名称、漏洞类别、漏洞评分、开放端口查看漏洞分布情况，并将检索结果导出。</w:t>
            </w:r>
          </w:p>
        </w:tc>
      </w:tr>
      <w:tr w14:paraId="4EC411F6">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D79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798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系统应支持单个资产历史扫描结果变化趋势展示，并可对比任意两次扫描结果，查看新增漏洞和减少漏洞。</w:t>
            </w:r>
          </w:p>
        </w:tc>
      </w:tr>
      <w:tr w14:paraId="43BFAF14">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5A40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B06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系统应提供对同一目标不同次任务扫描结果的对比分析功能，能够列出两次任务结果对比中新增和减少的漏洞信息。</w:t>
            </w:r>
          </w:p>
        </w:tc>
      </w:tr>
      <w:tr w14:paraId="7258ED94">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41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92A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系统应支持导出统计和详细两种类型的报表，并系统应支持设置报表压缩包密码，确保报表安全性。</w:t>
            </w:r>
          </w:p>
        </w:tc>
      </w:tr>
      <w:tr w14:paraId="02DAC919">
        <w:tblPrEx>
          <w:tblCellMar>
            <w:top w:w="0" w:type="dxa"/>
            <w:left w:w="108" w:type="dxa"/>
            <w:bottom w:w="0" w:type="dxa"/>
            <w:right w:w="108" w:type="dxa"/>
          </w:tblCellMar>
        </w:tblPrEx>
        <w:trPr>
          <w:trHeight w:val="9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3F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FBC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应支持自定义导出报表模板，可定制指定漏洞等级（高危、中危、低危、信息）、指定漏洞状态（新增、误报、已修复）、指定报表标题以及章节内容的报表模板，并可在导出报表时灵活选择已经定义好的报表模板</w:t>
            </w:r>
            <w:r>
              <w:rPr>
                <w:rFonts w:hint="eastAsia" w:ascii="宋体" w:hAnsi="宋体" w:eastAsia="宋体" w:cs="宋体"/>
                <w:b/>
                <w:bCs w:val="0"/>
                <w:color w:val="auto"/>
                <w:kern w:val="0"/>
                <w:sz w:val="24"/>
                <w:szCs w:val="24"/>
                <w:highlight w:val="none"/>
              </w:rPr>
              <w:t>（提供功能截图）</w:t>
            </w:r>
          </w:p>
        </w:tc>
      </w:tr>
      <w:tr w14:paraId="10EEBE58">
        <w:tblPrEx>
          <w:tblCellMar>
            <w:top w:w="0" w:type="dxa"/>
            <w:left w:w="108" w:type="dxa"/>
            <w:bottom w:w="0" w:type="dxa"/>
            <w:right w:w="108" w:type="dxa"/>
          </w:tblCellMar>
        </w:tblPrEx>
        <w:trPr>
          <w:trHeight w:val="486"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07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系统管理</w:t>
            </w:r>
          </w:p>
        </w:tc>
        <w:tc>
          <w:tcPr>
            <w:tcW w:w="4308" w:type="pct"/>
            <w:tcBorders>
              <w:top w:val="single" w:color="000000" w:sz="4" w:space="0"/>
              <w:left w:val="single" w:color="000000" w:sz="4" w:space="0"/>
              <w:right w:val="single" w:color="000000" w:sz="4" w:space="0"/>
            </w:tcBorders>
            <w:shd w:val="clear" w:color="auto" w:fill="auto"/>
            <w:vAlign w:val="center"/>
          </w:tcPr>
          <w:p w14:paraId="6EF05A7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系统能够对CPU、内存、磁盘、网络状态、设备授权到期及漏洞库升级授权到期进行告警，可以灵活配置告警要求。</w:t>
            </w:r>
          </w:p>
        </w:tc>
      </w:tr>
      <w:tr w14:paraId="347F4CB8">
        <w:tblPrEx>
          <w:tblCellMar>
            <w:top w:w="0" w:type="dxa"/>
            <w:left w:w="108" w:type="dxa"/>
            <w:bottom w:w="0" w:type="dxa"/>
            <w:right w:w="108" w:type="dxa"/>
          </w:tblCellMar>
        </w:tblPrEx>
        <w:trPr>
          <w:trHeight w:val="60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25B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CA5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系统支持自带诊断工具，包含端口探测、Tcpdump抓包、故障信息收集、一键诊断修复等工具。</w:t>
            </w:r>
          </w:p>
        </w:tc>
      </w:tr>
      <w:tr w14:paraId="772D6645">
        <w:tblPrEx>
          <w:tblCellMar>
            <w:top w:w="0" w:type="dxa"/>
            <w:left w:w="108" w:type="dxa"/>
            <w:bottom w:w="0" w:type="dxa"/>
            <w:right w:w="108" w:type="dxa"/>
          </w:tblCellMar>
        </w:tblPrEx>
        <w:trPr>
          <w:trHeight w:val="60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81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课程资源</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014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rPr>
              <w:t>《漏洞扫描与漏洞防护》课程资源需包含课程大纲、教学ppt、实验指导书、实训实验等丰富的教学及实操资源，可满足学校一个学期的理论和实验教学需求。以虚拟化漏洞扫描系统为教学基准，主要介绍漏洞扫描系统的基本知识、结构、配置方法。通过本课程能够学习漏洞扫描系统的部署运维。</w:t>
            </w:r>
          </w:p>
        </w:tc>
      </w:tr>
      <w:tr w14:paraId="24B67D84">
        <w:tblPrEx>
          <w:tblCellMar>
            <w:top w:w="0" w:type="dxa"/>
            <w:left w:w="108" w:type="dxa"/>
            <w:bottom w:w="0" w:type="dxa"/>
            <w:right w:w="108" w:type="dxa"/>
          </w:tblCellMar>
        </w:tblPrEx>
        <w:trPr>
          <w:trHeight w:val="60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B0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教程编写能力</w:t>
            </w:r>
          </w:p>
        </w:tc>
        <w:tc>
          <w:tcPr>
            <w:tcW w:w="4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E28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color w:val="auto"/>
                <w:kern w:val="0"/>
                <w:sz w:val="24"/>
                <w:szCs w:val="24"/>
                <w:highlight w:val="none"/>
              </w:rPr>
              <w:t>★为保证平台能够与教学深度融合，投标人所投品牌的厂商需具备网络安全教材编写能力，并通过正规出版社出版发行，</w:t>
            </w:r>
            <w:r>
              <w:rPr>
                <w:rFonts w:hint="eastAsia" w:ascii="宋体" w:hAnsi="宋体" w:eastAsia="宋体" w:cs="宋体"/>
                <w:b/>
                <w:bCs/>
                <w:color w:val="auto"/>
                <w:kern w:val="0"/>
                <w:sz w:val="24"/>
                <w:szCs w:val="24"/>
                <w:highlight w:val="none"/>
              </w:rPr>
              <w:t>需提供正式发行的书号。</w:t>
            </w:r>
          </w:p>
        </w:tc>
      </w:tr>
    </w:tbl>
    <w:p w14:paraId="77DEB810">
      <w:pPr>
        <w:keepNext/>
        <w:keepLines/>
        <w:widowControl w:val="0"/>
        <w:numPr>
          <w:ilvl w:val="0"/>
          <w:numId w:val="0"/>
        </w:numPr>
        <w:spacing w:before="260" w:after="260" w:line="240" w:lineRule="auto"/>
        <w:ind w:left="851"/>
        <w:jc w:val="center"/>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建设子项</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highlight w:val="none"/>
        </w:rPr>
        <w:t>网络安全实训系统课程资源包扩容</w:t>
      </w:r>
    </w:p>
    <w:tbl>
      <w:tblPr>
        <w:tblStyle w:val="48"/>
        <w:tblW w:w="9791"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8427"/>
      </w:tblGrid>
      <w:tr w14:paraId="111B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4" w:type="dxa"/>
            <w:shd w:val="clear" w:color="auto" w:fill="EEECE1" w:themeFill="background2"/>
            <w:vAlign w:val="center"/>
          </w:tcPr>
          <w:p w14:paraId="63404E8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8427" w:type="dxa"/>
            <w:shd w:val="clear" w:color="auto" w:fill="EEECE1" w:themeFill="background2"/>
            <w:vAlign w:val="center"/>
          </w:tcPr>
          <w:p w14:paraId="5ECFC9B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3AB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shd w:val="clear" w:color="auto" w:fill="auto"/>
            <w:vAlign w:val="center"/>
          </w:tcPr>
          <w:p w14:paraId="347E8B6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6、CTF竞赛解题实战课程资源包</w:t>
            </w:r>
          </w:p>
        </w:tc>
        <w:tc>
          <w:tcPr>
            <w:tcW w:w="8427" w:type="dxa"/>
            <w:shd w:val="clear" w:color="auto" w:fill="auto"/>
            <w:vAlign w:val="center"/>
          </w:tcPr>
          <w:p w14:paraId="5FDF0C0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本课程通过模拟企业构建信息系统及其支撑环境过程，学习和掌握支持企业信息处理的基本功能。通过对企业信息系统典型的信息输入、存储、处理、输出和控制过程的建设和管理，使得学生了解企业典型信息系统的建设思想，掌握信息系统建设过程中网络结构的规划和实施、信息服务的设计和部署，确保信息系统能够正常运行。</w:t>
            </w:r>
          </w:p>
          <w:p w14:paraId="231B97F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2、</w:t>
            </w:r>
            <w:r>
              <w:rPr>
                <w:rFonts w:hint="eastAsia" w:ascii="宋体" w:hAnsi="宋体" w:eastAsia="宋体" w:cs="宋体"/>
                <w:b/>
                <w:bCs/>
                <w:color w:val="auto"/>
                <w:kern w:val="0"/>
                <w:sz w:val="24"/>
                <w:szCs w:val="24"/>
                <w:highlight w:val="none"/>
              </w:rPr>
              <w:t>项目实训任务要求包含：</w:t>
            </w:r>
          </w:p>
          <w:p w14:paraId="367D77E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CTF竞赛解题实战-</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bidi="ar"/>
              </w:rPr>
              <w:t>web</w:t>
            </w:r>
          </w:p>
          <w:p w14:paraId="4134BC1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CTF竞赛解题实战-</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bidi="ar"/>
              </w:rPr>
              <w:t>reverse</w:t>
            </w:r>
          </w:p>
          <w:p w14:paraId="5D3FA58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CTF竞赛解题实战-</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bidi="ar"/>
              </w:rPr>
              <w:t>pwn</w:t>
            </w:r>
          </w:p>
          <w:p w14:paraId="5CE8E1D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CTF竞赛解题实战-</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bidi="ar"/>
              </w:rPr>
              <w:t>misc</w:t>
            </w:r>
          </w:p>
          <w:p w14:paraId="12A6B59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CTF竞赛解题实战-</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bidi="ar"/>
              </w:rPr>
              <w:t>crypto</w:t>
            </w:r>
          </w:p>
        </w:tc>
      </w:tr>
      <w:tr w14:paraId="0CEF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shd w:val="clear" w:color="auto" w:fill="auto"/>
            <w:vAlign w:val="center"/>
          </w:tcPr>
          <w:p w14:paraId="1372B33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7、网络安全攻防技术实战课程资源包</w:t>
            </w:r>
          </w:p>
        </w:tc>
        <w:tc>
          <w:tcPr>
            <w:tcW w:w="8427" w:type="dxa"/>
            <w:shd w:val="clear" w:color="auto" w:fill="auto"/>
            <w:vAlign w:val="center"/>
          </w:tcPr>
          <w:p w14:paraId="7C9E280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本课程通过搭建主要业务应用系统的典型企业网络架构，让学生模拟攻击者的角色，在不了解企业环境内部拓扑和业务系统的情况下，通过企业对外服务业务的暴露途径考察学生对企业网络架构与应用的认知、脆弱性发现、漏洞利用。学生通过以上攻击过程，还原网络结构及发现网络中的脆弱点，最终形成渗透测试报告，其中发现的所有脆弱点及修复建议。含五年内课程资源包更新。</w:t>
            </w:r>
          </w:p>
          <w:p w14:paraId="62ADE06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2、项目实训任务要求包含：</w:t>
            </w:r>
          </w:p>
          <w:p w14:paraId="0A64977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信息收集</w:t>
            </w:r>
          </w:p>
          <w:p w14:paraId="2513D8B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漏洞分析</w:t>
            </w:r>
          </w:p>
          <w:p w14:paraId="4A2FEE3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Web渗透测试</w:t>
            </w:r>
          </w:p>
          <w:p w14:paraId="142E730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权限提升</w:t>
            </w:r>
          </w:p>
          <w:p w14:paraId="7A513B8D">
            <w:pPr>
              <w:keepNext w:val="0"/>
              <w:keepLines w:val="0"/>
              <w:widowControl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权限维持</w:t>
            </w:r>
          </w:p>
          <w:p w14:paraId="50F7C0E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内网渗透代理</w:t>
            </w:r>
          </w:p>
          <w:p w14:paraId="3E2B97E1">
            <w:pPr>
              <w:keepNext w:val="0"/>
              <w:keepLines w:val="0"/>
              <w:widowControl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内网常见攻击</w:t>
            </w:r>
          </w:p>
          <w:p w14:paraId="60A86B3B">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后渗透</w:t>
            </w:r>
          </w:p>
          <w:p w14:paraId="01077B3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痕迹清除</w:t>
            </w:r>
          </w:p>
        </w:tc>
      </w:tr>
      <w:tr w14:paraId="1737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7F1B8E9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8、企业网及服务建设课程</w:t>
            </w:r>
            <w:r>
              <w:rPr>
                <w:rFonts w:hint="eastAsia" w:ascii="宋体" w:hAnsi="宋体" w:cs="宋体"/>
                <w:b/>
                <w:bCs/>
                <w:color w:val="auto"/>
                <w:kern w:val="0"/>
                <w:sz w:val="24"/>
                <w:szCs w:val="24"/>
                <w:highlight w:val="none"/>
                <w:lang w:val="en-US" w:eastAsia="zh-CN"/>
              </w:rPr>
              <w:t>资源包</w:t>
            </w:r>
          </w:p>
        </w:tc>
        <w:tc>
          <w:tcPr>
            <w:tcW w:w="8427" w:type="dxa"/>
            <w:vAlign w:val="center"/>
          </w:tcPr>
          <w:p w14:paraId="6DB71B3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用户企业网安全建设的常见需求，分别从基础网络建设、网络服务搭建等方面设计该课程，通过课程的学习提高学生对企业网主流网络和业务架构的了解，可独立完成对企业网络架构和客户安全需求分析，掌握简单网络安全项目方案的设计思路，运用项目管理的方法管理项目过程，熟练掌握企业内部信息网络主流架构、网络、系统、服务等相关知识技能完成企业网络安全建设项目；</w:t>
            </w:r>
          </w:p>
          <w:p w14:paraId="675B209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2、项目实训任务要求包含：</w:t>
            </w:r>
          </w:p>
          <w:p w14:paraId="11D10BA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企业网络搭建；</w:t>
            </w:r>
          </w:p>
          <w:p w14:paraId="609F302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企业服务搭建-DNS域名解析建设；</w:t>
            </w:r>
          </w:p>
          <w:p w14:paraId="1BD9255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企业服务搭建-DHCP自动IP地址分配建设；</w:t>
            </w:r>
          </w:p>
          <w:p w14:paraId="0E4844C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企业服务搭建-AD域建设；</w:t>
            </w:r>
          </w:p>
          <w:p w14:paraId="6D570DD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企业服务搭建-FTP文件共享建设；</w:t>
            </w:r>
          </w:p>
          <w:p w14:paraId="34EE960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企业服务建设-Email建设；</w:t>
            </w:r>
          </w:p>
          <w:p w14:paraId="00035B0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3、该实训资源需与校内实训系统联动，以项目式的工作流程进行教学，包含实验手册、实验拓扑，实验拓扑不少于18个网络节点，可在线一键开启拓扑环境。</w:t>
            </w:r>
          </w:p>
        </w:tc>
      </w:tr>
      <w:tr w14:paraId="4224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560F2C9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9、WEB安全综合实战课程资源包</w:t>
            </w:r>
          </w:p>
        </w:tc>
        <w:tc>
          <w:tcPr>
            <w:tcW w:w="8427" w:type="dxa"/>
            <w:vAlign w:val="center"/>
          </w:tcPr>
          <w:p w14:paraId="3BE3BEB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介绍Web安全基础知识，掌握具备BurpSuite等常见工具的使用能力，具备MySQL注入、文件上传、命令执行、代码执行、XSS、SSRF、反序列化、中间件洞、数据库等漏洞的利用能力，以及基本的Web综合攻防能力。</w:t>
            </w:r>
          </w:p>
        </w:tc>
      </w:tr>
      <w:tr w14:paraId="534C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6093B66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10、Linux操作系统安全课程资源包</w:t>
            </w:r>
          </w:p>
        </w:tc>
        <w:tc>
          <w:tcPr>
            <w:tcW w:w="8427" w:type="dxa"/>
            <w:vAlign w:val="center"/>
          </w:tcPr>
          <w:p w14:paraId="6284EF8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Linux基本命令使用实验</w:t>
            </w:r>
          </w:p>
          <w:p w14:paraId="3A4CAEA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Linux用户管理</w:t>
            </w:r>
          </w:p>
          <w:p w14:paraId="0C91913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Linux网络与服务管理</w:t>
            </w:r>
          </w:p>
          <w:p w14:paraId="46A5B31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Linux文件系统管理</w:t>
            </w:r>
          </w:p>
          <w:p w14:paraId="28ABDA0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Linux下ftp服务器配置实验</w:t>
            </w:r>
          </w:p>
          <w:p w14:paraId="4772818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Linux提权后获取敏感信息的方法与途径</w:t>
            </w:r>
          </w:p>
          <w:p w14:paraId="30D18B5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Linux系统缺省的存取控制权限</w:t>
            </w:r>
          </w:p>
          <w:p w14:paraId="3D2CEC9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samba服务器配置和管理</w:t>
            </w:r>
          </w:p>
          <w:p w14:paraId="0BE11DE8">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WEB服务器配置与管理</w:t>
            </w:r>
          </w:p>
          <w:p w14:paraId="296F497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NFS服务器配置与管理</w:t>
            </w:r>
          </w:p>
          <w:p w14:paraId="18AF787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Iptables服务器配置与管理</w:t>
            </w:r>
          </w:p>
          <w:p w14:paraId="74ED929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Linux下修改OpenSSH服务端口号</w:t>
            </w:r>
          </w:p>
          <w:p w14:paraId="5BADDBA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Linux下MD5工具进行文件哈希签名</w:t>
            </w:r>
          </w:p>
          <w:p w14:paraId="6AD48A4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Linux系统日志清除</w:t>
            </w:r>
          </w:p>
        </w:tc>
      </w:tr>
      <w:tr w14:paraId="13AD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1B251CC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11、入侵检测基础课程资源包</w:t>
            </w:r>
          </w:p>
        </w:tc>
        <w:tc>
          <w:tcPr>
            <w:tcW w:w="8427" w:type="dxa"/>
            <w:vAlign w:val="center"/>
          </w:tcPr>
          <w:p w14:paraId="514AC12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Snort基础环境安装配置</w:t>
            </w:r>
          </w:p>
          <w:p w14:paraId="2E0D06C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嗅探与数据包记录器</w:t>
            </w:r>
          </w:p>
          <w:p w14:paraId="7D7EFD2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入侵行为检测</w:t>
            </w:r>
          </w:p>
          <w:p w14:paraId="3D97737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入侵检测规则编写</w:t>
            </w:r>
          </w:p>
          <w:p w14:paraId="7DC5A63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sfportscan预处理器</w:t>
            </w:r>
          </w:p>
          <w:p w14:paraId="58E4E3A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snort_inline安装与配置</w:t>
            </w:r>
          </w:p>
          <w:p w14:paraId="0933EF2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snort_inline规则编写及应用</w:t>
            </w:r>
          </w:p>
          <w:p w14:paraId="4FCD91F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Snort与防火墙联动</w:t>
            </w:r>
          </w:p>
          <w:p w14:paraId="77766EE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barnyard2的安装配置</w:t>
            </w:r>
          </w:p>
          <w:p w14:paraId="5611B4E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base的安装配置</w:t>
            </w:r>
          </w:p>
          <w:p w14:paraId="070E256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Windows搭建SNORT+BASE入侵检测系统</w:t>
            </w:r>
          </w:p>
          <w:p w14:paraId="4DC16D4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WAF部署</w:t>
            </w:r>
          </w:p>
        </w:tc>
      </w:tr>
      <w:tr w14:paraId="270E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199A993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12、网络安全技术基础课程资源包</w:t>
            </w:r>
          </w:p>
        </w:tc>
        <w:tc>
          <w:tcPr>
            <w:tcW w:w="8427" w:type="dxa"/>
            <w:vAlign w:val="center"/>
          </w:tcPr>
          <w:p w14:paraId="6039118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HTTP代理下HTTPS流量分析</w:t>
            </w:r>
          </w:p>
          <w:p w14:paraId="514911C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DNS劫持</w:t>
            </w:r>
          </w:p>
          <w:p w14:paraId="1540602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DNS劫持植入木马</w:t>
            </w:r>
          </w:p>
          <w:p w14:paraId="08182A5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主机探测与端口扫描</w:t>
            </w:r>
          </w:p>
          <w:p w14:paraId="7C6CE79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PGP加密技术</w:t>
            </w:r>
          </w:p>
          <w:p w14:paraId="5772013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web安全</w:t>
            </w:r>
          </w:p>
          <w:p w14:paraId="281A13D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RST攻击</w:t>
            </w:r>
          </w:p>
          <w:p w14:paraId="1618D8A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SYNflood攻击</w:t>
            </w:r>
          </w:p>
          <w:p w14:paraId="54EC1868">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iptables防火墙</w:t>
            </w:r>
          </w:p>
          <w:p w14:paraId="7C3FD12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入侵检测</w:t>
            </w:r>
          </w:p>
          <w:p w14:paraId="5E00471B">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蜜罐</w:t>
            </w:r>
          </w:p>
          <w:p w14:paraId="2D406BB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综合实验</w:t>
            </w:r>
          </w:p>
        </w:tc>
      </w:tr>
      <w:tr w14:paraId="56EB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2E88BB3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13、网络安全应急响应课程资源包</w:t>
            </w:r>
          </w:p>
        </w:tc>
        <w:tc>
          <w:tcPr>
            <w:tcW w:w="8427" w:type="dxa"/>
            <w:vAlign w:val="center"/>
          </w:tcPr>
          <w:p w14:paraId="4675236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系统备份：</w:t>
            </w:r>
          </w:p>
          <w:p w14:paraId="410571E9">
            <w:pPr>
              <w:keepNext w:val="0"/>
              <w:keepLines w:val="0"/>
              <w:widowControl w:val="0"/>
              <w:suppressLineNumbers w:val="0"/>
              <w:spacing w:before="0" w:beforeAutospacing="0" w:after="0" w:afterAutospacing="0" w:line="240" w:lineRule="auto"/>
              <w:ind w:left="0" w:right="0" w:firstLine="720" w:firstLineChars="30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Windows备份</w:t>
            </w:r>
          </w:p>
          <w:p w14:paraId="162812A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 xml:space="preserve">  MySQL数据库备份与修复</w:t>
            </w:r>
          </w:p>
          <w:p w14:paraId="6FABD30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安全加固：</w:t>
            </w:r>
          </w:p>
          <w:p w14:paraId="11B86372">
            <w:pPr>
              <w:keepNext w:val="0"/>
              <w:keepLines w:val="0"/>
              <w:widowControl w:val="0"/>
              <w:suppressLineNumbers w:val="0"/>
              <w:spacing w:before="0" w:beforeAutospacing="0" w:after="0" w:afterAutospacing="0" w:line="240" w:lineRule="auto"/>
              <w:ind w:left="0" w:right="0" w:firstLine="720" w:firstLineChars="30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windows安全加固2.0</w:t>
            </w:r>
          </w:p>
          <w:p w14:paraId="32F9660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 xml:space="preserve">  IIs安全加固2.0</w:t>
            </w:r>
          </w:p>
          <w:p w14:paraId="45F57F5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 xml:space="preserve">  mysql安全加固2.0</w:t>
            </w:r>
          </w:p>
          <w:p w14:paraId="7F92E95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网站篡改：网站篡改应急响应</w:t>
            </w:r>
          </w:p>
          <w:p w14:paraId="667F5B9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勒索病毒：</w:t>
            </w:r>
          </w:p>
          <w:p w14:paraId="1B66C974">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勒索病毒应急响应_wireshark安装</w:t>
            </w:r>
          </w:p>
          <w:p w14:paraId="00A1E5AB">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勒索病毒应急响应_wireshark使用</w:t>
            </w:r>
          </w:p>
          <w:p w14:paraId="09DA90D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勒索病毒应急响应-天擎控制台安装</w:t>
            </w:r>
          </w:p>
          <w:p w14:paraId="1E92014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勒索病毒应急响应-杀毒软件升级</w:t>
            </w:r>
          </w:p>
          <w:p w14:paraId="057FD32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勒索病毒应急响应-病毒查杀</w:t>
            </w:r>
          </w:p>
          <w:p w14:paraId="674C4C0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勒索病毒应急响应</w:t>
            </w:r>
          </w:p>
        </w:tc>
      </w:tr>
      <w:tr w14:paraId="12C9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2500105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14、逆向工程技术实战课程资源包</w:t>
            </w:r>
          </w:p>
        </w:tc>
        <w:tc>
          <w:tcPr>
            <w:tcW w:w="8427" w:type="dxa"/>
            <w:vAlign w:val="center"/>
          </w:tcPr>
          <w:p w14:paraId="640DE76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逆向工程技术概述</w:t>
            </w:r>
          </w:p>
          <w:p w14:paraId="089C7A6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逆向工程必备知识之操作系统及程序运行原理</w:t>
            </w:r>
          </w:p>
          <w:p w14:paraId="60D9B60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逆向工程必备知识之IA-32寄存器及栈</w:t>
            </w:r>
          </w:p>
          <w:p w14:paraId="3ADC822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逆向工程必备知识之汇编语言基础</w:t>
            </w:r>
          </w:p>
          <w:p w14:paraId="2E49B95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逆向工程常用工具之动态调试工具</w:t>
            </w:r>
          </w:p>
          <w:p w14:paraId="2E7F4E8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逆向工程常用工具之静态分析工具</w:t>
            </w:r>
          </w:p>
          <w:p w14:paraId="4E42C0C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“正向”学习逆向分析</w:t>
            </w:r>
          </w:p>
          <w:p w14:paraId="0756FDC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逆向实战</w:t>
            </w:r>
          </w:p>
        </w:tc>
      </w:tr>
      <w:tr w14:paraId="0C1F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488466A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15、企业网渗透测试课程</w:t>
            </w:r>
            <w:r>
              <w:rPr>
                <w:rFonts w:hint="eastAsia" w:ascii="宋体" w:hAnsi="宋体" w:cs="宋体"/>
                <w:b/>
                <w:bCs/>
                <w:color w:val="auto"/>
                <w:kern w:val="0"/>
                <w:sz w:val="24"/>
                <w:szCs w:val="24"/>
                <w:highlight w:val="none"/>
                <w:lang w:val="en-US" w:eastAsia="zh-CN"/>
              </w:rPr>
              <w:t>资源包</w:t>
            </w:r>
          </w:p>
        </w:tc>
        <w:tc>
          <w:tcPr>
            <w:tcW w:w="8427" w:type="dxa"/>
            <w:vAlign w:val="center"/>
          </w:tcPr>
          <w:p w14:paraId="2F62511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实训项目制课程通过搭建主要业务应用系统的典型企业网络架构，让学生模拟攻击者的角色，在不了解企业环境内部拓扑和业务系统的情况下，通过企业对外服务业务的暴露途径考察学生对企业网络架构与应用的认知、脆弱性发现、漏洞利用。学生通过以上攻击过程，还原网络结构及发现网络中的脆弱点，最终形成渗透测试报告，其中发现的所有脆弱点及修复建议。</w:t>
            </w:r>
          </w:p>
          <w:p w14:paraId="691070E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
                <w:bCs/>
                <w:color w:val="auto"/>
                <w:kern w:val="0"/>
                <w:sz w:val="24"/>
                <w:szCs w:val="24"/>
                <w:highlight w:val="none"/>
              </w:rPr>
              <w:t>项目实训任务要求包含：</w:t>
            </w:r>
          </w:p>
          <w:p w14:paraId="2CF24E7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登录www.qiye.com网站后台获取flag1（管理员用户的描述中）</w:t>
            </w:r>
          </w:p>
          <w:p w14:paraId="04ABA22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通过www.qiye.com后台目录遍历漏洞，获取服务器tomcat管理页面的账号密码，并登录（获取管理页面中的flag2）</w:t>
            </w:r>
          </w:p>
          <w:p w14:paraId="4074170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在www.qiye.com服务器的c盘根目录获取flag3</w:t>
            </w:r>
          </w:p>
          <w:p w14:paraId="0F2D6D7B">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通过new.qiye.com网站某页面存在的Sql注入漏洞获取数据库中的flag4</w:t>
            </w:r>
          </w:p>
          <w:p w14:paraId="320FB94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登录news.qiye.com网站，提交网站后台首页中的flag5</w:t>
            </w:r>
          </w:p>
          <w:p w14:paraId="6202E89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读取news.qiye.com网站配置文件中的flag6</w:t>
            </w:r>
          </w:p>
          <w:p w14:paraId="52F1A80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读取news.qiye.com服务器中/home目录下的flag7</w:t>
            </w:r>
          </w:p>
          <w:p w14:paraId="37AB2EA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登录blog.qiye.com网站的后台，提交网站后台草稿文章中的flag8</w:t>
            </w:r>
          </w:p>
          <w:p w14:paraId="77560EA8">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获取blog.qiye.com网站的配置文件中的flag9</w:t>
            </w:r>
          </w:p>
          <w:p w14:paraId="23DE9C5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获取blog.qiye.com数据库中flag表中的flag10</w:t>
            </w:r>
          </w:p>
          <w:p w14:paraId="2DF40EA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获取blog.qiye.com网站服务器/root目录下的flag11</w:t>
            </w:r>
          </w:p>
          <w:p w14:paraId="614F860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找到存在redis服务的内网服务器的ip地址，提交格式flag12{ip地址}</w:t>
            </w:r>
          </w:p>
          <w:p w14:paraId="7A252F1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读取存在redis服务的机器中redis服务所使用的配置文件的路径，提交路径flag13{文件全路径}</w:t>
            </w:r>
          </w:p>
          <w:p w14:paraId="1C87069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读取存在redis服务的机器中/root目录下的flag14</w:t>
            </w:r>
          </w:p>
          <w:p w14:paraId="058EC438">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破解redis同网络中存在oa-web服务机器的admin用户的密码，提交格式flag15{密码}</w:t>
            </w:r>
          </w:p>
          <w:p w14:paraId="609C600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发现和redis服务器同一网络中的ip为x.x.x.30服务器上的漏洞，并读取其/root目录中的flag16</w:t>
            </w:r>
          </w:p>
          <w:p w14:paraId="51AE0FD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网络中存在网络文件系统服务，读取存在用户目录的flag17 </w:t>
            </w:r>
          </w:p>
          <w:p w14:paraId="75B666E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读取网络文件系统服务所在机器/root目录下的flag18</w:t>
            </w:r>
          </w:p>
          <w:p w14:paraId="512C4DC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使用上一任务中发现的用户名登录网络中还存在此用户的机器，读取此用户目录下的flag19</w:t>
            </w:r>
          </w:p>
          <w:p w14:paraId="6DB41A8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读取任务十九机器中/root目录下的flag20</w:t>
            </w:r>
          </w:p>
          <w:p w14:paraId="6BA3C55B">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获取管理员电脑的administrator密码并提交，提交格式flag21{administrator密码}</w:t>
            </w:r>
          </w:p>
          <w:p w14:paraId="41B1EFF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找到网路中的用户区，获取网络管理员机器的权限，读取其电脑c:/flag22</w:t>
            </w:r>
          </w:p>
          <w:p w14:paraId="5DA9905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获取域账号eviluser的密码，提交格式flag23{eviluser账号的密码}</w:t>
            </w:r>
          </w:p>
          <w:p w14:paraId="277CED5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读取域控服务器c:/flag24</w:t>
            </w:r>
          </w:p>
          <w:p w14:paraId="7707738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4、该实训资源需与校内实训系统联动，以项目式的工作流程进行教学，包含实验手册、实验拓扑，实验拓扑不少于18个网络节点，可在线一键开启拓扑环境</w:t>
            </w:r>
          </w:p>
        </w:tc>
      </w:tr>
      <w:tr w14:paraId="1073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0E8FDDD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16、密码学算法编程课程资源包</w:t>
            </w:r>
          </w:p>
        </w:tc>
        <w:tc>
          <w:tcPr>
            <w:tcW w:w="8427" w:type="dxa"/>
            <w:vAlign w:val="center"/>
          </w:tcPr>
          <w:p w14:paraId="352172D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对称密码的工作模式</w:t>
            </w:r>
          </w:p>
          <w:p w14:paraId="5DF319A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移位密码</w:t>
            </w:r>
          </w:p>
          <w:p w14:paraId="6EEEB3C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置换密码</w:t>
            </w:r>
          </w:p>
          <w:p w14:paraId="0889255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AES算法</w:t>
            </w:r>
          </w:p>
          <w:p w14:paraId="0045518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DES密码</w:t>
            </w:r>
          </w:p>
          <w:p w14:paraId="4D1FAC7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DSA签名算法</w:t>
            </w:r>
          </w:p>
          <w:p w14:paraId="547C117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ECC算法</w:t>
            </w:r>
          </w:p>
          <w:p w14:paraId="03CB4CE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MD5算法</w:t>
            </w:r>
          </w:p>
          <w:p w14:paraId="4FE2451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RC4算法</w:t>
            </w:r>
          </w:p>
          <w:p w14:paraId="0CCA43B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RSA算法</w:t>
            </w:r>
          </w:p>
          <w:p w14:paraId="60B3896B">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SHA-1算法</w:t>
            </w:r>
          </w:p>
          <w:p w14:paraId="53BD962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SM4密码</w:t>
            </w:r>
          </w:p>
          <w:p w14:paraId="1B86707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Vigenere密码</w:t>
            </w:r>
          </w:p>
          <w:p w14:paraId="00B3288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ZUC算法</w:t>
            </w:r>
          </w:p>
          <w:p w14:paraId="4D4FADD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仿射密码</w:t>
            </w:r>
          </w:p>
        </w:tc>
      </w:tr>
    </w:tbl>
    <w:p w14:paraId="371CA029">
      <w:pPr>
        <w:widowControl/>
        <w:spacing w:line="240" w:lineRule="auto"/>
        <w:jc w:val="left"/>
        <w:rPr>
          <w:rFonts w:hint="eastAsia" w:ascii="宋体" w:hAnsi="宋体" w:eastAsia="宋体" w:cs="宋体"/>
          <w:color w:val="auto"/>
          <w:kern w:val="0"/>
          <w:sz w:val="24"/>
          <w:szCs w:val="24"/>
          <w:highlight w:val="none"/>
        </w:rPr>
      </w:pPr>
    </w:p>
    <w:p w14:paraId="253970AD">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7E03BE4C">
      <w:pPr>
        <w:keepNext/>
        <w:keepLines/>
        <w:widowControl w:val="0"/>
        <w:numPr>
          <w:ilvl w:val="0"/>
          <w:numId w:val="10"/>
        </w:numPr>
        <w:spacing w:before="0" w:after="0" w:line="360" w:lineRule="auto"/>
        <w:ind w:left="426" w:leftChars="0" w:hanging="440" w:firstLineChars="0"/>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网络安全攻防竞技中心建设</w:t>
      </w:r>
    </w:p>
    <w:p w14:paraId="74DA0DCC">
      <w:pPr>
        <w:keepNext/>
        <w:keepLines/>
        <w:widowControl w:val="0"/>
        <w:numPr>
          <w:ilvl w:val="0"/>
          <w:numId w:val="0"/>
        </w:numPr>
        <w:spacing w:before="0" w:after="0" w:line="360" w:lineRule="auto"/>
        <w:jc w:val="both"/>
        <w:outlineLvl w:val="1"/>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17、网络安全竞技系统</w:t>
      </w:r>
    </w:p>
    <w:tbl>
      <w:tblPr>
        <w:tblStyle w:val="48"/>
        <w:tblW w:w="5373" w:type="pct"/>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8482"/>
      </w:tblGrid>
      <w:tr w14:paraId="3075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pct"/>
            <w:shd w:val="clear" w:color="auto" w:fill="EEECE1" w:themeFill="background2"/>
            <w:vAlign w:val="center"/>
          </w:tcPr>
          <w:p w14:paraId="1163224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技术指标</w:t>
            </w:r>
          </w:p>
        </w:tc>
        <w:tc>
          <w:tcPr>
            <w:tcW w:w="4355" w:type="pct"/>
            <w:shd w:val="clear" w:color="auto" w:fill="EEECE1" w:themeFill="background2"/>
            <w:vAlign w:val="center"/>
          </w:tcPr>
          <w:p w14:paraId="058AF7D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指标要求</w:t>
            </w:r>
          </w:p>
        </w:tc>
      </w:tr>
      <w:tr w14:paraId="44AD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vAlign w:val="center"/>
          </w:tcPr>
          <w:p w14:paraId="1EE2B39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Hans" w:bidi="ar-SA"/>
              </w:rPr>
              <w:t>系统管理中心</w:t>
            </w:r>
          </w:p>
        </w:tc>
        <w:tc>
          <w:tcPr>
            <w:tcW w:w="4355" w:type="pct"/>
            <w:vAlign w:val="center"/>
          </w:tcPr>
          <w:p w14:paraId="4EF9C003">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平台系统采用B/S架构，内置竞赛管理、训练管理、题目管理、工具管理、账号管理、队伍管理、系统管理等模块；</w:t>
            </w:r>
          </w:p>
        </w:tc>
      </w:tr>
      <w:tr w14:paraId="1873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4FC5021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5E70E9E2">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平台支持数据展示功能，可针对系统的题目数量、虚拟机数量、竞赛数量、虚拟机启动数量进行展示；</w:t>
            </w:r>
          </w:p>
        </w:tc>
      </w:tr>
      <w:tr w14:paraId="1F93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0FC367D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46026109">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平台支持集群部署，并对服务器CPU使用率、内存使用率、硬盘使用率进行图表化展示，同时可对占用资源进行单一及批量释放；</w:t>
            </w:r>
          </w:p>
        </w:tc>
      </w:tr>
      <w:tr w14:paraId="243F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4" w:type="pct"/>
            <w:vMerge w:val="continue"/>
            <w:vAlign w:val="center"/>
          </w:tcPr>
          <w:p w14:paraId="5C5101A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4CB2AF4F">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平台支持靶机网络自定义设置，支持默认网络、自配网络两种网络模式；</w:t>
            </w:r>
          </w:p>
        </w:tc>
      </w:tr>
      <w:tr w14:paraId="0536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7727760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40C185B6">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平台支持审计日志管理，可查看用户增、删、改、查等操作，支持清空日志、按时间查询、搜索日志信息等操作；</w:t>
            </w:r>
          </w:p>
        </w:tc>
      </w:tr>
      <w:tr w14:paraId="0C44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134D7C8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5423A459">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审计日志支持登录、登出、获取竞赛信息、创建竞赛、上传任务、获取权限、获取用户详情等多种行为统计；</w:t>
            </w:r>
          </w:p>
        </w:tc>
      </w:tr>
      <w:tr w14:paraId="3E60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2579241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0568233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平台支持用户管理功能，提供账号管理、队伍管理、角色权限管理，管理员可对账户、队伍进行批量操作，包括导入、导出、新增、删除和禁用等操作；</w:t>
            </w:r>
          </w:p>
        </w:tc>
      </w:tr>
      <w:tr w14:paraId="2529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3E965578">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31453CA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平台支持账号自定义，可对姓名、分类、队伍名称、队伍LOGO等信息进行设置，用户密码支持自定义、系统随机生成两种方式，并支持账号、密码等信息导出；</w:t>
            </w:r>
          </w:p>
        </w:tc>
      </w:tr>
      <w:tr w14:paraId="4C9C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4DEBF31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305CCA4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平台支持自定义角色，除内置超级管理员、竞赛选手、普通用户角色外，管理员可根据需求自主创建创建裁判、管理员等角色；</w:t>
            </w:r>
          </w:p>
        </w:tc>
      </w:tr>
      <w:tr w14:paraId="5DBF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6C6C3A9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7BD808B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平台支持协作管理员、题目审核员角色账号创建，协作管理员有竞赛编辑、人员及题目关联、竞赛中过程管控等权限，题目审核员有题目的创建、编辑、验证等权限；</w:t>
            </w:r>
            <w:r>
              <w:rPr>
                <w:rFonts w:hint="eastAsia" w:ascii="宋体" w:hAnsi="宋体" w:eastAsia="宋体" w:cs="宋体"/>
                <w:b/>
                <w:bCs/>
                <w:color w:val="auto"/>
                <w:kern w:val="2"/>
                <w:sz w:val="24"/>
                <w:szCs w:val="24"/>
                <w:highlight w:val="none"/>
                <w:lang w:val="en-US" w:eastAsia="zh-Hans" w:bidi="ar-SA"/>
              </w:rPr>
              <w:t>（提供功能截图）</w:t>
            </w:r>
          </w:p>
        </w:tc>
      </w:tr>
      <w:tr w14:paraId="28F0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vAlign w:val="center"/>
          </w:tcPr>
          <w:p w14:paraId="76B7979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Hans" w:bidi="ar-SA"/>
              </w:rPr>
              <w:t>竞赛管理中心</w:t>
            </w:r>
          </w:p>
        </w:tc>
        <w:tc>
          <w:tcPr>
            <w:tcW w:w="4355" w:type="pct"/>
            <w:vAlign w:val="center"/>
          </w:tcPr>
          <w:p w14:paraId="538DB6A0">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多场竞赛同时管理，支持对竞赛新建、编辑、搜索、发布、环境部署、竞赛中管理、竞赛结果等流程进行操作；★为使网络安全攻防竞赛管理中心更具备实战氛围，平台厂商需具备漏洞采集平台，漏洞平台具备自主知识产权、且平台上注册不少于100000人的白帽专家数量</w:t>
            </w:r>
            <w:r>
              <w:rPr>
                <w:rFonts w:hint="eastAsia" w:ascii="宋体" w:hAnsi="宋体" w:eastAsia="宋体" w:cs="宋体"/>
                <w:b/>
                <w:bCs/>
                <w:color w:val="auto"/>
                <w:kern w:val="2"/>
                <w:sz w:val="24"/>
                <w:szCs w:val="24"/>
                <w:highlight w:val="none"/>
                <w:lang w:val="en-US" w:eastAsia="zh-Hans" w:bidi="ar-SA"/>
              </w:rPr>
              <w:t>（并能提供链接地址及证明材料)且同时提供软件著作权证书证明。</w:t>
            </w:r>
          </w:p>
        </w:tc>
      </w:tr>
      <w:tr w14:paraId="45BB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7F6F4AC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63B1A920">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平台支持个人及团体参赛方式的理论赛、解题赛、攻防赛竞赛模式，并可根据需求进行竞赛形式自由组合；</w:t>
            </w:r>
          </w:p>
        </w:tc>
      </w:tr>
      <w:tr w14:paraId="6826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1E9726E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003DD0BE">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平台支持竞赛私有，竞赛创建者可通过关联协作管理员方式，实现竞赛管理权限的分配，协作管理员不限制数量；</w:t>
            </w:r>
          </w:p>
        </w:tc>
      </w:tr>
      <w:tr w14:paraId="14DC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4F727BF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vAlign w:val="center"/>
          </w:tcPr>
          <w:p w14:paraId="6746E2C9">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平台支持单账号赛前模拟测试，测试过程中管理员可在选手角色与管理员角色之间一键切换，无需多账号之间切换；</w:t>
            </w:r>
            <w:r>
              <w:rPr>
                <w:rFonts w:hint="eastAsia" w:ascii="宋体" w:hAnsi="宋体" w:eastAsia="宋体" w:cs="宋体"/>
                <w:b/>
                <w:bCs/>
                <w:color w:val="auto"/>
                <w:kern w:val="2"/>
                <w:sz w:val="24"/>
                <w:szCs w:val="24"/>
                <w:highlight w:val="none"/>
                <w:lang w:val="en-US" w:eastAsia="zh-Hans" w:bidi="ar-SA"/>
              </w:rPr>
              <w:t>（提供功能截图）</w:t>
            </w:r>
          </w:p>
        </w:tc>
      </w:tr>
      <w:tr w14:paraId="7746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515D0A7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2149D179">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平台支持竞赛一键重置，赛前模拟数据可一键清除，无需在模拟后再次创建新的竞赛；</w:t>
            </w:r>
          </w:p>
        </w:tc>
      </w:tr>
      <w:tr w14:paraId="079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464AA09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3D97ECC2">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平台支持竞赛全阶段对题目进行单个/批量下发及回收操作；</w:t>
            </w:r>
          </w:p>
        </w:tc>
      </w:tr>
      <w:tr w14:paraId="563A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34507DC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1EDBBC7F">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理论赛题目支持固定选题、全员随机、团队内分配三种选题下发策略，团队内分配可按题目类型、题目分类、初级、中级、高级进行设置，同时支持初级、中级、高级分值设置，以满足团队内成员题目不同但团队与团队之间题目相同的场景需求</w:t>
            </w:r>
            <w:r>
              <w:rPr>
                <w:rFonts w:hint="eastAsia" w:ascii="宋体" w:hAnsi="宋体" w:eastAsia="宋体" w:cs="宋体"/>
                <w:b w:val="0"/>
                <w:bCs w:val="0"/>
                <w:color w:val="auto"/>
                <w:kern w:val="2"/>
                <w:sz w:val="24"/>
                <w:szCs w:val="24"/>
                <w:highlight w:val="none"/>
                <w:lang w:val="en-US" w:eastAsia="zh-Hans" w:bidi="ar-SA"/>
              </w:rPr>
              <w:t>；</w:t>
            </w:r>
            <w:r>
              <w:rPr>
                <w:rFonts w:hint="eastAsia" w:ascii="宋体" w:hAnsi="宋体" w:eastAsia="宋体" w:cs="宋体"/>
                <w:b/>
                <w:bCs/>
                <w:color w:val="auto"/>
                <w:kern w:val="2"/>
                <w:sz w:val="24"/>
                <w:szCs w:val="24"/>
                <w:highlight w:val="none"/>
                <w:lang w:val="en-US" w:eastAsia="zh-Hans" w:bidi="ar-SA"/>
              </w:rPr>
              <w:t>（提供功能截图）</w:t>
            </w:r>
          </w:p>
        </w:tc>
      </w:tr>
      <w:tr w14:paraId="4D64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2A0A5FB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267FCA9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平台支持题目、竞赛双策略计分规则，题目计分规则支持固定、动态、系数、零和多种方式，竞赛计分规则支持所得分值、所得分值/第一名所得分值两种基数计分方式；</w:t>
            </w:r>
            <w:r>
              <w:rPr>
                <w:rFonts w:hint="eastAsia" w:ascii="宋体" w:hAnsi="宋体" w:eastAsia="宋体" w:cs="宋体"/>
                <w:b/>
                <w:bCs/>
                <w:color w:val="auto"/>
                <w:kern w:val="2"/>
                <w:sz w:val="24"/>
                <w:szCs w:val="24"/>
                <w:highlight w:val="none"/>
                <w:lang w:val="en-US" w:eastAsia="zh-Hans" w:bidi="ar-SA"/>
              </w:rPr>
              <w:t>（提供功能截图）</w:t>
            </w:r>
          </w:p>
        </w:tc>
      </w:tr>
      <w:tr w14:paraId="6BCD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784D58F8">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1181F7C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平台支持题目环境一键快速部署，根据队伍数量、题目类型自动分配虚拟机环境IP地址，并自动生成图形化拓扑及列表；</w:t>
            </w:r>
          </w:p>
        </w:tc>
      </w:tr>
      <w:tr w14:paraId="6900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25890A2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22E3092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lang w:val="en-US" w:eastAsia="zh-Hans" w:bidi="ar-SA"/>
              </w:rPr>
              <w:t>平台</w:t>
            </w:r>
            <w:r>
              <w:rPr>
                <w:rFonts w:hint="eastAsia" w:ascii="宋体" w:hAnsi="宋体" w:eastAsia="宋体" w:cs="宋体"/>
                <w:color w:val="auto"/>
                <w:kern w:val="2"/>
                <w:sz w:val="24"/>
                <w:szCs w:val="24"/>
                <w:highlight w:val="none"/>
                <w:lang w:val="en-US" w:eastAsia="zh-Hans" w:bidi="ar-SA"/>
              </w:rPr>
              <w:t>支持解题赛题目环境、攻防赛题目环境分区域管理，管理员在竞赛阶段对各区域分别进行启动、关闭、还原操作；</w:t>
            </w:r>
          </w:p>
        </w:tc>
      </w:tr>
      <w:tr w14:paraId="5F45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0C01886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314AA8C9">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平台支持竞赛控制、题目控制、环境管理、环境检测、公告管理、答题详情、积分记录、实时排行榜等流程管理；</w:t>
            </w:r>
          </w:p>
        </w:tc>
      </w:tr>
      <w:tr w14:paraId="2CE5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06A5B2E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01C46A9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平台支持准备模式、全通模式、解题模式、解题+加固模式、加固模式、攻防模式的网络控制，各模式之间一键配置，分别对平台、题目进行访问控制、环境隔离控制；</w:t>
            </w:r>
            <w:r>
              <w:rPr>
                <w:rFonts w:hint="eastAsia" w:ascii="宋体" w:hAnsi="宋体" w:eastAsia="宋体" w:cs="宋体"/>
                <w:b/>
                <w:bCs/>
                <w:color w:val="auto"/>
                <w:kern w:val="2"/>
                <w:sz w:val="24"/>
                <w:szCs w:val="24"/>
                <w:highlight w:val="none"/>
                <w:lang w:val="en-US" w:eastAsia="zh-Hans" w:bidi="ar-SA"/>
              </w:rPr>
              <w:t>（提供功能截图）</w:t>
            </w:r>
          </w:p>
        </w:tc>
      </w:tr>
      <w:tr w14:paraId="3A1D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370FB57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6F03DCA8">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lang w:val="en-US" w:eastAsia="zh-Hans" w:bidi="ar-SA"/>
              </w:rPr>
              <w:t>平台支持</w:t>
            </w:r>
            <w:r>
              <w:rPr>
                <w:rFonts w:hint="eastAsia" w:ascii="宋体" w:hAnsi="宋体" w:eastAsia="宋体" w:cs="宋体"/>
                <w:color w:val="auto"/>
                <w:kern w:val="2"/>
                <w:sz w:val="24"/>
                <w:szCs w:val="24"/>
                <w:highlight w:val="none"/>
                <w:lang w:val="en-US" w:eastAsia="zh-Hans" w:bidi="ar-SA"/>
              </w:rPr>
              <w:t>终端IP段输入验证、登录绑定，从平台自有功能上实现各团队题目环境隔离；</w:t>
            </w:r>
            <w:r>
              <w:rPr>
                <w:rFonts w:hint="eastAsia" w:ascii="宋体" w:hAnsi="宋体" w:eastAsia="宋体" w:cs="宋体"/>
                <w:b/>
                <w:bCs/>
                <w:color w:val="auto"/>
                <w:kern w:val="2"/>
                <w:sz w:val="24"/>
                <w:szCs w:val="24"/>
                <w:highlight w:val="none"/>
                <w:lang w:val="en-US" w:eastAsia="zh-Hans" w:bidi="ar-SA"/>
              </w:rPr>
              <w:t>（提供功能截图）</w:t>
            </w:r>
          </w:p>
        </w:tc>
      </w:tr>
      <w:tr w14:paraId="1143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445A682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0A5B21AF">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平台支持多方式竞赛运维策略，可对竞赛进行开始、暂停、重置、竞赛各阶段时间等信息进行配置；</w:t>
            </w:r>
          </w:p>
        </w:tc>
      </w:tr>
      <w:tr w14:paraId="7B1E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5317352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12EFE29D">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平台支持竞赛中环境管理，记录队伍启动、关闭、还原次数，支持题目的查看、启动、关闭、还原，攻防赛支持环境检测，记录服务异常情况，并支持对服务不可用队伍进行处罚；</w:t>
            </w:r>
          </w:p>
        </w:tc>
      </w:tr>
      <w:tr w14:paraId="0487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10739C5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1E15079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平台支持奖励及违规处罚，可对违规队伍分阶段进行扣分等处罚；</w:t>
            </w:r>
          </w:p>
        </w:tc>
      </w:tr>
      <w:tr w14:paraId="37A6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3C04E74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64FB05B4">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平台支持公告管理，支持定向及不定向发布及取消公告，支持一般、中等、重要多级别公告管理，重要公告弹窗提醒；</w:t>
            </w:r>
          </w:p>
        </w:tc>
      </w:tr>
      <w:tr w14:paraId="1D39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635F112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6303E8ED">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平台支持竞赛中题目答题详情、队伍答题详情的管理，支持具体分值、正确率、提交次数、答题进度、提交人次、被攻击次数、提交时间等数据展示；</w:t>
            </w:r>
          </w:p>
        </w:tc>
      </w:tr>
      <w:tr w14:paraId="22FD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05F8D42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762DAD6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平台支持实时排行榜展示，分值默认由高到低展示，支持积分得失分数据及得失分原因统计；</w:t>
            </w:r>
          </w:p>
        </w:tc>
      </w:tr>
      <w:tr w14:paraId="04EE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3F525BF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53FCB5B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平台支持竞赛结果管理，统计个人榜单、团队榜单、过程数据，支持各榜单结果导出，各竞赛阶段成绩分开统计，统计最终排行、原始成绩等数据；</w:t>
            </w:r>
          </w:p>
        </w:tc>
      </w:tr>
      <w:tr w14:paraId="777B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4C94FE8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56EDD439">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平台支持题库管理，管理员根据实际需求新建、编辑、搜索、删除、导入、公开题目，支持理论赛题目、解题赛题目、攻防赛题目管理；</w:t>
            </w:r>
          </w:p>
        </w:tc>
      </w:tr>
      <w:tr w14:paraId="1928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7279C50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588E4580">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平台支持docker虚拟化，可对虚拟机进行启动、关闭、查看等操作，支持可视化控制台；</w:t>
            </w:r>
          </w:p>
        </w:tc>
      </w:tr>
      <w:tr w14:paraId="2869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5225D928">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509F1513">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攻防赛题目支持自定义检测规则设置，根据需求可使用http、tcp检测协议从服务端口、期望输出、URL等方面设置；</w:t>
            </w:r>
          </w:p>
        </w:tc>
      </w:tr>
      <w:tr w14:paraId="6901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22650A2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76223A21">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平台支持竞赛题库、训练题库统一化管理，题目归属一键转换；</w:t>
            </w:r>
          </w:p>
        </w:tc>
      </w:tr>
      <w:tr w14:paraId="2A77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7F08459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1CA2E735">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平台支持动态flag，可根据需求使用curl、脚本执行方式进行设置，解题赛题目支持多附件上传，支持附件题目的动态flag；</w:t>
            </w:r>
          </w:p>
        </w:tc>
      </w:tr>
      <w:tr w14:paraId="34C9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05FAC10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667D79B9">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平台支持网络控制、动态flag、随机附件随机flag、虚拟机动态密码、服务检测、Writeup、终端IP段验证、提交间隔时间限制、日志记录等多种防作弊手段；</w:t>
            </w:r>
            <w:r>
              <w:rPr>
                <w:rFonts w:hint="eastAsia" w:ascii="宋体" w:hAnsi="宋体" w:eastAsia="宋体" w:cs="宋体"/>
                <w:b/>
                <w:bCs/>
                <w:color w:val="auto"/>
                <w:kern w:val="2"/>
                <w:sz w:val="24"/>
                <w:szCs w:val="24"/>
                <w:highlight w:val="none"/>
                <w:lang w:val="en-US" w:eastAsia="zh-Hans" w:bidi="ar-SA"/>
              </w:rPr>
              <w:t>（提供功能截图）</w:t>
            </w:r>
          </w:p>
        </w:tc>
      </w:tr>
      <w:tr w14:paraId="3647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43C9413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7B8CFA74">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平台支持用户端Writeup上传，管理端Writeup查看、导出；</w:t>
            </w:r>
          </w:p>
        </w:tc>
      </w:tr>
      <w:tr w14:paraId="161F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14:paraId="5AC09F5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38885D28">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平台支持解题赛、攻防赛实时3D可视化动态展示，展示数据主要有答题动态、攻击路径、排行榜、得分趋势、得分详情等，布局上适用不同队伍、不同题目分布，适配16:9及32:9分辨率；</w:t>
            </w:r>
          </w:p>
        </w:tc>
      </w:tr>
      <w:tr w14:paraId="6A3B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4" w:type="pct"/>
            <w:vMerge w:val="continue"/>
            <w:tcBorders>
              <w:bottom w:val="single" w:color="auto" w:sz="4" w:space="0"/>
            </w:tcBorders>
            <w:vAlign w:val="center"/>
          </w:tcPr>
          <w:p w14:paraId="518FC717">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2454321A">
            <w:pPr>
              <w:keepNext w:val="0"/>
              <w:keepLines w:val="0"/>
              <w:widowControl w:val="0"/>
              <w:suppressLineNumbers w:val="0"/>
              <w:spacing w:before="100" w:beforeAutospacing="1" w:after="100" w:afterAutospacing="1" w:line="240" w:lineRule="auto"/>
              <w:ind w:left="0" w:right="0" w:firstLine="0" w:firstLineChars="0"/>
              <w:jc w:val="both"/>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平台支持工具管理，可对工具进行上传、编辑、下载、删除、搜索等操作，后台上传工具会同步到用户端工具库，用户根据需求下载所需要的工具；</w:t>
            </w:r>
          </w:p>
        </w:tc>
      </w:tr>
      <w:tr w14:paraId="79C4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tcBorders>
              <w:top w:val="single" w:color="auto" w:sz="4" w:space="0"/>
              <w:left w:val="single" w:color="auto" w:sz="4" w:space="0"/>
              <w:right w:val="single" w:color="auto" w:sz="4" w:space="0"/>
            </w:tcBorders>
            <w:vAlign w:val="center"/>
          </w:tcPr>
          <w:p w14:paraId="374B2B5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Hans" w:bidi="ar-SA"/>
              </w:rPr>
              <w:t>训练管理中心</w:t>
            </w:r>
          </w:p>
        </w:tc>
        <w:tc>
          <w:tcPr>
            <w:tcW w:w="4355" w:type="pct"/>
            <w:tcBorders>
              <w:top w:val="single" w:color="auto" w:sz="4" w:space="0"/>
              <w:left w:val="single" w:color="auto" w:sz="4" w:space="0"/>
              <w:bottom w:val="single" w:color="auto" w:sz="4" w:space="0"/>
              <w:right w:val="single" w:color="auto" w:sz="4" w:space="0"/>
            </w:tcBorders>
            <w:vAlign w:val="center"/>
          </w:tcPr>
          <w:p w14:paraId="444021F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平台支持训练管理，统计训练总人数、训练通过率、训练题目数量、错题率等数据信息；</w:t>
            </w:r>
          </w:p>
        </w:tc>
      </w:tr>
      <w:tr w14:paraId="6320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tcBorders>
              <w:left w:val="single" w:color="auto" w:sz="4" w:space="0"/>
              <w:right w:val="single" w:color="auto" w:sz="4" w:space="0"/>
            </w:tcBorders>
            <w:vAlign w:val="center"/>
          </w:tcPr>
          <w:p w14:paraId="7D86A194">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7D516D2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平台支持训练统计分析功能，支持按日、周、月、年进行错题率分析，支持训练题目排名、通过率排名统计；</w:t>
            </w:r>
          </w:p>
        </w:tc>
      </w:tr>
      <w:tr w14:paraId="382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tcBorders>
              <w:left w:val="single" w:color="auto" w:sz="4" w:space="0"/>
              <w:bottom w:val="single" w:color="auto" w:sz="4" w:space="0"/>
              <w:right w:val="single" w:color="auto" w:sz="4" w:space="0"/>
            </w:tcBorders>
            <w:vAlign w:val="center"/>
          </w:tcPr>
          <w:p w14:paraId="469CFBC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p>
        </w:tc>
        <w:tc>
          <w:tcPr>
            <w:tcW w:w="4355" w:type="pct"/>
            <w:tcBorders>
              <w:top w:val="single" w:color="auto" w:sz="4" w:space="0"/>
              <w:left w:val="single" w:color="auto" w:sz="4" w:space="0"/>
              <w:bottom w:val="single" w:color="auto" w:sz="4" w:space="0"/>
              <w:right w:val="single" w:color="auto" w:sz="4" w:space="0"/>
            </w:tcBorders>
            <w:vAlign w:val="center"/>
          </w:tcPr>
          <w:p w14:paraId="0F27E97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平台支持自主刷题训练，并提供配套解题思路，帮助用户有效训练；支持训练题目收藏；支持我的队伍、竞赛、训练、收藏数据统计；</w:t>
            </w:r>
          </w:p>
        </w:tc>
      </w:tr>
      <w:tr w14:paraId="53AB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tcBorders>
              <w:top w:val="single" w:color="auto" w:sz="4" w:space="0"/>
              <w:left w:val="single" w:color="auto" w:sz="4" w:space="0"/>
              <w:bottom w:val="single" w:color="auto" w:sz="4" w:space="0"/>
              <w:right w:val="single" w:color="auto" w:sz="4" w:space="0"/>
            </w:tcBorders>
            <w:vAlign w:val="center"/>
          </w:tcPr>
          <w:p w14:paraId="3EA7036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Hans" w:bidi="ar-SA"/>
              </w:rPr>
              <w:t>CTF竞赛题库</w:t>
            </w:r>
          </w:p>
        </w:tc>
        <w:tc>
          <w:tcPr>
            <w:tcW w:w="4355" w:type="pct"/>
            <w:tcBorders>
              <w:top w:val="single" w:color="auto" w:sz="4" w:space="0"/>
              <w:left w:val="single" w:color="auto" w:sz="4" w:space="0"/>
              <w:bottom w:val="single" w:color="auto" w:sz="4" w:space="0"/>
              <w:right w:val="single" w:color="auto" w:sz="4" w:space="0"/>
            </w:tcBorders>
            <w:vAlign w:val="center"/>
          </w:tcPr>
          <w:p w14:paraId="138217F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不少于</w:t>
            </w:r>
            <w:r>
              <w:rPr>
                <w:rFonts w:hint="eastAsia" w:ascii="宋体" w:hAnsi="宋体" w:eastAsia="宋体" w:cs="宋体"/>
                <w:color w:val="auto"/>
                <w:kern w:val="2"/>
                <w:sz w:val="24"/>
                <w:szCs w:val="24"/>
                <w:highlight w:val="none"/>
                <w:lang w:val="en-US" w:eastAsia="zh-Hans" w:bidi="ar-SA"/>
              </w:rPr>
              <w:t>2</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Hans" w:bidi="ar-SA"/>
              </w:rPr>
              <w:t>0道CTF题目，其中</w:t>
            </w:r>
            <w:r>
              <w:rPr>
                <w:rFonts w:hint="eastAsia" w:ascii="宋体" w:hAnsi="宋体" w:cs="宋体"/>
                <w:color w:val="auto"/>
                <w:kern w:val="2"/>
                <w:sz w:val="24"/>
                <w:szCs w:val="24"/>
                <w:highlight w:val="none"/>
                <w:lang w:val="en-US" w:eastAsia="zh-CN" w:bidi="ar-SA"/>
              </w:rPr>
              <w:t>不少于</w:t>
            </w:r>
            <w:r>
              <w:rPr>
                <w:rFonts w:hint="eastAsia" w:ascii="宋体" w:hAnsi="宋体" w:eastAsia="宋体" w:cs="宋体"/>
                <w:color w:val="auto"/>
                <w:kern w:val="2"/>
                <w:sz w:val="24"/>
                <w:szCs w:val="24"/>
                <w:highlight w:val="none"/>
                <w:lang w:val="en-US" w:eastAsia="zh-Hans" w:bidi="ar-SA"/>
              </w:rPr>
              <w:t>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Hans" w:bidi="ar-SA"/>
              </w:rPr>
              <w:t>0道含</w:t>
            </w:r>
            <w:r>
              <w:rPr>
                <w:rFonts w:hint="eastAsia" w:ascii="宋体" w:hAnsi="宋体" w:eastAsia="宋体" w:cs="宋体"/>
                <w:color w:val="auto"/>
                <w:kern w:val="2"/>
                <w:sz w:val="24"/>
                <w:szCs w:val="24"/>
                <w:highlight w:val="none"/>
                <w:lang w:val="en-US" w:eastAsia="zh-CN" w:bidi="ar-SA"/>
              </w:rPr>
              <w:t>详情</w:t>
            </w:r>
            <w:r>
              <w:rPr>
                <w:rFonts w:hint="eastAsia" w:ascii="宋体" w:hAnsi="宋体" w:eastAsia="宋体" w:cs="宋体"/>
                <w:color w:val="auto"/>
                <w:kern w:val="2"/>
                <w:sz w:val="24"/>
                <w:szCs w:val="24"/>
                <w:highlight w:val="none"/>
                <w:lang w:val="en-US" w:eastAsia="zh-Hans" w:bidi="ar-SA"/>
              </w:rPr>
              <w:t>解题思路；</w:t>
            </w:r>
            <w:r>
              <w:rPr>
                <w:rFonts w:hint="eastAsia" w:ascii="宋体" w:hAnsi="宋体" w:eastAsia="宋体" w:cs="宋体"/>
                <w:color w:val="auto"/>
                <w:kern w:val="2"/>
                <w:sz w:val="24"/>
                <w:szCs w:val="24"/>
                <w:highlight w:val="none"/>
                <w:lang w:val="en-US" w:eastAsia="zh-CN" w:bidi="ar-SA"/>
              </w:rPr>
              <w:t>不少于</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Hans" w:bidi="ar-SA"/>
              </w:rPr>
              <w:t>0道攻防题目，其中</w:t>
            </w:r>
            <w:r>
              <w:rPr>
                <w:rFonts w:hint="eastAsia" w:ascii="宋体" w:hAnsi="宋体" w:cs="宋体"/>
                <w:color w:val="auto"/>
                <w:kern w:val="2"/>
                <w:sz w:val="24"/>
                <w:szCs w:val="24"/>
                <w:highlight w:val="none"/>
                <w:lang w:val="en-US" w:eastAsia="zh-CN" w:bidi="ar-SA"/>
              </w:rPr>
              <w:t>不少于15</w:t>
            </w:r>
            <w:r>
              <w:rPr>
                <w:rFonts w:hint="eastAsia" w:ascii="宋体" w:hAnsi="宋体" w:eastAsia="宋体" w:cs="宋体"/>
                <w:color w:val="auto"/>
                <w:kern w:val="2"/>
                <w:sz w:val="24"/>
                <w:szCs w:val="24"/>
                <w:highlight w:val="none"/>
                <w:lang w:val="en-US" w:eastAsia="zh-Hans" w:bidi="ar-SA"/>
              </w:rPr>
              <w:t>道含</w:t>
            </w:r>
            <w:r>
              <w:rPr>
                <w:rFonts w:hint="eastAsia" w:ascii="宋体" w:hAnsi="宋体" w:eastAsia="宋体" w:cs="宋体"/>
                <w:color w:val="auto"/>
                <w:kern w:val="2"/>
                <w:sz w:val="24"/>
                <w:szCs w:val="24"/>
                <w:highlight w:val="none"/>
                <w:lang w:val="en-US" w:eastAsia="zh-CN" w:bidi="ar-SA"/>
              </w:rPr>
              <w:t>详细</w:t>
            </w:r>
            <w:r>
              <w:rPr>
                <w:rFonts w:hint="eastAsia" w:ascii="宋体" w:hAnsi="宋体" w:eastAsia="宋体" w:cs="宋体"/>
                <w:color w:val="auto"/>
                <w:kern w:val="2"/>
                <w:sz w:val="24"/>
                <w:szCs w:val="24"/>
                <w:highlight w:val="none"/>
                <w:lang w:val="en-US" w:eastAsia="zh-Hans" w:bidi="ar-SA"/>
              </w:rPr>
              <w:t>解题思路。</w:t>
            </w:r>
          </w:p>
        </w:tc>
      </w:tr>
    </w:tbl>
    <w:p w14:paraId="26645F41">
      <w:pPr>
        <w:widowControl/>
        <w:spacing w:line="240" w:lineRule="auto"/>
        <w:jc w:val="left"/>
        <w:rPr>
          <w:rFonts w:hint="eastAsia" w:ascii="宋体" w:hAnsi="宋体" w:eastAsia="宋体" w:cs="宋体"/>
          <w:color w:val="auto"/>
          <w:kern w:val="0"/>
          <w:sz w:val="24"/>
          <w:szCs w:val="24"/>
          <w:highlight w:val="none"/>
        </w:rPr>
      </w:pPr>
    </w:p>
    <w:p w14:paraId="3926BD51">
      <w:pPr>
        <w:keepNext/>
        <w:keepLines/>
        <w:widowControl w:val="0"/>
        <w:numPr>
          <w:ilvl w:val="1"/>
          <w:numId w:val="0"/>
        </w:numPr>
        <w:spacing w:before="0" w:after="0" w:line="240" w:lineRule="auto"/>
        <w:ind w:left="426" w:leftChars="0" w:hanging="440" w:firstLineChars="0"/>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(三)网络安全认证培训中心增补</w:t>
      </w:r>
    </w:p>
    <w:p w14:paraId="1F01F904">
      <w:pPr>
        <w:keepNext/>
        <w:keepLines/>
        <w:widowControl w:val="0"/>
        <w:numPr>
          <w:ilvl w:val="0"/>
          <w:numId w:val="0"/>
        </w:numPr>
        <w:spacing w:before="260" w:after="260" w:line="240" w:lineRule="auto"/>
        <w:ind w:left="851"/>
        <w:jc w:val="both"/>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认证实训设备</w:t>
      </w:r>
    </w:p>
    <w:p w14:paraId="59D02C43">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边界防火墙认证模块</w:t>
      </w:r>
    </w:p>
    <w:tbl>
      <w:tblPr>
        <w:tblStyle w:val="47"/>
        <w:tblW w:w="5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8275"/>
      </w:tblGrid>
      <w:tr w14:paraId="4BBE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3" w:type="pct"/>
            <w:shd w:val="clear" w:color="auto" w:fill="EEECE1" w:themeFill="background2"/>
            <w:vAlign w:val="center"/>
          </w:tcPr>
          <w:p w14:paraId="5345A95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4296" w:type="pct"/>
            <w:shd w:val="clear" w:color="auto" w:fill="EEECE1" w:themeFill="background2"/>
            <w:vAlign w:val="center"/>
          </w:tcPr>
          <w:p w14:paraId="7E53D4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21D6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3" w:type="pct"/>
            <w:vAlign w:val="center"/>
          </w:tcPr>
          <w:p w14:paraId="5DAA433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硬件要求</w:t>
            </w:r>
          </w:p>
        </w:tc>
        <w:tc>
          <w:tcPr>
            <w:tcW w:w="4296" w:type="pct"/>
            <w:vAlign w:val="center"/>
          </w:tcPr>
          <w:p w14:paraId="4C6A7EB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网络处理能力≥15Gbps，并发连接：≥200万，每秒新建连接：≥12万/秒，≥16个10/100/1000M自适应电、≥4个SFP光接口和≥4个SFP+光接口, ≥4T硬盘，冗余电源，含至少5年硬件质保。</w:t>
            </w:r>
          </w:p>
        </w:tc>
      </w:tr>
      <w:tr w14:paraId="5F1E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Align w:val="center"/>
          </w:tcPr>
          <w:p w14:paraId="6B16437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访问控制</w:t>
            </w:r>
          </w:p>
        </w:tc>
        <w:tc>
          <w:tcPr>
            <w:tcW w:w="4296" w:type="pct"/>
            <w:vAlign w:val="center"/>
          </w:tcPr>
          <w:p w14:paraId="071A897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系统要求支持从用户视角的安全访问控制技术</w:t>
            </w:r>
            <w:r>
              <w:rPr>
                <w:rFonts w:hint="eastAsia" w:ascii="宋体" w:hAnsi="宋体" w:eastAsia="宋体" w:cs="宋体"/>
                <w:color w:val="auto"/>
                <w:kern w:val="0"/>
                <w:sz w:val="24"/>
                <w:szCs w:val="24"/>
                <w:highlight w:val="none"/>
              </w:rPr>
              <w:t>，要求提供信息产业信息安全测评中心或国家知识产权局等第三方权威机构出具的证明；支持基于源安全域、目的安全域、源用户、源地址、源地区、目的地址、目的地区、服务、应用、隧道、时间、VLAN等多种方式进行访问控制，并支持地理区域对象的导入以及重复策略的检查。</w:t>
            </w:r>
          </w:p>
        </w:tc>
      </w:tr>
      <w:tr w14:paraId="061D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Align w:val="center"/>
          </w:tcPr>
          <w:p w14:paraId="20EE455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应用识别与控制</w:t>
            </w:r>
          </w:p>
        </w:tc>
        <w:tc>
          <w:tcPr>
            <w:tcW w:w="4296" w:type="pct"/>
            <w:vAlign w:val="center"/>
          </w:tcPr>
          <w:p w14:paraId="1F5CC25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必须支持应用识别，应用特征库包含的应用数量（非应用协议的规则总数）大于2800种，可深度识别每种应用的属性，为每种应用提供预定义的风险系数，并将应用基于类型、使用场景、数据传输、风险等级等特征分类为每种应用提供预定义的风险系数，并将应用基于类型、使用场景、数据传输、风险等级等特征分类。</w:t>
            </w:r>
          </w:p>
        </w:tc>
      </w:tr>
      <w:tr w14:paraId="51E6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Align w:val="center"/>
          </w:tcPr>
          <w:p w14:paraId="30D40CA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文件过滤</w:t>
            </w:r>
          </w:p>
        </w:tc>
        <w:tc>
          <w:tcPr>
            <w:tcW w:w="4296" w:type="pct"/>
            <w:vAlign w:val="center"/>
          </w:tcPr>
          <w:p w14:paraId="25D4025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上传、下载、双向的文件内容过滤；内容过滤支持手工及文件批量导入两种方式进行敏感信息定义；内容过滤至少支持html、doc、docx、xls、xlsx、ppt、pptx、chm、7z等30种常见文件类型；文件类型识别基于文件特征而非扩展名，更改文件扩展名后仍可有效识别</w:t>
            </w:r>
          </w:p>
        </w:tc>
      </w:tr>
      <w:tr w14:paraId="2BA1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Align w:val="center"/>
          </w:tcPr>
          <w:p w14:paraId="26A4D79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病毒防护</w:t>
            </w:r>
          </w:p>
        </w:tc>
        <w:tc>
          <w:tcPr>
            <w:tcW w:w="4296" w:type="pct"/>
            <w:vAlign w:val="center"/>
          </w:tcPr>
          <w:p w14:paraId="43A7A91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所投产品必须能够对HTTP/FTP/POP3/SMTP/IMAP/SMB六种协议进行病毒查杀；支持对最多6级的压缩文件进行解压查杀；支持设置例外特征，对特定的病毒特征不进行查杀； </w:t>
            </w:r>
          </w:p>
        </w:tc>
      </w:tr>
      <w:tr w14:paraId="1E38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Merge w:val="restart"/>
            <w:vAlign w:val="center"/>
          </w:tcPr>
          <w:p w14:paraId="7952EB0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网络异常感知</w:t>
            </w:r>
          </w:p>
        </w:tc>
        <w:tc>
          <w:tcPr>
            <w:tcW w:w="4296" w:type="pct"/>
            <w:vAlign w:val="center"/>
          </w:tcPr>
          <w:p w14:paraId="3B57178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tc>
      </w:tr>
      <w:tr w14:paraId="1CC7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Merge w:val="continue"/>
            <w:vAlign w:val="center"/>
          </w:tcPr>
          <w:p w14:paraId="241C237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296" w:type="pct"/>
            <w:vAlign w:val="center"/>
          </w:tcPr>
          <w:p w14:paraId="130A30A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必须支持用户自定义重点URL分类和应用，并可基于定义的重点关注对象进行用户维度关联，并结合分析中心进行基于关联的用户/地址、URL分类、应用进行二次递进式深度分析，挖掘异常用户及异常网络行为。</w:t>
            </w:r>
          </w:p>
        </w:tc>
      </w:tr>
      <w:tr w14:paraId="4A1D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Align w:val="center"/>
          </w:tcPr>
          <w:p w14:paraId="18C5EC2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安全事件分析</w:t>
            </w:r>
          </w:p>
        </w:tc>
        <w:tc>
          <w:tcPr>
            <w:tcW w:w="4296" w:type="pct"/>
            <w:vAlign w:val="center"/>
          </w:tcPr>
          <w:p w14:paraId="150D2D8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所投设备必须提供关联分析面板，可将Top应用、Top威胁、Top URL分类、Top源地址、Top目的地址等信息关联，并支持以任意元素于为过滤条件且不少于35个维度进行数据钻取 </w:t>
            </w:r>
          </w:p>
        </w:tc>
      </w:tr>
      <w:tr w14:paraId="222B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Merge w:val="restart"/>
            <w:vAlign w:val="center"/>
          </w:tcPr>
          <w:p w14:paraId="43CF21C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安全联动要求</w:t>
            </w:r>
          </w:p>
        </w:tc>
        <w:tc>
          <w:tcPr>
            <w:tcW w:w="4296" w:type="pct"/>
            <w:vAlign w:val="center"/>
          </w:tcPr>
          <w:p w14:paraId="1445880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为提升产业学院整体网络的安全性，所投系统必须与产业学院现有的高级威胁态势感知平台进行联动，可上报网络活动产生的数据至网络威胁感知平台；并支持接收来自网络威胁感知系统推送的处置策略，及时拦截绕过防御措施产生的高级威胁。</w:t>
            </w:r>
            <w:r>
              <w:rPr>
                <w:rFonts w:hint="eastAsia" w:ascii="宋体" w:hAnsi="宋体" w:eastAsia="宋体" w:cs="宋体"/>
                <w:b/>
                <w:bCs w:val="0"/>
                <w:color w:val="auto"/>
                <w:kern w:val="0"/>
                <w:sz w:val="24"/>
                <w:szCs w:val="24"/>
                <w:highlight w:val="none"/>
              </w:rPr>
              <w:t>（需要提供能够体现上述功能的截图）</w:t>
            </w:r>
          </w:p>
        </w:tc>
      </w:tr>
      <w:tr w14:paraId="39E3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Merge w:val="continue"/>
            <w:vAlign w:val="center"/>
          </w:tcPr>
          <w:p w14:paraId="5602AE5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296" w:type="pct"/>
            <w:vAlign w:val="center"/>
          </w:tcPr>
          <w:p w14:paraId="0FACAB6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为提升产业学院的终端威胁处置能力，所投系统须支持与产业学院现有终端安全管理系统进行联动，实现基于终端健康状态的访问控制；并支持阻断终端网络活动的同时，提示被阻断原因及重定向至自定义网址。</w:t>
            </w:r>
          </w:p>
        </w:tc>
      </w:tr>
      <w:tr w14:paraId="275E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Align w:val="center"/>
          </w:tcPr>
          <w:p w14:paraId="3F44EE9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策略与处置</w:t>
            </w:r>
          </w:p>
        </w:tc>
        <w:tc>
          <w:tcPr>
            <w:tcW w:w="4296" w:type="pct"/>
            <w:vAlign w:val="center"/>
          </w:tcPr>
          <w:p w14:paraId="734498F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所投设备可在单条策略中启用病毒防护、入侵防御、网址过滤、文件过滤、文件内容过滤、终端过滤等安全功能选项。</w:t>
            </w:r>
          </w:p>
        </w:tc>
      </w:tr>
      <w:tr w14:paraId="61F3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Merge w:val="restart"/>
            <w:vAlign w:val="center"/>
          </w:tcPr>
          <w:p w14:paraId="18A2A0C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网元管理</w:t>
            </w:r>
          </w:p>
        </w:tc>
        <w:tc>
          <w:tcPr>
            <w:tcW w:w="4296" w:type="pct"/>
            <w:vAlign w:val="center"/>
          </w:tcPr>
          <w:p w14:paraId="781B08D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r>
              <w:rPr>
                <w:rFonts w:hint="eastAsia" w:ascii="宋体" w:hAnsi="宋体" w:eastAsia="宋体" w:cs="宋体"/>
                <w:b/>
                <w:bCs/>
                <w:color w:val="auto"/>
                <w:kern w:val="0"/>
                <w:sz w:val="24"/>
                <w:szCs w:val="24"/>
                <w:highlight w:val="none"/>
              </w:rPr>
              <w:t>（投标文件需要提供能够体现上述功能及配置选项的截图）</w:t>
            </w:r>
          </w:p>
        </w:tc>
      </w:tr>
      <w:tr w14:paraId="61E0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Merge w:val="continue"/>
            <w:vAlign w:val="center"/>
          </w:tcPr>
          <w:p w14:paraId="2687F96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296" w:type="pct"/>
            <w:vAlign w:val="center"/>
          </w:tcPr>
          <w:p w14:paraId="6F3874E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所投产品支持对网元进行健康检查，及故障bypass能力，健康检查至少包括链路探测、回环探测、接口探测能力</w:t>
            </w:r>
          </w:p>
        </w:tc>
      </w:tr>
      <w:tr w14:paraId="2D19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Merge w:val="restart"/>
            <w:vAlign w:val="center"/>
          </w:tcPr>
          <w:p w14:paraId="452AC0F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引流策略</w:t>
            </w:r>
          </w:p>
        </w:tc>
        <w:tc>
          <w:tcPr>
            <w:tcW w:w="4296" w:type="pct"/>
            <w:vAlign w:val="center"/>
          </w:tcPr>
          <w:p w14:paraId="143C87D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所投产品支持引流策略的添加、删除、调序、清除命中数、刷新功能；支持引流策略的启用和禁用功能。</w:t>
            </w:r>
          </w:p>
        </w:tc>
      </w:tr>
      <w:tr w14:paraId="0EE0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Merge w:val="continue"/>
            <w:vAlign w:val="center"/>
          </w:tcPr>
          <w:p w14:paraId="5046563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296" w:type="pct"/>
            <w:vAlign w:val="center"/>
          </w:tcPr>
          <w:p w14:paraId="7D1E2DE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所投产品支持灵活的细粒度引流策略，可基于源安全域、目的安全域、源用户、源地址、目的地址、服务、VLAN、服务链、流量方向（内网到外网/外网到内网）的引流策略，并详细记录日志。</w:t>
            </w:r>
          </w:p>
        </w:tc>
      </w:tr>
      <w:tr w14:paraId="048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Align w:val="center"/>
          </w:tcPr>
          <w:p w14:paraId="2A2C702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编排流量监控</w:t>
            </w:r>
          </w:p>
        </w:tc>
        <w:tc>
          <w:tcPr>
            <w:tcW w:w="4296" w:type="pct"/>
            <w:vAlign w:val="center"/>
          </w:tcPr>
          <w:p w14:paraId="0F71B5A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所投产品支持对编排的流量进行监控，至少能从网元组、引流策略两个维度对编排流量监控统计</w:t>
            </w:r>
            <w:r>
              <w:rPr>
                <w:rFonts w:hint="eastAsia" w:ascii="宋体" w:hAnsi="宋体" w:eastAsia="宋体" w:cs="宋体"/>
                <w:b/>
                <w:bCs/>
                <w:color w:val="auto"/>
                <w:kern w:val="0"/>
                <w:sz w:val="24"/>
                <w:szCs w:val="24"/>
                <w:highlight w:val="none"/>
              </w:rPr>
              <w:t>（投标文件需要提供能够体现上述功能及配置选项的截图）</w:t>
            </w:r>
          </w:p>
        </w:tc>
      </w:tr>
      <w:tr w14:paraId="7859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3" w:type="pct"/>
            <w:vMerge w:val="restart"/>
            <w:vAlign w:val="center"/>
          </w:tcPr>
          <w:p w14:paraId="629E824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4296" w:type="pct"/>
            <w:vAlign w:val="center"/>
          </w:tcPr>
          <w:p w14:paraId="7F0CA8D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bidi="ar"/>
              </w:rPr>
              <w:t>产品具有高安全性可对抗高程度的威胁，</w:t>
            </w:r>
            <w:r>
              <w:rPr>
                <w:rFonts w:hint="eastAsia" w:ascii="宋体" w:hAnsi="宋体" w:eastAsia="宋体" w:cs="宋体"/>
                <w:color w:val="auto"/>
                <w:kern w:val="0"/>
                <w:sz w:val="24"/>
                <w:szCs w:val="24"/>
                <w:highlight w:val="none"/>
              </w:rPr>
              <w:t>国家信息安全测评信息技术产品安全测评证书（EAL4+级）</w:t>
            </w:r>
          </w:p>
        </w:tc>
      </w:tr>
      <w:tr w14:paraId="36B2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pct"/>
            <w:vMerge w:val="continue"/>
            <w:vAlign w:val="center"/>
          </w:tcPr>
          <w:p w14:paraId="4F1D7B5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296" w:type="pct"/>
            <w:vAlign w:val="center"/>
          </w:tcPr>
          <w:p w14:paraId="089503C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kern w:val="0"/>
                <w:sz w:val="24"/>
                <w:szCs w:val="24"/>
                <w:highlight w:val="none"/>
                <w:lang w:bidi="ar"/>
              </w:rPr>
            </w:pPr>
            <w:r>
              <w:rPr>
                <w:rFonts w:hint="eastAsia" w:ascii="宋体" w:hAnsi="宋体" w:cs="宋体"/>
                <w:bCs/>
                <w:color w:val="auto"/>
                <w:kern w:val="0"/>
                <w:sz w:val="24"/>
                <w:highlight w:val="none"/>
                <w:lang w:bidi="ar"/>
              </w:rPr>
              <w:t>产品具有中国信息安全测评中心颁发的自主原创证书</w:t>
            </w:r>
          </w:p>
        </w:tc>
      </w:tr>
      <w:tr w14:paraId="539D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3" w:type="pct"/>
            <w:vMerge w:val="continue"/>
            <w:vAlign w:val="center"/>
          </w:tcPr>
          <w:p w14:paraId="4A04629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4296" w:type="pct"/>
            <w:vAlign w:val="center"/>
          </w:tcPr>
          <w:p w14:paraId="6A7840E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认证实训设备厂商属于CNNVD一级技术支撑单位</w:t>
            </w:r>
          </w:p>
        </w:tc>
      </w:tr>
      <w:tr w14:paraId="1C2D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3" w:type="pct"/>
            <w:vAlign w:val="center"/>
          </w:tcPr>
          <w:p w14:paraId="72DB093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tc>
        <w:tc>
          <w:tcPr>
            <w:tcW w:w="4296" w:type="pct"/>
            <w:vAlign w:val="center"/>
          </w:tcPr>
          <w:p w14:paraId="7A06B23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签订合同时提供五年原厂商质保服务承诺函及授权书。</w:t>
            </w:r>
          </w:p>
        </w:tc>
      </w:tr>
      <w:tr w14:paraId="0583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pct"/>
            <w:vAlign w:val="center"/>
          </w:tcPr>
          <w:p w14:paraId="3E68B0B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产品测试</w:t>
            </w:r>
          </w:p>
        </w:tc>
        <w:tc>
          <w:tcPr>
            <w:tcW w:w="4296" w:type="pct"/>
            <w:vAlign w:val="center"/>
          </w:tcPr>
          <w:p w14:paraId="4EBD6D8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为防止投标方虚假应答技术指标，从而造成用户在实际使用设备过程中无法实现所需的功能，采购方保留产品功能测试的权利，在指定的时间不能提供测试样机进行测试或测试中发现虚假应标的行为，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p>
        </w:tc>
      </w:tr>
    </w:tbl>
    <w:p w14:paraId="6E95353B">
      <w:pPr>
        <w:widowControl/>
        <w:spacing w:line="240" w:lineRule="auto"/>
        <w:jc w:val="left"/>
        <w:rPr>
          <w:rFonts w:hint="eastAsia" w:ascii="宋体" w:hAnsi="宋体" w:eastAsia="宋体" w:cs="宋体"/>
          <w:color w:val="auto"/>
          <w:kern w:val="0"/>
          <w:sz w:val="24"/>
          <w:szCs w:val="24"/>
          <w:highlight w:val="none"/>
        </w:rPr>
      </w:pPr>
    </w:p>
    <w:p w14:paraId="4B9B4F2E">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上网行为管理认证模块</w:t>
      </w:r>
    </w:p>
    <w:tbl>
      <w:tblPr>
        <w:tblStyle w:val="47"/>
        <w:tblW w:w="53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459"/>
        <w:gridCol w:w="6896"/>
      </w:tblGrid>
      <w:tr w14:paraId="4D9C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9" w:type="pct"/>
            <w:shd w:val="clear" w:color="auto" w:fill="EEECE1" w:themeFill="background2"/>
            <w:vAlign w:val="center"/>
          </w:tcPr>
          <w:p w14:paraId="59051D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4310" w:type="pct"/>
            <w:gridSpan w:val="2"/>
            <w:shd w:val="clear" w:color="auto" w:fill="EEECE1" w:themeFill="background2"/>
            <w:vAlign w:val="center"/>
          </w:tcPr>
          <w:p w14:paraId="590401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78FB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9" w:type="pct"/>
            <w:vMerge w:val="restart"/>
            <w:shd w:val="clear" w:color="auto" w:fill="auto"/>
            <w:vAlign w:val="center"/>
          </w:tcPr>
          <w:p w14:paraId="43E838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硬件规格</w:t>
            </w:r>
          </w:p>
        </w:tc>
        <w:tc>
          <w:tcPr>
            <w:tcW w:w="752" w:type="pct"/>
            <w:shd w:val="clear" w:color="auto" w:fill="auto"/>
            <w:vAlign w:val="center"/>
          </w:tcPr>
          <w:p w14:paraId="44570C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多核处理</w:t>
            </w:r>
          </w:p>
        </w:tc>
        <w:tc>
          <w:tcPr>
            <w:tcW w:w="3557" w:type="pct"/>
            <w:shd w:val="clear" w:color="auto" w:fill="auto"/>
            <w:vAlign w:val="center"/>
          </w:tcPr>
          <w:p w14:paraId="0DDC1E4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采用国际先进的多核处理器硬件架构及多核并行处理系统</w:t>
            </w:r>
          </w:p>
        </w:tc>
      </w:tr>
      <w:tr w14:paraId="3DA5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9" w:type="pct"/>
            <w:vMerge w:val="continue"/>
            <w:shd w:val="clear" w:color="auto" w:fill="auto"/>
            <w:vAlign w:val="center"/>
          </w:tcPr>
          <w:p w14:paraId="3A3A2E8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752" w:type="pct"/>
            <w:shd w:val="clear" w:color="auto" w:fill="auto"/>
            <w:vAlign w:val="center"/>
          </w:tcPr>
          <w:p w14:paraId="7CF059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内置光Bypass接口</w:t>
            </w:r>
          </w:p>
        </w:tc>
        <w:tc>
          <w:tcPr>
            <w:tcW w:w="3557" w:type="pct"/>
            <w:shd w:val="clear" w:color="auto" w:fill="auto"/>
            <w:vAlign w:val="center"/>
          </w:tcPr>
          <w:p w14:paraId="6AE0B70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支持内置光Bypass接口，可通过系统开关或设备面板按扭实现光口Bypass，无需增加外置Bypass产品。</w:t>
            </w:r>
          </w:p>
        </w:tc>
      </w:tr>
      <w:tr w14:paraId="4D94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89" w:type="pct"/>
            <w:vMerge w:val="continue"/>
            <w:shd w:val="clear" w:color="auto" w:fill="auto"/>
            <w:vAlign w:val="center"/>
          </w:tcPr>
          <w:p w14:paraId="21B8392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752" w:type="pct"/>
            <w:shd w:val="clear" w:color="auto" w:fill="auto"/>
            <w:vAlign w:val="center"/>
          </w:tcPr>
          <w:p w14:paraId="22EA15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技术性能</w:t>
            </w:r>
          </w:p>
        </w:tc>
        <w:tc>
          <w:tcPr>
            <w:tcW w:w="3557" w:type="pct"/>
            <w:shd w:val="clear" w:color="auto" w:fill="auto"/>
            <w:vAlign w:val="center"/>
          </w:tcPr>
          <w:p w14:paraId="10C79F8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带宽≥800M；最大并发连接数为≥60万；最大新建连接数：≥4万/秒；≥6个千兆电接口，≥1T硬盘，含至少5年硬件质保服务。</w:t>
            </w:r>
          </w:p>
        </w:tc>
      </w:tr>
      <w:tr w14:paraId="6066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89" w:type="pct"/>
            <w:shd w:val="clear" w:color="auto" w:fill="auto"/>
            <w:vAlign w:val="center"/>
          </w:tcPr>
          <w:p w14:paraId="3905926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系统架构</w:t>
            </w:r>
          </w:p>
        </w:tc>
        <w:tc>
          <w:tcPr>
            <w:tcW w:w="752" w:type="pct"/>
            <w:shd w:val="clear" w:color="auto" w:fill="auto"/>
            <w:vAlign w:val="center"/>
          </w:tcPr>
          <w:p w14:paraId="5F0CBE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一体化引擎</w:t>
            </w:r>
          </w:p>
        </w:tc>
        <w:tc>
          <w:tcPr>
            <w:tcW w:w="3557" w:type="pct"/>
            <w:shd w:val="clear" w:color="auto" w:fill="auto"/>
            <w:vAlign w:val="center"/>
          </w:tcPr>
          <w:p w14:paraId="73616D0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设备必须采用一体化引擎，避免在复杂应用场景开启多功能时的延迟损耗及性能衰减。</w:t>
            </w:r>
          </w:p>
        </w:tc>
      </w:tr>
      <w:tr w14:paraId="759A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9" w:type="pct"/>
            <w:vMerge w:val="restart"/>
            <w:shd w:val="clear" w:color="auto" w:fill="auto"/>
            <w:vAlign w:val="center"/>
          </w:tcPr>
          <w:p w14:paraId="74D1CD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安全管理</w:t>
            </w:r>
          </w:p>
        </w:tc>
        <w:tc>
          <w:tcPr>
            <w:tcW w:w="752" w:type="pct"/>
            <w:shd w:val="clear" w:color="auto" w:fill="auto"/>
            <w:vAlign w:val="center"/>
          </w:tcPr>
          <w:p w14:paraId="0D13A3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支持对病毒的云查杀</w:t>
            </w:r>
          </w:p>
        </w:tc>
        <w:tc>
          <w:tcPr>
            <w:tcW w:w="3557" w:type="pct"/>
            <w:shd w:val="clear" w:color="auto" w:fill="auto"/>
            <w:vAlign w:val="center"/>
          </w:tcPr>
          <w:p w14:paraId="3966371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支持配置病毒查杀策略，检查网络中传输的文件是否是病毒，支持记录日志、病毒过滤；</w:t>
            </w:r>
          </w:p>
          <w:p w14:paraId="4575E42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支持与云端杀毒平台联动，对网络中传输的文件进行特征比对，以便减少对本地计算资源的消耗；</w:t>
            </w:r>
          </w:p>
          <w:p w14:paraId="3A61B79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至少应支持对以下几类网络应用传输的文件进行病毒云查杀：HTTP/FTP/IMAP/SMTP/POP3/SCP/SFTP。</w:t>
            </w:r>
          </w:p>
        </w:tc>
      </w:tr>
      <w:tr w14:paraId="0FB7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pct"/>
            <w:vMerge w:val="continue"/>
            <w:shd w:val="clear" w:color="auto" w:fill="auto"/>
            <w:vAlign w:val="center"/>
          </w:tcPr>
          <w:p w14:paraId="6C79CDA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752" w:type="pct"/>
            <w:shd w:val="clear" w:color="auto" w:fill="auto"/>
            <w:vAlign w:val="center"/>
          </w:tcPr>
          <w:p w14:paraId="505DEB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支持对恶意URL的云查杀</w:t>
            </w:r>
          </w:p>
        </w:tc>
        <w:tc>
          <w:tcPr>
            <w:tcW w:w="3557" w:type="pct"/>
            <w:shd w:val="clear" w:color="auto" w:fill="auto"/>
            <w:vAlign w:val="center"/>
          </w:tcPr>
          <w:p w14:paraId="260164F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支持基于云端大数据安全平台，对恶意URL访问进行封堵和记录日志。</w:t>
            </w:r>
          </w:p>
        </w:tc>
      </w:tr>
      <w:tr w14:paraId="00E2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pct"/>
            <w:vMerge w:val="continue"/>
            <w:shd w:val="clear" w:color="auto" w:fill="auto"/>
            <w:vAlign w:val="center"/>
          </w:tcPr>
          <w:p w14:paraId="203FFBB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752" w:type="pct"/>
            <w:vMerge w:val="restart"/>
            <w:shd w:val="clear" w:color="auto" w:fill="auto"/>
            <w:vAlign w:val="center"/>
          </w:tcPr>
          <w:p w14:paraId="1D639E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支持失陷主机检测</w:t>
            </w:r>
          </w:p>
        </w:tc>
        <w:tc>
          <w:tcPr>
            <w:tcW w:w="3557" w:type="pct"/>
            <w:shd w:val="clear" w:color="auto" w:fill="auto"/>
            <w:vAlign w:val="center"/>
          </w:tcPr>
          <w:p w14:paraId="423C75E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支持与威胁情报大数据平台对接，能够快速识别、封堵失陷主机、记录日志。</w:t>
            </w:r>
            <w:r>
              <w:rPr>
                <w:rFonts w:hint="eastAsia" w:ascii="宋体" w:hAnsi="宋体" w:eastAsia="宋体" w:cs="宋体"/>
                <w:b/>
                <w:bCs/>
                <w:color w:val="auto"/>
                <w:kern w:val="0"/>
                <w:sz w:val="24"/>
                <w:szCs w:val="24"/>
                <w:highlight w:val="none"/>
              </w:rPr>
              <w:t>（提供功能截图）</w:t>
            </w:r>
          </w:p>
        </w:tc>
      </w:tr>
      <w:tr w14:paraId="6204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9" w:type="pct"/>
            <w:vMerge w:val="continue"/>
            <w:shd w:val="clear" w:color="auto" w:fill="auto"/>
            <w:vAlign w:val="center"/>
          </w:tcPr>
          <w:p w14:paraId="5F1A45E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752" w:type="pct"/>
            <w:vMerge w:val="continue"/>
            <w:shd w:val="clear" w:color="auto" w:fill="auto"/>
            <w:vAlign w:val="center"/>
          </w:tcPr>
          <w:p w14:paraId="066EE04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3557" w:type="pct"/>
            <w:shd w:val="clear" w:color="auto" w:fill="auto"/>
            <w:vAlign w:val="center"/>
          </w:tcPr>
          <w:p w14:paraId="17BE488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至少支持拦截对外部威胁IP的访问请求和阻塞失陷主机IP两种控制策略。阻塞后支持向用户推送威胁情报阻塞提示页面。</w:t>
            </w:r>
          </w:p>
        </w:tc>
      </w:tr>
      <w:tr w14:paraId="62FF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9" w:type="pct"/>
            <w:vMerge w:val="restart"/>
            <w:shd w:val="clear" w:color="auto" w:fill="auto"/>
            <w:vAlign w:val="center"/>
          </w:tcPr>
          <w:p w14:paraId="4BDEB4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应用管理</w:t>
            </w:r>
          </w:p>
        </w:tc>
        <w:tc>
          <w:tcPr>
            <w:tcW w:w="752" w:type="pct"/>
            <w:shd w:val="clear" w:color="auto" w:fill="auto"/>
            <w:vAlign w:val="center"/>
          </w:tcPr>
          <w:p w14:paraId="561276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应用审计及控制</w:t>
            </w:r>
          </w:p>
        </w:tc>
        <w:tc>
          <w:tcPr>
            <w:tcW w:w="3557" w:type="pct"/>
            <w:shd w:val="clear" w:color="auto" w:fill="auto"/>
            <w:vAlign w:val="center"/>
          </w:tcPr>
          <w:p w14:paraId="6B18709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应用协议库包含的应用数量不低于12000种，应用规则总数不低于73000种。</w:t>
            </w:r>
          </w:p>
        </w:tc>
      </w:tr>
      <w:tr w14:paraId="2013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pct"/>
            <w:vMerge w:val="continue"/>
            <w:shd w:val="clear" w:color="auto" w:fill="auto"/>
            <w:vAlign w:val="center"/>
          </w:tcPr>
          <w:p w14:paraId="170B9AE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752" w:type="pct"/>
            <w:shd w:val="clear" w:color="auto" w:fill="auto"/>
            <w:vAlign w:val="center"/>
          </w:tcPr>
          <w:p w14:paraId="4F67A7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应用分类</w:t>
            </w:r>
          </w:p>
        </w:tc>
        <w:tc>
          <w:tcPr>
            <w:tcW w:w="3557" w:type="pct"/>
            <w:shd w:val="clear" w:color="auto" w:fill="auto"/>
            <w:vAlign w:val="center"/>
          </w:tcPr>
          <w:p w14:paraId="6EA5924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可以对下载工具、视频播放、网络游戏、金融理财、即时消息、移动应用有独立的分类进行识别控制；</w:t>
            </w:r>
          </w:p>
        </w:tc>
      </w:tr>
      <w:tr w14:paraId="566A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9" w:type="pct"/>
            <w:vMerge w:val="restart"/>
            <w:shd w:val="clear" w:color="auto" w:fill="auto"/>
            <w:vAlign w:val="center"/>
          </w:tcPr>
          <w:p w14:paraId="6872853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数据防泄漏</w:t>
            </w:r>
          </w:p>
        </w:tc>
        <w:tc>
          <w:tcPr>
            <w:tcW w:w="752" w:type="pct"/>
            <w:shd w:val="clear" w:color="auto" w:fill="auto"/>
            <w:vAlign w:val="center"/>
          </w:tcPr>
          <w:p w14:paraId="1EE4CE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外发途径管控</w:t>
            </w:r>
          </w:p>
        </w:tc>
        <w:tc>
          <w:tcPr>
            <w:tcW w:w="3557" w:type="pct"/>
            <w:shd w:val="clear" w:color="auto" w:fill="auto"/>
            <w:vAlign w:val="center"/>
          </w:tcPr>
          <w:p w14:paraId="71EF8FF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支持基于大小的内容外发控制。不开启SSL，对终端影响小；仅对外发控制，不影响浏览和下载等行为；</w:t>
            </w:r>
          </w:p>
          <w:p w14:paraId="7ED3514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可实现对网盘，webmail等的外发文件限制。</w:t>
            </w:r>
          </w:p>
        </w:tc>
      </w:tr>
      <w:tr w14:paraId="787E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9" w:type="pct"/>
            <w:vMerge w:val="continue"/>
            <w:shd w:val="clear" w:color="auto" w:fill="auto"/>
            <w:vAlign w:val="center"/>
          </w:tcPr>
          <w:p w14:paraId="6814B9E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752" w:type="pct"/>
            <w:shd w:val="clear" w:color="auto" w:fill="auto"/>
            <w:vAlign w:val="center"/>
          </w:tcPr>
          <w:p w14:paraId="3F93AE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外发文件限制</w:t>
            </w:r>
          </w:p>
        </w:tc>
        <w:tc>
          <w:tcPr>
            <w:tcW w:w="3557" w:type="pct"/>
            <w:shd w:val="clear" w:color="auto" w:fill="auto"/>
            <w:vAlign w:val="center"/>
          </w:tcPr>
          <w:p w14:paraId="3B4AF73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支持基于文件后缀的文件类型识别；支持基于文件内容对归档文件、压缩文件、加密文件、脚本文件等170+文件类型识别。修改后缀名，压缩等方式均可以识别准确类型； </w:t>
            </w:r>
          </w:p>
        </w:tc>
      </w:tr>
      <w:tr w14:paraId="6A8D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89" w:type="pct"/>
            <w:vMerge w:val="restart"/>
            <w:shd w:val="clear" w:color="auto" w:fill="auto"/>
            <w:vAlign w:val="center"/>
          </w:tcPr>
          <w:p w14:paraId="7961662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业务审计</w:t>
            </w:r>
          </w:p>
        </w:tc>
        <w:tc>
          <w:tcPr>
            <w:tcW w:w="752" w:type="pct"/>
            <w:vMerge w:val="restart"/>
            <w:shd w:val="clear" w:color="auto" w:fill="auto"/>
            <w:vAlign w:val="center"/>
          </w:tcPr>
          <w:p w14:paraId="5DA770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业务系统审计</w:t>
            </w:r>
          </w:p>
        </w:tc>
        <w:tc>
          <w:tcPr>
            <w:tcW w:w="3557" w:type="pct"/>
            <w:shd w:val="clear" w:color="auto" w:fill="auto"/>
            <w:vAlign w:val="center"/>
          </w:tcPr>
          <w:p w14:paraId="7C64357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支持业务系统访问及API接口进行双向扫描、通过敏感信息、安全漏洞、行为接口、自定义接口规则等识别并标识数据及传输风险。</w:t>
            </w:r>
            <w:r>
              <w:rPr>
                <w:rFonts w:hint="eastAsia" w:ascii="宋体" w:hAnsi="宋体" w:eastAsia="宋体" w:cs="宋体"/>
                <w:b/>
                <w:bCs/>
                <w:color w:val="auto"/>
                <w:kern w:val="0"/>
                <w:sz w:val="24"/>
                <w:szCs w:val="24"/>
                <w:highlight w:val="none"/>
              </w:rPr>
              <w:t>（提供功能截图）</w:t>
            </w:r>
          </w:p>
        </w:tc>
      </w:tr>
      <w:tr w14:paraId="5EDC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89" w:type="pct"/>
            <w:vMerge w:val="continue"/>
            <w:shd w:val="clear" w:color="auto" w:fill="auto"/>
            <w:vAlign w:val="center"/>
          </w:tcPr>
          <w:p w14:paraId="110CBB4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752" w:type="pct"/>
            <w:vMerge w:val="continue"/>
            <w:shd w:val="clear" w:color="auto" w:fill="auto"/>
            <w:vAlign w:val="center"/>
          </w:tcPr>
          <w:p w14:paraId="1762E3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3557" w:type="pct"/>
            <w:shd w:val="clear" w:color="auto" w:fill="auto"/>
            <w:vAlign w:val="center"/>
          </w:tcPr>
          <w:p w14:paraId="34DB71F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支持业务审计监控，可以查看最近某段时间内扫描到的业务系统访问数据的统计及排行；</w:t>
            </w:r>
          </w:p>
        </w:tc>
      </w:tr>
      <w:tr w14:paraId="239D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9" w:type="pct"/>
            <w:shd w:val="clear" w:color="auto" w:fill="auto"/>
            <w:vAlign w:val="center"/>
          </w:tcPr>
          <w:p w14:paraId="5478FBB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业务防护</w:t>
            </w:r>
          </w:p>
        </w:tc>
        <w:tc>
          <w:tcPr>
            <w:tcW w:w="752" w:type="pct"/>
            <w:shd w:val="clear" w:color="auto" w:fill="auto"/>
            <w:vAlign w:val="center"/>
          </w:tcPr>
          <w:p w14:paraId="323B66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入侵防护</w:t>
            </w:r>
          </w:p>
        </w:tc>
        <w:tc>
          <w:tcPr>
            <w:tcW w:w="3557" w:type="pct"/>
            <w:shd w:val="clear" w:color="auto" w:fill="auto"/>
            <w:vAlign w:val="center"/>
          </w:tcPr>
          <w:p w14:paraId="4FD4FE5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支持对域名服务器、数据库服务器、文件服务器、邮件服务器、Web服务器等业务系统进行传输行为监测，能够及时中断、调整或隔离一些不正常或是具有伤害性的网络资料传输行为。</w:t>
            </w:r>
          </w:p>
        </w:tc>
      </w:tr>
      <w:tr w14:paraId="251C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9" w:type="pct"/>
            <w:shd w:val="clear" w:color="auto" w:fill="auto"/>
            <w:vAlign w:val="center"/>
          </w:tcPr>
          <w:p w14:paraId="7354C6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共享接入</w:t>
            </w:r>
          </w:p>
        </w:tc>
        <w:tc>
          <w:tcPr>
            <w:tcW w:w="752" w:type="pct"/>
            <w:shd w:val="clear" w:color="auto" w:fill="auto"/>
            <w:vAlign w:val="center"/>
          </w:tcPr>
          <w:p w14:paraId="440E21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共享接入配置</w:t>
            </w:r>
          </w:p>
        </w:tc>
        <w:tc>
          <w:tcPr>
            <w:tcW w:w="3557" w:type="pct"/>
            <w:shd w:val="clear" w:color="auto" w:fill="auto"/>
            <w:vAlign w:val="center"/>
          </w:tcPr>
          <w:p w14:paraId="2F3FE0D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可识别网络中的私接路由或共享wifi的网络行为并配置阻塞策略；</w:t>
            </w:r>
          </w:p>
          <w:p w14:paraId="1926C47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阻塞条件支持基于终端总数量、PC数量、移动终端数量分别配置；</w:t>
            </w:r>
          </w:p>
          <w:p w14:paraId="72FC3FF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阻塞条件只选择终端总数量时，支持例外名单配置，包含PC数量、移动终端数量；</w:t>
            </w:r>
          </w:p>
        </w:tc>
      </w:tr>
      <w:tr w14:paraId="0EFB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89" w:type="pct"/>
            <w:shd w:val="clear" w:color="auto" w:fill="auto"/>
            <w:vAlign w:val="center"/>
          </w:tcPr>
          <w:p w14:paraId="7BD554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终端管理软件联动</w:t>
            </w:r>
          </w:p>
        </w:tc>
        <w:tc>
          <w:tcPr>
            <w:tcW w:w="752" w:type="pct"/>
            <w:shd w:val="clear" w:color="auto" w:fill="auto"/>
            <w:vAlign w:val="center"/>
          </w:tcPr>
          <w:p w14:paraId="344F90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终端管理软件联动</w:t>
            </w:r>
          </w:p>
        </w:tc>
        <w:tc>
          <w:tcPr>
            <w:tcW w:w="3557" w:type="pct"/>
            <w:shd w:val="clear" w:color="auto" w:fill="auto"/>
            <w:vAlign w:val="center"/>
          </w:tcPr>
          <w:p w14:paraId="4261FCA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支持与现有的终端管理软件联动，设备检测到未安装终端管理软件的PC，可将其Web访问自动重定向到特定页面并提示下载。</w:t>
            </w:r>
          </w:p>
        </w:tc>
      </w:tr>
      <w:tr w14:paraId="302A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89" w:type="pct"/>
            <w:vMerge w:val="restart"/>
            <w:shd w:val="clear" w:color="auto" w:fill="auto"/>
            <w:vAlign w:val="center"/>
          </w:tcPr>
          <w:p w14:paraId="6F7574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4310" w:type="pct"/>
            <w:gridSpan w:val="2"/>
            <w:shd w:val="clear" w:color="auto" w:fill="auto"/>
            <w:vAlign w:val="center"/>
          </w:tcPr>
          <w:p w14:paraId="5AD095F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具备国家信息安全测评信息技术产品安全测评证书，EAL3+资质</w:t>
            </w:r>
          </w:p>
        </w:tc>
      </w:tr>
      <w:tr w14:paraId="6EBA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9" w:type="pct"/>
            <w:vMerge w:val="continue"/>
            <w:shd w:val="clear" w:color="auto" w:fill="auto"/>
            <w:vAlign w:val="center"/>
          </w:tcPr>
          <w:p w14:paraId="16382B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4310" w:type="pct"/>
            <w:gridSpan w:val="2"/>
            <w:shd w:val="clear" w:color="auto" w:fill="auto"/>
            <w:vAlign w:val="center"/>
          </w:tcPr>
          <w:p w14:paraId="0673FF2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认证实训设备厂商具备ITSS运行维护符合性证书（二级及以上）</w:t>
            </w:r>
          </w:p>
        </w:tc>
      </w:tr>
      <w:tr w14:paraId="7E7A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89" w:type="pct"/>
            <w:shd w:val="clear" w:color="auto" w:fill="auto"/>
            <w:vAlign w:val="center"/>
          </w:tcPr>
          <w:p w14:paraId="4A50DC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tc>
        <w:tc>
          <w:tcPr>
            <w:tcW w:w="4310" w:type="pct"/>
            <w:gridSpan w:val="2"/>
            <w:shd w:val="clear" w:color="auto" w:fill="auto"/>
            <w:vAlign w:val="center"/>
          </w:tcPr>
          <w:p w14:paraId="7C74CC1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签订合同时提供五年原厂商质保服务承诺函及授权书。</w:t>
            </w:r>
          </w:p>
        </w:tc>
      </w:tr>
      <w:tr w14:paraId="0151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89" w:type="pct"/>
            <w:shd w:val="clear" w:color="auto" w:fill="auto"/>
            <w:vAlign w:val="center"/>
          </w:tcPr>
          <w:p w14:paraId="1AC65F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产品测试</w:t>
            </w:r>
          </w:p>
        </w:tc>
        <w:tc>
          <w:tcPr>
            <w:tcW w:w="4310" w:type="pct"/>
            <w:gridSpan w:val="2"/>
            <w:shd w:val="clear" w:color="auto" w:fill="auto"/>
            <w:vAlign w:val="center"/>
          </w:tcPr>
          <w:p w14:paraId="38F484D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为防止投标方虚假应答技术指标，从而造成用户在实际使用设备过程中无法实现所需的功能，采购方保留产品功能测试的权利，在指定的时间不能提供测试样机进行测试或测试中发现虚假应标的行为，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r>
              <w:rPr>
                <w:rFonts w:hint="eastAsia" w:ascii="宋体" w:hAnsi="宋体" w:eastAsia="宋体" w:cs="宋体"/>
                <w:color w:val="auto"/>
                <w:kern w:val="0"/>
                <w:sz w:val="24"/>
                <w:szCs w:val="24"/>
                <w:highlight w:val="none"/>
                <w:lang w:val="it-IT"/>
              </w:rPr>
              <w:t>。</w:t>
            </w:r>
          </w:p>
        </w:tc>
      </w:tr>
    </w:tbl>
    <w:p w14:paraId="53C5ECF5">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IPS认证模块</w:t>
      </w:r>
    </w:p>
    <w:tbl>
      <w:tblPr>
        <w:tblStyle w:val="47"/>
        <w:tblW w:w="9723" w:type="dxa"/>
        <w:jc w:val="center"/>
        <w:tblLayout w:type="fixed"/>
        <w:tblCellMar>
          <w:top w:w="0" w:type="dxa"/>
          <w:left w:w="108" w:type="dxa"/>
          <w:bottom w:w="0" w:type="dxa"/>
          <w:right w:w="108" w:type="dxa"/>
        </w:tblCellMar>
      </w:tblPr>
      <w:tblGrid>
        <w:gridCol w:w="1364"/>
        <w:gridCol w:w="8359"/>
      </w:tblGrid>
      <w:tr w14:paraId="06696D40">
        <w:tblPrEx>
          <w:tblCellMar>
            <w:top w:w="0" w:type="dxa"/>
            <w:left w:w="108" w:type="dxa"/>
            <w:bottom w:w="0" w:type="dxa"/>
            <w:right w:w="108" w:type="dxa"/>
          </w:tblCellMar>
        </w:tblPrEx>
        <w:trPr>
          <w:trHeight w:val="384"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EEECE1" w:themeFill="background2"/>
            <w:noWrap/>
            <w:vAlign w:val="center"/>
          </w:tcPr>
          <w:p w14:paraId="250006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8359" w:type="dxa"/>
            <w:tcBorders>
              <w:top w:val="single" w:color="auto" w:sz="4" w:space="0"/>
              <w:left w:val="nil"/>
              <w:bottom w:val="single" w:color="auto" w:sz="4" w:space="0"/>
              <w:right w:val="single" w:color="auto" w:sz="4" w:space="0"/>
            </w:tcBorders>
            <w:shd w:val="clear" w:color="000000" w:fill="EEECE1" w:themeFill="background2"/>
            <w:vAlign w:val="center"/>
          </w:tcPr>
          <w:p w14:paraId="7C47EFB5">
            <w:pPr>
              <w:keepNext w:val="0"/>
              <w:keepLines w:val="0"/>
              <w:widowControl/>
              <w:suppressLineNumbers w:val="0"/>
              <w:spacing w:before="0" w:beforeAutospacing="0" w:after="0" w:afterAutospacing="0" w:line="240" w:lineRule="auto"/>
              <w:ind w:left="0" w:right="0" w:firstLine="2891" w:firstLineChars="1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6FFBB5EC">
        <w:tblPrEx>
          <w:tblCellMar>
            <w:top w:w="0" w:type="dxa"/>
            <w:left w:w="108" w:type="dxa"/>
            <w:bottom w:w="0" w:type="dxa"/>
            <w:right w:w="108" w:type="dxa"/>
          </w:tblCellMar>
        </w:tblPrEx>
        <w:trPr>
          <w:trHeight w:val="285"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29BE8C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自主可控要求</w:t>
            </w:r>
          </w:p>
        </w:tc>
        <w:tc>
          <w:tcPr>
            <w:tcW w:w="8359" w:type="dxa"/>
            <w:tcBorders>
              <w:top w:val="single" w:color="auto" w:sz="4" w:space="0"/>
              <w:left w:val="nil"/>
              <w:bottom w:val="single" w:color="auto" w:sz="4" w:space="0"/>
              <w:right w:val="single" w:color="auto" w:sz="4" w:space="0"/>
            </w:tcBorders>
            <w:shd w:val="clear" w:color="000000" w:fill="FFFFFF"/>
            <w:vAlign w:val="center"/>
          </w:tcPr>
          <w:p w14:paraId="7247A9B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产品要求为专业入侵防御系统，拒绝下一代防火墙或UTM设备。 </w:t>
            </w:r>
          </w:p>
        </w:tc>
      </w:tr>
      <w:tr w14:paraId="06816433">
        <w:tblPrEx>
          <w:tblCellMar>
            <w:top w:w="0" w:type="dxa"/>
            <w:left w:w="108" w:type="dxa"/>
            <w:bottom w:w="0" w:type="dxa"/>
            <w:right w:w="108" w:type="dxa"/>
          </w:tblCellMar>
        </w:tblPrEx>
        <w:trPr>
          <w:trHeight w:val="285"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5D551D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性能规格</w:t>
            </w:r>
          </w:p>
        </w:tc>
        <w:tc>
          <w:tcPr>
            <w:tcW w:w="8359" w:type="dxa"/>
            <w:tcBorders>
              <w:top w:val="single" w:color="auto" w:sz="4" w:space="0"/>
              <w:left w:val="nil"/>
              <w:bottom w:val="single" w:color="auto" w:sz="4" w:space="0"/>
              <w:right w:val="single" w:color="auto" w:sz="4" w:space="0"/>
            </w:tcBorders>
            <w:shd w:val="clear" w:color="000000" w:fill="FFFFFF"/>
            <w:vAlign w:val="center"/>
          </w:tcPr>
          <w:p w14:paraId="280D205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网络层吞吐量为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5Gbps，IPS吞吐量为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2Gbps，最大并发连接数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100万，每秒新建连接数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5万/秒，千兆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6个10/100/1000M自适应电口，5年硬件质保服务。</w:t>
            </w:r>
            <w:r>
              <w:rPr>
                <w:rFonts w:hint="eastAsia" w:ascii="宋体" w:hAnsi="宋体" w:cs="宋体"/>
                <w:color w:val="auto"/>
                <w:kern w:val="0"/>
                <w:sz w:val="24"/>
                <w:highlight w:val="none"/>
                <w:lang w:bidi="ar"/>
              </w:rPr>
              <w:t>本次IPS冗余部署，具备多系统切换技术，</w:t>
            </w:r>
            <w:r>
              <w:rPr>
                <w:rFonts w:hint="eastAsia" w:ascii="宋体" w:hAnsi="宋体" w:cs="宋体"/>
                <w:b/>
                <w:bCs/>
                <w:color w:val="auto"/>
                <w:kern w:val="0"/>
                <w:sz w:val="24"/>
                <w:highlight w:val="none"/>
              </w:rPr>
              <w:t>要求提供信息产业信息安全测评中心或国家知识产权局等第三方权威机构出具的证明</w:t>
            </w:r>
            <w:r>
              <w:rPr>
                <w:rFonts w:hint="eastAsia" w:ascii="宋体" w:hAnsi="宋体" w:cs="宋体"/>
                <w:color w:val="auto"/>
                <w:kern w:val="0"/>
                <w:sz w:val="24"/>
                <w:highlight w:val="none"/>
              </w:rPr>
              <w:t>。</w:t>
            </w:r>
          </w:p>
        </w:tc>
      </w:tr>
      <w:tr w14:paraId="2F41424F">
        <w:tblPrEx>
          <w:tblCellMar>
            <w:top w:w="0" w:type="dxa"/>
            <w:left w:w="108" w:type="dxa"/>
            <w:bottom w:w="0" w:type="dxa"/>
            <w:right w:w="108" w:type="dxa"/>
          </w:tblCellMar>
        </w:tblPrEx>
        <w:trPr>
          <w:trHeight w:val="602"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6A938C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部署模式</w:t>
            </w:r>
          </w:p>
        </w:tc>
        <w:tc>
          <w:tcPr>
            <w:tcW w:w="8359" w:type="dxa"/>
            <w:tcBorders>
              <w:top w:val="single" w:color="auto" w:sz="4" w:space="0"/>
              <w:left w:val="nil"/>
              <w:bottom w:val="single" w:color="auto" w:sz="4" w:space="0"/>
              <w:right w:val="single" w:color="auto" w:sz="4" w:space="0"/>
            </w:tcBorders>
            <w:shd w:val="clear" w:color="000000" w:fill="FFFFFF"/>
            <w:vAlign w:val="bottom"/>
          </w:tcPr>
          <w:p w14:paraId="70CA7C6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产品提供多种部署模式，支持路由、透明接入、虚拟网线等部署方案的工作模式</w:t>
            </w:r>
          </w:p>
        </w:tc>
      </w:tr>
      <w:tr w14:paraId="0E773B18">
        <w:tblPrEx>
          <w:tblCellMar>
            <w:top w:w="0" w:type="dxa"/>
            <w:left w:w="108" w:type="dxa"/>
            <w:bottom w:w="0" w:type="dxa"/>
            <w:right w:w="108" w:type="dxa"/>
          </w:tblCellMar>
        </w:tblPrEx>
        <w:trPr>
          <w:trHeight w:val="285" w:hRule="atLeast"/>
          <w:jc w:val="center"/>
        </w:trPr>
        <w:tc>
          <w:tcPr>
            <w:tcW w:w="1364" w:type="dxa"/>
            <w:vMerge w:val="restart"/>
            <w:tcBorders>
              <w:top w:val="single" w:color="auto" w:sz="4" w:space="0"/>
              <w:left w:val="single" w:color="auto" w:sz="4" w:space="0"/>
              <w:right w:val="single" w:color="auto" w:sz="4" w:space="0"/>
            </w:tcBorders>
            <w:shd w:val="clear" w:color="000000" w:fill="FFFFFF"/>
            <w:noWrap/>
            <w:vAlign w:val="center"/>
          </w:tcPr>
          <w:p w14:paraId="6F10A7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应用识别</w:t>
            </w:r>
          </w:p>
        </w:tc>
        <w:tc>
          <w:tcPr>
            <w:tcW w:w="8359" w:type="dxa"/>
            <w:tcBorders>
              <w:top w:val="single" w:color="auto" w:sz="4" w:space="0"/>
              <w:left w:val="nil"/>
              <w:bottom w:val="single" w:color="auto" w:sz="4" w:space="0"/>
              <w:right w:val="single" w:color="auto" w:sz="4" w:space="0"/>
            </w:tcBorders>
            <w:shd w:val="clear" w:color="000000" w:fill="FFFFFF"/>
            <w:vAlign w:val="bottom"/>
          </w:tcPr>
          <w:p w14:paraId="200D42E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产品具备应用识别特征库，提供P2P下载、网络电视、即时通讯、股票软件、流媒体、网络电话、手机应用等多种应用识别类型，特征库数量不少于3000</w:t>
            </w:r>
          </w:p>
        </w:tc>
      </w:tr>
      <w:tr w14:paraId="0135298C">
        <w:tblPrEx>
          <w:tblCellMar>
            <w:top w:w="0" w:type="dxa"/>
            <w:left w:w="108" w:type="dxa"/>
            <w:bottom w:w="0" w:type="dxa"/>
            <w:right w:w="108" w:type="dxa"/>
          </w:tblCellMar>
        </w:tblPrEx>
        <w:trPr>
          <w:trHeight w:val="285" w:hRule="atLeast"/>
          <w:jc w:val="center"/>
        </w:trPr>
        <w:tc>
          <w:tcPr>
            <w:tcW w:w="1364" w:type="dxa"/>
            <w:vMerge w:val="continue"/>
            <w:tcBorders>
              <w:left w:val="single" w:color="auto" w:sz="4" w:space="0"/>
              <w:bottom w:val="single" w:color="000000" w:sz="4" w:space="0"/>
              <w:right w:val="single" w:color="auto" w:sz="4" w:space="0"/>
            </w:tcBorders>
            <w:shd w:val="clear" w:color="000000" w:fill="FFFFFF"/>
            <w:noWrap/>
            <w:vAlign w:val="center"/>
          </w:tcPr>
          <w:p w14:paraId="16217B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p>
        </w:tc>
        <w:tc>
          <w:tcPr>
            <w:tcW w:w="8359" w:type="dxa"/>
            <w:tcBorders>
              <w:top w:val="single" w:color="auto" w:sz="4" w:space="0"/>
              <w:left w:val="nil"/>
              <w:bottom w:val="single" w:color="auto" w:sz="4" w:space="0"/>
              <w:right w:val="single" w:color="auto" w:sz="4" w:space="0"/>
            </w:tcBorders>
            <w:shd w:val="clear" w:color="000000" w:fill="FFFFFF"/>
            <w:vAlign w:val="bottom"/>
          </w:tcPr>
          <w:p w14:paraId="64CB000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产品具备自定义应用协议，提供除五元组之外的应用技术、应用属性、风险级别、类型、子类、协议、匹配内容、应用层长度等多项设置</w:t>
            </w:r>
          </w:p>
        </w:tc>
      </w:tr>
      <w:tr w14:paraId="49CD406A">
        <w:tblPrEx>
          <w:tblCellMar>
            <w:top w:w="0" w:type="dxa"/>
            <w:left w:w="108" w:type="dxa"/>
            <w:bottom w:w="0" w:type="dxa"/>
            <w:right w:w="108" w:type="dxa"/>
          </w:tblCellMar>
        </w:tblPrEx>
        <w:trPr>
          <w:trHeight w:val="285"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489913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安全策略</w:t>
            </w:r>
          </w:p>
        </w:tc>
        <w:tc>
          <w:tcPr>
            <w:tcW w:w="8359" w:type="dxa"/>
            <w:tcBorders>
              <w:top w:val="single" w:color="auto" w:sz="4" w:space="0"/>
              <w:left w:val="nil"/>
              <w:bottom w:val="single" w:color="auto" w:sz="4" w:space="0"/>
              <w:right w:val="single" w:color="auto" w:sz="4" w:space="0"/>
            </w:tcBorders>
            <w:shd w:val="clear" w:color="000000" w:fill="FFFFFF"/>
            <w:vAlign w:val="bottom"/>
          </w:tcPr>
          <w:p w14:paraId="04FD081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具备一体化安全策略模板功能，通过单条策略既可完成多项策略设置，可以配置源目的地址、国家地区、源目的域、源目的MAC、时间对象、用户、虚拟身份、服务对象、URL分类等对象，同时可在同一策略下，调用入侵防护、一体化防病毒、文件控制、URL过滤、数据过滤防护、威胁情报、口令检测、挂马防护、僵尸网络等应用安全策略进行安全防护</w:t>
            </w:r>
          </w:p>
        </w:tc>
      </w:tr>
      <w:tr w14:paraId="155C2B89">
        <w:tblPrEx>
          <w:tblCellMar>
            <w:top w:w="0" w:type="dxa"/>
            <w:left w:w="108" w:type="dxa"/>
            <w:bottom w:w="0" w:type="dxa"/>
            <w:right w:w="108" w:type="dxa"/>
          </w:tblCellMar>
        </w:tblPrEx>
        <w:trPr>
          <w:trHeight w:val="285"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296B17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配置向导</w:t>
            </w:r>
          </w:p>
        </w:tc>
        <w:tc>
          <w:tcPr>
            <w:tcW w:w="8359" w:type="dxa"/>
            <w:tcBorders>
              <w:top w:val="single" w:color="auto" w:sz="4" w:space="0"/>
              <w:left w:val="nil"/>
              <w:bottom w:val="single" w:color="auto" w:sz="4" w:space="0"/>
              <w:right w:val="single" w:color="auto" w:sz="4" w:space="0"/>
            </w:tcBorders>
            <w:shd w:val="clear" w:color="000000" w:fill="FFFFFF"/>
            <w:vAlign w:val="bottom"/>
          </w:tcPr>
          <w:p w14:paraId="0E4E232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产品具备配置向导功能，通过引导用户配置，包括拓扑图、桥接口配置、地址区域流、IPS、可视、概览等多项元素实现快速配置上线</w:t>
            </w:r>
            <w:r>
              <w:rPr>
                <w:rFonts w:hint="eastAsia" w:ascii="宋体" w:hAnsi="宋体" w:eastAsia="宋体" w:cs="宋体"/>
                <w:b/>
                <w:bCs/>
                <w:color w:val="auto"/>
                <w:kern w:val="0"/>
                <w:sz w:val="24"/>
                <w:szCs w:val="24"/>
                <w:highlight w:val="none"/>
                <w:lang w:val="it-IT"/>
              </w:rPr>
              <w:t>（请提供截图证明）</w:t>
            </w:r>
          </w:p>
        </w:tc>
      </w:tr>
      <w:tr w14:paraId="02F07559">
        <w:tblPrEx>
          <w:tblCellMar>
            <w:top w:w="0" w:type="dxa"/>
            <w:left w:w="108" w:type="dxa"/>
            <w:bottom w:w="0" w:type="dxa"/>
            <w:right w:w="108" w:type="dxa"/>
          </w:tblCellMar>
        </w:tblPrEx>
        <w:trPr>
          <w:trHeight w:val="285"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571A8F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入侵防护</w:t>
            </w:r>
          </w:p>
        </w:tc>
        <w:tc>
          <w:tcPr>
            <w:tcW w:w="8359" w:type="dxa"/>
            <w:tcBorders>
              <w:top w:val="single" w:color="auto" w:sz="4" w:space="0"/>
              <w:left w:val="nil"/>
              <w:bottom w:val="single" w:color="auto" w:sz="4" w:space="0"/>
              <w:right w:val="single" w:color="auto" w:sz="4" w:space="0"/>
            </w:tcBorders>
            <w:shd w:val="clear" w:color="000000" w:fill="FFFFFF"/>
            <w:vAlign w:val="bottom"/>
          </w:tcPr>
          <w:p w14:paraId="00FC86A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系统采用自主研发的基于网络的入侵检测技术，要求提供信息产业信息安全测评中心或国家知识产权局等第三方权威机构出具的证明。具备检测防逃逸技术，提供缓冲区溢出、SQL注入、扫描刺探、间谍软件、拒绝服务、病毒、木马后门、漏洞攻击、潜在风险的入侵防御特征库。</w:t>
            </w:r>
          </w:p>
        </w:tc>
      </w:tr>
      <w:tr w14:paraId="7395FFDE">
        <w:tblPrEx>
          <w:tblCellMar>
            <w:top w:w="0" w:type="dxa"/>
            <w:left w:w="108" w:type="dxa"/>
            <w:bottom w:w="0" w:type="dxa"/>
            <w:right w:w="108" w:type="dxa"/>
          </w:tblCellMar>
        </w:tblPrEx>
        <w:trPr>
          <w:trHeight w:val="285"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5C9EC7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IPS特征库</w:t>
            </w:r>
          </w:p>
        </w:tc>
        <w:tc>
          <w:tcPr>
            <w:tcW w:w="8359" w:type="dxa"/>
            <w:tcBorders>
              <w:top w:val="single" w:color="auto" w:sz="4" w:space="0"/>
              <w:left w:val="nil"/>
              <w:bottom w:val="single" w:color="auto" w:sz="4" w:space="0"/>
              <w:right w:val="single" w:color="auto" w:sz="4" w:space="0"/>
            </w:tcBorders>
            <w:shd w:val="clear" w:color="000000" w:fill="FFFFFF"/>
            <w:vAlign w:val="bottom"/>
          </w:tcPr>
          <w:p w14:paraId="0F107C4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产品提供入侵防御特征库，特征数超过10000条。并提供基于正则表达式匹配方式的自定义特征策略功能</w:t>
            </w:r>
            <w:r>
              <w:rPr>
                <w:rFonts w:hint="eastAsia" w:ascii="宋体" w:hAnsi="宋体" w:eastAsia="宋体" w:cs="宋体"/>
                <w:b/>
                <w:bCs/>
                <w:color w:val="auto"/>
                <w:kern w:val="0"/>
                <w:sz w:val="24"/>
                <w:szCs w:val="24"/>
                <w:highlight w:val="none"/>
                <w:lang w:val="it-IT"/>
              </w:rPr>
              <w:t>（请提供截图证明）</w:t>
            </w:r>
          </w:p>
        </w:tc>
      </w:tr>
      <w:tr w14:paraId="7FEE462F">
        <w:tblPrEx>
          <w:tblCellMar>
            <w:top w:w="0" w:type="dxa"/>
            <w:left w:w="108" w:type="dxa"/>
            <w:bottom w:w="0" w:type="dxa"/>
            <w:right w:w="108" w:type="dxa"/>
          </w:tblCellMar>
        </w:tblPrEx>
        <w:trPr>
          <w:trHeight w:val="285"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1D99C2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大屏</w:t>
            </w:r>
          </w:p>
        </w:tc>
        <w:tc>
          <w:tcPr>
            <w:tcW w:w="8359" w:type="dxa"/>
            <w:tcBorders>
              <w:top w:val="single" w:color="auto" w:sz="4" w:space="0"/>
              <w:left w:val="nil"/>
              <w:bottom w:val="single" w:color="auto" w:sz="4" w:space="0"/>
              <w:right w:val="single" w:color="auto" w:sz="4" w:space="0"/>
            </w:tcBorders>
            <w:shd w:val="clear" w:color="000000" w:fill="FFFFFF"/>
            <w:vAlign w:val="bottom"/>
          </w:tcPr>
          <w:p w14:paraId="2D5DD61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具备安全态势大屏实时展示，可通过产品自带的实时态势监测模块进行攻击态势地图展示，包含对威胁趋势图、风险主机TOP10、威胁等级 、最新入侵事件 、设备运行状态 、资源监控、告警总数等信息统计展示</w:t>
            </w:r>
            <w:r>
              <w:rPr>
                <w:rFonts w:hint="eastAsia" w:ascii="宋体" w:hAnsi="宋体" w:eastAsia="宋体" w:cs="宋体"/>
                <w:b/>
                <w:bCs/>
                <w:color w:val="auto"/>
                <w:kern w:val="0"/>
                <w:sz w:val="24"/>
                <w:szCs w:val="24"/>
                <w:highlight w:val="none"/>
                <w:lang w:val="it-IT"/>
              </w:rPr>
              <w:t>（请提供截图证明）</w:t>
            </w:r>
          </w:p>
        </w:tc>
      </w:tr>
      <w:tr w14:paraId="194D5353">
        <w:tblPrEx>
          <w:tblCellMar>
            <w:top w:w="0" w:type="dxa"/>
            <w:left w:w="108" w:type="dxa"/>
            <w:bottom w:w="0" w:type="dxa"/>
            <w:right w:w="108" w:type="dxa"/>
          </w:tblCellMar>
        </w:tblPrEx>
        <w:trPr>
          <w:trHeight w:val="285" w:hRule="atLeast"/>
          <w:jc w:val="center"/>
        </w:trPr>
        <w:tc>
          <w:tcPr>
            <w:tcW w:w="136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086D7E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事件取证</w:t>
            </w:r>
          </w:p>
        </w:tc>
        <w:tc>
          <w:tcPr>
            <w:tcW w:w="8359" w:type="dxa"/>
            <w:tcBorders>
              <w:top w:val="single" w:color="auto" w:sz="4" w:space="0"/>
              <w:left w:val="nil"/>
              <w:bottom w:val="single" w:color="auto" w:sz="4" w:space="0"/>
              <w:right w:val="single" w:color="auto" w:sz="4" w:space="0"/>
            </w:tcBorders>
            <w:shd w:val="clear" w:color="000000" w:fill="FFFFFF"/>
            <w:vAlign w:val="bottom"/>
          </w:tcPr>
          <w:p w14:paraId="40C01A8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产品具备事件取证分析功能，通过获取接口的报文文件保存在设备中留存为证据，取证文件支持导出功能</w:t>
            </w:r>
          </w:p>
        </w:tc>
      </w:tr>
      <w:tr w14:paraId="532B94AA">
        <w:tblPrEx>
          <w:tblCellMar>
            <w:top w:w="0" w:type="dxa"/>
            <w:left w:w="108" w:type="dxa"/>
            <w:bottom w:w="0" w:type="dxa"/>
            <w:right w:w="108" w:type="dxa"/>
          </w:tblCellMar>
        </w:tblPrEx>
        <w:trPr>
          <w:trHeight w:val="347" w:hRule="atLeast"/>
          <w:jc w:val="center"/>
        </w:trPr>
        <w:tc>
          <w:tcPr>
            <w:tcW w:w="1364" w:type="dxa"/>
            <w:vMerge w:val="restart"/>
            <w:tcBorders>
              <w:top w:val="single" w:color="auto" w:sz="4" w:space="0"/>
              <w:left w:val="single" w:color="auto" w:sz="4" w:space="0"/>
              <w:right w:val="single" w:color="auto" w:sz="4" w:space="0"/>
            </w:tcBorders>
            <w:vAlign w:val="center"/>
          </w:tcPr>
          <w:p w14:paraId="5AE29D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8359" w:type="dxa"/>
            <w:tcBorders>
              <w:top w:val="single" w:color="auto" w:sz="4" w:space="0"/>
              <w:left w:val="nil"/>
              <w:right w:val="single" w:color="auto" w:sz="4" w:space="0"/>
            </w:tcBorders>
            <w:shd w:val="clear" w:color="000000" w:fill="FFFFFF"/>
            <w:vAlign w:val="center"/>
          </w:tcPr>
          <w:p w14:paraId="3338ECC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产品具有《国家信息安全测评信息技术产品安全测评证书（EAL4+级）》</w:t>
            </w:r>
          </w:p>
        </w:tc>
      </w:tr>
      <w:tr w14:paraId="664124BC">
        <w:tblPrEx>
          <w:tblCellMar>
            <w:top w:w="0" w:type="dxa"/>
            <w:left w:w="108" w:type="dxa"/>
            <w:bottom w:w="0" w:type="dxa"/>
            <w:right w:w="108" w:type="dxa"/>
          </w:tblCellMar>
        </w:tblPrEx>
        <w:trPr>
          <w:trHeight w:val="132" w:hRule="atLeast"/>
          <w:jc w:val="center"/>
        </w:trPr>
        <w:tc>
          <w:tcPr>
            <w:tcW w:w="1364" w:type="dxa"/>
            <w:vMerge w:val="continue"/>
            <w:tcBorders>
              <w:left w:val="single" w:color="auto" w:sz="4" w:space="0"/>
              <w:right w:val="single" w:color="auto" w:sz="4" w:space="0"/>
            </w:tcBorders>
            <w:vAlign w:val="center"/>
          </w:tcPr>
          <w:p w14:paraId="04C5FD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p>
        </w:tc>
        <w:tc>
          <w:tcPr>
            <w:tcW w:w="8359" w:type="dxa"/>
            <w:tcBorders>
              <w:top w:val="single" w:color="auto" w:sz="4" w:space="0"/>
              <w:left w:val="nil"/>
              <w:right w:val="single" w:color="auto" w:sz="4" w:space="0"/>
            </w:tcBorders>
            <w:shd w:val="clear" w:color="000000" w:fill="FFFFFF"/>
            <w:vAlign w:val="center"/>
          </w:tcPr>
          <w:p w14:paraId="45499E9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产品具有中国网络安全审查技术与认证中心颁发的《IT产品信息安全认证证书》</w:t>
            </w:r>
          </w:p>
        </w:tc>
      </w:tr>
      <w:tr w14:paraId="77E2E256">
        <w:tblPrEx>
          <w:tblCellMar>
            <w:top w:w="0" w:type="dxa"/>
            <w:left w:w="108" w:type="dxa"/>
            <w:bottom w:w="0" w:type="dxa"/>
            <w:right w:w="108" w:type="dxa"/>
          </w:tblCellMar>
        </w:tblPrEx>
        <w:trPr>
          <w:trHeight w:val="404" w:hRule="atLeast"/>
          <w:jc w:val="center"/>
        </w:trPr>
        <w:tc>
          <w:tcPr>
            <w:tcW w:w="1364" w:type="dxa"/>
            <w:vMerge w:val="continue"/>
            <w:tcBorders>
              <w:left w:val="single" w:color="auto" w:sz="4" w:space="0"/>
              <w:right w:val="single" w:color="auto" w:sz="4" w:space="0"/>
            </w:tcBorders>
            <w:vAlign w:val="center"/>
          </w:tcPr>
          <w:p w14:paraId="16B7A9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p>
        </w:tc>
        <w:tc>
          <w:tcPr>
            <w:tcW w:w="8359" w:type="dxa"/>
            <w:tcBorders>
              <w:top w:val="single" w:color="auto" w:sz="4" w:space="0"/>
              <w:left w:val="nil"/>
              <w:right w:val="single" w:color="auto" w:sz="4" w:space="0"/>
            </w:tcBorders>
            <w:shd w:val="clear" w:color="000000" w:fill="FFFFFF"/>
            <w:vAlign w:val="center"/>
          </w:tcPr>
          <w:p w14:paraId="2060F9B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认证实训设备厂商具备国测信息安全服务资质安全工程类三级</w:t>
            </w:r>
            <w:r>
              <w:rPr>
                <w:rFonts w:hint="eastAsia" w:ascii="宋体" w:hAnsi="宋体" w:cs="宋体"/>
                <w:color w:val="auto"/>
                <w:kern w:val="0"/>
                <w:sz w:val="24"/>
                <w:szCs w:val="24"/>
                <w:highlight w:val="none"/>
                <w:lang w:val="it-IT" w:eastAsia="zh-CN"/>
              </w:rPr>
              <w:t>及以上</w:t>
            </w:r>
            <w:r>
              <w:rPr>
                <w:rFonts w:hint="eastAsia" w:ascii="宋体" w:hAnsi="宋体" w:eastAsia="宋体" w:cs="宋体"/>
                <w:color w:val="auto"/>
                <w:kern w:val="0"/>
                <w:sz w:val="24"/>
                <w:szCs w:val="24"/>
                <w:highlight w:val="none"/>
                <w:lang w:val="it-IT"/>
              </w:rPr>
              <w:t>证书</w:t>
            </w:r>
          </w:p>
        </w:tc>
      </w:tr>
      <w:tr w14:paraId="35C734B4">
        <w:tblPrEx>
          <w:tblCellMar>
            <w:top w:w="0" w:type="dxa"/>
            <w:left w:w="108" w:type="dxa"/>
            <w:bottom w:w="0" w:type="dxa"/>
            <w:right w:w="108" w:type="dxa"/>
          </w:tblCellMar>
        </w:tblPrEx>
        <w:trPr>
          <w:trHeight w:val="365"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14:paraId="174592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服务</w:t>
            </w:r>
          </w:p>
        </w:tc>
        <w:tc>
          <w:tcPr>
            <w:tcW w:w="8359" w:type="dxa"/>
            <w:tcBorders>
              <w:top w:val="single" w:color="auto" w:sz="4" w:space="0"/>
              <w:left w:val="nil"/>
              <w:bottom w:val="single" w:color="auto" w:sz="4" w:space="0"/>
              <w:right w:val="single" w:color="auto" w:sz="4" w:space="0"/>
            </w:tcBorders>
            <w:shd w:val="clear" w:color="000000" w:fill="FFFFFF"/>
            <w:vAlign w:val="center"/>
          </w:tcPr>
          <w:p w14:paraId="52D40A3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签订合同时提供五年原厂商质保服务承诺函及授权书。</w:t>
            </w:r>
          </w:p>
        </w:tc>
      </w:tr>
      <w:tr w14:paraId="0772E757">
        <w:tblPrEx>
          <w:tblCellMar>
            <w:top w:w="0" w:type="dxa"/>
            <w:left w:w="108" w:type="dxa"/>
            <w:bottom w:w="0" w:type="dxa"/>
            <w:right w:w="108" w:type="dxa"/>
          </w:tblCellMar>
        </w:tblPrEx>
        <w:trPr>
          <w:trHeight w:val="765"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14:paraId="7C8C3C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产品测试</w:t>
            </w:r>
          </w:p>
        </w:tc>
        <w:tc>
          <w:tcPr>
            <w:tcW w:w="8359" w:type="dxa"/>
            <w:tcBorders>
              <w:top w:val="single" w:color="auto" w:sz="4" w:space="0"/>
              <w:left w:val="nil"/>
              <w:bottom w:val="single" w:color="auto" w:sz="4" w:space="0"/>
              <w:right w:val="single" w:color="auto" w:sz="4" w:space="0"/>
            </w:tcBorders>
            <w:shd w:val="clear" w:color="000000" w:fill="FFFFFF"/>
            <w:vAlign w:val="center"/>
          </w:tcPr>
          <w:p w14:paraId="4F832BD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it-IT"/>
              </w:rPr>
            </w:pPr>
            <w:r>
              <w:rPr>
                <w:rFonts w:hint="eastAsia" w:ascii="宋体" w:hAnsi="宋体" w:eastAsia="宋体" w:cs="宋体"/>
                <w:color w:val="auto"/>
                <w:kern w:val="0"/>
                <w:sz w:val="24"/>
                <w:szCs w:val="24"/>
                <w:highlight w:val="none"/>
                <w:lang w:val="it-IT"/>
              </w:rPr>
              <w:t>为防止投标方虚假应答技术指标，从而造成用户在实际使用设备过程中无法实现所需的功能，采购方保留产品功能测试的权利，在指定的时间不能提供测试样机进行测试或测试中发现虚假应标的行为，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r>
              <w:rPr>
                <w:rFonts w:hint="eastAsia" w:ascii="宋体" w:hAnsi="宋体" w:eastAsia="宋体" w:cs="宋体"/>
                <w:color w:val="auto"/>
                <w:kern w:val="0"/>
                <w:sz w:val="24"/>
                <w:szCs w:val="24"/>
                <w:highlight w:val="none"/>
                <w:lang w:val="it-IT"/>
              </w:rPr>
              <w:t>。</w:t>
            </w:r>
          </w:p>
        </w:tc>
      </w:tr>
    </w:tbl>
    <w:p w14:paraId="19B1F3F2">
      <w:pPr>
        <w:widowControl/>
        <w:spacing w:line="240" w:lineRule="auto"/>
        <w:jc w:val="left"/>
        <w:rPr>
          <w:rFonts w:hint="eastAsia" w:ascii="宋体" w:hAnsi="宋体" w:eastAsia="宋体" w:cs="宋体"/>
          <w:color w:val="auto"/>
          <w:kern w:val="0"/>
          <w:sz w:val="24"/>
          <w:szCs w:val="24"/>
          <w:highlight w:val="none"/>
        </w:rPr>
      </w:pPr>
    </w:p>
    <w:p w14:paraId="45AAD360">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WAF认证模块</w:t>
      </w:r>
    </w:p>
    <w:tbl>
      <w:tblPr>
        <w:tblStyle w:val="4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8307"/>
      </w:tblGrid>
      <w:tr w14:paraId="6794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91" w:type="dxa"/>
            <w:shd w:val="clear" w:color="000000" w:fill="EEECE1" w:themeFill="background2"/>
            <w:vAlign w:val="center"/>
          </w:tcPr>
          <w:p w14:paraId="70697B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8307" w:type="dxa"/>
            <w:shd w:val="clear" w:color="000000" w:fill="EEECE1" w:themeFill="background2"/>
            <w:vAlign w:val="center"/>
          </w:tcPr>
          <w:p w14:paraId="36B0B1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36D1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restart"/>
            <w:shd w:val="clear" w:color="000000" w:fill="FFFFFF"/>
            <w:vAlign w:val="center"/>
          </w:tcPr>
          <w:p w14:paraId="7F485C9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性能规格</w:t>
            </w:r>
          </w:p>
        </w:tc>
        <w:tc>
          <w:tcPr>
            <w:tcW w:w="8307" w:type="dxa"/>
            <w:shd w:val="clear" w:color="000000" w:fill="FFFFFF"/>
            <w:vAlign w:val="center"/>
          </w:tcPr>
          <w:p w14:paraId="1646BA4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网络吞吐量为≥4Gbps，≥6个10/100/1000M自适应电口，≥2组bypass，5年硬件维修服务。</w:t>
            </w:r>
          </w:p>
        </w:tc>
      </w:tr>
      <w:tr w14:paraId="2C86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777AF64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21470032">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产品必须为专业性WEB应用防火墙设备，而非NGAF、NGFW、UTM设备</w:t>
            </w:r>
          </w:p>
        </w:tc>
      </w:tr>
      <w:tr w14:paraId="1E77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1" w:type="dxa"/>
            <w:vMerge w:val="restart"/>
            <w:shd w:val="clear" w:color="000000" w:fill="FFFFFF"/>
            <w:vAlign w:val="center"/>
          </w:tcPr>
          <w:p w14:paraId="1C549F3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部署模式</w:t>
            </w:r>
          </w:p>
        </w:tc>
        <w:tc>
          <w:tcPr>
            <w:tcW w:w="8307" w:type="dxa"/>
            <w:shd w:val="clear" w:color="000000" w:fill="FFFFFF"/>
            <w:vAlign w:val="center"/>
          </w:tcPr>
          <w:p w14:paraId="0426B7D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支持透明流、透明代理、反向代理，旁路镜像检测模式及旁路镜像阻断模式</w:t>
            </w:r>
          </w:p>
        </w:tc>
      </w:tr>
      <w:tr w14:paraId="3371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65298997">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53401FDD">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支持在旁路镜像阻断模式下，可配置多组阻断以及镜像口，对检测到的攻击进行旁路阻断，并可指定对端设备MAC地址</w:t>
            </w:r>
          </w:p>
        </w:tc>
      </w:tr>
      <w:tr w14:paraId="6F8C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4383965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0C8A848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支持路由牵引部署模式，通过路由牵引、SNT回注方式对流量进行过滤</w:t>
            </w:r>
          </w:p>
        </w:tc>
      </w:tr>
      <w:tr w14:paraId="7D96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91" w:type="dxa"/>
            <w:vMerge w:val="restart"/>
            <w:shd w:val="clear" w:color="000000" w:fill="FFFFFF"/>
            <w:vAlign w:val="center"/>
          </w:tcPr>
          <w:p w14:paraId="12A0AA1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基础防护</w:t>
            </w:r>
          </w:p>
        </w:tc>
        <w:tc>
          <w:tcPr>
            <w:tcW w:w="8307" w:type="dxa"/>
            <w:shd w:val="clear" w:color="000000" w:fill="FFFFFF"/>
            <w:vAlign w:val="center"/>
          </w:tcPr>
          <w:p w14:paraId="781D8C2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支持IPv4和IPv6双协议栈流量过滤防护</w:t>
            </w:r>
          </w:p>
        </w:tc>
      </w:tr>
      <w:tr w14:paraId="193D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52F80F98">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5E86201D">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支持产品页面一键断网（禁止访问）功能，在特殊情况下，实现对特定网站的快速下线</w:t>
            </w:r>
            <w:r>
              <w:rPr>
                <w:rFonts w:hint="eastAsia" w:ascii="宋体" w:hAnsi="宋体" w:eastAsia="宋体" w:cs="宋体"/>
                <w:b/>
                <w:bCs/>
                <w:color w:val="auto"/>
                <w:kern w:val="0"/>
                <w:sz w:val="24"/>
                <w:szCs w:val="24"/>
                <w:highlight w:val="none"/>
              </w:rPr>
              <w:t>（要求提供产品截图）</w:t>
            </w:r>
          </w:p>
        </w:tc>
      </w:tr>
      <w:tr w14:paraId="16C1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shd w:val="clear" w:color="000000" w:fill="FFFFFF"/>
            <w:vAlign w:val="center"/>
          </w:tcPr>
          <w:p w14:paraId="71585D10">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态势感知</w:t>
            </w:r>
          </w:p>
        </w:tc>
        <w:tc>
          <w:tcPr>
            <w:tcW w:w="8307" w:type="dxa"/>
            <w:shd w:val="clear" w:color="000000" w:fill="FFFFFF"/>
            <w:vAlign w:val="center"/>
          </w:tcPr>
          <w:p w14:paraId="0A9C6EB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支持攻击态势大屏实时展示，可通过产品自带的实时态势监测模块进行攻击态势地图展示，包含对源地址、源地域、目标资产、安全防护攻击类型、攻击趋势、HTTP并发请求及实时事件的动画统计</w:t>
            </w:r>
            <w:r>
              <w:rPr>
                <w:rFonts w:hint="eastAsia" w:ascii="宋体" w:hAnsi="宋体" w:eastAsia="宋体" w:cs="宋体"/>
                <w:b/>
                <w:bCs/>
                <w:color w:val="auto"/>
                <w:kern w:val="0"/>
                <w:sz w:val="24"/>
                <w:szCs w:val="24"/>
                <w:highlight w:val="none"/>
              </w:rPr>
              <w:t>（要求提供产品截图）</w:t>
            </w:r>
          </w:p>
        </w:tc>
      </w:tr>
      <w:tr w14:paraId="1900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91" w:type="dxa"/>
            <w:vMerge w:val="restart"/>
            <w:shd w:val="clear" w:color="000000" w:fill="FFFFFF"/>
            <w:vAlign w:val="center"/>
          </w:tcPr>
          <w:p w14:paraId="40A452D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安全防御</w:t>
            </w:r>
          </w:p>
        </w:tc>
        <w:tc>
          <w:tcPr>
            <w:tcW w:w="8307" w:type="dxa"/>
            <w:shd w:val="clear" w:color="000000" w:fill="FFFFFF"/>
            <w:vAlign w:val="center"/>
          </w:tcPr>
          <w:p w14:paraId="52BBA1E2">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支持SQL注入、XSS跨站攻击防御策略，支持特征检测与语义分析算法检测</w:t>
            </w:r>
          </w:p>
        </w:tc>
      </w:tr>
      <w:tr w14:paraId="1000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3AC5C96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6E293BA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支持Web攻击防护功能，包括命令注入攻击，组件漏洞防护、Web扫描防护、XPATH注入防护、XML注入防护、SSI注入防护、JOSN注入防护、LDAP注入防护、webshell防护</w:t>
            </w:r>
          </w:p>
        </w:tc>
      </w:tr>
      <w:tr w14:paraId="17BE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1457F2E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66302EE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支持敏感信息检测防护，检测类型包括：中间件信息保护，数据库信息保护，敏感文件保护，代码错误信息保护，隐私信息保护</w:t>
            </w:r>
          </w:p>
        </w:tc>
      </w:tr>
      <w:tr w14:paraId="54CA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18F56B8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4DAC77D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支持防暴力破解功能，可支持频率阈值，动态令牌以及频率阈值+动态令牌等三种方式实现暴力破解防护</w:t>
            </w:r>
            <w:r>
              <w:rPr>
                <w:rFonts w:hint="eastAsia" w:ascii="宋体" w:hAnsi="宋体" w:eastAsia="宋体" w:cs="宋体"/>
                <w:b/>
                <w:bCs/>
                <w:color w:val="auto"/>
                <w:kern w:val="0"/>
                <w:sz w:val="24"/>
                <w:szCs w:val="24"/>
                <w:highlight w:val="none"/>
              </w:rPr>
              <w:t>（要求提供产品截图）</w:t>
            </w:r>
          </w:p>
        </w:tc>
      </w:tr>
      <w:tr w14:paraId="5DF6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91" w:type="dxa"/>
            <w:vMerge w:val="continue"/>
            <w:shd w:val="clear" w:color="000000" w:fill="FFFFFF"/>
            <w:vAlign w:val="center"/>
          </w:tcPr>
          <w:p w14:paraId="32EE45E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506964C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支持会话安全防护，Cookie加固、Cookie加密、会话固定等属性设置</w:t>
            </w:r>
          </w:p>
        </w:tc>
      </w:tr>
      <w:tr w14:paraId="449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1" w:type="dxa"/>
            <w:vMerge w:val="restart"/>
            <w:shd w:val="clear" w:color="000000" w:fill="FFFFFF"/>
            <w:vAlign w:val="center"/>
          </w:tcPr>
          <w:p w14:paraId="6BF456C0">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DDoS防护</w:t>
            </w:r>
          </w:p>
        </w:tc>
        <w:tc>
          <w:tcPr>
            <w:tcW w:w="8307" w:type="dxa"/>
            <w:shd w:val="clear" w:color="000000" w:fill="FFFFFF"/>
            <w:vAlign w:val="center"/>
          </w:tcPr>
          <w:p w14:paraId="1584AF38">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支持智能分析DDOS防护，内置四个防护等级，并可自定义防护等级</w:t>
            </w:r>
          </w:p>
        </w:tc>
      </w:tr>
      <w:tr w14:paraId="275A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5B6EFFE2">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28BDD74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支持检测并清洗的攻击类型：IP攻击，TCP攻击，UDP攻击，ICMP攻击，DNS攻击，HTTP攻击等20多种DDoS攻击类型，</w:t>
            </w:r>
            <w:r>
              <w:rPr>
                <w:rFonts w:hint="eastAsia" w:ascii="宋体" w:hAnsi="宋体" w:cs="宋体"/>
                <w:color w:val="auto"/>
                <w:kern w:val="0"/>
                <w:sz w:val="24"/>
                <w:highlight w:val="none"/>
              </w:rPr>
              <w:t>具备防SYN泛洪攻击的防御技术</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要求提供信息产业信息安全测评中心或国家知识产权局等第三方权威机构出具的证明。</w:t>
            </w:r>
          </w:p>
        </w:tc>
      </w:tr>
      <w:tr w14:paraId="52F5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restart"/>
            <w:shd w:val="clear" w:color="000000" w:fill="FFFFFF"/>
            <w:vAlign w:val="center"/>
          </w:tcPr>
          <w:p w14:paraId="2E7BE09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入侵防护</w:t>
            </w:r>
          </w:p>
        </w:tc>
        <w:tc>
          <w:tcPr>
            <w:tcW w:w="8307" w:type="dxa"/>
            <w:shd w:val="clear" w:color="000000" w:fill="FFFFFF"/>
            <w:vAlign w:val="center"/>
          </w:tcPr>
          <w:p w14:paraId="3B2D556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支持入侵防护功能，并提供入侵防护特征库，特征库需要提供22种类型并提供至少14000条入侵检测特征库</w:t>
            </w:r>
          </w:p>
        </w:tc>
      </w:tr>
      <w:tr w14:paraId="0CA7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4630C62B">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34FD561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支持检测Web攻击类攻击，包括注入攻击、跨站脚本、Webshell、目录遍历、恶意软件、间谍软件等</w:t>
            </w:r>
          </w:p>
        </w:tc>
      </w:tr>
      <w:tr w14:paraId="2240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shd w:val="clear" w:color="000000" w:fill="FFFFFF"/>
            <w:vAlign w:val="center"/>
          </w:tcPr>
          <w:p w14:paraId="2D56BC2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威胁情报</w:t>
            </w:r>
          </w:p>
        </w:tc>
        <w:tc>
          <w:tcPr>
            <w:tcW w:w="8307" w:type="dxa"/>
            <w:shd w:val="clear" w:color="000000" w:fill="FFFFFF"/>
            <w:vAlign w:val="center"/>
          </w:tcPr>
          <w:p w14:paraId="4E678F4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支持与第三方威胁情报中心联动功能，基于FTP或FTPS协议连接登录获取数据来源</w:t>
            </w:r>
          </w:p>
        </w:tc>
      </w:tr>
      <w:tr w14:paraId="26ED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shd w:val="clear" w:color="000000" w:fill="FFFFFF"/>
            <w:vAlign w:val="center"/>
          </w:tcPr>
          <w:p w14:paraId="2496100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虚拟补丁</w:t>
            </w:r>
          </w:p>
        </w:tc>
        <w:tc>
          <w:tcPr>
            <w:tcW w:w="8307" w:type="dxa"/>
            <w:shd w:val="clear" w:color="000000" w:fill="FFFFFF"/>
            <w:vAlign w:val="center"/>
          </w:tcPr>
          <w:p w14:paraId="5F32E89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支持虚拟补丁功能，支持导入Appscan和SecVSS扫描器的扫描结果生成WAF的规则，对此类网站漏洞直接防护</w:t>
            </w:r>
          </w:p>
        </w:tc>
      </w:tr>
      <w:tr w14:paraId="131A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shd w:val="clear" w:color="000000" w:fill="FFFFFF"/>
            <w:vAlign w:val="center"/>
          </w:tcPr>
          <w:p w14:paraId="085AAE77">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蜜罐防护</w:t>
            </w:r>
          </w:p>
        </w:tc>
        <w:tc>
          <w:tcPr>
            <w:tcW w:w="8307" w:type="dxa"/>
            <w:shd w:val="clear" w:color="000000" w:fill="FFFFFF"/>
            <w:vAlign w:val="center"/>
          </w:tcPr>
          <w:p w14:paraId="377E7D9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支持轻量级蜜罐防御功能，提供伪造的后台管理系统页面，主动诱使黑客进行攻击，记录攻击行为</w:t>
            </w:r>
            <w:r>
              <w:rPr>
                <w:rFonts w:hint="eastAsia" w:ascii="宋体" w:hAnsi="宋体" w:eastAsia="宋体" w:cs="宋体"/>
                <w:b/>
                <w:bCs/>
                <w:color w:val="auto"/>
                <w:kern w:val="0"/>
                <w:sz w:val="24"/>
                <w:szCs w:val="24"/>
                <w:highlight w:val="none"/>
              </w:rPr>
              <w:t>（要求提供产品截图）</w:t>
            </w:r>
          </w:p>
        </w:tc>
      </w:tr>
      <w:tr w14:paraId="554C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shd w:val="clear" w:color="000000" w:fill="FFFFFF"/>
            <w:vAlign w:val="center"/>
          </w:tcPr>
          <w:p w14:paraId="7A1EAB78">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智能封禁</w:t>
            </w:r>
          </w:p>
        </w:tc>
        <w:tc>
          <w:tcPr>
            <w:tcW w:w="8307" w:type="dxa"/>
            <w:shd w:val="clear" w:color="000000" w:fill="FFFFFF"/>
            <w:vAlign w:val="center"/>
          </w:tcPr>
          <w:p w14:paraId="08953A7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支持智能封禁，通过对网站发起的攻击次数、危害级别两个维度进行算法分析与识别，进行智能封禁，并自定义攻击者封禁时间</w:t>
            </w:r>
          </w:p>
        </w:tc>
      </w:tr>
      <w:tr w14:paraId="1166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shd w:val="clear" w:color="000000" w:fill="FFFFFF"/>
            <w:vAlign w:val="center"/>
          </w:tcPr>
          <w:p w14:paraId="32F30EC8">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流量限速</w:t>
            </w:r>
          </w:p>
        </w:tc>
        <w:tc>
          <w:tcPr>
            <w:tcW w:w="8307" w:type="dxa"/>
            <w:shd w:val="clear" w:color="000000" w:fill="FFFFFF"/>
            <w:vAlign w:val="center"/>
          </w:tcPr>
          <w:p w14:paraId="2EE38DAF">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支持检测TCP并发链接数，TCP新建链接数，TCP带宽（c2s），UDP带宽（c2s），ICMP带宽（c2s），HTTP GET 速率，HTTP POST 速率，HTTP 其他请求速率，DNS 查询请求速率，并发IP数量等单用户和总量进行自定义阈值配置</w:t>
            </w:r>
          </w:p>
        </w:tc>
      </w:tr>
      <w:tr w14:paraId="3FD3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1" w:type="dxa"/>
            <w:vMerge w:val="restart"/>
            <w:shd w:val="clear" w:color="000000" w:fill="FFFFFF"/>
            <w:vAlign w:val="center"/>
          </w:tcPr>
          <w:p w14:paraId="3CB5FCE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日志系统</w:t>
            </w:r>
          </w:p>
        </w:tc>
        <w:tc>
          <w:tcPr>
            <w:tcW w:w="8307" w:type="dxa"/>
            <w:shd w:val="clear" w:color="000000" w:fill="FFFFFF"/>
            <w:vAlign w:val="center"/>
          </w:tcPr>
          <w:p w14:paraId="02B8057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支持日志快速响应功能，日志具备一键黑名单设置以及一键白名单排除功能</w:t>
            </w:r>
          </w:p>
        </w:tc>
      </w:tr>
      <w:tr w14:paraId="38BE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0B8F36C0">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center"/>
          </w:tcPr>
          <w:p w14:paraId="6485E32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日志综合统计分析，可对源IP、目的IP、源地域、攻击类型、级别、处理动作、协议类型、客户端设备类型、客户端操作系统、客户端浏览器类型进行综合统计分析，并通过饼图、曲线图及柱图等对分析结果进行图形化统计</w:t>
            </w:r>
          </w:p>
        </w:tc>
      </w:tr>
      <w:tr w14:paraId="014A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restart"/>
            <w:shd w:val="clear" w:color="000000" w:fill="FFFFFF"/>
            <w:vAlign w:val="center"/>
          </w:tcPr>
          <w:p w14:paraId="0A2082FF">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移动端管理</w:t>
            </w:r>
          </w:p>
        </w:tc>
        <w:tc>
          <w:tcPr>
            <w:tcW w:w="8307" w:type="dxa"/>
            <w:shd w:val="clear" w:color="000000" w:fill="FFFFFF"/>
            <w:vAlign w:val="bottom"/>
          </w:tcPr>
          <w:p w14:paraId="23D8EDBD">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支持移动端管理功能，不需要安装APP和第三方插件，通过手机浏览器即可管理设备，并可查看设备CPU、内存使用情况</w:t>
            </w:r>
          </w:p>
        </w:tc>
      </w:tr>
      <w:tr w14:paraId="66CF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shd w:val="clear" w:color="000000" w:fill="FFFFFF"/>
            <w:vAlign w:val="center"/>
          </w:tcPr>
          <w:p w14:paraId="7573C3C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shd w:val="clear" w:color="000000" w:fill="FFFFFF"/>
            <w:vAlign w:val="bottom"/>
          </w:tcPr>
          <w:p w14:paraId="79535EC9">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支持移动端对资产的一键断网功能，提供网站一键下线以及批量下线的应急措施</w:t>
            </w:r>
            <w:r>
              <w:rPr>
                <w:rFonts w:hint="eastAsia" w:ascii="宋体" w:hAnsi="宋体" w:eastAsia="宋体" w:cs="宋体"/>
                <w:b/>
                <w:bCs/>
                <w:color w:val="auto"/>
                <w:kern w:val="0"/>
                <w:sz w:val="24"/>
                <w:szCs w:val="24"/>
                <w:highlight w:val="none"/>
              </w:rPr>
              <w:t>（要求提供产品截图）</w:t>
            </w:r>
          </w:p>
        </w:tc>
      </w:tr>
      <w:tr w14:paraId="7791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91" w:type="dxa"/>
            <w:shd w:val="clear" w:color="000000" w:fill="FFFFFF"/>
            <w:vAlign w:val="center"/>
          </w:tcPr>
          <w:p w14:paraId="3139BAD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高可用性</w:t>
            </w:r>
          </w:p>
        </w:tc>
        <w:tc>
          <w:tcPr>
            <w:tcW w:w="8307" w:type="dxa"/>
            <w:shd w:val="clear" w:color="000000" w:fill="FFFFFF"/>
            <w:vAlign w:val="center"/>
          </w:tcPr>
          <w:p w14:paraId="33806B1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支持双机部署，支持主/主（双组vrrp）模式、主/备防护工作模式</w:t>
            </w:r>
          </w:p>
        </w:tc>
      </w:tr>
      <w:tr w14:paraId="2F7B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1" w:type="dxa"/>
            <w:vMerge w:val="restart"/>
            <w:tcBorders>
              <w:top w:val="single" w:color="auto" w:sz="4" w:space="0"/>
              <w:left w:val="single" w:color="auto" w:sz="4" w:space="0"/>
              <w:right w:val="single" w:color="auto" w:sz="4" w:space="0"/>
            </w:tcBorders>
            <w:shd w:val="clear" w:color="000000" w:fill="FFFFFF"/>
            <w:vAlign w:val="center"/>
          </w:tcPr>
          <w:p w14:paraId="542D850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8307" w:type="dxa"/>
            <w:tcBorders>
              <w:top w:val="single" w:color="auto" w:sz="4" w:space="0"/>
              <w:left w:val="single" w:color="auto" w:sz="4" w:space="0"/>
              <w:bottom w:val="single" w:color="auto" w:sz="4" w:space="0"/>
              <w:right w:val="single" w:color="auto" w:sz="4" w:space="0"/>
            </w:tcBorders>
            <w:shd w:val="clear" w:color="000000" w:fill="FFFFFF"/>
            <w:vAlign w:val="center"/>
          </w:tcPr>
          <w:p w14:paraId="03D45D17">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产品具有《国家信息安全测评信息技术产品安全测评证书（EAL3+级）》</w:t>
            </w:r>
          </w:p>
        </w:tc>
      </w:tr>
      <w:tr w14:paraId="3FFE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vMerge w:val="continue"/>
            <w:tcBorders>
              <w:left w:val="single" w:color="auto" w:sz="4" w:space="0"/>
              <w:bottom w:val="single" w:color="auto" w:sz="4" w:space="0"/>
              <w:right w:val="single" w:color="auto" w:sz="4" w:space="0"/>
            </w:tcBorders>
            <w:shd w:val="clear" w:color="000000" w:fill="FFFFFF"/>
            <w:vAlign w:val="center"/>
          </w:tcPr>
          <w:p w14:paraId="24703387">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p>
        </w:tc>
        <w:tc>
          <w:tcPr>
            <w:tcW w:w="8307" w:type="dxa"/>
            <w:tcBorders>
              <w:top w:val="single" w:color="auto" w:sz="4" w:space="0"/>
              <w:left w:val="single" w:color="auto" w:sz="4" w:space="0"/>
              <w:bottom w:val="single" w:color="auto" w:sz="4" w:space="0"/>
              <w:right w:val="single" w:color="auto" w:sz="4" w:space="0"/>
            </w:tcBorders>
            <w:shd w:val="clear" w:color="000000" w:fill="FFFFFF"/>
            <w:vAlign w:val="center"/>
          </w:tcPr>
          <w:p w14:paraId="401A300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认证实训设备厂商为ITSS运行维护符合性证书(二级及以上)。</w:t>
            </w:r>
          </w:p>
        </w:tc>
      </w:tr>
      <w:tr w14:paraId="0FD9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1" w:type="dxa"/>
            <w:tcBorders>
              <w:top w:val="single" w:color="auto" w:sz="4" w:space="0"/>
              <w:left w:val="single" w:color="auto" w:sz="4" w:space="0"/>
              <w:bottom w:val="single" w:color="auto" w:sz="4" w:space="0"/>
              <w:right w:val="single" w:color="auto" w:sz="4" w:space="0"/>
            </w:tcBorders>
            <w:shd w:val="clear" w:color="000000" w:fill="FFFFFF"/>
            <w:vAlign w:val="center"/>
          </w:tcPr>
          <w:p w14:paraId="52A122DA">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tc>
        <w:tc>
          <w:tcPr>
            <w:tcW w:w="8307" w:type="dxa"/>
            <w:tcBorders>
              <w:top w:val="single" w:color="auto" w:sz="4" w:space="0"/>
              <w:left w:val="single" w:color="auto" w:sz="4" w:space="0"/>
              <w:bottom w:val="single" w:color="auto" w:sz="4" w:space="0"/>
              <w:right w:val="single" w:color="auto" w:sz="4" w:space="0"/>
            </w:tcBorders>
            <w:shd w:val="clear" w:color="000000" w:fill="FFFFFF"/>
            <w:vAlign w:val="center"/>
          </w:tcPr>
          <w:p w14:paraId="0D0504B1">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签订合同时提供五年原厂商质保服务承诺函及授权书。</w:t>
            </w:r>
          </w:p>
        </w:tc>
      </w:tr>
      <w:tr w14:paraId="057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91" w:type="dxa"/>
            <w:tcBorders>
              <w:top w:val="single" w:color="auto" w:sz="4" w:space="0"/>
              <w:left w:val="single" w:color="auto" w:sz="4" w:space="0"/>
              <w:bottom w:val="single" w:color="auto" w:sz="4" w:space="0"/>
              <w:right w:val="single" w:color="auto" w:sz="4" w:space="0"/>
            </w:tcBorders>
            <w:shd w:val="clear" w:color="000000" w:fill="FFFFFF"/>
            <w:vAlign w:val="center"/>
          </w:tcPr>
          <w:p w14:paraId="7F443EF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产品测试</w:t>
            </w:r>
          </w:p>
        </w:tc>
        <w:tc>
          <w:tcPr>
            <w:tcW w:w="8307" w:type="dxa"/>
            <w:tcBorders>
              <w:top w:val="single" w:color="auto" w:sz="4" w:space="0"/>
              <w:left w:val="single" w:color="auto" w:sz="4" w:space="0"/>
              <w:bottom w:val="single" w:color="auto" w:sz="4" w:space="0"/>
              <w:right w:val="single" w:color="auto" w:sz="4" w:space="0"/>
            </w:tcBorders>
            <w:shd w:val="clear" w:color="000000" w:fill="FFFFFF"/>
            <w:vAlign w:val="center"/>
          </w:tcPr>
          <w:p w14:paraId="2AA4885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为防止投标方虚假应答技术指标，从而造成用户在实际使用设备过程中无法实现所需的功能，采购方保留产品功能测试的权利，在指定的时间不能提供测试样机进行测试或测试中发现虚假应标的行为，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r>
              <w:rPr>
                <w:rFonts w:hint="eastAsia" w:ascii="宋体" w:hAnsi="宋体" w:eastAsia="宋体" w:cs="宋体"/>
                <w:color w:val="auto"/>
                <w:kern w:val="0"/>
                <w:sz w:val="24"/>
                <w:szCs w:val="24"/>
                <w:highlight w:val="none"/>
              </w:rPr>
              <w:t>。</w:t>
            </w:r>
          </w:p>
        </w:tc>
      </w:tr>
    </w:tbl>
    <w:p w14:paraId="3C932771">
      <w:pPr>
        <w:widowControl/>
        <w:spacing w:line="240" w:lineRule="auto"/>
        <w:jc w:val="left"/>
        <w:rPr>
          <w:rFonts w:hint="eastAsia" w:ascii="宋体" w:hAnsi="宋体" w:eastAsia="宋体" w:cs="宋体"/>
          <w:color w:val="auto"/>
          <w:kern w:val="0"/>
          <w:sz w:val="24"/>
          <w:szCs w:val="24"/>
          <w:highlight w:val="none"/>
        </w:rPr>
      </w:pPr>
    </w:p>
    <w:p w14:paraId="746760BB">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日志审计系统认证模块</w:t>
      </w:r>
    </w:p>
    <w:tbl>
      <w:tblPr>
        <w:tblStyle w:val="48"/>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8253"/>
      </w:tblGrid>
      <w:tr w14:paraId="45C7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32" w:type="dxa"/>
            <w:shd w:val="clear" w:color="auto" w:fill="EEECE1" w:themeFill="background2"/>
            <w:vAlign w:val="center"/>
          </w:tcPr>
          <w:p w14:paraId="0E07B5D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8253" w:type="dxa"/>
            <w:shd w:val="clear" w:color="auto" w:fill="EEECE1" w:themeFill="background2"/>
            <w:vAlign w:val="center"/>
          </w:tcPr>
          <w:p w14:paraId="10E0F76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3F7C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shd w:val="clear" w:color="auto" w:fill="auto"/>
            <w:vAlign w:val="center"/>
          </w:tcPr>
          <w:p w14:paraId="05B78AD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系统架构</w:t>
            </w:r>
          </w:p>
        </w:tc>
        <w:tc>
          <w:tcPr>
            <w:tcW w:w="8253" w:type="dxa"/>
            <w:shd w:val="clear" w:color="auto" w:fill="auto"/>
            <w:vAlign w:val="center"/>
          </w:tcPr>
          <w:p w14:paraId="320570C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为满足海量日志下，复杂计算和快速检索需求，要求系统基于大数据技术即ES技术，而非关系型数据库或文本型数据库架构。</w:t>
            </w:r>
          </w:p>
        </w:tc>
      </w:tr>
      <w:tr w14:paraId="0644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32" w:type="dxa"/>
            <w:shd w:val="clear" w:color="auto" w:fill="auto"/>
            <w:vAlign w:val="center"/>
          </w:tcPr>
          <w:p w14:paraId="1F582D7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硬件规格</w:t>
            </w:r>
          </w:p>
        </w:tc>
        <w:tc>
          <w:tcPr>
            <w:tcW w:w="8253" w:type="dxa"/>
            <w:shd w:val="clear" w:color="auto" w:fill="auto"/>
            <w:vAlign w:val="center"/>
          </w:tcPr>
          <w:p w14:paraId="1D2A71AC">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6个千兆电口，1个Console接口，4T硬盘，5年硬件维保服务。</w:t>
            </w:r>
          </w:p>
        </w:tc>
      </w:tr>
      <w:tr w14:paraId="7DF8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14:paraId="483AB0D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日志采集与转发</w:t>
            </w:r>
          </w:p>
        </w:tc>
        <w:tc>
          <w:tcPr>
            <w:tcW w:w="8253" w:type="dxa"/>
            <w:vAlign w:val="center"/>
          </w:tcPr>
          <w:p w14:paraId="07D54553">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支持通过Syslog、SNMP Trap、Netflow V5、ODBC/JDBC、Agent代理(Windows/Linux)、WMI、(S)FTP、文件共享(SMB、NetBIOS)、文件\文件夹读取、Kafka等多种方式完成各种日志的收集功能，支持多行日志采集合并为一行。</w:t>
            </w:r>
          </w:p>
        </w:tc>
      </w:tr>
      <w:tr w14:paraId="1740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32" w:type="dxa"/>
            <w:vMerge w:val="restart"/>
            <w:vAlign w:val="center"/>
          </w:tcPr>
          <w:p w14:paraId="5DA3906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资产管理</w:t>
            </w:r>
          </w:p>
        </w:tc>
        <w:tc>
          <w:tcPr>
            <w:tcW w:w="8253" w:type="dxa"/>
            <w:vAlign w:val="center"/>
          </w:tcPr>
          <w:p w14:paraId="20B225F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支持对资产日志进行过滤，设置允许接收和拒绝接收日志，并可以对资产设置一定时间范围内未收到事件后进行主动告警。</w:t>
            </w:r>
          </w:p>
        </w:tc>
      </w:tr>
      <w:tr w14:paraId="6289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32" w:type="dxa"/>
            <w:vMerge w:val="continue"/>
            <w:vAlign w:val="center"/>
          </w:tcPr>
          <w:p w14:paraId="50E58A0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3" w:type="dxa"/>
            <w:vAlign w:val="center"/>
          </w:tcPr>
          <w:p w14:paraId="2483AC71">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支持对资产IP地址（含内网IP）的地理信息进行管理，设置单IP及IP段行政区及经纬度，支持地图显示。</w:t>
            </w:r>
          </w:p>
        </w:tc>
      </w:tr>
      <w:tr w14:paraId="2EF8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32" w:type="dxa"/>
            <w:vMerge w:val="continue"/>
            <w:vAlign w:val="center"/>
          </w:tcPr>
          <w:p w14:paraId="09F8AAE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3" w:type="dxa"/>
            <w:vAlign w:val="center"/>
          </w:tcPr>
          <w:p w14:paraId="3ECD624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支持自定义资产类型及资产属性；支持对资产自定义标签，支持对标签内容进行查询和管理</w:t>
            </w:r>
          </w:p>
        </w:tc>
      </w:tr>
      <w:tr w14:paraId="2559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Merge w:val="restart"/>
            <w:vAlign w:val="center"/>
          </w:tcPr>
          <w:p w14:paraId="5FC0BA93">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日志归一化</w:t>
            </w:r>
          </w:p>
        </w:tc>
        <w:tc>
          <w:tcPr>
            <w:tcW w:w="8253" w:type="dxa"/>
            <w:vAlign w:val="center"/>
          </w:tcPr>
          <w:p w14:paraId="29FED21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系统提供页面可视化编辑归一化策略，对页面查看的日志编辑归一化策略，所见即所得，也支持通过归一化文件的导入来支持归一化,不需修改系统程序。</w:t>
            </w:r>
          </w:p>
        </w:tc>
      </w:tr>
      <w:tr w14:paraId="5B7E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32" w:type="dxa"/>
            <w:vMerge w:val="continue"/>
            <w:vAlign w:val="center"/>
          </w:tcPr>
          <w:p w14:paraId="704E3463">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3" w:type="dxa"/>
            <w:vAlign w:val="center"/>
          </w:tcPr>
          <w:p w14:paraId="0608687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日志解析字段内置130个字段，属性字段可扩展，用户可根据审计需要自行创建字段，字段类型包括IP、字符串、整型等15种，可选择映射函数等。内置及新增的所有字段均可参与查询、关联分析和报表统计。</w:t>
            </w:r>
          </w:p>
        </w:tc>
      </w:tr>
      <w:tr w14:paraId="2A23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32" w:type="dxa"/>
            <w:vMerge w:val="continue"/>
            <w:vAlign w:val="center"/>
          </w:tcPr>
          <w:p w14:paraId="0809C55C">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3" w:type="dxa"/>
            <w:vAlign w:val="center"/>
          </w:tcPr>
          <w:p w14:paraId="2EE2354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支持正则表达式、Key-Value、JSON日志解析，支持日志自动化辅助范化。</w:t>
            </w:r>
            <w:r>
              <w:rPr>
                <w:rFonts w:hint="eastAsia" w:ascii="宋体" w:hAnsi="宋体" w:cs="宋体"/>
                <w:color w:val="auto"/>
                <w:kern w:val="0"/>
                <w:sz w:val="24"/>
                <w:highlight w:val="none"/>
              </w:rPr>
              <w:t>支持对日志的高性能处理技术</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投标时要求提供信息产业信息安全测评中心或国家知识产权局等第三方权威机构出具的证明。</w:t>
            </w:r>
          </w:p>
        </w:tc>
      </w:tr>
      <w:tr w14:paraId="7756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Merge w:val="continue"/>
            <w:vAlign w:val="center"/>
          </w:tcPr>
          <w:p w14:paraId="25E34228">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3" w:type="dxa"/>
            <w:vAlign w:val="center"/>
          </w:tcPr>
          <w:p w14:paraId="0AF24BF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对于枚举类型的范化字段，其字典表可根据需要自定义扩展；对于原始日志的枚举字段，能够将原始的枚举值映射为系统统一的枚举值</w:t>
            </w:r>
          </w:p>
        </w:tc>
      </w:tr>
      <w:tr w14:paraId="2F65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Merge w:val="restart"/>
            <w:vAlign w:val="center"/>
          </w:tcPr>
          <w:p w14:paraId="425C61F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日志交互式分析</w:t>
            </w:r>
          </w:p>
        </w:tc>
        <w:tc>
          <w:tcPr>
            <w:tcW w:w="8253" w:type="dxa"/>
            <w:vAlign w:val="center"/>
          </w:tcPr>
          <w:p w14:paraId="6FCA28C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提供即席查询功能，支持归一化字段及关键字搜索，从海量事件原始信息中获取与关键字匹配或部分匹配的所有事件。系统支持基于正则表达式的检索功能，用户可在搜索栏内输入正则表达式，系统可搜索出原始信息中与正则表达式相匹配的所有事件；</w:t>
            </w:r>
          </w:p>
        </w:tc>
      </w:tr>
      <w:tr w14:paraId="52A9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Merge w:val="continue"/>
            <w:vAlign w:val="center"/>
          </w:tcPr>
          <w:p w14:paraId="2E0D8D2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3" w:type="dxa"/>
            <w:vAlign w:val="center"/>
          </w:tcPr>
          <w:p w14:paraId="6FDBC6D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可以以图形化的方式展示日志属性之间的聚合关系，并支持手动选择日志属性，显示多维事件分析图；属性可增加或减少，且支持图片大小调整。</w:t>
            </w:r>
          </w:p>
        </w:tc>
      </w:tr>
      <w:tr w14:paraId="60BB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Merge w:val="continue"/>
            <w:vAlign w:val="center"/>
          </w:tcPr>
          <w:p w14:paraId="362566E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3" w:type="dxa"/>
            <w:vAlign w:val="center"/>
          </w:tcPr>
          <w:p w14:paraId="475A45B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能够在世界地图上实时定位事件源/目的IP地址（内网IP）的地理位置；</w:t>
            </w:r>
          </w:p>
        </w:tc>
      </w:tr>
      <w:tr w14:paraId="1A25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14:paraId="7360FF7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日志综合展现</w:t>
            </w:r>
          </w:p>
        </w:tc>
        <w:tc>
          <w:tcPr>
            <w:tcW w:w="8253" w:type="dxa"/>
            <w:vAlign w:val="center"/>
          </w:tcPr>
          <w:p w14:paraId="37CE809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仪表板支持自定义创建框架，用户根据需要在框架内添加不同的仪表板组件（数值、折线、面积、柱图、饼图、环状图、地图、组件、URL、文本、图片、列表等），支持组件位置自由摆放，组件大小自由拖曳等。</w:t>
            </w:r>
          </w:p>
        </w:tc>
      </w:tr>
      <w:tr w14:paraId="1536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2" w:type="dxa"/>
            <w:vAlign w:val="center"/>
          </w:tcPr>
          <w:p w14:paraId="49DDE88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8253" w:type="dxa"/>
            <w:vAlign w:val="center"/>
          </w:tcPr>
          <w:p w14:paraId="670C9CC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认证实训设备厂商要求具备数据安全服务能力评定资格证书-数据安全建设能力</w:t>
            </w:r>
          </w:p>
        </w:tc>
      </w:tr>
      <w:tr w14:paraId="29CD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432" w:type="dxa"/>
            <w:vAlign w:val="center"/>
          </w:tcPr>
          <w:p w14:paraId="3AE045A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tc>
        <w:tc>
          <w:tcPr>
            <w:tcW w:w="8253" w:type="dxa"/>
            <w:vAlign w:val="center"/>
          </w:tcPr>
          <w:p w14:paraId="58C03A2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签订合同时提供五年原厂商质保服务承诺函及授权书。</w:t>
            </w:r>
          </w:p>
        </w:tc>
      </w:tr>
      <w:tr w14:paraId="2EA9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432" w:type="dxa"/>
            <w:vAlign w:val="center"/>
          </w:tcPr>
          <w:p w14:paraId="7E81812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产品测试</w:t>
            </w:r>
          </w:p>
        </w:tc>
        <w:tc>
          <w:tcPr>
            <w:tcW w:w="8253" w:type="dxa"/>
            <w:vAlign w:val="center"/>
          </w:tcPr>
          <w:p w14:paraId="31BBDC5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为防止投标方虚假应答技术指标，从而造成用户在实际使用设备过程中无法实现所需的功能，采购方保留产品功能测试的权利，在指定的时间不能提供测试样机进行测试或测试中发现虚假应标的行为，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r>
              <w:rPr>
                <w:rFonts w:hint="eastAsia" w:ascii="宋体" w:hAnsi="宋体" w:eastAsia="宋体" w:cs="宋体"/>
                <w:color w:val="auto"/>
                <w:kern w:val="0"/>
                <w:sz w:val="24"/>
                <w:szCs w:val="24"/>
                <w:highlight w:val="none"/>
                <w:lang w:val="it-IT"/>
              </w:rPr>
              <w:t>。</w:t>
            </w:r>
          </w:p>
        </w:tc>
      </w:tr>
    </w:tbl>
    <w:p w14:paraId="7F268C29">
      <w:pPr>
        <w:widowControl/>
        <w:spacing w:line="240" w:lineRule="auto"/>
        <w:jc w:val="left"/>
        <w:rPr>
          <w:rFonts w:hint="eastAsia" w:ascii="宋体" w:hAnsi="宋体" w:eastAsia="宋体" w:cs="宋体"/>
          <w:color w:val="auto"/>
          <w:kern w:val="0"/>
          <w:sz w:val="24"/>
          <w:szCs w:val="24"/>
          <w:highlight w:val="none"/>
        </w:rPr>
      </w:pPr>
    </w:p>
    <w:p w14:paraId="1FF93220">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数据库审计系统认证模块</w:t>
      </w:r>
    </w:p>
    <w:tbl>
      <w:tblPr>
        <w:tblStyle w:val="4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8225"/>
      </w:tblGrid>
      <w:tr w14:paraId="48B6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87" w:type="dxa"/>
            <w:shd w:val="clear" w:color="auto" w:fill="EEECE1" w:themeFill="background2"/>
            <w:noWrap/>
            <w:vAlign w:val="center"/>
          </w:tcPr>
          <w:p w14:paraId="37BF35D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8225" w:type="dxa"/>
            <w:shd w:val="clear" w:color="auto" w:fill="EEECE1" w:themeFill="background2"/>
            <w:noWrap/>
            <w:vAlign w:val="center"/>
          </w:tcPr>
          <w:p w14:paraId="30C6D1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5C0E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7" w:type="dxa"/>
            <w:vMerge w:val="restart"/>
            <w:shd w:val="clear" w:color="auto" w:fill="auto"/>
            <w:noWrap/>
            <w:vAlign w:val="center"/>
          </w:tcPr>
          <w:p w14:paraId="3072A21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硬件规格要求</w:t>
            </w:r>
          </w:p>
        </w:tc>
        <w:tc>
          <w:tcPr>
            <w:tcW w:w="8225" w:type="dxa"/>
            <w:shd w:val="clear" w:color="auto" w:fill="auto"/>
            <w:noWrap/>
            <w:vAlign w:val="center"/>
          </w:tcPr>
          <w:p w14:paraId="046E25E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6个千兆自适应电口，5年维保服务。</w:t>
            </w:r>
          </w:p>
        </w:tc>
      </w:tr>
      <w:tr w14:paraId="4E31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7" w:type="dxa"/>
            <w:vMerge w:val="continue"/>
            <w:shd w:val="clear" w:color="auto" w:fill="auto"/>
            <w:noWrap/>
            <w:vAlign w:val="center"/>
          </w:tcPr>
          <w:p w14:paraId="6380989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noWrap/>
            <w:vAlign w:val="center"/>
          </w:tcPr>
          <w:p w14:paraId="31E0C3E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内置4TB硬盘，</w:t>
            </w:r>
            <w:r>
              <w:rPr>
                <w:rFonts w:hint="eastAsia" w:ascii="宋体" w:hAnsi="宋体" w:cs="宋体"/>
                <w:color w:val="auto"/>
                <w:kern w:val="0"/>
                <w:sz w:val="24"/>
                <w:highlight w:val="none"/>
              </w:rPr>
              <w:t>采用一种安全产品的硬盘减震技术</w:t>
            </w:r>
            <w:r>
              <w:rPr>
                <w:rFonts w:hint="eastAsia" w:ascii="宋体" w:hAnsi="宋体" w:eastAsia="宋体" w:cs="宋体"/>
                <w:color w:val="auto"/>
                <w:kern w:val="0"/>
                <w:sz w:val="24"/>
                <w:szCs w:val="24"/>
                <w:highlight w:val="none"/>
              </w:rPr>
              <w:t>，加强硬盘运行稳定性，</w:t>
            </w:r>
            <w:r>
              <w:rPr>
                <w:rFonts w:hint="eastAsia" w:ascii="宋体" w:hAnsi="宋体" w:eastAsia="宋体" w:cs="宋体"/>
                <w:b/>
                <w:bCs/>
                <w:color w:val="auto"/>
                <w:kern w:val="0"/>
                <w:sz w:val="24"/>
                <w:szCs w:val="24"/>
                <w:highlight w:val="none"/>
              </w:rPr>
              <w:t>投标时要求提供第三方机构出具的证明或相关检测报告；</w:t>
            </w:r>
          </w:p>
        </w:tc>
      </w:tr>
      <w:tr w14:paraId="58A9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7" w:type="dxa"/>
            <w:shd w:val="clear" w:color="auto" w:fill="auto"/>
            <w:noWrap/>
            <w:vAlign w:val="center"/>
          </w:tcPr>
          <w:p w14:paraId="28ABE66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处理性能</w:t>
            </w:r>
          </w:p>
        </w:tc>
        <w:tc>
          <w:tcPr>
            <w:tcW w:w="8225" w:type="dxa"/>
            <w:shd w:val="clear" w:color="auto" w:fill="auto"/>
            <w:noWrap/>
            <w:vAlign w:val="center"/>
          </w:tcPr>
          <w:p w14:paraId="755FBD0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峰值事件处理能力不低于10000条语句/秒，日志存储最低5亿条。</w:t>
            </w:r>
          </w:p>
        </w:tc>
      </w:tr>
      <w:tr w14:paraId="3197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87" w:type="dxa"/>
            <w:shd w:val="clear" w:color="auto" w:fill="auto"/>
            <w:noWrap/>
            <w:vAlign w:val="center"/>
          </w:tcPr>
          <w:p w14:paraId="4AF381A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网络环境支持</w:t>
            </w:r>
          </w:p>
        </w:tc>
        <w:tc>
          <w:tcPr>
            <w:tcW w:w="8225" w:type="dxa"/>
            <w:shd w:val="clear" w:color="auto" w:fill="auto"/>
            <w:noWrap/>
            <w:vAlign w:val="center"/>
          </w:tcPr>
          <w:p w14:paraId="497824C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系统可同时支持IPv4和IPv6的网络环境下数据库的审计。</w:t>
            </w:r>
          </w:p>
        </w:tc>
      </w:tr>
      <w:tr w14:paraId="46B3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7" w:type="dxa"/>
            <w:vMerge w:val="restart"/>
            <w:shd w:val="clear" w:color="auto" w:fill="auto"/>
            <w:noWrap/>
            <w:vAlign w:val="center"/>
          </w:tcPr>
          <w:p w14:paraId="0D5BB5D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审计功能</w:t>
            </w:r>
          </w:p>
        </w:tc>
        <w:tc>
          <w:tcPr>
            <w:tcW w:w="8225" w:type="dxa"/>
            <w:shd w:val="clear" w:color="auto" w:fill="auto"/>
            <w:noWrap/>
            <w:vAlign w:val="center"/>
          </w:tcPr>
          <w:p w14:paraId="5DDB9BE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支持的数据库：Oracle、SQL-Server、DB2、Informix、Sybase、MySQL、PostgreSQL、达梦、人大金仓、南大通用Gbase、Caché、REDIS。</w:t>
            </w:r>
          </w:p>
        </w:tc>
      </w:tr>
      <w:tr w14:paraId="601B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7" w:type="dxa"/>
            <w:vMerge w:val="continue"/>
            <w:shd w:val="clear" w:color="auto" w:fill="auto"/>
            <w:vAlign w:val="center"/>
          </w:tcPr>
          <w:p w14:paraId="6E449CF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noWrap/>
            <w:vAlign w:val="center"/>
          </w:tcPr>
          <w:p w14:paraId="722DD07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旁路阻断功能（非串联方式）。阻断两种模式，宽松模式：对单一会话危险操作阻断；严格模式：源IP操作的所有请求直接阻断。</w:t>
            </w:r>
          </w:p>
        </w:tc>
      </w:tr>
      <w:tr w14:paraId="3BEF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487" w:type="dxa"/>
            <w:vMerge w:val="continue"/>
            <w:shd w:val="clear" w:color="auto" w:fill="auto"/>
            <w:vAlign w:val="center"/>
          </w:tcPr>
          <w:p w14:paraId="2EC3746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noWrap/>
            <w:vAlign w:val="center"/>
          </w:tcPr>
          <w:p w14:paraId="20A2ACB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可监控发现未知仿冒进程工具访问数据库，如通过非法第三方工具连接数据库进行风险操作的行为；可监控权限滥用行为，对超出用户权限范围的操作，可根据IP、MAC等五元组实时监控</w:t>
            </w:r>
          </w:p>
        </w:tc>
      </w:tr>
      <w:tr w14:paraId="5AFB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87" w:type="dxa"/>
            <w:vMerge w:val="continue"/>
            <w:shd w:val="clear" w:color="auto" w:fill="auto"/>
            <w:vAlign w:val="center"/>
          </w:tcPr>
          <w:p w14:paraId="1097D61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noWrap/>
            <w:vAlign w:val="center"/>
          </w:tcPr>
          <w:p w14:paraId="4AFC23A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对审计记录返回内容中的敏感数据能进行隐秘处理，防止二次泄露。</w:t>
            </w:r>
          </w:p>
        </w:tc>
      </w:tr>
      <w:tr w14:paraId="3487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7" w:type="dxa"/>
            <w:vMerge w:val="continue"/>
            <w:shd w:val="clear" w:color="auto" w:fill="auto"/>
            <w:vAlign w:val="center"/>
          </w:tcPr>
          <w:p w14:paraId="17572C0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vAlign w:val="center"/>
          </w:tcPr>
          <w:p w14:paraId="17682E2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支持C/S架构COM、COM+、DCOM组件的三层审计，可提取应用层工号（账号）的身份信息，精确定位到人；支持框架：tomcat、apache、weblogic、jboss</w:t>
            </w:r>
          </w:p>
        </w:tc>
      </w:tr>
      <w:tr w14:paraId="07BF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487" w:type="dxa"/>
            <w:vMerge w:val="continue"/>
            <w:shd w:val="clear" w:color="auto" w:fill="auto"/>
            <w:vAlign w:val="center"/>
          </w:tcPr>
          <w:p w14:paraId="4D2FE74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noWrap/>
            <w:vAlign w:val="center"/>
          </w:tcPr>
          <w:p w14:paraId="393DF79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面支持后关系型数据库Cache的审计，包括terminal、portal、studio、Sqlmanager、MedTrak等工具访问的审计，Portal可审计Sql语句、查询Global变量以及二者的返回内容，Terminal可审计M语句及返回内容，MedTrak可审计工号、操作报表以及二者的返回内容，studio可审计到编译、代码更改等操作，Sqlmanager可审计数据库账号和操作的sql语句。</w:t>
            </w:r>
          </w:p>
        </w:tc>
      </w:tr>
      <w:tr w14:paraId="27ED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87" w:type="dxa"/>
            <w:shd w:val="clear" w:color="auto" w:fill="auto"/>
            <w:noWrap/>
            <w:vAlign w:val="center"/>
          </w:tcPr>
          <w:p w14:paraId="3B76AF3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审计策略</w:t>
            </w:r>
          </w:p>
        </w:tc>
        <w:tc>
          <w:tcPr>
            <w:tcW w:w="8225" w:type="dxa"/>
            <w:shd w:val="clear" w:color="auto" w:fill="auto"/>
            <w:noWrap/>
            <w:vAlign w:val="center"/>
          </w:tcPr>
          <w:p w14:paraId="0DB10A2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计策略支持18种以上分项响应条件；可支持数据库操作命令（包括select、create等14个命令）；语句长度、语句执行回应、语句执行时间、返回内容、返回行数、数据库名、应用账户、服务器端口、客户端操作系统主机名、客户端操作系统用户名、客户端MAC、客户端IP、客户端端口、客户端进程名、会话ID、关键字、时间（含开始结束日期）等</w:t>
            </w:r>
          </w:p>
        </w:tc>
      </w:tr>
      <w:tr w14:paraId="2AAD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87" w:type="dxa"/>
            <w:vMerge w:val="restart"/>
            <w:shd w:val="clear" w:color="auto" w:fill="auto"/>
            <w:noWrap/>
            <w:vAlign w:val="center"/>
          </w:tcPr>
          <w:p w14:paraId="58F9781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审计查询</w:t>
            </w:r>
          </w:p>
        </w:tc>
        <w:tc>
          <w:tcPr>
            <w:tcW w:w="8225" w:type="dxa"/>
            <w:shd w:val="clear" w:color="auto" w:fill="auto"/>
            <w:noWrap/>
            <w:vAlign w:val="center"/>
          </w:tcPr>
          <w:p w14:paraId="6FEB454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支持全数据库检索，检索效率高达亿条数据秒级响应。</w:t>
            </w:r>
          </w:p>
        </w:tc>
      </w:tr>
      <w:tr w14:paraId="6F04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87" w:type="dxa"/>
            <w:vMerge w:val="continue"/>
            <w:shd w:val="clear" w:color="auto" w:fill="auto"/>
            <w:vAlign w:val="center"/>
          </w:tcPr>
          <w:p w14:paraId="6D8A742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vAlign w:val="center"/>
          </w:tcPr>
          <w:p w14:paraId="5FCC8AD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根据包括时间范围、风险级别、保护对象、操作类型、进程名、应用账号、关键字、规则类型、规则名、规则组名、操作系统主机名、操作系统用户名、客户端MAC、客户端端口、服务器端口、数据库名、语句长度、语句回应、语句执行时间、返回行数、返回结果、处理状态、会话ID、记录编号等二十种条件进行精细化查询。</w:t>
            </w:r>
          </w:p>
        </w:tc>
      </w:tr>
      <w:tr w14:paraId="2FE4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7" w:type="dxa"/>
            <w:vMerge w:val="continue"/>
            <w:shd w:val="clear" w:color="auto" w:fill="auto"/>
            <w:vAlign w:val="center"/>
          </w:tcPr>
          <w:p w14:paraId="1D1ED43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noWrap/>
            <w:vAlign w:val="center"/>
          </w:tcPr>
          <w:p w14:paraId="21C502C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可根据事件的时间范围、客户端IP、关键字、进程名、应用账号、规则名、客户端端口号、返回内容等多种条件进行事件回放，回溯事件过程。</w:t>
            </w:r>
          </w:p>
        </w:tc>
      </w:tr>
      <w:tr w14:paraId="4B23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87" w:type="dxa"/>
            <w:vMerge w:val="continue"/>
            <w:shd w:val="clear" w:color="auto" w:fill="auto"/>
            <w:vAlign w:val="center"/>
          </w:tcPr>
          <w:p w14:paraId="3E3C3AB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noWrap/>
            <w:vAlign w:val="center"/>
          </w:tcPr>
          <w:p w14:paraId="4416327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支持查询结果自定义报表，支持Word、PDF、xls格式报表导出</w:t>
            </w:r>
          </w:p>
        </w:tc>
      </w:tr>
      <w:tr w14:paraId="7424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7" w:type="dxa"/>
            <w:vMerge w:val="restart"/>
            <w:shd w:val="clear" w:color="auto" w:fill="auto"/>
            <w:noWrap/>
            <w:vAlign w:val="center"/>
          </w:tcPr>
          <w:p w14:paraId="67E4ADA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风险评估</w:t>
            </w:r>
          </w:p>
        </w:tc>
        <w:tc>
          <w:tcPr>
            <w:tcW w:w="8225" w:type="dxa"/>
            <w:shd w:val="clear" w:color="auto" w:fill="auto"/>
            <w:noWrap/>
            <w:vAlign w:val="center"/>
          </w:tcPr>
          <w:p w14:paraId="352C6BC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支持对指定时间段风险数据按不同维度进行统计排行，统计维度包括:风险最多的类型、触发风险最多的保护对象、触发风险最多的IP、触发风险最多数据库账户、触发风险最多应用账户、触发风险最多工具；</w:t>
            </w:r>
          </w:p>
        </w:tc>
      </w:tr>
      <w:tr w14:paraId="72BC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87" w:type="dxa"/>
            <w:vMerge w:val="continue"/>
            <w:shd w:val="clear" w:color="auto" w:fill="auto"/>
            <w:vAlign w:val="center"/>
          </w:tcPr>
          <w:p w14:paraId="4A88082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25" w:type="dxa"/>
            <w:shd w:val="clear" w:color="auto" w:fill="auto"/>
            <w:noWrap/>
            <w:vAlign w:val="center"/>
          </w:tcPr>
          <w:p w14:paraId="66ABFE6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支持对统计数据进行下钻，获取更详细的风险数据；</w:t>
            </w:r>
          </w:p>
        </w:tc>
      </w:tr>
      <w:tr w14:paraId="6D2F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87" w:type="dxa"/>
            <w:shd w:val="clear" w:color="auto" w:fill="auto"/>
            <w:noWrap/>
            <w:vAlign w:val="center"/>
          </w:tcPr>
          <w:p w14:paraId="19A25C0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实时监控</w:t>
            </w:r>
          </w:p>
        </w:tc>
        <w:tc>
          <w:tcPr>
            <w:tcW w:w="8225" w:type="dxa"/>
            <w:shd w:val="clear" w:color="auto" w:fill="auto"/>
            <w:noWrap/>
            <w:vAlign w:val="center"/>
          </w:tcPr>
          <w:p w14:paraId="786A90D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提供用户界面告警、Syslog告警、SNMP告警、邮件告警、短信系统、短信猫告警等六种方式</w:t>
            </w:r>
          </w:p>
        </w:tc>
      </w:tr>
      <w:tr w14:paraId="3883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87" w:type="dxa"/>
            <w:shd w:val="clear" w:color="auto" w:fill="auto"/>
            <w:vAlign w:val="center"/>
          </w:tcPr>
          <w:p w14:paraId="0D5C1D0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系统管理与防护</w:t>
            </w:r>
          </w:p>
        </w:tc>
        <w:tc>
          <w:tcPr>
            <w:tcW w:w="8225" w:type="dxa"/>
            <w:shd w:val="clear" w:color="auto" w:fill="auto"/>
            <w:vAlign w:val="center"/>
          </w:tcPr>
          <w:p w14:paraId="438D3BF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备份数据支持弹性180天的时间，可上传至FTP服务器，或者其他网络转存方式备份日志信息</w:t>
            </w:r>
          </w:p>
        </w:tc>
      </w:tr>
      <w:tr w14:paraId="43F6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87" w:type="dxa"/>
            <w:shd w:val="clear" w:color="auto" w:fill="auto"/>
            <w:vAlign w:val="center"/>
          </w:tcPr>
          <w:p w14:paraId="10901C1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8225" w:type="dxa"/>
            <w:shd w:val="clear" w:color="auto" w:fill="auto"/>
            <w:noWrap/>
          </w:tcPr>
          <w:p w14:paraId="61024B4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认证实训设备设备厂商具备</w:t>
            </w:r>
            <w:r>
              <w:rPr>
                <w:rFonts w:hint="eastAsia" w:ascii="宋体" w:hAnsi="宋体" w:eastAsia="宋体" w:cs="宋体"/>
                <w:color w:val="auto"/>
                <w:kern w:val="0"/>
                <w:sz w:val="24"/>
                <w:szCs w:val="24"/>
                <w:highlight w:val="none"/>
                <w:shd w:val="clear" w:color="auto" w:fill="FFFFFF"/>
              </w:rPr>
              <w:t>数据安全服务能力评定资格证书（数据安全建设二级）</w:t>
            </w:r>
          </w:p>
        </w:tc>
      </w:tr>
      <w:tr w14:paraId="3D6B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87" w:type="dxa"/>
            <w:shd w:val="clear" w:color="auto" w:fill="auto"/>
            <w:vAlign w:val="center"/>
          </w:tcPr>
          <w:p w14:paraId="4DF1FB1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tc>
        <w:tc>
          <w:tcPr>
            <w:tcW w:w="8225" w:type="dxa"/>
            <w:shd w:val="clear" w:color="auto" w:fill="auto"/>
            <w:noWrap/>
            <w:vAlign w:val="center"/>
          </w:tcPr>
          <w:p w14:paraId="61F97EF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签订合同时提供五年原厂商质保服务承诺函及授权书。</w:t>
            </w:r>
          </w:p>
        </w:tc>
      </w:tr>
      <w:tr w14:paraId="2C8D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87" w:type="dxa"/>
            <w:shd w:val="clear" w:color="auto" w:fill="auto"/>
            <w:vAlign w:val="center"/>
          </w:tcPr>
          <w:p w14:paraId="3469451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产品测试</w:t>
            </w:r>
          </w:p>
        </w:tc>
        <w:tc>
          <w:tcPr>
            <w:tcW w:w="8225" w:type="dxa"/>
            <w:shd w:val="clear" w:color="auto" w:fill="auto"/>
            <w:noWrap/>
            <w:vAlign w:val="center"/>
          </w:tcPr>
          <w:p w14:paraId="39EE26D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为防止投标方虚假应答技术指标，从而造成用户在实际使用设备过程中无法实现所需的功能，采购方保留产品功能测试的权利，在指定的时间不能提供测试样机进行测试或测试中发现虚假应标的行为，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r>
              <w:rPr>
                <w:rFonts w:hint="eastAsia" w:ascii="宋体" w:hAnsi="宋体" w:eastAsia="宋体" w:cs="宋体"/>
                <w:color w:val="auto"/>
                <w:kern w:val="0"/>
                <w:sz w:val="24"/>
                <w:szCs w:val="24"/>
                <w:highlight w:val="none"/>
                <w:lang w:val="it-IT"/>
              </w:rPr>
              <w:t>。</w:t>
            </w:r>
          </w:p>
        </w:tc>
      </w:tr>
    </w:tbl>
    <w:p w14:paraId="1B85AB38">
      <w:pPr>
        <w:widowControl/>
        <w:spacing w:line="240" w:lineRule="auto"/>
        <w:jc w:val="left"/>
        <w:rPr>
          <w:rFonts w:hint="eastAsia" w:ascii="宋体" w:hAnsi="宋体" w:eastAsia="宋体" w:cs="宋体"/>
          <w:color w:val="auto"/>
          <w:kern w:val="0"/>
          <w:sz w:val="24"/>
          <w:szCs w:val="24"/>
          <w:highlight w:val="none"/>
        </w:rPr>
      </w:pPr>
    </w:p>
    <w:p w14:paraId="527054EB">
      <w:pPr>
        <w:widowControl/>
        <w:spacing w:line="240" w:lineRule="auto"/>
        <w:jc w:val="left"/>
        <w:rPr>
          <w:rFonts w:hint="eastAsia" w:ascii="宋体" w:hAnsi="宋体" w:eastAsia="宋体" w:cs="宋体"/>
          <w:color w:val="auto"/>
          <w:kern w:val="0"/>
          <w:sz w:val="24"/>
          <w:szCs w:val="24"/>
          <w:highlight w:val="none"/>
        </w:rPr>
      </w:pPr>
    </w:p>
    <w:p w14:paraId="173B90FE">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堡垒机认证模块</w:t>
      </w:r>
    </w:p>
    <w:tbl>
      <w:tblPr>
        <w:tblStyle w:val="47"/>
        <w:tblW w:w="9773" w:type="dxa"/>
        <w:jc w:val="center"/>
        <w:tblLayout w:type="fixed"/>
        <w:tblCellMar>
          <w:top w:w="0" w:type="dxa"/>
          <w:left w:w="108" w:type="dxa"/>
          <w:bottom w:w="0" w:type="dxa"/>
          <w:right w:w="108" w:type="dxa"/>
        </w:tblCellMar>
      </w:tblPr>
      <w:tblGrid>
        <w:gridCol w:w="1514"/>
        <w:gridCol w:w="8259"/>
      </w:tblGrid>
      <w:tr w14:paraId="494D2D29">
        <w:tblPrEx>
          <w:tblCellMar>
            <w:top w:w="0" w:type="dxa"/>
            <w:left w:w="108" w:type="dxa"/>
            <w:bottom w:w="0" w:type="dxa"/>
            <w:right w:w="108" w:type="dxa"/>
          </w:tblCellMar>
        </w:tblPrEx>
        <w:trPr>
          <w:trHeight w:val="410" w:hRule="atLeast"/>
          <w:jc w:val="center"/>
        </w:trPr>
        <w:tc>
          <w:tcPr>
            <w:tcW w:w="151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416D14D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825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BC3B3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4A1A7A21">
        <w:tblPrEx>
          <w:tblCellMar>
            <w:top w:w="0" w:type="dxa"/>
            <w:left w:w="108" w:type="dxa"/>
            <w:bottom w:w="0" w:type="dxa"/>
            <w:right w:w="108" w:type="dxa"/>
          </w:tblCellMar>
        </w:tblPrEx>
        <w:trPr>
          <w:trHeight w:val="366" w:hRule="atLeast"/>
          <w:jc w:val="center"/>
        </w:trPr>
        <w:tc>
          <w:tcPr>
            <w:tcW w:w="1514" w:type="dxa"/>
            <w:vMerge w:val="restart"/>
            <w:tcBorders>
              <w:top w:val="single" w:color="auto" w:sz="4" w:space="0"/>
              <w:left w:val="single" w:color="auto" w:sz="4" w:space="0"/>
              <w:right w:val="single" w:color="auto" w:sz="4" w:space="0"/>
            </w:tcBorders>
            <w:vAlign w:val="center"/>
          </w:tcPr>
          <w:p w14:paraId="5F77DDA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硬件规格</w:t>
            </w:r>
          </w:p>
        </w:tc>
        <w:tc>
          <w:tcPr>
            <w:tcW w:w="8259" w:type="dxa"/>
            <w:tcBorders>
              <w:top w:val="single" w:color="auto" w:sz="4" w:space="0"/>
              <w:left w:val="single" w:color="auto" w:sz="4" w:space="0"/>
              <w:bottom w:val="single" w:color="auto" w:sz="4" w:space="0"/>
              <w:right w:val="single" w:color="auto" w:sz="4" w:space="0"/>
            </w:tcBorders>
            <w:vAlign w:val="center"/>
          </w:tcPr>
          <w:p w14:paraId="257DF49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标准1U机架式，6个千兆电口, 4个千兆SFP接口，支持1个接口扩展槽位，支持现场扩展万兆接口，支持液晶屏；</w:t>
            </w:r>
          </w:p>
        </w:tc>
      </w:tr>
      <w:tr w14:paraId="40F2DEA0">
        <w:tblPrEx>
          <w:tblCellMar>
            <w:top w:w="0" w:type="dxa"/>
            <w:left w:w="108" w:type="dxa"/>
            <w:bottom w:w="0" w:type="dxa"/>
            <w:right w:w="108" w:type="dxa"/>
          </w:tblCellMar>
        </w:tblPrEx>
        <w:trPr>
          <w:trHeight w:val="366" w:hRule="atLeast"/>
          <w:jc w:val="center"/>
        </w:trPr>
        <w:tc>
          <w:tcPr>
            <w:tcW w:w="1514" w:type="dxa"/>
            <w:vMerge w:val="continue"/>
            <w:tcBorders>
              <w:left w:val="single" w:color="auto" w:sz="4" w:space="0"/>
              <w:bottom w:val="single" w:color="auto" w:sz="4" w:space="0"/>
              <w:right w:val="single" w:color="auto" w:sz="4" w:space="0"/>
            </w:tcBorders>
            <w:vAlign w:val="center"/>
          </w:tcPr>
          <w:p w14:paraId="51D7E5A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single" w:color="auto" w:sz="4" w:space="0"/>
              <w:left w:val="single" w:color="auto" w:sz="4" w:space="0"/>
              <w:bottom w:val="single" w:color="auto" w:sz="4" w:space="0"/>
              <w:right w:val="single" w:color="auto" w:sz="4" w:space="0"/>
            </w:tcBorders>
            <w:vAlign w:val="center"/>
          </w:tcPr>
          <w:p w14:paraId="2F617FD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内置4TB硬盘；</w:t>
            </w:r>
          </w:p>
        </w:tc>
      </w:tr>
      <w:tr w14:paraId="30123BD5">
        <w:tblPrEx>
          <w:tblCellMar>
            <w:top w:w="0" w:type="dxa"/>
            <w:left w:w="108" w:type="dxa"/>
            <w:bottom w:w="0" w:type="dxa"/>
            <w:right w:w="108" w:type="dxa"/>
          </w:tblCellMar>
        </w:tblPrEx>
        <w:trPr>
          <w:trHeight w:val="366" w:hRule="atLeast"/>
          <w:jc w:val="center"/>
        </w:trPr>
        <w:tc>
          <w:tcPr>
            <w:tcW w:w="1514" w:type="dxa"/>
            <w:tcBorders>
              <w:top w:val="single" w:color="auto" w:sz="4" w:space="0"/>
              <w:left w:val="single" w:color="auto" w:sz="4" w:space="0"/>
              <w:bottom w:val="single" w:color="auto" w:sz="4" w:space="0"/>
              <w:right w:val="single" w:color="auto" w:sz="4" w:space="0"/>
            </w:tcBorders>
            <w:vAlign w:val="center"/>
          </w:tcPr>
          <w:p w14:paraId="67341F4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处理性能</w:t>
            </w:r>
          </w:p>
        </w:tc>
        <w:tc>
          <w:tcPr>
            <w:tcW w:w="8259" w:type="dxa"/>
            <w:tcBorders>
              <w:top w:val="single" w:color="auto" w:sz="4" w:space="0"/>
              <w:left w:val="single" w:color="auto" w:sz="4" w:space="0"/>
              <w:bottom w:val="single" w:color="auto" w:sz="4" w:space="0"/>
              <w:right w:val="single" w:color="auto" w:sz="4" w:space="0"/>
            </w:tcBorders>
            <w:vAlign w:val="center"/>
          </w:tcPr>
          <w:p w14:paraId="0F519C1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支持150路图形会话或400路字符会话并发，≥100个授权许可，≥6个千兆电口，含5年标准售后服务。</w:t>
            </w:r>
          </w:p>
        </w:tc>
      </w:tr>
      <w:tr w14:paraId="40381D32">
        <w:tblPrEx>
          <w:tblCellMar>
            <w:top w:w="0" w:type="dxa"/>
            <w:left w:w="108" w:type="dxa"/>
            <w:bottom w:w="0" w:type="dxa"/>
            <w:right w:w="108" w:type="dxa"/>
          </w:tblCellMar>
        </w:tblPrEx>
        <w:trPr>
          <w:trHeight w:val="407" w:hRule="atLeast"/>
          <w:jc w:val="center"/>
        </w:trPr>
        <w:tc>
          <w:tcPr>
            <w:tcW w:w="1514" w:type="dxa"/>
            <w:vMerge w:val="restart"/>
            <w:tcBorders>
              <w:left w:val="single" w:color="auto" w:sz="4" w:space="0"/>
              <w:right w:val="single" w:color="auto" w:sz="4" w:space="0"/>
            </w:tcBorders>
            <w:vAlign w:val="center"/>
          </w:tcPr>
          <w:p w14:paraId="57C9727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资源管理</w:t>
            </w:r>
          </w:p>
        </w:tc>
        <w:tc>
          <w:tcPr>
            <w:tcW w:w="8259" w:type="dxa"/>
            <w:tcBorders>
              <w:top w:val="nil"/>
              <w:left w:val="nil"/>
              <w:bottom w:val="single" w:color="auto" w:sz="4" w:space="0"/>
              <w:right w:val="single" w:color="auto" w:sz="4" w:space="0"/>
            </w:tcBorders>
            <w:vAlign w:val="center"/>
          </w:tcPr>
          <w:p w14:paraId="6E53F97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支持IPv6网络环境下的运维、操作审计</w:t>
            </w:r>
          </w:p>
        </w:tc>
      </w:tr>
      <w:tr w14:paraId="64C59C72">
        <w:tblPrEx>
          <w:tblCellMar>
            <w:top w:w="0" w:type="dxa"/>
            <w:left w:w="108" w:type="dxa"/>
            <w:bottom w:w="0" w:type="dxa"/>
            <w:right w:w="108" w:type="dxa"/>
          </w:tblCellMar>
        </w:tblPrEx>
        <w:trPr>
          <w:trHeight w:val="312" w:hRule="atLeast"/>
          <w:jc w:val="center"/>
        </w:trPr>
        <w:tc>
          <w:tcPr>
            <w:tcW w:w="1514" w:type="dxa"/>
            <w:vMerge w:val="continue"/>
            <w:tcBorders>
              <w:top w:val="single" w:color="auto" w:sz="4" w:space="0"/>
              <w:left w:val="single" w:color="auto" w:sz="4" w:space="0"/>
              <w:bottom w:val="single" w:color="auto" w:sz="4" w:space="0"/>
              <w:right w:val="single" w:color="auto" w:sz="4" w:space="0"/>
            </w:tcBorders>
            <w:vAlign w:val="center"/>
          </w:tcPr>
          <w:p w14:paraId="78C8768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nil"/>
              <w:left w:val="nil"/>
              <w:bottom w:val="single" w:color="auto" w:sz="4" w:space="0"/>
              <w:right w:val="single" w:color="auto" w:sz="4" w:space="0"/>
            </w:tcBorders>
            <w:vAlign w:val="center"/>
          </w:tcPr>
          <w:p w14:paraId="353A190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支持云主机资源批量添加，包括阿里云、百度云、华为云、腾讯云、Ucloud、AWS、Azure云平台的资源</w:t>
            </w:r>
          </w:p>
        </w:tc>
      </w:tr>
      <w:tr w14:paraId="09E0A1D7">
        <w:tblPrEx>
          <w:tblCellMar>
            <w:top w:w="0" w:type="dxa"/>
            <w:left w:w="108" w:type="dxa"/>
            <w:bottom w:w="0" w:type="dxa"/>
            <w:right w:w="108" w:type="dxa"/>
          </w:tblCellMar>
        </w:tblPrEx>
        <w:trPr>
          <w:trHeight w:val="121" w:hRule="atLeast"/>
          <w:jc w:val="center"/>
        </w:trPr>
        <w:tc>
          <w:tcPr>
            <w:tcW w:w="1514" w:type="dxa"/>
            <w:vMerge w:val="continue"/>
            <w:tcBorders>
              <w:top w:val="single" w:color="auto" w:sz="4" w:space="0"/>
              <w:left w:val="single" w:color="auto" w:sz="4" w:space="0"/>
              <w:bottom w:val="single" w:color="auto" w:sz="4" w:space="0"/>
              <w:right w:val="single" w:color="auto" w:sz="4" w:space="0"/>
            </w:tcBorders>
            <w:vAlign w:val="center"/>
          </w:tcPr>
          <w:p w14:paraId="5C8E000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single" w:color="auto" w:sz="4" w:space="0"/>
              <w:left w:val="nil"/>
              <w:bottom w:val="single" w:color="auto" w:sz="4" w:space="0"/>
              <w:right w:val="single" w:color="auto" w:sz="4" w:space="0"/>
            </w:tcBorders>
            <w:vAlign w:val="center"/>
          </w:tcPr>
          <w:p w14:paraId="0A7DE10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不限操作客户端系统类型，无需安装任何客户端插件，使用H5即可直接运维windows、Linux、网络设备等资源</w:t>
            </w:r>
          </w:p>
        </w:tc>
      </w:tr>
      <w:tr w14:paraId="589CF009">
        <w:tblPrEx>
          <w:tblCellMar>
            <w:top w:w="0" w:type="dxa"/>
            <w:left w:w="108" w:type="dxa"/>
            <w:bottom w:w="0" w:type="dxa"/>
            <w:right w:w="108" w:type="dxa"/>
          </w:tblCellMar>
        </w:tblPrEx>
        <w:trPr>
          <w:trHeight w:val="121" w:hRule="atLeast"/>
          <w:jc w:val="center"/>
        </w:trPr>
        <w:tc>
          <w:tcPr>
            <w:tcW w:w="1514" w:type="dxa"/>
            <w:vMerge w:val="continue"/>
            <w:tcBorders>
              <w:top w:val="single" w:color="auto" w:sz="4" w:space="0"/>
              <w:left w:val="single" w:color="auto" w:sz="4" w:space="0"/>
              <w:bottom w:val="single" w:color="auto" w:sz="4" w:space="0"/>
              <w:right w:val="single" w:color="auto" w:sz="4" w:space="0"/>
            </w:tcBorders>
            <w:vAlign w:val="center"/>
          </w:tcPr>
          <w:p w14:paraId="31354E1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single" w:color="auto" w:sz="4" w:space="0"/>
              <w:left w:val="nil"/>
              <w:bottom w:val="single" w:color="auto" w:sz="4" w:space="0"/>
              <w:right w:val="single" w:color="auto" w:sz="4" w:space="0"/>
            </w:tcBorders>
            <w:vAlign w:val="center"/>
          </w:tcPr>
          <w:p w14:paraId="01BB589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通过群发命令、预置命令，实现同时运维多台资源设备</w:t>
            </w:r>
          </w:p>
        </w:tc>
      </w:tr>
      <w:tr w14:paraId="5621CAE6">
        <w:tblPrEx>
          <w:tblCellMar>
            <w:top w:w="0" w:type="dxa"/>
            <w:left w:w="108" w:type="dxa"/>
            <w:bottom w:w="0" w:type="dxa"/>
            <w:right w:w="108" w:type="dxa"/>
          </w:tblCellMar>
        </w:tblPrEx>
        <w:trPr>
          <w:trHeight w:val="121" w:hRule="atLeast"/>
          <w:jc w:val="center"/>
        </w:trPr>
        <w:tc>
          <w:tcPr>
            <w:tcW w:w="1514" w:type="dxa"/>
            <w:vMerge w:val="continue"/>
            <w:tcBorders>
              <w:top w:val="single" w:color="auto" w:sz="4" w:space="0"/>
              <w:left w:val="single" w:color="auto" w:sz="4" w:space="0"/>
              <w:bottom w:val="single" w:color="auto" w:sz="4" w:space="0"/>
              <w:right w:val="single" w:color="auto" w:sz="4" w:space="0"/>
            </w:tcBorders>
            <w:vAlign w:val="center"/>
          </w:tcPr>
          <w:p w14:paraId="75E36DD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nil"/>
              <w:left w:val="nil"/>
              <w:bottom w:val="single" w:color="auto" w:sz="4" w:space="0"/>
              <w:right w:val="single" w:color="auto" w:sz="4" w:space="0"/>
            </w:tcBorders>
            <w:vAlign w:val="center"/>
          </w:tcPr>
          <w:p w14:paraId="3A98F65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运维过程中支持会话协同，可邀请其他用户参与、协助操作</w:t>
            </w:r>
          </w:p>
        </w:tc>
      </w:tr>
      <w:tr w14:paraId="427FA976">
        <w:tblPrEx>
          <w:tblCellMar>
            <w:top w:w="0" w:type="dxa"/>
            <w:left w:w="108" w:type="dxa"/>
            <w:bottom w:w="0" w:type="dxa"/>
            <w:right w:w="108" w:type="dxa"/>
          </w:tblCellMar>
        </w:tblPrEx>
        <w:trPr>
          <w:trHeight w:val="121" w:hRule="atLeast"/>
          <w:jc w:val="center"/>
        </w:trPr>
        <w:tc>
          <w:tcPr>
            <w:tcW w:w="1514" w:type="dxa"/>
            <w:vMerge w:val="restart"/>
            <w:tcBorders>
              <w:top w:val="single" w:color="auto" w:sz="4" w:space="0"/>
              <w:left w:val="single" w:color="auto" w:sz="4" w:space="0"/>
              <w:bottom w:val="single" w:color="auto" w:sz="4" w:space="0"/>
              <w:right w:val="single" w:color="auto" w:sz="4" w:space="0"/>
            </w:tcBorders>
            <w:vAlign w:val="center"/>
          </w:tcPr>
          <w:p w14:paraId="38938F9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自动运维</w:t>
            </w:r>
          </w:p>
        </w:tc>
        <w:tc>
          <w:tcPr>
            <w:tcW w:w="8259" w:type="dxa"/>
            <w:tcBorders>
              <w:top w:val="nil"/>
              <w:left w:val="nil"/>
              <w:bottom w:val="single" w:color="auto" w:sz="4" w:space="0"/>
              <w:right w:val="single" w:color="auto" w:sz="4" w:space="0"/>
            </w:tcBorders>
            <w:vAlign w:val="center"/>
          </w:tcPr>
          <w:p w14:paraId="74ACCAA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支持从Linux服务器推拉账户，实现堡垒机与资源服务器的账户同步</w:t>
            </w:r>
          </w:p>
        </w:tc>
      </w:tr>
      <w:tr w14:paraId="56CEADE8">
        <w:tblPrEx>
          <w:tblCellMar>
            <w:top w:w="0" w:type="dxa"/>
            <w:left w:w="108" w:type="dxa"/>
            <w:bottom w:w="0" w:type="dxa"/>
            <w:right w:w="108" w:type="dxa"/>
          </w:tblCellMar>
        </w:tblPrEx>
        <w:trPr>
          <w:trHeight w:val="121" w:hRule="atLeast"/>
          <w:jc w:val="center"/>
        </w:trPr>
        <w:tc>
          <w:tcPr>
            <w:tcW w:w="1514" w:type="dxa"/>
            <w:vMerge w:val="continue"/>
            <w:tcBorders>
              <w:top w:val="single" w:color="auto" w:sz="4" w:space="0"/>
              <w:left w:val="single" w:color="auto" w:sz="4" w:space="0"/>
              <w:bottom w:val="single" w:color="auto" w:sz="4" w:space="0"/>
              <w:right w:val="single" w:color="auto" w:sz="4" w:space="0"/>
            </w:tcBorders>
            <w:vAlign w:val="center"/>
          </w:tcPr>
          <w:p w14:paraId="2255214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nil"/>
              <w:left w:val="nil"/>
              <w:bottom w:val="single" w:color="auto" w:sz="4" w:space="0"/>
              <w:right w:val="single" w:color="auto" w:sz="4" w:space="0"/>
            </w:tcBorders>
            <w:vAlign w:val="center"/>
          </w:tcPr>
          <w:p w14:paraId="27FCA69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支持在页面上批量执行命令，实时查看命令和脚本的输出结果。且按执行周期，将命令、脚本、文件批量传输设置自动化运维任务。</w:t>
            </w:r>
          </w:p>
        </w:tc>
      </w:tr>
      <w:tr w14:paraId="6FBD39F2">
        <w:tblPrEx>
          <w:tblCellMar>
            <w:top w:w="0" w:type="dxa"/>
            <w:left w:w="108" w:type="dxa"/>
            <w:bottom w:w="0" w:type="dxa"/>
            <w:right w:w="108" w:type="dxa"/>
          </w:tblCellMar>
        </w:tblPrEx>
        <w:trPr>
          <w:trHeight w:val="364" w:hRule="atLeast"/>
          <w:jc w:val="center"/>
        </w:trPr>
        <w:tc>
          <w:tcPr>
            <w:tcW w:w="1514" w:type="dxa"/>
            <w:vMerge w:val="restart"/>
            <w:tcBorders>
              <w:top w:val="single" w:color="auto" w:sz="4" w:space="0"/>
              <w:left w:val="single" w:color="auto" w:sz="4" w:space="0"/>
              <w:bottom w:val="single" w:color="auto" w:sz="4" w:space="0"/>
              <w:right w:val="single" w:color="auto" w:sz="4" w:space="0"/>
            </w:tcBorders>
            <w:vAlign w:val="center"/>
          </w:tcPr>
          <w:p w14:paraId="09A3A36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操作记录</w:t>
            </w:r>
          </w:p>
        </w:tc>
        <w:tc>
          <w:tcPr>
            <w:tcW w:w="8259" w:type="dxa"/>
            <w:tcBorders>
              <w:top w:val="nil"/>
              <w:left w:val="nil"/>
              <w:bottom w:val="single" w:color="auto" w:sz="4" w:space="0"/>
              <w:right w:val="single" w:color="auto" w:sz="4" w:space="0"/>
            </w:tcBorders>
            <w:vAlign w:val="center"/>
          </w:tcPr>
          <w:p w14:paraId="08F2224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支持用户水印功能，避免数据泄露无法追责</w:t>
            </w:r>
          </w:p>
        </w:tc>
      </w:tr>
      <w:tr w14:paraId="321AE10A">
        <w:tblPrEx>
          <w:tblCellMar>
            <w:top w:w="0" w:type="dxa"/>
            <w:left w:w="108" w:type="dxa"/>
            <w:bottom w:w="0" w:type="dxa"/>
            <w:right w:w="108" w:type="dxa"/>
          </w:tblCellMar>
        </w:tblPrEx>
        <w:trPr>
          <w:trHeight w:val="364" w:hRule="atLeast"/>
          <w:jc w:val="center"/>
        </w:trPr>
        <w:tc>
          <w:tcPr>
            <w:tcW w:w="1514" w:type="dxa"/>
            <w:vMerge w:val="continue"/>
            <w:tcBorders>
              <w:top w:val="single" w:color="auto" w:sz="4" w:space="0"/>
              <w:left w:val="single" w:color="auto" w:sz="4" w:space="0"/>
              <w:bottom w:val="single" w:color="auto" w:sz="4" w:space="0"/>
              <w:right w:val="single" w:color="auto" w:sz="4" w:space="0"/>
            </w:tcBorders>
            <w:vAlign w:val="center"/>
          </w:tcPr>
          <w:p w14:paraId="2FFC3B5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nil"/>
              <w:left w:val="nil"/>
              <w:bottom w:val="single" w:color="auto" w:sz="4" w:space="0"/>
              <w:right w:val="single" w:color="auto" w:sz="4" w:space="0"/>
            </w:tcBorders>
            <w:vAlign w:val="center"/>
          </w:tcPr>
          <w:p w14:paraId="5A4FC39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支持对运维操作中的详细操作命令、步骤、以及双人授权、协同用户、剪切板拷贝行为进行记录，并可以通过关键字搜索定位回放，审计日志内容支持导出</w:t>
            </w:r>
          </w:p>
        </w:tc>
      </w:tr>
      <w:tr w14:paraId="354CF418">
        <w:tblPrEx>
          <w:tblCellMar>
            <w:top w:w="0" w:type="dxa"/>
            <w:left w:w="108" w:type="dxa"/>
            <w:bottom w:w="0" w:type="dxa"/>
            <w:right w:w="108" w:type="dxa"/>
          </w:tblCellMar>
        </w:tblPrEx>
        <w:trPr>
          <w:trHeight w:val="243" w:hRule="atLeast"/>
          <w:jc w:val="center"/>
        </w:trPr>
        <w:tc>
          <w:tcPr>
            <w:tcW w:w="1514" w:type="dxa"/>
            <w:vMerge w:val="restart"/>
            <w:tcBorders>
              <w:top w:val="single" w:color="auto" w:sz="4" w:space="0"/>
              <w:left w:val="single" w:color="auto" w:sz="4" w:space="0"/>
              <w:right w:val="single" w:color="auto" w:sz="4" w:space="0"/>
            </w:tcBorders>
            <w:vAlign w:val="center"/>
          </w:tcPr>
          <w:p w14:paraId="009C6F1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访问和命令控制</w:t>
            </w:r>
          </w:p>
        </w:tc>
        <w:tc>
          <w:tcPr>
            <w:tcW w:w="8259" w:type="dxa"/>
            <w:tcBorders>
              <w:top w:val="nil"/>
              <w:left w:val="nil"/>
              <w:bottom w:val="single" w:color="auto" w:sz="4" w:space="0"/>
              <w:right w:val="single" w:color="auto" w:sz="4" w:space="0"/>
            </w:tcBorders>
            <w:vAlign w:val="center"/>
          </w:tcPr>
          <w:p w14:paraId="1C7564A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支持访问控制策略，可配双人授权，针对核心设备需要管理员现场审批才能操作</w:t>
            </w:r>
          </w:p>
        </w:tc>
      </w:tr>
      <w:tr w14:paraId="4CB5E6B1">
        <w:tblPrEx>
          <w:tblCellMar>
            <w:top w:w="0" w:type="dxa"/>
            <w:left w:w="108" w:type="dxa"/>
            <w:bottom w:w="0" w:type="dxa"/>
            <w:right w:w="108" w:type="dxa"/>
          </w:tblCellMar>
        </w:tblPrEx>
        <w:trPr>
          <w:trHeight w:val="243" w:hRule="atLeast"/>
          <w:jc w:val="center"/>
        </w:trPr>
        <w:tc>
          <w:tcPr>
            <w:tcW w:w="1514" w:type="dxa"/>
            <w:vMerge w:val="continue"/>
            <w:tcBorders>
              <w:left w:val="single" w:color="auto" w:sz="4" w:space="0"/>
              <w:bottom w:val="single" w:color="auto" w:sz="4" w:space="0"/>
              <w:right w:val="single" w:color="auto" w:sz="4" w:space="0"/>
            </w:tcBorders>
            <w:vAlign w:val="center"/>
          </w:tcPr>
          <w:p w14:paraId="7C662AA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nil"/>
              <w:left w:val="nil"/>
              <w:bottom w:val="single" w:color="auto" w:sz="4" w:space="0"/>
              <w:right w:val="single" w:color="auto" w:sz="4" w:space="0"/>
            </w:tcBorders>
            <w:vAlign w:val="center"/>
          </w:tcPr>
          <w:p w14:paraId="3D98478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支持对MySQL和Oracle数据库的访问操作控制，可基于库、表、命令实现对数据库操作的细粒度访问控制</w:t>
            </w:r>
          </w:p>
        </w:tc>
      </w:tr>
      <w:tr w14:paraId="13525A50">
        <w:tblPrEx>
          <w:tblCellMar>
            <w:top w:w="0" w:type="dxa"/>
            <w:left w:w="108" w:type="dxa"/>
            <w:bottom w:w="0" w:type="dxa"/>
            <w:right w:w="108" w:type="dxa"/>
          </w:tblCellMar>
        </w:tblPrEx>
        <w:trPr>
          <w:trHeight w:val="121" w:hRule="atLeast"/>
          <w:jc w:val="center"/>
        </w:trPr>
        <w:tc>
          <w:tcPr>
            <w:tcW w:w="1514" w:type="dxa"/>
            <w:tcBorders>
              <w:top w:val="single" w:color="auto" w:sz="4" w:space="0"/>
              <w:left w:val="single" w:color="auto" w:sz="4" w:space="0"/>
              <w:bottom w:val="single" w:color="auto" w:sz="4" w:space="0"/>
              <w:right w:val="single" w:color="auto" w:sz="4" w:space="0"/>
            </w:tcBorders>
            <w:vAlign w:val="center"/>
          </w:tcPr>
          <w:p w14:paraId="44248AF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会话回放</w:t>
            </w:r>
          </w:p>
        </w:tc>
        <w:tc>
          <w:tcPr>
            <w:tcW w:w="8259" w:type="dxa"/>
            <w:tcBorders>
              <w:top w:val="nil"/>
              <w:left w:val="nil"/>
              <w:bottom w:val="single" w:color="auto" w:sz="4" w:space="0"/>
              <w:right w:val="single" w:color="auto" w:sz="4" w:space="0"/>
            </w:tcBorders>
            <w:vAlign w:val="center"/>
          </w:tcPr>
          <w:p w14:paraId="12370A6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面直观展示操作指令，包括原始操作命令，命令输出、并可以通过命令关键字定位播放会话视频，视频回放，支持播放速度调整、拖动、暂停、停止、跳过空闲、重新播放等操作，会话视频可下载，使用通用播放器即可播放</w:t>
            </w:r>
          </w:p>
        </w:tc>
      </w:tr>
      <w:tr w14:paraId="52C8E895">
        <w:tblPrEx>
          <w:tblCellMar>
            <w:top w:w="0" w:type="dxa"/>
            <w:left w:w="108" w:type="dxa"/>
            <w:bottom w:w="0" w:type="dxa"/>
            <w:right w:w="108" w:type="dxa"/>
          </w:tblCellMar>
        </w:tblPrEx>
        <w:trPr>
          <w:trHeight w:val="121" w:hRule="atLeast"/>
          <w:jc w:val="center"/>
        </w:trPr>
        <w:tc>
          <w:tcPr>
            <w:tcW w:w="1514" w:type="dxa"/>
            <w:vMerge w:val="restart"/>
            <w:tcBorders>
              <w:top w:val="single" w:color="auto" w:sz="4" w:space="0"/>
              <w:left w:val="single" w:color="auto" w:sz="4" w:space="0"/>
              <w:right w:val="single" w:color="auto" w:sz="4" w:space="0"/>
            </w:tcBorders>
            <w:vAlign w:val="center"/>
          </w:tcPr>
          <w:p w14:paraId="17D5398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改密计划</w:t>
            </w:r>
          </w:p>
        </w:tc>
        <w:tc>
          <w:tcPr>
            <w:tcW w:w="8259" w:type="dxa"/>
            <w:tcBorders>
              <w:top w:val="nil"/>
              <w:left w:val="nil"/>
              <w:bottom w:val="single" w:color="auto" w:sz="4" w:space="0"/>
              <w:right w:val="single" w:color="auto" w:sz="4" w:space="0"/>
            </w:tcBorders>
            <w:vAlign w:val="center"/>
          </w:tcPr>
          <w:p w14:paraId="20D9FFB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支持自动修改资源服务器账户密码，系统类型包括Windows/Linux/Unix/Cisco/Huawei/H3C，等网络设备，数据库类型包括MySQL、Oracle、SQL Server等。</w:t>
            </w:r>
          </w:p>
        </w:tc>
      </w:tr>
      <w:tr w14:paraId="32293B99">
        <w:tblPrEx>
          <w:tblCellMar>
            <w:top w:w="0" w:type="dxa"/>
            <w:left w:w="108" w:type="dxa"/>
            <w:bottom w:w="0" w:type="dxa"/>
            <w:right w:w="108" w:type="dxa"/>
          </w:tblCellMar>
        </w:tblPrEx>
        <w:trPr>
          <w:trHeight w:val="121" w:hRule="atLeast"/>
          <w:jc w:val="center"/>
        </w:trPr>
        <w:tc>
          <w:tcPr>
            <w:tcW w:w="1514" w:type="dxa"/>
            <w:vMerge w:val="continue"/>
            <w:tcBorders>
              <w:left w:val="single" w:color="auto" w:sz="4" w:space="0"/>
              <w:bottom w:val="single" w:color="auto" w:sz="4" w:space="0"/>
              <w:right w:val="single" w:color="auto" w:sz="4" w:space="0"/>
            </w:tcBorders>
            <w:vAlign w:val="center"/>
          </w:tcPr>
          <w:p w14:paraId="06EB1BB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8259" w:type="dxa"/>
            <w:tcBorders>
              <w:top w:val="nil"/>
              <w:left w:val="nil"/>
              <w:bottom w:val="single" w:color="auto" w:sz="4" w:space="0"/>
              <w:right w:val="single" w:color="auto" w:sz="4" w:space="0"/>
            </w:tcBorders>
            <w:vAlign w:val="center"/>
          </w:tcPr>
          <w:p w14:paraId="5902DC1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支持随机生成不同、相同密码或者手动指定密码，改密日志内容包括改密账户总数，成功、失败和未修改数量。</w:t>
            </w:r>
          </w:p>
        </w:tc>
      </w:tr>
      <w:tr w14:paraId="38C76EA5">
        <w:tblPrEx>
          <w:tblCellMar>
            <w:top w:w="0" w:type="dxa"/>
            <w:left w:w="108" w:type="dxa"/>
            <w:bottom w:w="0" w:type="dxa"/>
            <w:right w:w="108" w:type="dxa"/>
          </w:tblCellMar>
        </w:tblPrEx>
        <w:trPr>
          <w:trHeight w:val="452" w:hRule="atLeast"/>
          <w:jc w:val="center"/>
        </w:trPr>
        <w:tc>
          <w:tcPr>
            <w:tcW w:w="1514" w:type="dxa"/>
            <w:tcBorders>
              <w:top w:val="single" w:color="auto" w:sz="4" w:space="0"/>
              <w:left w:val="single" w:color="auto" w:sz="4" w:space="0"/>
              <w:right w:val="single" w:color="auto" w:sz="4" w:space="0"/>
            </w:tcBorders>
            <w:vAlign w:val="center"/>
          </w:tcPr>
          <w:p w14:paraId="28A1DB3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8259" w:type="dxa"/>
            <w:tcBorders>
              <w:top w:val="single" w:color="auto" w:sz="4" w:space="0"/>
              <w:left w:val="nil"/>
              <w:bottom w:val="single" w:color="auto" w:sz="4" w:space="0"/>
              <w:right w:val="single" w:color="auto" w:sz="4" w:space="0"/>
            </w:tcBorders>
            <w:vAlign w:val="center"/>
          </w:tcPr>
          <w:p w14:paraId="7A51D7A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产品具备国家信息安全测评信息技术产品安全测评证书EAL3+证书</w:t>
            </w:r>
          </w:p>
        </w:tc>
      </w:tr>
      <w:tr w14:paraId="60A7C056">
        <w:tblPrEx>
          <w:tblCellMar>
            <w:top w:w="0" w:type="dxa"/>
            <w:left w:w="108" w:type="dxa"/>
            <w:bottom w:w="0" w:type="dxa"/>
            <w:right w:w="108" w:type="dxa"/>
          </w:tblCellMar>
        </w:tblPrEx>
        <w:trPr>
          <w:trHeight w:val="425" w:hRule="atLeast"/>
          <w:jc w:val="center"/>
        </w:trPr>
        <w:tc>
          <w:tcPr>
            <w:tcW w:w="1514" w:type="dxa"/>
            <w:tcBorders>
              <w:top w:val="single" w:color="auto" w:sz="4" w:space="0"/>
              <w:left w:val="single" w:color="auto" w:sz="4" w:space="0"/>
              <w:bottom w:val="single" w:color="auto" w:sz="4" w:space="0"/>
              <w:right w:val="single" w:color="auto" w:sz="4" w:space="0"/>
            </w:tcBorders>
            <w:vAlign w:val="center"/>
          </w:tcPr>
          <w:p w14:paraId="028D49A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服务</w:t>
            </w:r>
          </w:p>
        </w:tc>
        <w:tc>
          <w:tcPr>
            <w:tcW w:w="8259" w:type="dxa"/>
            <w:tcBorders>
              <w:top w:val="single" w:color="auto" w:sz="4" w:space="0"/>
              <w:left w:val="nil"/>
              <w:bottom w:val="single" w:color="auto" w:sz="4" w:space="0"/>
              <w:right w:val="single" w:color="auto" w:sz="4" w:space="0"/>
            </w:tcBorders>
            <w:vAlign w:val="center"/>
          </w:tcPr>
          <w:p w14:paraId="40D3A30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签订合同时提供五年原厂商质保服务承诺函及授权书。</w:t>
            </w:r>
          </w:p>
        </w:tc>
      </w:tr>
      <w:tr w14:paraId="7313D94A">
        <w:tblPrEx>
          <w:tblCellMar>
            <w:top w:w="0" w:type="dxa"/>
            <w:left w:w="108" w:type="dxa"/>
            <w:bottom w:w="0" w:type="dxa"/>
            <w:right w:w="108" w:type="dxa"/>
          </w:tblCellMar>
        </w:tblPrEx>
        <w:trPr>
          <w:trHeight w:val="121" w:hRule="atLeast"/>
          <w:jc w:val="center"/>
        </w:trPr>
        <w:tc>
          <w:tcPr>
            <w:tcW w:w="1514" w:type="dxa"/>
            <w:tcBorders>
              <w:top w:val="single" w:color="auto" w:sz="4" w:space="0"/>
              <w:left w:val="single" w:color="auto" w:sz="4" w:space="0"/>
              <w:bottom w:val="single" w:color="auto" w:sz="4" w:space="0"/>
              <w:right w:val="single" w:color="auto" w:sz="4" w:space="0"/>
            </w:tcBorders>
            <w:vAlign w:val="center"/>
          </w:tcPr>
          <w:p w14:paraId="5AC85D4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产品测试</w:t>
            </w:r>
          </w:p>
        </w:tc>
        <w:tc>
          <w:tcPr>
            <w:tcW w:w="8259" w:type="dxa"/>
            <w:tcBorders>
              <w:top w:val="nil"/>
              <w:left w:val="nil"/>
              <w:bottom w:val="single" w:color="auto" w:sz="4" w:space="0"/>
              <w:right w:val="single" w:color="auto" w:sz="4" w:space="0"/>
            </w:tcBorders>
            <w:vAlign w:val="center"/>
          </w:tcPr>
          <w:p w14:paraId="01B9446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为防止投标方虚假应答技术指标，从而造成用户在实际使用设备过程中无法实现所需的功能，中标公示期间需要提供同型号的样机进行上述功能要求的逐一测试验证，全部通过后执行合同流程，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r>
              <w:rPr>
                <w:rFonts w:hint="eastAsia" w:ascii="宋体" w:hAnsi="宋体" w:eastAsia="宋体" w:cs="宋体"/>
                <w:color w:val="auto"/>
                <w:kern w:val="0"/>
                <w:sz w:val="24"/>
                <w:szCs w:val="24"/>
                <w:highlight w:val="none"/>
                <w:lang w:val="it-IT"/>
              </w:rPr>
              <w:t>。</w:t>
            </w:r>
          </w:p>
        </w:tc>
      </w:tr>
    </w:tbl>
    <w:p w14:paraId="111BC4A5">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态势感知认证模块</w:t>
      </w:r>
    </w:p>
    <w:tbl>
      <w:tblPr>
        <w:tblStyle w:val="48"/>
        <w:tblW w:w="54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94"/>
        <w:gridCol w:w="7876"/>
      </w:tblGrid>
      <w:tr w14:paraId="1939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gridSpan w:val="2"/>
            <w:shd w:val="clear" w:color="auto" w:fill="EEECE1" w:themeFill="background2"/>
            <w:vAlign w:val="center"/>
          </w:tcPr>
          <w:p w14:paraId="2A9BE474">
            <w:pPr>
              <w:keepNext w:val="0"/>
              <w:keepLines w:val="0"/>
              <w:widowControl w:val="0"/>
              <w:suppressLineNumbers w:val="0"/>
              <w:spacing w:before="48" w:beforeAutospacing="0" w:after="48" w:afterAutospacing="0" w:line="240" w:lineRule="auto"/>
              <w:ind w:left="0" w:right="0" w:firstLine="0" w:firstLineChars="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技术指标</w:t>
            </w:r>
          </w:p>
        </w:tc>
        <w:tc>
          <w:tcPr>
            <w:tcW w:w="4008" w:type="pct"/>
            <w:shd w:val="clear" w:color="auto" w:fill="EEECE1" w:themeFill="background2"/>
            <w:vAlign w:val="center"/>
          </w:tcPr>
          <w:p w14:paraId="444FE6E3">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指标要求</w:t>
            </w:r>
          </w:p>
        </w:tc>
      </w:tr>
      <w:tr w14:paraId="4D8A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1" w:type="pct"/>
            <w:gridSpan w:val="2"/>
            <w:vAlign w:val="center"/>
          </w:tcPr>
          <w:p w14:paraId="059EF26D">
            <w:pPr>
              <w:keepNext w:val="0"/>
              <w:keepLines w:val="0"/>
              <w:widowControl w:val="0"/>
              <w:suppressLineNumbers w:val="0"/>
              <w:spacing w:before="48" w:beforeAutospacing="0" w:after="48"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硬件规格</w:t>
            </w:r>
          </w:p>
        </w:tc>
        <w:tc>
          <w:tcPr>
            <w:tcW w:w="4008" w:type="pct"/>
            <w:vAlign w:val="center"/>
          </w:tcPr>
          <w:p w14:paraId="42EBDFE8">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吞吐≥1Gbps，6千兆网口，1T 硬盘，5年标准维保服务</w:t>
            </w:r>
          </w:p>
        </w:tc>
      </w:tr>
      <w:tr w14:paraId="4218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6" w:type="pct"/>
            <w:vMerge w:val="restart"/>
            <w:vAlign w:val="center"/>
          </w:tcPr>
          <w:p w14:paraId="4BDBFEBC">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流量采集</w:t>
            </w:r>
          </w:p>
        </w:tc>
        <w:tc>
          <w:tcPr>
            <w:tcW w:w="505" w:type="pct"/>
            <w:vAlign w:val="center"/>
          </w:tcPr>
          <w:p w14:paraId="4AA1AB79">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网络协议</w:t>
            </w:r>
          </w:p>
        </w:tc>
        <w:tc>
          <w:tcPr>
            <w:tcW w:w="4008" w:type="pct"/>
            <w:vAlign w:val="center"/>
          </w:tcPr>
          <w:p w14:paraId="70D7199A">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支持常见协议识别并还原网络流量，用于取证分析、威胁发现，支持：http、dns、smtp、pop3、imap、webmail、DB2、Oracle、MySQL、sql server、Sybase、SMB、FTP、SNMP、telnet、nfs、ICMP、SSL、SSH等</w:t>
            </w:r>
          </w:p>
        </w:tc>
      </w:tr>
      <w:tr w14:paraId="1A41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continue"/>
            <w:vAlign w:val="center"/>
          </w:tcPr>
          <w:p w14:paraId="6DBD37AF">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08186F39">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文件协议</w:t>
            </w:r>
          </w:p>
        </w:tc>
        <w:tc>
          <w:tcPr>
            <w:tcW w:w="4008" w:type="pct"/>
            <w:vAlign w:val="center"/>
          </w:tcPr>
          <w:p w14:paraId="6CCAEEC2">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对流量中出现文件传输行为进行发现和还原，并记录文件MD5发送至分析设备，如可执行文件（EXE、DLL、OCX、SYS、COM、apk、bin等）、压缩格式文件（RAR、ZIP、GZ、7Z、tar等）、文档类型文件（word、excel、pdf、rtf、ppt、txt等）、多媒体文件（flash、jpg、jpeg、png、flv、swf等）、脚本文件（html、htm、java、mhtml、mht等）等类型。</w:t>
            </w:r>
          </w:p>
        </w:tc>
      </w:tr>
      <w:tr w14:paraId="128B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6" w:type="pct"/>
            <w:vMerge w:val="restart"/>
            <w:vAlign w:val="center"/>
          </w:tcPr>
          <w:p w14:paraId="400AA0F8">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威胁检测</w:t>
            </w:r>
          </w:p>
        </w:tc>
        <w:tc>
          <w:tcPr>
            <w:tcW w:w="505" w:type="pct"/>
            <w:vAlign w:val="center"/>
          </w:tcPr>
          <w:p w14:paraId="4FDAC903">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威胁情报</w:t>
            </w:r>
          </w:p>
        </w:tc>
        <w:tc>
          <w:tcPr>
            <w:tcW w:w="4008" w:type="pct"/>
            <w:vAlign w:val="center"/>
          </w:tcPr>
          <w:p w14:paraId="022DF512">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支持基于流量实时IOC匹配功能，设备具备主流的IOC，情报总量500+万条</w:t>
            </w:r>
          </w:p>
        </w:tc>
      </w:tr>
      <w:tr w14:paraId="4D3B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86" w:type="pct"/>
            <w:vMerge w:val="continue"/>
            <w:vAlign w:val="center"/>
          </w:tcPr>
          <w:p w14:paraId="1397D07B">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141CA086">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Web攻击检测</w:t>
            </w:r>
          </w:p>
        </w:tc>
        <w:tc>
          <w:tcPr>
            <w:tcW w:w="4008" w:type="pct"/>
            <w:vAlign w:val="center"/>
          </w:tcPr>
          <w:p w14:paraId="65755128">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支持检测针对WEB应用的攻击，如SQL注入、XSS、系统配置等注入型攻击；</w:t>
            </w:r>
          </w:p>
        </w:tc>
      </w:tr>
      <w:tr w14:paraId="074F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continue"/>
            <w:vAlign w:val="center"/>
          </w:tcPr>
          <w:p w14:paraId="40C78709">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3B725743">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Webshell攻击检测</w:t>
            </w:r>
          </w:p>
        </w:tc>
        <w:tc>
          <w:tcPr>
            <w:tcW w:w="4008" w:type="pct"/>
            <w:vAlign w:val="center"/>
          </w:tcPr>
          <w:p w14:paraId="67D1A6DD">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支持基于工具特征的WEBSHELL检测，能通过系统调用、系统配置、文件的操作来及时发现威胁；如：中国菜刀、小马上传工具、小马生成器等</w:t>
            </w:r>
          </w:p>
        </w:tc>
      </w:tr>
      <w:tr w14:paraId="6B20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continue"/>
            <w:vAlign w:val="center"/>
          </w:tcPr>
          <w:p w14:paraId="37D3650A">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017048CF">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网络攻击检测</w:t>
            </w:r>
          </w:p>
        </w:tc>
        <w:tc>
          <w:tcPr>
            <w:tcW w:w="4008" w:type="pct"/>
            <w:vAlign w:val="center"/>
          </w:tcPr>
          <w:p w14:paraId="4ACB042B">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支持多种攻击检测，能更全面的从流量中发现威胁，如：SQL注入、XSS、信息泄露、间谍软件、协议异常、网络欺骗、黑市工具、代码执行、挖矿等</w:t>
            </w:r>
          </w:p>
        </w:tc>
      </w:tr>
      <w:tr w14:paraId="0A9D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continue"/>
            <w:vAlign w:val="center"/>
          </w:tcPr>
          <w:p w14:paraId="23FD7B9F">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657FB8B0">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威胁情报检测</w:t>
            </w:r>
          </w:p>
        </w:tc>
        <w:tc>
          <w:tcPr>
            <w:tcW w:w="4008" w:type="pct"/>
            <w:vAlign w:val="center"/>
          </w:tcPr>
          <w:p w14:paraId="7DC8EF8C">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支持基于威胁情报的威胁检测，检测类型包含APT事件、僵尸网络、勒索软件、流氓推广、窃密木马、网络蠕虫、远控木马、黑市工具、其他恶意软件</w:t>
            </w:r>
          </w:p>
        </w:tc>
      </w:tr>
      <w:tr w14:paraId="6FB0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86" w:type="pct"/>
            <w:vMerge w:val="restart"/>
            <w:vAlign w:val="center"/>
          </w:tcPr>
          <w:p w14:paraId="7164487B">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威胁检测</w:t>
            </w:r>
          </w:p>
        </w:tc>
        <w:tc>
          <w:tcPr>
            <w:tcW w:w="505" w:type="pct"/>
            <w:vAlign w:val="center"/>
          </w:tcPr>
          <w:p w14:paraId="05440AA3">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情报查询</w:t>
            </w:r>
          </w:p>
        </w:tc>
        <w:tc>
          <w:tcPr>
            <w:tcW w:w="4008" w:type="pct"/>
            <w:vAlign w:val="center"/>
          </w:tcPr>
          <w:p w14:paraId="683F4BD4">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支持与云端威胁情报中心联动，可对</w:t>
            </w:r>
            <w:r>
              <w:rPr>
                <w:rFonts w:hint="eastAsia" w:ascii="宋体" w:hAnsi="宋体" w:eastAsia="宋体" w:cs="宋体"/>
                <w:color w:val="auto"/>
                <w:sz w:val="24"/>
                <w:szCs w:val="24"/>
                <w:highlight w:val="none"/>
                <w:shd w:val="clear" w:color="auto" w:fill="FFFFFF"/>
                <w:lang w:val="en-US" w:eastAsia="zh-CN" w:bidi="ar-SA"/>
              </w:rPr>
              <w:t>受害IP、攻击IP、IOC/规则ID、文件MD5</w:t>
            </w:r>
            <w:r>
              <w:rPr>
                <w:rFonts w:hint="eastAsia" w:ascii="宋体" w:hAnsi="宋体" w:eastAsia="宋体" w:cs="宋体"/>
                <w:color w:val="auto"/>
                <w:sz w:val="24"/>
                <w:szCs w:val="24"/>
                <w:highlight w:val="none"/>
                <w:lang w:val="en-US" w:eastAsia="zh-CN" w:bidi="ar-SA"/>
              </w:rPr>
              <w:t>进行一键搜索，查看基本信息、开源情报、相关样本、可视化分析、域名解析、注册信息、关联域名、数字证书等。</w:t>
            </w:r>
          </w:p>
        </w:tc>
      </w:tr>
      <w:tr w14:paraId="775A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continue"/>
            <w:vAlign w:val="center"/>
          </w:tcPr>
          <w:p w14:paraId="13E619F6">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090E8415">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行为分析</w:t>
            </w:r>
          </w:p>
        </w:tc>
        <w:tc>
          <w:tcPr>
            <w:tcW w:w="4008" w:type="pct"/>
            <w:vAlign w:val="center"/>
          </w:tcPr>
          <w:p w14:paraId="679E81FE">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支持告警的深度行为分析，行为包括DNS解析行为、TCP/UDP交互行为、WEB访问行为、传输文件行为。</w:t>
            </w:r>
          </w:p>
        </w:tc>
      </w:tr>
      <w:tr w14:paraId="2A91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continue"/>
            <w:vAlign w:val="center"/>
          </w:tcPr>
          <w:p w14:paraId="543A2E65">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41EFF901">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检测能力扩展</w:t>
            </w:r>
          </w:p>
        </w:tc>
        <w:tc>
          <w:tcPr>
            <w:tcW w:w="4008" w:type="pct"/>
            <w:vAlign w:val="center"/>
          </w:tcPr>
          <w:p w14:paraId="4B9BF8B3">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根据攻击载荷自定义漏洞检测规则，可自定义载荷检测位置、检测字段、匹配方式（文本匹配/正则匹配）、匹配载荷内容，并且单条规则可指定多个检查项，同时可定义漏洞威胁级别、威胁分类、攻击结果、CVE编号、CNNVD编号、漏洞描述、漏洞危害、解决方案。为了保证在认证实训过程中可以更好体验漏洞挖掘和威胁检测的深度，</w:t>
            </w:r>
            <w:r>
              <w:rPr>
                <w:rFonts w:hint="eastAsia" w:ascii="宋体" w:hAnsi="宋体" w:cs="宋体"/>
                <w:b/>
                <w:bCs/>
                <w:color w:val="auto"/>
                <w:sz w:val="24"/>
                <w:highlight w:val="none"/>
              </w:rPr>
              <w:t>要求认证实训设备厂商需具备CNNVD颁发的高质量通报优秀贡献单位，并在投标文件中提供相关证明。</w:t>
            </w:r>
          </w:p>
        </w:tc>
      </w:tr>
      <w:tr w14:paraId="2711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86" w:type="pct"/>
            <w:vAlign w:val="center"/>
          </w:tcPr>
          <w:p w14:paraId="072CF3F1">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威胁检测</w:t>
            </w:r>
          </w:p>
        </w:tc>
        <w:tc>
          <w:tcPr>
            <w:tcW w:w="505" w:type="pct"/>
            <w:vAlign w:val="center"/>
          </w:tcPr>
          <w:p w14:paraId="6B1CEDD7">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高级威胁检测</w:t>
            </w:r>
          </w:p>
        </w:tc>
        <w:tc>
          <w:tcPr>
            <w:tcW w:w="4008" w:type="pct"/>
            <w:vAlign w:val="center"/>
          </w:tcPr>
          <w:p w14:paraId="1F9A4D7A">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具备AI隧道检测、非TCP完整流、畸形包检测、数据包完整性检测、碎片重组检测、编码绕过检测、高级逃逸 AET 检测等防逃逸检测能力。</w:t>
            </w:r>
          </w:p>
        </w:tc>
      </w:tr>
      <w:tr w14:paraId="32FF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restart"/>
            <w:vAlign w:val="center"/>
          </w:tcPr>
          <w:p w14:paraId="57CB8589">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策略配置</w:t>
            </w:r>
          </w:p>
        </w:tc>
        <w:tc>
          <w:tcPr>
            <w:tcW w:w="505" w:type="pct"/>
            <w:vAlign w:val="center"/>
          </w:tcPr>
          <w:p w14:paraId="2AEF115B">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文件还原</w:t>
            </w:r>
          </w:p>
        </w:tc>
        <w:tc>
          <w:tcPr>
            <w:tcW w:w="4008" w:type="pct"/>
            <w:vAlign w:val="center"/>
          </w:tcPr>
          <w:p w14:paraId="3B23E227">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支持对HTTP、FTP_DATA、SMB、SMTP、POP3、WEBMAIL、IMAP、TFTP、QQ、NFS等类型协议的流量进行文件还原</w:t>
            </w:r>
          </w:p>
        </w:tc>
      </w:tr>
      <w:tr w14:paraId="738C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Merge w:val="continue"/>
            <w:vAlign w:val="center"/>
          </w:tcPr>
          <w:p w14:paraId="7AE473CF">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26F70CAB">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抓包分析</w:t>
            </w:r>
          </w:p>
        </w:tc>
        <w:tc>
          <w:tcPr>
            <w:tcW w:w="4008" w:type="pct"/>
            <w:vAlign w:val="center"/>
          </w:tcPr>
          <w:p w14:paraId="0FC1285A">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支持通过设备对流量进行抓包分析，可定义抓包流量双向或单向、数量、IP地址、端口或协议类型</w:t>
            </w:r>
          </w:p>
        </w:tc>
      </w:tr>
      <w:tr w14:paraId="5CE5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86" w:type="pct"/>
            <w:vMerge w:val="continue"/>
            <w:vAlign w:val="center"/>
          </w:tcPr>
          <w:p w14:paraId="2E97F495">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vAlign w:val="center"/>
          </w:tcPr>
          <w:p w14:paraId="62F940F6">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旁路阻断</w:t>
            </w:r>
          </w:p>
        </w:tc>
        <w:tc>
          <w:tcPr>
            <w:tcW w:w="4008" w:type="pct"/>
            <w:vAlign w:val="center"/>
          </w:tcPr>
          <w:p w14:paraId="7B31608D">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支持基于攻击特征的旁路阻断;</w:t>
            </w:r>
          </w:p>
          <w:p w14:paraId="462B0173">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支持基于URL、GET参数、POST参数、XFF、HOST等高级参数的旁路阻断;</w:t>
            </w:r>
            <w:bookmarkStart w:id="90" w:name="_Hlk535070945"/>
          </w:p>
          <w:p w14:paraId="0ED534A5">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支持基于IP地址的旁路阻断，能够在实时镜像的流量中发现恶意IP并实现实时阻断</w:t>
            </w:r>
            <w:bookmarkEnd w:id="90"/>
            <w:r>
              <w:rPr>
                <w:rFonts w:hint="eastAsia" w:ascii="宋体" w:hAnsi="宋体" w:eastAsia="宋体" w:cs="宋体"/>
                <w:color w:val="auto"/>
                <w:sz w:val="24"/>
                <w:szCs w:val="24"/>
                <w:highlight w:val="none"/>
                <w:lang w:val="en-US" w:eastAsia="zh-CN" w:bidi="ar-SA"/>
              </w:rPr>
              <w:t>;</w:t>
            </w:r>
          </w:p>
        </w:tc>
      </w:tr>
      <w:tr w14:paraId="1A7C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86" w:type="pct"/>
            <w:vMerge w:val="continue"/>
            <w:vAlign w:val="center"/>
          </w:tcPr>
          <w:p w14:paraId="780E89F8">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p>
        </w:tc>
        <w:tc>
          <w:tcPr>
            <w:tcW w:w="505" w:type="pct"/>
            <w:tcBorders>
              <w:top w:val="single" w:color="auto" w:sz="4" w:space="0"/>
              <w:bottom w:val="single" w:color="auto" w:sz="4" w:space="0"/>
            </w:tcBorders>
            <w:vAlign w:val="center"/>
          </w:tcPr>
          <w:p w14:paraId="472E19C0">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HTTPS威胁检测</w:t>
            </w:r>
          </w:p>
        </w:tc>
        <w:tc>
          <w:tcPr>
            <w:tcW w:w="4008" w:type="pct"/>
            <w:tcBorders>
              <w:top w:val="single" w:color="auto" w:sz="4" w:space="0"/>
              <w:bottom w:val="single" w:color="auto" w:sz="4" w:space="0"/>
            </w:tcBorders>
            <w:vAlign w:val="center"/>
          </w:tcPr>
          <w:p w14:paraId="7ECF9C66">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支持旁路HTTPS解密、威胁检测</w:t>
            </w:r>
          </w:p>
        </w:tc>
      </w:tr>
      <w:tr w14:paraId="7B76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86" w:type="pct"/>
            <w:vAlign w:val="center"/>
          </w:tcPr>
          <w:p w14:paraId="484E74B5">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4513" w:type="pct"/>
            <w:gridSpan w:val="2"/>
            <w:vAlign w:val="center"/>
          </w:tcPr>
          <w:p w14:paraId="3BF88E1E">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具备IT产品信息安全认证证书，有“APT安全监测产品”字样</w:t>
            </w:r>
          </w:p>
        </w:tc>
      </w:tr>
      <w:tr w14:paraId="3059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Align w:val="center"/>
          </w:tcPr>
          <w:p w14:paraId="56AD0E64">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w:t>
            </w:r>
          </w:p>
        </w:tc>
        <w:tc>
          <w:tcPr>
            <w:tcW w:w="4513" w:type="pct"/>
            <w:gridSpan w:val="2"/>
            <w:vAlign w:val="center"/>
          </w:tcPr>
          <w:p w14:paraId="09E04673">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签订合同时提供五年原厂商质保服务承诺函及授权书。</w:t>
            </w:r>
          </w:p>
        </w:tc>
      </w:tr>
      <w:tr w14:paraId="4AE3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vAlign w:val="center"/>
          </w:tcPr>
          <w:p w14:paraId="00DF3763">
            <w:pPr>
              <w:keepNext w:val="0"/>
              <w:keepLines w:val="0"/>
              <w:widowControl w:val="0"/>
              <w:suppressLineNumbers w:val="0"/>
              <w:spacing w:before="65" w:beforeAutospacing="0" w:after="65" w:afterAutospacing="0" w:line="240" w:lineRule="auto"/>
              <w:ind w:left="0" w:right="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it-IT" w:eastAsia="zh-CN" w:bidi="ar-SA"/>
              </w:rPr>
              <w:t>产品测试</w:t>
            </w:r>
          </w:p>
        </w:tc>
        <w:tc>
          <w:tcPr>
            <w:tcW w:w="4513" w:type="pct"/>
            <w:gridSpan w:val="2"/>
            <w:vAlign w:val="center"/>
          </w:tcPr>
          <w:p w14:paraId="0BE58D0E">
            <w:pPr>
              <w:keepNext w:val="0"/>
              <w:keepLines w:val="0"/>
              <w:widowControl w:val="0"/>
              <w:suppressLineNumbers w:val="0"/>
              <w:spacing w:before="65" w:beforeAutospacing="0" w:after="65" w:afterAutospacing="0" w:line="240" w:lineRule="auto"/>
              <w:ind w:left="0" w:right="0" w:firstLine="0" w:firstLineChars="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it-IT" w:eastAsia="zh-CN" w:bidi="ar-SA"/>
              </w:rPr>
              <w:t>为防止投标方虚假应答技术指标，从而造成用户在实际使用设备过程中无法实现所需的功能，采购方保留产品功能测试的权利，在指定的时间不能提供测试样机进行测试或测试中发现虚假应标的行为，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r>
              <w:rPr>
                <w:rFonts w:hint="eastAsia" w:ascii="宋体" w:hAnsi="宋体" w:eastAsia="宋体" w:cs="宋体"/>
                <w:color w:val="auto"/>
                <w:sz w:val="24"/>
                <w:szCs w:val="24"/>
                <w:highlight w:val="none"/>
                <w:lang w:val="it-IT" w:eastAsia="zh-CN" w:bidi="ar-SA"/>
              </w:rPr>
              <w:t>。</w:t>
            </w:r>
          </w:p>
        </w:tc>
      </w:tr>
    </w:tbl>
    <w:p w14:paraId="004FC326">
      <w:pPr>
        <w:widowControl/>
        <w:spacing w:line="240" w:lineRule="auto"/>
        <w:jc w:val="left"/>
        <w:rPr>
          <w:rFonts w:hint="eastAsia" w:ascii="宋体" w:hAnsi="宋体" w:eastAsia="宋体" w:cs="宋体"/>
          <w:color w:val="auto"/>
          <w:kern w:val="0"/>
          <w:sz w:val="24"/>
          <w:szCs w:val="24"/>
          <w:highlight w:val="none"/>
        </w:rPr>
      </w:pPr>
    </w:p>
    <w:p w14:paraId="13EB6E65">
      <w:pPr>
        <w:keepNext/>
        <w:keepLines/>
        <w:widowControl w:val="0"/>
        <w:numPr>
          <w:ilvl w:val="3"/>
          <w:numId w:val="11"/>
        </w:numPr>
        <w:spacing w:before="280" w:after="290" w:line="240" w:lineRule="auto"/>
        <w:ind w:left="567"/>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网络准入控制认证模块</w:t>
      </w:r>
    </w:p>
    <w:tbl>
      <w:tblPr>
        <w:tblStyle w:val="47"/>
        <w:tblW w:w="54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982"/>
        <w:gridCol w:w="7832"/>
      </w:tblGrid>
      <w:tr w14:paraId="6BE98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pct"/>
            <w:gridSpan w:val="2"/>
            <w:shd w:val="clear" w:color="000000" w:fill="EEECE1" w:themeFill="background2"/>
            <w:vAlign w:val="center"/>
          </w:tcPr>
          <w:p w14:paraId="324FD2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3997" w:type="pct"/>
            <w:shd w:val="clear" w:color="000000" w:fill="EEECE1" w:themeFill="background2"/>
            <w:vAlign w:val="center"/>
          </w:tcPr>
          <w:p w14:paraId="467462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62E06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shd w:val="clear" w:color="000000" w:fill="FFFFFF"/>
            <w:vAlign w:val="center"/>
          </w:tcPr>
          <w:p w14:paraId="7D17ACC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技术性能</w:t>
            </w:r>
          </w:p>
        </w:tc>
        <w:tc>
          <w:tcPr>
            <w:tcW w:w="501" w:type="pct"/>
            <w:shd w:val="clear" w:color="000000" w:fill="FFFFFF"/>
            <w:vAlign w:val="center"/>
          </w:tcPr>
          <w:p w14:paraId="61B6D3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硬件规格</w:t>
            </w:r>
          </w:p>
        </w:tc>
        <w:tc>
          <w:tcPr>
            <w:tcW w:w="3997" w:type="pct"/>
            <w:shd w:val="clear" w:color="000000" w:fill="FFFFFF"/>
            <w:vAlign w:val="center"/>
          </w:tcPr>
          <w:p w14:paraId="4A6EC16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含300个准入授权，6个千兆电口，4TB 硬盘，含5质保服务</w:t>
            </w:r>
          </w:p>
        </w:tc>
      </w:tr>
      <w:tr w14:paraId="296C0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01" w:type="pct"/>
            <w:vMerge w:val="restart"/>
            <w:shd w:val="clear" w:color="000000" w:fill="FFFFFF"/>
            <w:vAlign w:val="center"/>
          </w:tcPr>
          <w:p w14:paraId="514071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部署方式及管理</w:t>
            </w:r>
          </w:p>
        </w:tc>
        <w:tc>
          <w:tcPr>
            <w:tcW w:w="501" w:type="pct"/>
            <w:shd w:val="clear" w:color="000000" w:fill="FFFFFF"/>
            <w:vAlign w:val="center"/>
          </w:tcPr>
          <w:p w14:paraId="5DCBDD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管理架构</w:t>
            </w:r>
          </w:p>
        </w:tc>
        <w:tc>
          <w:tcPr>
            <w:tcW w:w="3997" w:type="pct"/>
            <w:shd w:val="clear" w:color="000000" w:fill="FFFFFF"/>
            <w:vAlign w:val="center"/>
          </w:tcPr>
          <w:p w14:paraId="784147B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系统控制中心采用B/S架构，支持管理员分区分权管理模式，灵活配置管理权限，适应大型分级管理组织架构</w:t>
            </w:r>
          </w:p>
        </w:tc>
      </w:tr>
      <w:tr w14:paraId="38D36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2E3FFA7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270FB4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集中管理</w:t>
            </w:r>
          </w:p>
        </w:tc>
        <w:tc>
          <w:tcPr>
            <w:tcW w:w="3997" w:type="pct"/>
            <w:shd w:val="clear" w:color="000000" w:fill="FFFFFF"/>
            <w:vAlign w:val="center"/>
          </w:tcPr>
          <w:p w14:paraId="2A67D91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支持设备集中管理，可在同一管理平台集中管理所有设备，支持设备分组，权限管理，实现分布式部署、集中管理，满足大型网络环境下的部署要求。</w:t>
            </w:r>
          </w:p>
        </w:tc>
      </w:tr>
      <w:tr w14:paraId="3224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01" w:type="pct"/>
            <w:vMerge w:val="continue"/>
            <w:vAlign w:val="center"/>
          </w:tcPr>
          <w:p w14:paraId="0DD9026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0BD52B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流量复制</w:t>
            </w:r>
          </w:p>
        </w:tc>
        <w:tc>
          <w:tcPr>
            <w:tcW w:w="3997" w:type="pct"/>
            <w:shd w:val="clear" w:color="000000" w:fill="FFFFFF"/>
            <w:vAlign w:val="center"/>
          </w:tcPr>
          <w:p w14:paraId="11B8DA4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设备支持将收到的镜像流量做过滤并将镜像流量复制一份输出给其他流量监测类设备。</w:t>
            </w:r>
            <w:r>
              <w:rPr>
                <w:rFonts w:hint="eastAsia" w:ascii="宋体" w:hAnsi="宋体" w:eastAsia="宋体" w:cs="宋体"/>
                <w:b/>
                <w:bCs/>
                <w:color w:val="auto"/>
                <w:kern w:val="0"/>
                <w:sz w:val="24"/>
                <w:szCs w:val="24"/>
                <w:highlight w:val="none"/>
              </w:rPr>
              <w:t>(提供功能截图证明)</w:t>
            </w:r>
          </w:p>
        </w:tc>
      </w:tr>
      <w:tr w14:paraId="1F727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restart"/>
            <w:shd w:val="clear" w:color="000000" w:fill="FFFFFF"/>
            <w:vAlign w:val="center"/>
          </w:tcPr>
          <w:p w14:paraId="1518CA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准入控制</w:t>
            </w:r>
          </w:p>
        </w:tc>
        <w:tc>
          <w:tcPr>
            <w:tcW w:w="501" w:type="pct"/>
            <w:shd w:val="clear" w:color="000000" w:fill="FFFFFF"/>
            <w:vAlign w:val="center"/>
          </w:tcPr>
          <w:p w14:paraId="0ED5DB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准入技术</w:t>
            </w:r>
          </w:p>
        </w:tc>
        <w:tc>
          <w:tcPr>
            <w:tcW w:w="3997" w:type="pct"/>
            <w:shd w:val="clear" w:color="000000" w:fill="FFFFFF"/>
            <w:vAlign w:val="center"/>
          </w:tcPr>
          <w:p w14:paraId="1A0BEF3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产品支持多种认证控制方式，支持802.1x、portal、DHCP、MAB MAC、策略路由、旁路镜像、WebAuth等方式，支持无线和有线环境下的接入控制，适应复杂网络环境下的接入控制</w:t>
            </w:r>
          </w:p>
        </w:tc>
      </w:tr>
      <w:tr w14:paraId="12DE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04115AC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0B747F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引导部署</w:t>
            </w:r>
          </w:p>
        </w:tc>
        <w:tc>
          <w:tcPr>
            <w:tcW w:w="3997" w:type="pct"/>
            <w:shd w:val="clear" w:color="000000" w:fill="FFFFFF"/>
            <w:vAlign w:val="center"/>
          </w:tcPr>
          <w:p w14:paraId="70AA75A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测是否安装客户端，达到入网遵从条件，保障入网终端是安全可信的，未安装客户端的终端禁止访问，将被重定向到客户端安装页面快速引导部署；针对未认证或不合规的设备，当终端访问http、https网站时，支持对其网站访问重定向至引导页面进行身份认证或修复。</w:t>
            </w:r>
          </w:p>
        </w:tc>
      </w:tr>
      <w:tr w14:paraId="00625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1CCB28B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279BCF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身份认证</w:t>
            </w:r>
          </w:p>
        </w:tc>
        <w:tc>
          <w:tcPr>
            <w:tcW w:w="3997" w:type="pct"/>
            <w:shd w:val="clear" w:color="000000" w:fill="FFFFFF"/>
            <w:vAlign w:val="center"/>
          </w:tcPr>
          <w:p w14:paraId="7FD4E1A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支持使用客户端或portal方式进行设备身份认证，只有合法的用户才可接入网络</w:t>
            </w:r>
          </w:p>
        </w:tc>
      </w:tr>
      <w:tr w14:paraId="3BFC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18EF1F5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27E08D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用户管理</w:t>
            </w:r>
          </w:p>
        </w:tc>
        <w:tc>
          <w:tcPr>
            <w:tcW w:w="3997" w:type="pct"/>
            <w:shd w:val="clear" w:color="000000" w:fill="FFFFFF"/>
            <w:vAlign w:val="center"/>
          </w:tcPr>
          <w:p w14:paraId="0BF231E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系统内置用户身份管理系统，支持创建、导入或从第三方系统同步用户身份信息，以便进行身份认证、权限设置等操作</w:t>
            </w:r>
          </w:p>
        </w:tc>
      </w:tr>
      <w:tr w14:paraId="1564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575BD05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287E8D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第三方认证源</w:t>
            </w:r>
          </w:p>
        </w:tc>
        <w:tc>
          <w:tcPr>
            <w:tcW w:w="3997" w:type="pct"/>
            <w:shd w:val="clear" w:color="000000" w:fill="FFFFFF"/>
            <w:vAlign w:val="center"/>
          </w:tcPr>
          <w:p w14:paraId="7222471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支持LDAP、Email、Http认证源三种认证源配置，支持第三方认证源的高可用配置；支持在不修改第三方认证源中用户信息的前提下，临时限制特定账号的入网认证请求。</w:t>
            </w:r>
          </w:p>
        </w:tc>
      </w:tr>
      <w:tr w14:paraId="536F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501" w:type="pct"/>
            <w:vMerge w:val="continue"/>
            <w:vAlign w:val="center"/>
          </w:tcPr>
          <w:p w14:paraId="09FFA32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3E8B12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设备身份认证源</w:t>
            </w:r>
          </w:p>
        </w:tc>
        <w:tc>
          <w:tcPr>
            <w:tcW w:w="3997" w:type="pct"/>
            <w:shd w:val="clear" w:color="000000" w:fill="FFFFFF"/>
            <w:vAlign w:val="center"/>
          </w:tcPr>
          <w:p w14:paraId="4B314E0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支持基于终端身份标识的设备身份验证方式；支持同时校验用户身份和设备身份的双重认证。</w:t>
            </w:r>
          </w:p>
        </w:tc>
      </w:tr>
      <w:tr w14:paraId="258FA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501" w:type="pct"/>
            <w:vMerge w:val="continue"/>
            <w:vAlign w:val="center"/>
          </w:tcPr>
          <w:p w14:paraId="506DA20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51B03F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NAT精度控制入网</w:t>
            </w:r>
          </w:p>
        </w:tc>
        <w:tc>
          <w:tcPr>
            <w:tcW w:w="3997" w:type="pct"/>
            <w:shd w:val="clear" w:color="000000" w:fill="FFFFFF"/>
            <w:vAlign w:val="center"/>
          </w:tcPr>
          <w:p w14:paraId="3326E45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通过小路由、VPN等场景接入的经过NAT转换后的终端必须安装客户端并经过身份认证后方可接入网络</w:t>
            </w:r>
            <w:r>
              <w:rPr>
                <w:rFonts w:hint="eastAsia" w:ascii="宋体" w:hAnsi="宋体" w:eastAsia="宋体" w:cs="宋体"/>
                <w:b/>
                <w:bCs/>
                <w:color w:val="auto"/>
                <w:kern w:val="0"/>
                <w:sz w:val="24"/>
                <w:szCs w:val="24"/>
                <w:highlight w:val="none"/>
              </w:rPr>
              <w:t>(提供功能截图证明)</w:t>
            </w:r>
          </w:p>
        </w:tc>
      </w:tr>
      <w:tr w14:paraId="19B3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01" w:type="pct"/>
            <w:vMerge w:val="restart"/>
            <w:shd w:val="clear" w:color="000000" w:fill="FFFFFF"/>
            <w:vAlign w:val="center"/>
          </w:tcPr>
          <w:p w14:paraId="35B731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访问授权</w:t>
            </w:r>
          </w:p>
        </w:tc>
        <w:tc>
          <w:tcPr>
            <w:tcW w:w="501" w:type="pct"/>
            <w:shd w:val="clear" w:color="000000" w:fill="FFFFFF"/>
            <w:vAlign w:val="center"/>
          </w:tcPr>
          <w:p w14:paraId="7E2BCC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动态授权</w:t>
            </w:r>
          </w:p>
        </w:tc>
        <w:tc>
          <w:tcPr>
            <w:tcW w:w="3997" w:type="pct"/>
            <w:shd w:val="clear" w:color="000000" w:fill="FFFFFF"/>
            <w:vAlign w:val="center"/>
          </w:tcPr>
          <w:p w14:paraId="0093F52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可基于用户、角色、设备类型、设备分组、设备标签、终端安检结果等动态下发VLAN、acl或厂家属性</w:t>
            </w:r>
            <w:r>
              <w:rPr>
                <w:rFonts w:hint="eastAsia" w:ascii="宋体" w:hAnsi="宋体" w:eastAsia="宋体" w:cs="宋体"/>
                <w:b/>
                <w:bCs/>
                <w:color w:val="auto"/>
                <w:kern w:val="0"/>
                <w:sz w:val="24"/>
                <w:szCs w:val="24"/>
                <w:highlight w:val="none"/>
              </w:rPr>
              <w:t>(提供功能截图证明)</w:t>
            </w:r>
          </w:p>
        </w:tc>
      </w:tr>
      <w:tr w14:paraId="03D66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04167FB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7EF91B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动态ACL</w:t>
            </w:r>
          </w:p>
        </w:tc>
        <w:tc>
          <w:tcPr>
            <w:tcW w:w="3997" w:type="pct"/>
            <w:shd w:val="clear" w:color="000000" w:fill="FFFFFF"/>
            <w:vAlign w:val="center"/>
          </w:tcPr>
          <w:p w14:paraId="446B40B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支持基于不同设备类型定义访问控制规则，特定类型的设备仅允许访问指定的关键服务器，并只允许合法的协议通过</w:t>
            </w:r>
          </w:p>
          <w:p w14:paraId="669BE19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支持基于终端使用用户的用户组、用户角色定义访问控制策略，无论用户使用什么设备还是IP，均可执行对应的访问控制策略</w:t>
            </w:r>
          </w:p>
        </w:tc>
      </w:tr>
      <w:tr w14:paraId="0EEB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restart"/>
            <w:shd w:val="clear" w:color="auto" w:fill="auto"/>
            <w:vAlign w:val="center"/>
          </w:tcPr>
          <w:p w14:paraId="556421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合规检查（Windows客户端）</w:t>
            </w:r>
          </w:p>
        </w:tc>
        <w:tc>
          <w:tcPr>
            <w:tcW w:w="501" w:type="pct"/>
            <w:shd w:val="clear" w:color="000000" w:fill="FFFFFF"/>
            <w:noWrap/>
            <w:vAlign w:val="center"/>
          </w:tcPr>
          <w:p w14:paraId="614F5C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客户端软件</w:t>
            </w:r>
          </w:p>
        </w:tc>
        <w:tc>
          <w:tcPr>
            <w:tcW w:w="3997" w:type="pct"/>
            <w:shd w:val="clear" w:color="auto" w:fill="auto"/>
            <w:noWrap/>
            <w:vAlign w:val="center"/>
          </w:tcPr>
          <w:p w14:paraId="0FB40DD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基于不同用户规模与需求，提供轻量级准入客户端和终端安全一体化客户端的不同方案，支持Windows、Linux、信创操作系统</w:t>
            </w:r>
          </w:p>
        </w:tc>
      </w:tr>
      <w:tr w14:paraId="5FB2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0E933B0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noWrap/>
            <w:vAlign w:val="center"/>
          </w:tcPr>
          <w:p w14:paraId="0CA3D6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全静默认证</w:t>
            </w:r>
          </w:p>
        </w:tc>
        <w:tc>
          <w:tcPr>
            <w:tcW w:w="3997" w:type="pct"/>
            <w:shd w:val="clear" w:color="auto" w:fill="auto"/>
            <w:noWrap/>
            <w:vAlign w:val="center"/>
          </w:tcPr>
          <w:p w14:paraId="3A8C78D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支持全静默的终端身份认证，无需人工参与，终端即可自动完成准入认证，整个过程无弹窗，不影响全屏进程。</w:t>
            </w:r>
            <w:r>
              <w:rPr>
                <w:rFonts w:hint="eastAsia" w:ascii="宋体" w:hAnsi="宋体" w:eastAsia="宋体" w:cs="宋体"/>
                <w:b/>
                <w:bCs/>
                <w:color w:val="auto"/>
                <w:kern w:val="0"/>
                <w:sz w:val="24"/>
                <w:szCs w:val="24"/>
                <w:highlight w:val="none"/>
              </w:rPr>
              <w:t>(提供功能截图证明)</w:t>
            </w:r>
          </w:p>
        </w:tc>
      </w:tr>
      <w:tr w14:paraId="0D57B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0CB862A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23B7E0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合规检查</w:t>
            </w:r>
          </w:p>
        </w:tc>
        <w:tc>
          <w:tcPr>
            <w:tcW w:w="3997" w:type="pct"/>
            <w:shd w:val="clear" w:color="000000" w:fill="FFFFFF"/>
            <w:vAlign w:val="center"/>
          </w:tcPr>
          <w:p w14:paraId="17B0B82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健康合规检查策略，采用动态检测技术，需支持多种检查机制，至少支持入网检查、定时检查、周期检查机制，针对接入内部网络的计算机终端实行多种安全检查策略，支持分组策略下发控制，拦截不安全终端接入网络。</w:t>
            </w:r>
          </w:p>
        </w:tc>
      </w:tr>
      <w:tr w14:paraId="72B4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1" w:type="pct"/>
            <w:vMerge w:val="continue"/>
            <w:vAlign w:val="center"/>
          </w:tcPr>
          <w:p w14:paraId="27A9D16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1E4045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隔离处置</w:t>
            </w:r>
          </w:p>
        </w:tc>
        <w:tc>
          <w:tcPr>
            <w:tcW w:w="3997" w:type="pct"/>
            <w:shd w:val="clear" w:color="000000" w:fill="FFFFFF"/>
            <w:vAlign w:val="center"/>
          </w:tcPr>
          <w:p w14:paraId="0614582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支持终端安全检查失败处置措施，可基于协议、特定端口、端口范围、特定地址、IP范围、URL来控制终端访问权限，从而无需操作交换机达到终端网络隔离目的，实现细粒度的访问控制管理</w:t>
            </w:r>
          </w:p>
        </w:tc>
      </w:tr>
      <w:tr w14:paraId="0025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01" w:type="pct"/>
            <w:vMerge w:val="continue"/>
            <w:vAlign w:val="center"/>
          </w:tcPr>
          <w:p w14:paraId="7664068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3CCCB0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引导修复</w:t>
            </w:r>
          </w:p>
        </w:tc>
        <w:tc>
          <w:tcPr>
            <w:tcW w:w="3997" w:type="pct"/>
            <w:shd w:val="clear" w:color="000000" w:fill="FFFFFF"/>
            <w:vAlign w:val="center"/>
          </w:tcPr>
          <w:p w14:paraId="5601533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支持对不合规的终端提供软隔离，不符合安全策略的计算机终端进行友好提示，提供终端修复向导，需支持引导修复和一键修复功能，并支持不同区域终端的修复区域定义。</w:t>
            </w:r>
          </w:p>
        </w:tc>
      </w:tr>
      <w:tr w14:paraId="0597A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01" w:type="pct"/>
            <w:vMerge w:val="continue"/>
            <w:vAlign w:val="center"/>
          </w:tcPr>
          <w:p w14:paraId="744C3F7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4130FB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进程检查</w:t>
            </w:r>
          </w:p>
        </w:tc>
        <w:tc>
          <w:tcPr>
            <w:tcW w:w="3997" w:type="pct"/>
            <w:shd w:val="clear" w:color="000000" w:fill="FFFFFF"/>
            <w:vAlign w:val="center"/>
          </w:tcPr>
          <w:p w14:paraId="0B47492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支持对终端所安装的软件、服务、进程检查，设置黑白名单，管理员可以自己编辑黑白名单，可以对进程进行签名校验，文件MD5检查，版本比较，并提供设定的下载链接引导安装</w:t>
            </w:r>
          </w:p>
        </w:tc>
      </w:tr>
      <w:tr w14:paraId="1F075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01" w:type="pct"/>
            <w:vMerge w:val="continue"/>
            <w:vAlign w:val="center"/>
          </w:tcPr>
          <w:p w14:paraId="4609DF0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16673F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域检查</w:t>
            </w:r>
          </w:p>
        </w:tc>
        <w:tc>
          <w:tcPr>
            <w:tcW w:w="3997" w:type="pct"/>
            <w:shd w:val="clear" w:color="000000" w:fill="FFFFFF"/>
            <w:vAlign w:val="center"/>
          </w:tcPr>
          <w:p w14:paraId="2DDDC04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支持检查终端用户是否加入AD域，当前用户是否登录域，并能与AD域进行联动认证，便于用户统一管理</w:t>
            </w:r>
          </w:p>
        </w:tc>
      </w:tr>
      <w:tr w14:paraId="1153B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vMerge w:val="restart"/>
            <w:shd w:val="clear" w:color="000000" w:fill="FFFFFF"/>
            <w:vAlign w:val="center"/>
          </w:tcPr>
          <w:p w14:paraId="214BE0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系统联动</w:t>
            </w:r>
          </w:p>
        </w:tc>
        <w:tc>
          <w:tcPr>
            <w:tcW w:w="501" w:type="pct"/>
            <w:shd w:val="clear" w:color="000000" w:fill="FFFFFF"/>
            <w:vAlign w:val="center"/>
          </w:tcPr>
          <w:p w14:paraId="51E832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数据输出</w:t>
            </w:r>
          </w:p>
        </w:tc>
        <w:tc>
          <w:tcPr>
            <w:tcW w:w="3997" w:type="pct"/>
            <w:shd w:val="clear" w:color="000000" w:fill="FFFFFF"/>
            <w:vAlign w:val="center"/>
          </w:tcPr>
          <w:p w14:paraId="47F11AD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对外提供设备信息、资产信息、设备入网状态、设备合规状态API查询接口</w:t>
            </w:r>
          </w:p>
        </w:tc>
      </w:tr>
      <w:tr w14:paraId="4B5F4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vMerge w:val="continue"/>
            <w:vAlign w:val="center"/>
          </w:tcPr>
          <w:p w14:paraId="5348C2D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318713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准入联动</w:t>
            </w:r>
          </w:p>
        </w:tc>
        <w:tc>
          <w:tcPr>
            <w:tcW w:w="3997" w:type="pct"/>
            <w:shd w:val="clear" w:color="000000" w:fill="FFFFFF"/>
            <w:vAlign w:val="center"/>
          </w:tcPr>
          <w:p w14:paraId="416FDA4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支持与流量分析软件、威胁情报分析平台等第三方安全分析系统联动，对于第三方平台发现的风险终端，提供准入阻断的能力</w:t>
            </w:r>
          </w:p>
        </w:tc>
      </w:tr>
      <w:tr w14:paraId="14108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vMerge w:val="continue"/>
            <w:vAlign w:val="center"/>
          </w:tcPr>
          <w:p w14:paraId="0A6DFC2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501" w:type="pct"/>
            <w:shd w:val="clear" w:color="000000" w:fill="FFFFFF"/>
            <w:vAlign w:val="center"/>
          </w:tcPr>
          <w:p w14:paraId="636379D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单点登录联动</w:t>
            </w:r>
          </w:p>
        </w:tc>
        <w:tc>
          <w:tcPr>
            <w:tcW w:w="3997" w:type="pct"/>
            <w:shd w:val="clear" w:color="000000" w:fill="FFFFFF"/>
            <w:vAlign w:val="center"/>
          </w:tcPr>
          <w:p w14:paraId="4EF4121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准入认证用户数据支持与奇安信、深信服等主流上网行为管理联动身份认证数据，无需重复认证</w:t>
            </w:r>
          </w:p>
        </w:tc>
      </w:tr>
      <w:tr w14:paraId="510B6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002" w:type="pct"/>
            <w:gridSpan w:val="2"/>
            <w:vMerge w:val="restart"/>
            <w:vAlign w:val="center"/>
          </w:tcPr>
          <w:p w14:paraId="11F6B89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能力要求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w:t>
            </w:r>
            <w:r>
              <w:rPr>
                <w:rFonts w:hint="eastAsia" w:ascii="宋体" w:hAnsi="宋体" w:eastAsia="宋体" w:cs="宋体"/>
                <w:color w:val="auto"/>
                <w:kern w:val="0"/>
                <w:sz w:val="24"/>
                <w:szCs w:val="24"/>
                <w:highlight w:val="none"/>
                <w:lang w:eastAsia="zh-CN"/>
              </w:rPr>
              <w:t>扫描</w:t>
            </w:r>
            <w:r>
              <w:rPr>
                <w:rFonts w:hint="eastAsia" w:ascii="宋体" w:hAnsi="宋体" w:eastAsia="宋体" w:cs="宋体"/>
                <w:color w:val="auto"/>
                <w:kern w:val="0"/>
                <w:sz w:val="24"/>
                <w:szCs w:val="24"/>
                <w:highlight w:val="none"/>
              </w:rPr>
              <w:t>件</w:t>
            </w:r>
            <w:r>
              <w:rPr>
                <w:rFonts w:hint="eastAsia" w:ascii="宋体" w:hAnsi="宋体" w:cs="宋体"/>
                <w:color w:val="auto"/>
                <w:kern w:val="0"/>
                <w:sz w:val="24"/>
                <w:szCs w:val="24"/>
                <w:highlight w:val="none"/>
                <w:lang w:eastAsia="zh-CN"/>
              </w:rPr>
              <w:t>）</w:t>
            </w:r>
          </w:p>
        </w:tc>
        <w:tc>
          <w:tcPr>
            <w:tcW w:w="3997" w:type="pct"/>
            <w:shd w:val="clear" w:color="000000" w:fill="FFFFFF"/>
            <w:vAlign w:val="center"/>
          </w:tcPr>
          <w:p w14:paraId="56F4B69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具备IPv6 Ready Logo（Phase-2）</w:t>
            </w:r>
          </w:p>
        </w:tc>
      </w:tr>
      <w:tr w14:paraId="7BB05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pct"/>
            <w:gridSpan w:val="2"/>
            <w:vMerge w:val="continue"/>
            <w:vAlign w:val="center"/>
          </w:tcPr>
          <w:p w14:paraId="4585A3F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p>
        </w:tc>
        <w:tc>
          <w:tcPr>
            <w:tcW w:w="3997" w:type="pct"/>
            <w:shd w:val="clear" w:color="000000" w:fill="FFFFFF"/>
            <w:vAlign w:val="center"/>
          </w:tcPr>
          <w:p w14:paraId="585A172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认证实训设备厂商具备培养国内网络安全人才的能力，具有中国信息安全测评中心授权的CISP培训资格，</w:t>
            </w:r>
            <w:r>
              <w:rPr>
                <w:rFonts w:hint="eastAsia" w:ascii="宋体" w:hAnsi="宋体" w:eastAsia="宋体" w:cs="宋体"/>
                <w:b/>
                <w:bCs/>
                <w:color w:val="auto"/>
                <w:kern w:val="0"/>
                <w:sz w:val="24"/>
                <w:szCs w:val="24"/>
                <w:highlight w:val="none"/>
              </w:rPr>
              <w:t>提供证明材料</w:t>
            </w:r>
          </w:p>
        </w:tc>
      </w:tr>
      <w:tr w14:paraId="41A0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002" w:type="pct"/>
            <w:gridSpan w:val="2"/>
            <w:vAlign w:val="center"/>
          </w:tcPr>
          <w:p w14:paraId="48E2A1E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tc>
        <w:tc>
          <w:tcPr>
            <w:tcW w:w="3997" w:type="pct"/>
            <w:shd w:val="clear" w:color="000000" w:fill="FFFFFF"/>
            <w:vAlign w:val="center"/>
          </w:tcPr>
          <w:p w14:paraId="29BB5AD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签订合同时提供五年原厂商质保服务承诺函及授权书。</w:t>
            </w:r>
          </w:p>
        </w:tc>
      </w:tr>
      <w:tr w14:paraId="7980D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pct"/>
            <w:gridSpan w:val="2"/>
            <w:vAlign w:val="center"/>
          </w:tcPr>
          <w:p w14:paraId="2803A7B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产品测试</w:t>
            </w:r>
          </w:p>
        </w:tc>
        <w:tc>
          <w:tcPr>
            <w:tcW w:w="3997" w:type="pct"/>
            <w:shd w:val="clear" w:color="000000" w:fill="FFFFFF"/>
            <w:vAlign w:val="center"/>
          </w:tcPr>
          <w:p w14:paraId="3BD66F8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it-IT"/>
              </w:rPr>
              <w:t>为防止投标方虚假应答技术指标，从而造成用户在实际使用设备过程中无法实现所需的功能，采购方保留产品功能测试的权利，在指定的时间不能提供测试样机进行测试或测试中发现虚假应标的行为，</w:t>
            </w:r>
            <w:r>
              <w:rPr>
                <w:rFonts w:hint="eastAsia"/>
                <w:color w:val="auto"/>
                <w:highlight w:val="none"/>
                <w:lang w:val="en-US" w:eastAsia="zh-CN"/>
              </w:rPr>
              <w:t>采</w:t>
            </w:r>
            <w:r>
              <w:rPr>
                <w:rFonts w:hint="eastAsia" w:ascii="宋体" w:hAnsi="宋体" w:eastAsia="宋体" w:cs="宋体"/>
                <w:color w:val="auto"/>
                <w:kern w:val="0"/>
                <w:sz w:val="24"/>
                <w:szCs w:val="24"/>
                <w:highlight w:val="none"/>
                <w:lang w:val="en-US" w:eastAsia="zh-CN"/>
              </w:rPr>
              <w:t>购人有权要求中标方退回预付款，同时终止合同，并追求其责任</w:t>
            </w:r>
            <w:r>
              <w:rPr>
                <w:rFonts w:hint="eastAsia" w:ascii="宋体" w:hAnsi="宋体" w:eastAsia="宋体" w:cs="宋体"/>
                <w:color w:val="auto"/>
                <w:kern w:val="0"/>
                <w:sz w:val="24"/>
                <w:szCs w:val="24"/>
                <w:highlight w:val="none"/>
                <w:lang w:val="it-IT"/>
              </w:rPr>
              <w:t>。</w:t>
            </w:r>
          </w:p>
        </w:tc>
      </w:tr>
    </w:tbl>
    <w:p w14:paraId="42EE0C23">
      <w:pPr>
        <w:keepNext/>
        <w:keepLines/>
        <w:numPr>
          <w:ilvl w:val="0"/>
          <w:numId w:val="0"/>
        </w:numPr>
        <w:ind w:left="127" w:leftChars="0"/>
        <w:outlineLvl w:val="3"/>
        <w:rPr>
          <w:rFonts w:hint="eastAsia" w:ascii="宋体" w:hAnsi="宋体" w:cs="宋体"/>
          <w:b/>
          <w:bCs/>
          <w:color w:val="auto"/>
          <w:sz w:val="24"/>
          <w:highlight w:val="none"/>
          <w:lang w:val="en-US" w:eastAsia="zh-CN"/>
        </w:rPr>
      </w:pPr>
    </w:p>
    <w:p w14:paraId="4E2D2EC7">
      <w:pPr>
        <w:keepNext/>
        <w:keepLines/>
        <w:numPr>
          <w:ilvl w:val="3"/>
          <w:numId w:val="11"/>
        </w:numPr>
        <w:ind w:left="567" w:leftChars="0" w:hanging="440" w:firstLineChars="0"/>
        <w:outlineLvl w:val="3"/>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核心交换机</w:t>
      </w:r>
      <w:r>
        <w:rPr>
          <w:rFonts w:hint="eastAsia" w:ascii="宋体" w:hAnsi="宋体" w:cs="宋体"/>
          <w:b/>
          <w:bCs/>
          <w:color w:val="auto"/>
          <w:sz w:val="24"/>
          <w:highlight w:val="none"/>
          <w:lang w:val="en-US" w:eastAsia="zh-CN"/>
        </w:rPr>
        <w:br w:type="textWrapping"/>
      </w:r>
    </w:p>
    <w:tbl>
      <w:tblPr>
        <w:tblStyle w:val="47"/>
        <w:tblW w:w="54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982"/>
        <w:gridCol w:w="7834"/>
      </w:tblGrid>
      <w:tr w14:paraId="2736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pct"/>
            <w:gridSpan w:val="2"/>
            <w:shd w:val="clear" w:color="000000" w:fill="EEECE1" w:themeFill="background2"/>
            <w:vAlign w:val="center"/>
          </w:tcPr>
          <w:p w14:paraId="6452D76E">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技术指标</w:t>
            </w:r>
          </w:p>
        </w:tc>
        <w:tc>
          <w:tcPr>
            <w:tcW w:w="3998" w:type="pct"/>
            <w:shd w:val="clear" w:color="000000" w:fill="EEECE1" w:themeFill="background2"/>
            <w:vAlign w:val="center"/>
          </w:tcPr>
          <w:p w14:paraId="653E3C6D">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指标要求</w:t>
            </w:r>
          </w:p>
        </w:tc>
      </w:tr>
      <w:tr w14:paraId="5B341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shd w:val="clear" w:color="000000" w:fill="FFFFFF"/>
            <w:vAlign w:val="center"/>
          </w:tcPr>
          <w:p w14:paraId="5658899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技术性能</w:t>
            </w:r>
          </w:p>
        </w:tc>
        <w:tc>
          <w:tcPr>
            <w:tcW w:w="501" w:type="pct"/>
            <w:shd w:val="clear" w:color="000000" w:fill="FFFFFF"/>
            <w:vAlign w:val="center"/>
          </w:tcPr>
          <w:p w14:paraId="1C5A8CF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硬件规格</w:t>
            </w:r>
          </w:p>
        </w:tc>
        <w:tc>
          <w:tcPr>
            <w:tcW w:w="3998" w:type="pct"/>
            <w:shd w:val="clear" w:color="000000" w:fill="FFFFFF"/>
            <w:vAlign w:val="center"/>
          </w:tcPr>
          <w:p w14:paraId="7C85322C">
            <w:pPr>
              <w:keepNext w:val="0"/>
              <w:keepLines w:val="0"/>
              <w:widowControl/>
              <w:numPr>
                <w:ilvl w:val="0"/>
                <w:numId w:val="12"/>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一体化总装机箱</w:t>
            </w:r>
            <w:r>
              <w:rPr>
                <w:rFonts w:hint="eastAsia" w:ascii="宋体" w:hAnsi="宋体" w:cs="宋体"/>
                <w:color w:val="auto"/>
                <w:kern w:val="0"/>
                <w:sz w:val="24"/>
                <w:highlight w:val="none"/>
                <w:lang w:eastAsia="zh-CN" w:bidi="ar"/>
              </w:rPr>
              <w:t>；</w:t>
            </w:r>
          </w:p>
          <w:p w14:paraId="61E82CF9">
            <w:pPr>
              <w:keepNext w:val="0"/>
              <w:keepLines w:val="0"/>
              <w:widowControl/>
              <w:numPr>
                <w:ilvl w:val="0"/>
                <w:numId w:val="12"/>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主控板*2,交流电源*2，48千兆光口*1,48千兆电口*1</w:t>
            </w:r>
            <w:r>
              <w:rPr>
                <w:rFonts w:hint="eastAsia" w:ascii="宋体" w:hAnsi="宋体" w:cs="宋体"/>
                <w:color w:val="auto"/>
                <w:kern w:val="0"/>
                <w:sz w:val="24"/>
                <w:highlight w:val="none"/>
                <w:lang w:eastAsia="zh-CN" w:bidi="ar"/>
              </w:rPr>
              <w:t>；</w:t>
            </w:r>
          </w:p>
          <w:p w14:paraId="23AAD09E">
            <w:pPr>
              <w:keepNext w:val="0"/>
              <w:keepLines w:val="0"/>
              <w:widowControl/>
              <w:numPr>
                <w:ilvl w:val="0"/>
                <w:numId w:val="12"/>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交换容量：</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76.8/336Tbps，包转发率：</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57600Mpps</w:t>
            </w:r>
            <w:r>
              <w:rPr>
                <w:rFonts w:hint="eastAsia" w:ascii="宋体" w:hAnsi="宋体" w:cs="宋体"/>
                <w:color w:val="auto"/>
                <w:kern w:val="0"/>
                <w:sz w:val="24"/>
                <w:highlight w:val="none"/>
                <w:lang w:eastAsia="zh-CN" w:bidi="ar"/>
              </w:rPr>
              <w:t>；</w:t>
            </w:r>
          </w:p>
          <w:p w14:paraId="037E39CE">
            <w:pPr>
              <w:keepNext w:val="0"/>
              <w:keepLines w:val="0"/>
              <w:widowControl/>
              <w:numPr>
                <w:ilvl w:val="0"/>
                <w:numId w:val="12"/>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业务槽位数≥6，支持模块化风扇框，可热插拔，独立风扇框数≥2,支持颗粒化电源，电源槽位数：4，支持独立的硬件监控板卡, 控制平面和监控平面物理槽位分离，支持 1+1 备份，能集中监控风扇、电源等模块，能调节能耗</w:t>
            </w:r>
            <w:r>
              <w:rPr>
                <w:rFonts w:hint="eastAsia" w:ascii="宋体" w:hAnsi="宋体" w:cs="宋体"/>
                <w:color w:val="auto"/>
                <w:kern w:val="0"/>
                <w:sz w:val="24"/>
                <w:highlight w:val="none"/>
                <w:lang w:eastAsia="zh-CN" w:bidi="ar"/>
              </w:rPr>
              <w:t>；</w:t>
            </w:r>
          </w:p>
          <w:p w14:paraId="351DBD0F">
            <w:pPr>
              <w:keepNext w:val="0"/>
              <w:keepLines w:val="0"/>
              <w:widowControl/>
              <w:numPr>
                <w:ilvl w:val="0"/>
                <w:numId w:val="12"/>
              </w:numPr>
              <w:suppressLineNumbers w:val="0"/>
              <w:spacing w:before="0" w:beforeAutospacing="0" w:after="0" w:afterAutospacing="0"/>
              <w:ind w:left="425" w:leftChars="0" w:right="0" w:hanging="42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含</w:t>
            </w:r>
            <w:r>
              <w:rPr>
                <w:rFonts w:hint="eastAsia" w:ascii="宋体" w:hAnsi="宋体" w:cs="宋体"/>
                <w:color w:val="auto"/>
                <w:kern w:val="0"/>
                <w:sz w:val="24"/>
                <w:highlight w:val="none"/>
                <w:lang w:val="en-US" w:eastAsia="zh-CN" w:bidi="ar"/>
              </w:rPr>
              <w:t>原厂</w:t>
            </w:r>
            <w:r>
              <w:rPr>
                <w:rFonts w:hint="eastAsia" w:ascii="宋体" w:hAnsi="宋体" w:cs="宋体"/>
                <w:color w:val="auto"/>
                <w:kern w:val="0"/>
                <w:sz w:val="24"/>
                <w:highlight w:val="none"/>
                <w:lang w:bidi="ar"/>
              </w:rPr>
              <w:t>15对万兆多模光模块；</w:t>
            </w:r>
          </w:p>
          <w:p w14:paraId="07CB7F29">
            <w:pPr>
              <w:keepNext w:val="0"/>
              <w:keepLines w:val="0"/>
              <w:widowControl/>
              <w:numPr>
                <w:ilvl w:val="0"/>
                <w:numId w:val="12"/>
              </w:numPr>
              <w:suppressLineNumbers w:val="0"/>
              <w:spacing w:before="0" w:beforeAutospacing="0" w:after="0" w:afterAutospacing="0"/>
              <w:ind w:left="425" w:leftChars="0" w:right="0" w:hanging="42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含5</w:t>
            </w:r>
            <w:r>
              <w:rPr>
                <w:rFonts w:hint="eastAsia" w:ascii="宋体" w:hAnsi="宋体" w:cs="宋体"/>
                <w:color w:val="auto"/>
                <w:kern w:val="0"/>
                <w:sz w:val="24"/>
                <w:highlight w:val="none"/>
                <w:lang w:val="en-US" w:eastAsia="zh-CN" w:bidi="ar"/>
              </w:rPr>
              <w:t>年</w:t>
            </w:r>
            <w:r>
              <w:rPr>
                <w:rFonts w:hint="eastAsia" w:ascii="宋体" w:hAnsi="宋体" w:cs="宋体"/>
                <w:color w:val="auto"/>
                <w:kern w:val="0"/>
                <w:sz w:val="24"/>
                <w:highlight w:val="none"/>
                <w:lang w:bidi="ar"/>
              </w:rPr>
              <w:t>质保服务</w:t>
            </w:r>
          </w:p>
        </w:tc>
      </w:tr>
    </w:tbl>
    <w:p w14:paraId="3EB66803">
      <w:pPr>
        <w:keepNext/>
        <w:keepLines/>
        <w:numPr>
          <w:ilvl w:val="0"/>
          <w:numId w:val="0"/>
        </w:numPr>
        <w:ind w:left="127" w:leftChars="0"/>
        <w:outlineLvl w:val="3"/>
        <w:rPr>
          <w:rFonts w:hint="eastAsia" w:ascii="宋体" w:hAnsi="宋体" w:cs="宋体"/>
          <w:b/>
          <w:bCs/>
          <w:color w:val="auto"/>
          <w:sz w:val="24"/>
          <w:highlight w:val="none"/>
          <w:lang w:val="en-US" w:eastAsia="zh-CN"/>
        </w:rPr>
      </w:pPr>
    </w:p>
    <w:p w14:paraId="75C3D284">
      <w:pPr>
        <w:keepNext/>
        <w:keepLines/>
        <w:numPr>
          <w:ilvl w:val="3"/>
          <w:numId w:val="11"/>
        </w:numPr>
        <w:ind w:left="567" w:leftChars="0" w:hanging="440" w:firstLineChars="0"/>
        <w:outlineLvl w:val="3"/>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汇聚交换机</w:t>
      </w:r>
      <w:r>
        <w:rPr>
          <w:rFonts w:hint="eastAsia" w:ascii="宋体" w:hAnsi="宋体" w:cs="宋体"/>
          <w:b/>
          <w:bCs/>
          <w:color w:val="auto"/>
          <w:sz w:val="24"/>
          <w:highlight w:val="none"/>
          <w:lang w:val="en-US" w:eastAsia="zh-CN"/>
        </w:rPr>
        <w:br w:type="textWrapping"/>
      </w:r>
    </w:p>
    <w:tbl>
      <w:tblPr>
        <w:tblStyle w:val="47"/>
        <w:tblW w:w="54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982"/>
        <w:gridCol w:w="7834"/>
      </w:tblGrid>
      <w:tr w14:paraId="61BFF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pct"/>
            <w:gridSpan w:val="2"/>
            <w:shd w:val="clear" w:color="000000" w:fill="EEECE1" w:themeFill="background2"/>
            <w:vAlign w:val="center"/>
          </w:tcPr>
          <w:p w14:paraId="304DB476">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技术指标</w:t>
            </w:r>
          </w:p>
        </w:tc>
        <w:tc>
          <w:tcPr>
            <w:tcW w:w="3998" w:type="pct"/>
            <w:shd w:val="clear" w:color="000000" w:fill="EEECE1" w:themeFill="background2"/>
            <w:vAlign w:val="center"/>
          </w:tcPr>
          <w:p w14:paraId="01D60645">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指标要求</w:t>
            </w:r>
          </w:p>
        </w:tc>
      </w:tr>
      <w:tr w14:paraId="00383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shd w:val="clear" w:color="000000" w:fill="FFFFFF"/>
            <w:vAlign w:val="center"/>
          </w:tcPr>
          <w:p w14:paraId="4F27D0E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技术性能</w:t>
            </w:r>
          </w:p>
        </w:tc>
        <w:tc>
          <w:tcPr>
            <w:tcW w:w="501" w:type="pct"/>
            <w:shd w:val="clear" w:color="000000" w:fill="FFFFFF"/>
            <w:vAlign w:val="center"/>
          </w:tcPr>
          <w:p w14:paraId="6473BD8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硬件规格</w:t>
            </w:r>
          </w:p>
        </w:tc>
        <w:tc>
          <w:tcPr>
            <w:tcW w:w="3998" w:type="pct"/>
            <w:shd w:val="clear" w:color="000000" w:fill="FFFFFF"/>
            <w:vAlign w:val="center"/>
          </w:tcPr>
          <w:p w14:paraId="5FB1FDD8">
            <w:pPr>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包转发率：</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207Mpps</w:t>
            </w:r>
            <w:r>
              <w:rPr>
                <w:rFonts w:hint="eastAsia" w:ascii="宋体" w:hAnsi="宋体" w:cs="宋体"/>
                <w:color w:val="auto"/>
                <w:kern w:val="0"/>
                <w:sz w:val="24"/>
                <w:highlight w:val="none"/>
                <w:lang w:eastAsia="zh-CN" w:bidi="ar"/>
              </w:rPr>
              <w:t>；</w:t>
            </w:r>
          </w:p>
          <w:p w14:paraId="57D12FE4">
            <w:pPr>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交换容量：</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672Gbps/6.72Tbps</w:t>
            </w:r>
            <w:r>
              <w:rPr>
                <w:rFonts w:hint="eastAsia" w:ascii="宋体" w:hAnsi="宋体" w:cs="宋体"/>
                <w:color w:val="auto"/>
                <w:kern w:val="0"/>
                <w:sz w:val="24"/>
                <w:highlight w:val="none"/>
                <w:lang w:eastAsia="zh-CN" w:bidi="ar"/>
              </w:rPr>
              <w:t>；</w:t>
            </w:r>
          </w:p>
          <w:p w14:paraId="3CA7B68D">
            <w:pPr>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固定端口：48 个 10/100/1000BASE-T 以太网端口，4 个万兆 SFP+，2 个专用堆叠口</w:t>
            </w:r>
            <w:r>
              <w:rPr>
                <w:rFonts w:hint="eastAsia" w:ascii="宋体" w:hAnsi="宋体" w:cs="宋体"/>
                <w:color w:val="auto"/>
                <w:kern w:val="0"/>
                <w:sz w:val="24"/>
                <w:highlight w:val="none"/>
                <w:lang w:eastAsia="zh-CN" w:bidi="ar"/>
              </w:rPr>
              <w:t>；</w:t>
            </w:r>
          </w:p>
          <w:p w14:paraId="4E3B1D7C">
            <w:pPr>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电源模块支持1+1备份</w:t>
            </w:r>
            <w:r>
              <w:rPr>
                <w:rFonts w:hint="eastAsia" w:ascii="宋体" w:hAnsi="宋体" w:cs="宋体"/>
                <w:color w:val="auto"/>
                <w:kern w:val="0"/>
                <w:sz w:val="24"/>
                <w:highlight w:val="none"/>
                <w:lang w:eastAsia="zh-CN" w:bidi="ar"/>
              </w:rPr>
              <w:t>；</w:t>
            </w:r>
          </w:p>
          <w:p w14:paraId="2BE94181">
            <w:pPr>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 xml:space="preserve">支持静态路由、RIPv1/2、RIPng、OSPF、OSPFv3、ECMP、ISIS、ISISv6、BGP、BGP4+ </w:t>
            </w:r>
            <w:r>
              <w:rPr>
                <w:rFonts w:hint="eastAsia" w:ascii="宋体" w:hAnsi="宋体" w:cs="宋体"/>
                <w:color w:val="auto"/>
                <w:kern w:val="0"/>
                <w:sz w:val="24"/>
                <w:highlight w:val="none"/>
                <w:lang w:eastAsia="zh-CN" w:bidi="ar"/>
              </w:rPr>
              <w:t>；</w:t>
            </w:r>
          </w:p>
          <w:p w14:paraId="15EC6D6C">
            <w:pPr>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bidi="ar"/>
              </w:rPr>
              <w:t>双电源</w:t>
            </w:r>
            <w:r>
              <w:rPr>
                <w:rFonts w:hint="eastAsia" w:ascii="宋体" w:hAnsi="宋体" w:cs="宋体"/>
                <w:color w:val="auto"/>
                <w:kern w:val="0"/>
                <w:sz w:val="24"/>
                <w:highlight w:val="none"/>
                <w:lang w:eastAsia="zh-CN" w:bidi="ar"/>
              </w:rPr>
              <w:t>；</w:t>
            </w:r>
          </w:p>
          <w:p w14:paraId="3A65DB32">
            <w:pPr>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bidi="ar"/>
              </w:rPr>
              <w:t>含5</w:t>
            </w:r>
            <w:r>
              <w:rPr>
                <w:rFonts w:hint="eastAsia" w:ascii="宋体" w:hAnsi="宋体" w:cs="宋体"/>
                <w:color w:val="auto"/>
                <w:kern w:val="0"/>
                <w:sz w:val="24"/>
                <w:highlight w:val="none"/>
                <w:lang w:val="en-US" w:eastAsia="zh-CN" w:bidi="ar"/>
              </w:rPr>
              <w:t>年</w:t>
            </w:r>
            <w:r>
              <w:rPr>
                <w:rFonts w:hint="eastAsia" w:ascii="宋体" w:hAnsi="宋体" w:cs="宋体"/>
                <w:color w:val="auto"/>
                <w:kern w:val="0"/>
                <w:sz w:val="24"/>
                <w:highlight w:val="none"/>
                <w:lang w:bidi="ar"/>
              </w:rPr>
              <w:t>质保服务</w:t>
            </w:r>
            <w:r>
              <w:rPr>
                <w:rFonts w:hint="eastAsia" w:ascii="宋体" w:hAnsi="宋体" w:cs="宋体"/>
                <w:color w:val="auto"/>
                <w:kern w:val="0"/>
                <w:sz w:val="24"/>
                <w:highlight w:val="none"/>
                <w:lang w:eastAsia="zh-CN" w:bidi="ar"/>
              </w:rPr>
              <w:t>；</w:t>
            </w:r>
          </w:p>
        </w:tc>
      </w:tr>
    </w:tbl>
    <w:p w14:paraId="37049C03">
      <w:pPr>
        <w:keepNext/>
        <w:keepLines/>
        <w:numPr>
          <w:ilvl w:val="0"/>
          <w:numId w:val="0"/>
        </w:numPr>
        <w:ind w:left="127" w:leftChars="0"/>
        <w:outlineLvl w:val="3"/>
        <w:rPr>
          <w:rFonts w:hint="eastAsia" w:ascii="宋体" w:hAnsi="宋体" w:cs="宋体"/>
          <w:b/>
          <w:bCs/>
          <w:color w:val="auto"/>
          <w:sz w:val="24"/>
          <w:highlight w:val="none"/>
          <w:lang w:val="en-US" w:eastAsia="zh-CN"/>
        </w:rPr>
      </w:pPr>
    </w:p>
    <w:p w14:paraId="7BE2C6B0">
      <w:pPr>
        <w:keepNext/>
        <w:keepLines/>
        <w:numPr>
          <w:ilvl w:val="3"/>
          <w:numId w:val="11"/>
        </w:numPr>
        <w:ind w:left="567" w:leftChars="0" w:hanging="440" w:firstLineChars="0"/>
        <w:outlineLvl w:val="3"/>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网络机柜</w:t>
      </w:r>
    </w:p>
    <w:tbl>
      <w:tblPr>
        <w:tblStyle w:val="47"/>
        <w:tblW w:w="54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982"/>
        <w:gridCol w:w="7834"/>
      </w:tblGrid>
      <w:tr w14:paraId="47DA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pct"/>
            <w:gridSpan w:val="2"/>
            <w:shd w:val="clear" w:color="000000" w:fill="EEECE1" w:themeFill="background2"/>
            <w:vAlign w:val="center"/>
          </w:tcPr>
          <w:p w14:paraId="35B03055">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技术指标</w:t>
            </w:r>
          </w:p>
        </w:tc>
        <w:tc>
          <w:tcPr>
            <w:tcW w:w="3998" w:type="pct"/>
            <w:shd w:val="clear" w:color="000000" w:fill="EEECE1" w:themeFill="background2"/>
            <w:vAlign w:val="center"/>
          </w:tcPr>
          <w:p w14:paraId="04CAA326">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指标要求</w:t>
            </w:r>
          </w:p>
        </w:tc>
      </w:tr>
      <w:tr w14:paraId="5F801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shd w:val="clear" w:color="000000" w:fill="FFFFFF"/>
            <w:vAlign w:val="center"/>
          </w:tcPr>
          <w:p w14:paraId="626D79E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技术性能</w:t>
            </w:r>
          </w:p>
        </w:tc>
        <w:tc>
          <w:tcPr>
            <w:tcW w:w="501" w:type="pct"/>
            <w:shd w:val="clear" w:color="000000" w:fill="FFFFFF"/>
            <w:vAlign w:val="center"/>
          </w:tcPr>
          <w:p w14:paraId="5C96A9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硬件规格</w:t>
            </w:r>
          </w:p>
        </w:tc>
        <w:tc>
          <w:tcPr>
            <w:tcW w:w="3998" w:type="pct"/>
            <w:shd w:val="clear" w:color="000000" w:fill="FFFFFF"/>
            <w:vAlign w:val="center"/>
          </w:tcPr>
          <w:p w14:paraId="649E82DA">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尺寸</w:t>
            </w:r>
            <w:r>
              <w:rPr>
                <w:rFonts w:hint="eastAsia" w:ascii="宋体" w:hAnsi="宋体" w:cs="宋体"/>
                <w:color w:val="auto"/>
                <w:kern w:val="0"/>
                <w:sz w:val="24"/>
                <w:highlight w:val="none"/>
                <w:lang w:val="en-US" w:eastAsia="zh-CN" w:bidi="ar"/>
              </w:rPr>
              <w:t>：≥</w:t>
            </w:r>
            <w:r>
              <w:rPr>
                <w:rFonts w:hint="eastAsia" w:ascii="宋体" w:hAnsi="宋体" w:eastAsia="宋体" w:cs="宋体"/>
                <w:color w:val="auto"/>
                <w:kern w:val="0"/>
                <w:sz w:val="24"/>
                <w:highlight w:val="none"/>
                <w:lang w:val="en-US" w:eastAsia="zh-CN" w:bidi="ar"/>
              </w:rPr>
              <w:t>600*1200*2000</w:t>
            </w:r>
            <w:r>
              <w:rPr>
                <w:rFonts w:hint="eastAsia" w:ascii="宋体" w:hAnsi="宋体" w:cs="宋体"/>
                <w:color w:val="auto"/>
                <w:kern w:val="0"/>
                <w:sz w:val="24"/>
                <w:highlight w:val="none"/>
                <w:lang w:val="en-US" w:eastAsia="zh-CN" w:bidi="ar"/>
              </w:rPr>
              <w:t>mm</w:t>
            </w:r>
            <w:r>
              <w:rPr>
                <w:rFonts w:hint="eastAsia"/>
                <w:color w:val="auto"/>
                <w:highlight w:val="none"/>
                <w:lang w:eastAsia="zh-CN"/>
              </w:rPr>
              <w:t>；</w:t>
            </w:r>
          </w:p>
          <w:p w14:paraId="076EB630">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高密度平板通风孔单开前门及双开后门，扁六角通风孔设计，通风率</w:t>
            </w:r>
            <w:r>
              <w:rPr>
                <w:rFonts w:hint="eastAsia" w:ascii="宋体" w:hAnsi="宋体" w:cs="宋体"/>
                <w:color w:val="auto"/>
                <w:kern w:val="0"/>
                <w:sz w:val="24"/>
                <w:highlight w:val="none"/>
                <w:lang w:val="en-US" w:eastAsia="zh-CN" w:bidi="ar"/>
              </w:rPr>
              <w:t>至少</w:t>
            </w:r>
            <w:r>
              <w:rPr>
                <w:rFonts w:hint="eastAsia" w:ascii="宋体" w:hAnsi="宋体" w:eastAsia="宋体" w:cs="宋体"/>
                <w:color w:val="auto"/>
                <w:kern w:val="0"/>
                <w:sz w:val="24"/>
                <w:highlight w:val="none"/>
                <w:lang w:val="en-US" w:eastAsia="zh-CN" w:bidi="ar"/>
              </w:rPr>
              <w:t xml:space="preserve">达80%，具有最佳的自然空气流量，特别适合于装入服务 </w:t>
            </w:r>
            <w:r>
              <w:rPr>
                <w:rFonts w:hint="eastAsia" w:ascii="宋体" w:hAnsi="宋体" w:cs="宋体"/>
                <w:color w:val="auto"/>
                <w:kern w:val="0"/>
                <w:sz w:val="24"/>
                <w:highlight w:val="none"/>
                <w:lang w:val="en-US" w:eastAsia="zh-CN" w:bidi="ar"/>
              </w:rPr>
              <w:t>；</w:t>
            </w:r>
          </w:p>
          <w:p w14:paraId="137F82C3">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 xml:space="preserve">具有最佳的自然空气流量，特别适合于装入服务器等有源设备，有效解决服务器散热，机械防护，外部观察机器运行状态等问题 </w:t>
            </w:r>
            <w:r>
              <w:rPr>
                <w:rFonts w:hint="eastAsia" w:ascii="宋体" w:hAnsi="宋体" w:cs="宋体"/>
                <w:color w:val="auto"/>
                <w:kern w:val="0"/>
                <w:sz w:val="24"/>
                <w:highlight w:val="none"/>
                <w:lang w:val="en-US" w:eastAsia="zh-CN" w:bidi="ar"/>
              </w:rPr>
              <w:t>；</w:t>
            </w:r>
          </w:p>
          <w:p w14:paraId="1E059147">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 xml:space="preserve">前后焊接框架拼装机柜，静载承重可达1300KG </w:t>
            </w:r>
            <w:r>
              <w:rPr>
                <w:rFonts w:hint="eastAsia" w:ascii="宋体" w:hAnsi="宋体" w:cs="宋体"/>
                <w:color w:val="auto"/>
                <w:kern w:val="0"/>
                <w:sz w:val="24"/>
                <w:highlight w:val="none"/>
                <w:lang w:val="en-US" w:eastAsia="zh-CN" w:bidi="ar"/>
              </w:rPr>
              <w:t>；</w:t>
            </w:r>
          </w:p>
          <w:p w14:paraId="62FA0CF1">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 xml:space="preserve">顶部前后、底部前后左右采用敲落孔设计，进线位置灵活 </w:t>
            </w:r>
            <w:r>
              <w:rPr>
                <w:rFonts w:hint="eastAsia" w:ascii="宋体" w:hAnsi="宋体" w:cs="宋体"/>
                <w:color w:val="auto"/>
                <w:kern w:val="0"/>
                <w:sz w:val="24"/>
                <w:highlight w:val="none"/>
                <w:lang w:val="en-US" w:eastAsia="zh-CN" w:bidi="ar"/>
              </w:rPr>
              <w:t>；</w:t>
            </w:r>
          </w:p>
          <w:p w14:paraId="53E7968C">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 xml:space="preserve">快开侧板,开启方便灵活 </w:t>
            </w:r>
            <w:r>
              <w:rPr>
                <w:rFonts w:hint="eastAsia" w:ascii="宋体" w:hAnsi="宋体" w:cs="宋体"/>
                <w:color w:val="auto"/>
                <w:kern w:val="0"/>
                <w:sz w:val="24"/>
                <w:highlight w:val="none"/>
                <w:lang w:val="en-US" w:eastAsia="zh-CN" w:bidi="ar"/>
              </w:rPr>
              <w:t>；</w:t>
            </w:r>
          </w:p>
          <w:p w14:paraId="5D76AE8F">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角规镀锌，主要部件预置接地铜柱，可快速形成机柜接地系统</w:t>
            </w:r>
            <w:r>
              <w:rPr>
                <w:rFonts w:hint="eastAsia" w:ascii="宋体" w:hAnsi="宋体" w:cs="宋体"/>
                <w:color w:val="auto"/>
                <w:kern w:val="0"/>
                <w:sz w:val="24"/>
                <w:highlight w:val="none"/>
                <w:lang w:val="en-US" w:eastAsia="zh-CN" w:bidi="ar"/>
              </w:rPr>
              <w:t>；</w:t>
            </w:r>
            <w:r>
              <w:rPr>
                <w:rFonts w:hint="eastAsia" w:ascii="宋体" w:hAnsi="宋体" w:eastAsia="宋体" w:cs="宋体"/>
                <w:color w:val="auto"/>
                <w:kern w:val="0"/>
                <w:sz w:val="24"/>
                <w:highlight w:val="none"/>
                <w:lang w:val="en-US" w:eastAsia="zh-CN" w:bidi="ar"/>
              </w:rPr>
              <w:t xml:space="preserve"> </w:t>
            </w:r>
          </w:p>
          <w:p w14:paraId="7FCBB06F">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 xml:space="preserve">加宽托盘设计，兼容所有主流服务器安装 </w:t>
            </w:r>
            <w:r>
              <w:rPr>
                <w:rFonts w:hint="eastAsia" w:ascii="宋体" w:hAnsi="宋体" w:cs="宋体"/>
                <w:color w:val="auto"/>
                <w:kern w:val="0"/>
                <w:sz w:val="24"/>
                <w:highlight w:val="none"/>
                <w:lang w:val="en-US" w:eastAsia="zh-CN" w:bidi="ar"/>
              </w:rPr>
              <w:t>；</w:t>
            </w:r>
          </w:p>
          <w:p w14:paraId="1378015D">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可方便安装竖向PDU电源分配单元和走线板，800宽机柜可加装2000MM深超大容量带盖金属线槽</w:t>
            </w:r>
            <w:r>
              <w:rPr>
                <w:rFonts w:hint="eastAsia" w:ascii="宋体" w:hAnsi="宋体" w:cs="宋体"/>
                <w:color w:val="auto"/>
                <w:kern w:val="0"/>
                <w:sz w:val="24"/>
                <w:highlight w:val="none"/>
                <w:lang w:val="en-US" w:eastAsia="zh-CN" w:bidi="ar"/>
              </w:rPr>
              <w:t>；</w:t>
            </w:r>
            <w:r>
              <w:rPr>
                <w:rFonts w:hint="eastAsia" w:ascii="宋体" w:hAnsi="宋体" w:eastAsia="宋体" w:cs="宋体"/>
                <w:color w:val="auto"/>
                <w:kern w:val="0"/>
                <w:sz w:val="24"/>
                <w:highlight w:val="none"/>
                <w:lang w:val="en-US" w:eastAsia="zh-CN" w:bidi="ar"/>
              </w:rPr>
              <w:t xml:space="preserve"> </w:t>
            </w:r>
          </w:p>
          <w:p w14:paraId="7EEBB6EA">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符合标准QNSI/EIQ RS-310-D,IEC297-2,DIN41491:PART1,DIN41491:PART7,GB/T3047.2-97ZN；</w:t>
            </w:r>
            <w:r>
              <w:rPr>
                <w:rFonts w:hint="eastAsia" w:ascii="宋体" w:hAnsi="宋体" w:cs="宋体"/>
                <w:color w:val="auto"/>
                <w:kern w:val="0"/>
                <w:sz w:val="24"/>
                <w:highlight w:val="none"/>
                <w:lang w:val="en-US" w:eastAsia="zh-CN" w:bidi="ar"/>
              </w:rPr>
              <w:br w:type="textWrapping"/>
            </w:r>
            <w:r>
              <w:rPr>
                <w:rFonts w:hint="eastAsia" w:ascii="宋体" w:hAnsi="宋体" w:cs="宋体"/>
                <w:color w:val="auto"/>
                <w:kern w:val="0"/>
                <w:sz w:val="24"/>
                <w:highlight w:val="none"/>
                <w:lang w:val="en-US" w:eastAsia="zh-CN" w:bidi="ar"/>
              </w:rPr>
              <w:t>含同品牌PDU*2（左右布置）；额定值：32A250VAC;输出：12位10A、4位16A国标三孔插座;带开关，防雷，接线盒，电源指示灯;</w:t>
            </w:r>
          </w:p>
          <w:p w14:paraId="67D10869">
            <w:pPr>
              <w:keepNext w:val="0"/>
              <w:keepLines w:val="0"/>
              <w:widowControl/>
              <w:numPr>
                <w:ilvl w:val="0"/>
                <w:numId w:val="14"/>
              </w:numPr>
              <w:suppressLineNumbers w:val="0"/>
              <w:spacing w:before="0" w:beforeAutospacing="0" w:after="0" w:afterAutospacing="0"/>
              <w:ind w:left="425" w:leftChars="0" w:right="0" w:hanging="425"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含</w:t>
            </w:r>
            <w:r>
              <w:rPr>
                <w:rFonts w:hint="eastAsia" w:ascii="宋体" w:hAnsi="宋体" w:cs="宋体"/>
                <w:color w:val="auto"/>
                <w:kern w:val="0"/>
                <w:sz w:val="24"/>
                <w:highlight w:val="none"/>
                <w:lang w:val="en-US" w:eastAsia="zh-CN" w:bidi="ar"/>
              </w:rPr>
              <w:t>5年</w:t>
            </w:r>
            <w:r>
              <w:rPr>
                <w:rFonts w:hint="eastAsia" w:ascii="宋体" w:hAnsi="宋体" w:cs="宋体"/>
                <w:color w:val="auto"/>
                <w:kern w:val="0"/>
                <w:sz w:val="24"/>
                <w:highlight w:val="none"/>
                <w:lang w:bidi="ar"/>
              </w:rPr>
              <w:t>质保服务</w:t>
            </w:r>
          </w:p>
        </w:tc>
      </w:tr>
    </w:tbl>
    <w:p w14:paraId="69BF76E1">
      <w:pPr>
        <w:keepNext/>
        <w:keepLines/>
        <w:widowControl w:val="0"/>
        <w:numPr>
          <w:ilvl w:val="1"/>
          <w:numId w:val="0"/>
        </w:numPr>
        <w:spacing w:before="0" w:after="0" w:line="240" w:lineRule="auto"/>
        <w:jc w:val="both"/>
        <w:outlineLvl w:val="1"/>
        <w:rPr>
          <w:rFonts w:hint="eastAsia" w:ascii="宋体" w:hAnsi="宋体" w:eastAsia="宋体" w:cs="宋体"/>
          <w:b/>
          <w:bCs/>
          <w:color w:val="auto"/>
          <w:kern w:val="2"/>
          <w:sz w:val="24"/>
          <w:szCs w:val="24"/>
          <w:highlight w:val="none"/>
          <w:lang w:val="en-US" w:eastAsia="zh-CN" w:bidi="ar-SA"/>
        </w:rPr>
      </w:pPr>
    </w:p>
    <w:p w14:paraId="261F2F40">
      <w:pPr>
        <w:keepNext/>
        <w:keepLines/>
        <w:widowControl w:val="0"/>
        <w:numPr>
          <w:ilvl w:val="1"/>
          <w:numId w:val="0"/>
        </w:numPr>
        <w:spacing w:before="0" w:after="0" w:line="240" w:lineRule="auto"/>
        <w:jc w:val="both"/>
        <w:outlineLvl w:val="1"/>
        <w:rPr>
          <w:rFonts w:hint="eastAsia" w:ascii="宋体" w:hAnsi="宋体" w:eastAsia="宋体" w:cs="宋体"/>
          <w:b/>
          <w:bCs/>
          <w:color w:val="auto"/>
          <w:kern w:val="2"/>
          <w:sz w:val="24"/>
          <w:szCs w:val="24"/>
          <w:highlight w:val="none"/>
          <w:lang w:val="en-US" w:eastAsia="zh-CN" w:bidi="ar-SA"/>
        </w:rPr>
      </w:pPr>
    </w:p>
    <w:p w14:paraId="3FF59984">
      <w:pPr>
        <w:keepNext/>
        <w:keepLines/>
        <w:widowControl w:val="0"/>
        <w:numPr>
          <w:ilvl w:val="1"/>
          <w:numId w:val="0"/>
        </w:numPr>
        <w:spacing w:before="0" w:after="0" w:line="240" w:lineRule="auto"/>
        <w:ind w:left="426" w:leftChars="0" w:hanging="440" w:firstLineChars="0"/>
        <w:jc w:val="both"/>
        <w:outlineLvl w:val="1"/>
        <w:rPr>
          <w:rFonts w:hint="eastAsia" w:ascii="宋体" w:hAnsi="宋体" w:eastAsia="宋体" w:cs="宋体"/>
          <w:b/>
          <w:bCs/>
          <w:color w:val="auto"/>
          <w:kern w:val="2"/>
          <w:sz w:val="24"/>
          <w:szCs w:val="24"/>
          <w:highlight w:val="none"/>
          <w:lang w:val="en-US" w:eastAsia="zh-CN" w:bidi="ar-SA"/>
        </w:rPr>
      </w:pPr>
    </w:p>
    <w:p w14:paraId="2FE54ACE">
      <w:pPr>
        <w:keepNext/>
        <w:keepLines/>
        <w:widowControl w:val="0"/>
        <w:numPr>
          <w:ilvl w:val="1"/>
          <w:numId w:val="0"/>
        </w:numPr>
        <w:spacing w:before="0" w:after="0" w:line="240" w:lineRule="auto"/>
        <w:ind w:left="426" w:leftChars="0" w:hanging="440" w:firstLineChars="0"/>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(四)系统集成</w:t>
      </w:r>
    </w:p>
    <w:tbl>
      <w:tblPr>
        <w:tblStyle w:val="47"/>
        <w:tblW w:w="5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7914"/>
      </w:tblGrid>
      <w:tr w14:paraId="121C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9" w:type="pct"/>
            <w:shd w:val="clear" w:color="auto" w:fill="EEECE1" w:themeFill="background2"/>
            <w:vAlign w:val="center"/>
          </w:tcPr>
          <w:p w14:paraId="06DC9C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技术指标</w:t>
            </w:r>
          </w:p>
        </w:tc>
        <w:tc>
          <w:tcPr>
            <w:tcW w:w="4040" w:type="pct"/>
            <w:shd w:val="clear" w:color="auto" w:fill="EEECE1" w:themeFill="background2"/>
            <w:vAlign w:val="center"/>
          </w:tcPr>
          <w:p w14:paraId="72F6AD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2498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59" w:type="pct"/>
            <w:vAlign w:val="center"/>
          </w:tcPr>
          <w:p w14:paraId="481C617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系统集成要求</w:t>
            </w:r>
          </w:p>
        </w:tc>
        <w:tc>
          <w:tcPr>
            <w:tcW w:w="4040" w:type="pct"/>
            <w:vAlign w:val="center"/>
          </w:tcPr>
          <w:p w14:paraId="470E5FE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1、本项目所提供的软、硬件产品按招标方的要求采购、集成、调试。</w:t>
            </w:r>
          </w:p>
          <w:p w14:paraId="1E10785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2、目实施期间发生的所有劳务支出、安全保险、住宿、运输、税金等一切费用都已包含在竞投报价中，由中标方自行负责。</w:t>
            </w:r>
          </w:p>
          <w:p w14:paraId="7869A8B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3、中标方须提供实施7*24小时技术支持。</w:t>
            </w:r>
          </w:p>
        </w:tc>
      </w:tr>
    </w:tbl>
    <w:p w14:paraId="6B15E1BC">
      <w:pPr>
        <w:keepNext w:val="0"/>
        <w:keepLines w:val="0"/>
        <w:pageBreakBefore w:val="0"/>
        <w:widowControl w:val="0"/>
        <w:kinsoku/>
        <w:wordWrap/>
        <w:overflowPunct/>
        <w:topLinePunct w:val="0"/>
        <w:bidi w:val="0"/>
        <w:spacing w:line="400" w:lineRule="exact"/>
        <w:textAlignment w:val="auto"/>
        <w:outlineLvl w:val="1"/>
        <w:rPr>
          <w:rFonts w:hint="eastAsia" w:ascii="宋体" w:hAnsi="宋体" w:eastAsia="宋体" w:cs="宋体"/>
          <w:b/>
          <w:color w:val="auto"/>
          <w:sz w:val="24"/>
          <w:szCs w:val="24"/>
          <w:highlight w:val="none"/>
        </w:rPr>
      </w:pPr>
    </w:p>
    <w:p w14:paraId="6D2811D8">
      <w:pPr>
        <w:keepNext w:val="0"/>
        <w:keepLines w:val="0"/>
        <w:pageBreakBefore w:val="0"/>
        <w:widowControl w:val="0"/>
        <w:kinsoku/>
        <w:wordWrap/>
        <w:overflowPunct/>
        <w:topLinePunct w:val="0"/>
        <w:bidi w:val="0"/>
        <w:spacing w:line="400" w:lineRule="exact"/>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四</w:t>
      </w:r>
      <w:r>
        <w:rPr>
          <w:rFonts w:hint="eastAsia" w:ascii="宋体" w:hAnsi="宋体" w:eastAsia="宋体" w:cs="宋体"/>
          <w:b/>
          <w:color w:val="auto"/>
          <w:sz w:val="24"/>
          <w:szCs w:val="24"/>
          <w:highlight w:val="none"/>
        </w:rPr>
        <w:t>、商务需求</w:t>
      </w:r>
    </w:p>
    <w:tbl>
      <w:tblPr>
        <w:tblStyle w:val="47"/>
        <w:tblW w:w="53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8135"/>
      </w:tblGrid>
      <w:tr w14:paraId="6D0A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5D671C3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4202" w:type="pct"/>
            <w:tcBorders>
              <w:top w:val="single" w:color="auto" w:sz="4" w:space="0"/>
              <w:left w:val="single" w:color="auto" w:sz="4" w:space="0"/>
              <w:bottom w:val="single" w:color="auto" w:sz="4" w:space="0"/>
              <w:right w:val="single" w:color="auto" w:sz="4" w:space="0"/>
            </w:tcBorders>
            <w:vAlign w:val="center"/>
          </w:tcPr>
          <w:p w14:paraId="140A88F1">
            <w:pPr>
              <w:pStyle w:val="26"/>
              <w:keepNext w:val="0"/>
              <w:keepLines w:val="0"/>
              <w:suppressLineNumbers w:val="0"/>
              <w:snapToGrid w:val="0"/>
              <w:spacing w:before="120" w:beforeAutospacing="0" w:after="120" w:afterAutospacing="0" w:line="24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p>
        </w:tc>
      </w:tr>
      <w:tr w14:paraId="3E43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0A9036B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4202" w:type="pct"/>
            <w:tcBorders>
              <w:top w:val="single" w:color="auto" w:sz="4" w:space="0"/>
              <w:left w:val="single" w:color="auto" w:sz="4" w:space="0"/>
              <w:bottom w:val="single" w:color="auto" w:sz="4" w:space="0"/>
              <w:right w:val="single" w:color="auto" w:sz="4" w:space="0"/>
            </w:tcBorders>
            <w:vAlign w:val="center"/>
          </w:tcPr>
          <w:p w14:paraId="7B796527">
            <w:pPr>
              <w:pStyle w:val="26"/>
              <w:keepNext w:val="0"/>
              <w:keepLines w:val="0"/>
              <w:suppressLineNumbers w:val="0"/>
              <w:snapToGrid w:val="0"/>
              <w:spacing w:before="120" w:beforeAutospacing="0" w:after="120" w:afterAutospacing="0" w:line="24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 xml:space="preserve"> 年及以上；</w:t>
            </w:r>
          </w:p>
        </w:tc>
      </w:tr>
      <w:tr w14:paraId="1DB7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7BF8C80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售后技术服务要求</w:t>
            </w:r>
          </w:p>
        </w:tc>
        <w:tc>
          <w:tcPr>
            <w:tcW w:w="4202" w:type="pct"/>
            <w:tcBorders>
              <w:top w:val="single" w:color="auto" w:sz="4" w:space="0"/>
              <w:left w:val="single" w:color="auto" w:sz="4" w:space="0"/>
              <w:bottom w:val="single" w:color="auto" w:sz="4" w:space="0"/>
              <w:right w:val="single" w:color="auto" w:sz="4" w:space="0"/>
            </w:tcBorders>
            <w:vAlign w:val="center"/>
          </w:tcPr>
          <w:p w14:paraId="40DE81E5">
            <w:pPr>
              <w:pStyle w:val="26"/>
              <w:keepNext w:val="0"/>
              <w:keepLines w:val="0"/>
              <w:suppressLineNumbers w:val="0"/>
              <w:snapToGrid w:val="0"/>
              <w:spacing w:before="120" w:beforeAutospacing="0" w:after="120" w:afterAutospacing="0"/>
              <w:ind w:left="0" w:right="0"/>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（1）合同生效后，制造商（或代理商）对安装产品的实验室工作条件应提出具体要求，并在安装前予以确认。</w:t>
            </w:r>
          </w:p>
          <w:p w14:paraId="18FE812D">
            <w:pPr>
              <w:pStyle w:val="26"/>
              <w:keepNext w:val="0"/>
              <w:keepLines w:val="0"/>
              <w:suppressLineNumbers w:val="0"/>
              <w:snapToGrid w:val="0"/>
              <w:spacing w:before="120" w:beforeAutospacing="0" w:after="120" w:afterAutospacing="0"/>
              <w:ind w:left="0" w:right="0"/>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（2）提供的产品须为原装正品，相关的配套附件质量优良，数量齐全，并在标书中注明可选配件的价格。</w:t>
            </w:r>
          </w:p>
          <w:p w14:paraId="24067955">
            <w:pPr>
              <w:pStyle w:val="26"/>
              <w:keepNext w:val="0"/>
              <w:keepLines w:val="0"/>
              <w:suppressLineNumbers w:val="0"/>
              <w:snapToGrid w:val="0"/>
              <w:spacing w:before="120" w:beforeAutospacing="0" w:after="120" w:afterAutospacing="0"/>
              <w:ind w:left="0" w:right="0"/>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（3）产品到达用户指定交货地点后，根据用户的时间安排，制造商（或代理商）在接到用户通知后30天内进行安装调试，直至通过验收。</w:t>
            </w:r>
          </w:p>
          <w:p w14:paraId="6FD1A5E3">
            <w:pPr>
              <w:pStyle w:val="26"/>
              <w:keepNext w:val="0"/>
              <w:keepLines w:val="0"/>
              <w:suppressLineNumbers w:val="0"/>
              <w:snapToGrid w:val="0"/>
              <w:spacing w:before="120" w:beforeAutospacing="0" w:after="120" w:afterAutospacing="0"/>
              <w:ind w:left="0" w:right="0"/>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（4）产品安装调试合格后，制造商（或代理商）负责对用户技术人员（至少2人）进行免费现场培训，培训内容包括产品的原理、操作、保养和维护等，培训日程视实际情况另定。</w:t>
            </w:r>
          </w:p>
          <w:p w14:paraId="6B8A3711">
            <w:pPr>
              <w:pStyle w:val="26"/>
              <w:keepNext w:val="0"/>
              <w:keepLines w:val="0"/>
              <w:suppressLineNumbers w:val="0"/>
              <w:snapToGrid w:val="0"/>
              <w:spacing w:before="120" w:beforeAutospacing="0" w:after="120" w:afterAutospacing="0"/>
              <w:ind w:left="0" w:right="0"/>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（5）质保期过后，制造商（或代理商）对产品提供终身维修服务，能提供广泛、即时、优惠的技术服务，并提供质量上乘、价格合理的各种配件。</w:t>
            </w:r>
          </w:p>
          <w:p w14:paraId="6DC91414">
            <w:pPr>
              <w:pStyle w:val="26"/>
              <w:keepNext w:val="0"/>
              <w:keepLines w:val="0"/>
              <w:suppressLineNumbers w:val="0"/>
              <w:snapToGrid w:val="0"/>
              <w:spacing w:before="120" w:beforeAutospacing="0" w:after="120" w:afterAutospacing="0"/>
              <w:ind w:left="0" w:right="0"/>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5BBB7593">
            <w:pPr>
              <w:pStyle w:val="26"/>
              <w:keepNext w:val="0"/>
              <w:keepLines w:val="0"/>
              <w:suppressLineNumbers w:val="0"/>
              <w:snapToGrid w:val="0"/>
              <w:spacing w:before="120" w:beforeAutospacing="0" w:after="120" w:afterAutospacing="0" w:line="240" w:lineRule="auto"/>
              <w:ind w:left="0" w:right="0"/>
              <w:outlineLvl w:val="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（8）制造商（或代理商）终身免费提供应用咨询及技术帮助，质保期内，易损件和外购件根据原厂家质保期和国家质保标准保修，属人为因素酌情收取材料费。质保期外实行有偿服务。</w:t>
            </w:r>
          </w:p>
        </w:tc>
      </w:tr>
      <w:tr w14:paraId="550A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653532E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p w14:paraId="6A09DA2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及地点</w:t>
            </w:r>
          </w:p>
        </w:tc>
        <w:tc>
          <w:tcPr>
            <w:tcW w:w="4202" w:type="pct"/>
            <w:tcBorders>
              <w:top w:val="single" w:color="auto" w:sz="4" w:space="0"/>
              <w:left w:val="single" w:color="auto" w:sz="4" w:space="0"/>
              <w:bottom w:val="single" w:color="auto" w:sz="4" w:space="0"/>
              <w:right w:val="single" w:color="auto" w:sz="4" w:space="0"/>
            </w:tcBorders>
          </w:tcPr>
          <w:p w14:paraId="293025BB">
            <w:pPr>
              <w:pStyle w:val="26"/>
              <w:keepNext w:val="0"/>
              <w:keepLines w:val="0"/>
              <w:suppressLineNumbers w:val="0"/>
              <w:snapToGrid w:val="0"/>
              <w:spacing w:before="120" w:beforeAutospacing="0" w:after="120" w:afterAutospacing="0" w:line="24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时间：合同签订后30日历天内交货</w:t>
            </w:r>
          </w:p>
          <w:p w14:paraId="5EF45482">
            <w:pPr>
              <w:pStyle w:val="26"/>
              <w:keepNext w:val="0"/>
              <w:keepLines w:val="0"/>
              <w:suppressLineNumbers w:val="0"/>
              <w:snapToGrid w:val="0"/>
              <w:spacing w:before="120" w:beforeAutospacing="0" w:after="120" w:afterAutospacing="0" w:line="24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地点：台州学院椒江校区      </w:t>
            </w:r>
          </w:p>
        </w:tc>
      </w:tr>
    </w:tbl>
    <w:p w14:paraId="79873A9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、相关说明</w:t>
      </w:r>
    </w:p>
    <w:p w14:paraId="537B77B1">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kern w:val="0"/>
          <w:sz w:val="24"/>
          <w:szCs w:val="24"/>
          <w:highlight w:val="none"/>
        </w:rPr>
        <w:t>现场勘察：</w:t>
      </w:r>
      <w:r>
        <w:rPr>
          <w:rFonts w:hint="eastAsia" w:ascii="宋体" w:hAnsi="宋体" w:eastAsia="宋体" w:cs="宋体"/>
          <w:color w:val="auto"/>
          <w:sz w:val="24"/>
          <w:szCs w:val="24"/>
          <w:highlight w:val="none"/>
        </w:rPr>
        <w:t>无</w:t>
      </w:r>
    </w:p>
    <w:p w14:paraId="1A92A9FE">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▲所有</w:t>
      </w:r>
      <w:r>
        <w:rPr>
          <w:rFonts w:hint="eastAsia" w:ascii="宋体" w:hAnsi="宋体" w:cs="宋体"/>
          <w:color w:val="auto"/>
          <w:kern w:val="0"/>
          <w:sz w:val="24"/>
          <w:szCs w:val="24"/>
          <w:highlight w:val="none"/>
          <w:lang w:val="en-US" w:eastAsia="zh-CN"/>
        </w:rPr>
        <w:t>软件和设备</w:t>
      </w:r>
      <w:r>
        <w:rPr>
          <w:rFonts w:hint="eastAsia" w:ascii="宋体" w:hAnsi="宋体" w:eastAsia="宋体" w:cs="宋体"/>
          <w:color w:val="auto"/>
          <w:kern w:val="0"/>
          <w:sz w:val="24"/>
          <w:szCs w:val="24"/>
          <w:highlight w:val="none"/>
        </w:rPr>
        <w:t>均采用人民币报价。本项目的成交报价应包含</w:t>
      </w:r>
      <w:r>
        <w:rPr>
          <w:rFonts w:hint="eastAsia" w:cs="Times New Roman" w:asciiTheme="minorEastAsia" w:hAnsiTheme="minorEastAsia" w:eastAsiaTheme="minorEastAsia"/>
          <w:color w:val="auto"/>
          <w:sz w:val="24"/>
          <w:szCs w:val="24"/>
          <w:highlight w:val="none"/>
        </w:rPr>
        <w:t>（但不限于）</w:t>
      </w:r>
      <w:r>
        <w:rPr>
          <w:rFonts w:hint="eastAsia" w:cs="Times New Roman" w:asciiTheme="minorEastAsia" w:hAnsiTheme="minorEastAsia" w:eastAsiaTheme="minorEastAsia"/>
          <w:color w:val="auto"/>
          <w:sz w:val="24"/>
          <w:szCs w:val="24"/>
          <w:highlight w:val="none"/>
          <w:lang w:eastAsia="zh-CN"/>
        </w:rPr>
        <w:t>所有软硬件</w:t>
      </w:r>
      <w:r>
        <w:rPr>
          <w:rFonts w:hint="eastAsia" w:cs="Times New Roman" w:asciiTheme="minorEastAsia" w:hAnsiTheme="minorEastAsia" w:eastAsiaTheme="minorEastAsia"/>
          <w:color w:val="auto"/>
          <w:sz w:val="24"/>
          <w:szCs w:val="24"/>
          <w:highlight w:val="none"/>
        </w:rPr>
        <w:t>货款、标准附件、备品备件、专用工具、包装、运输、装卸、保险、税金、货到就位以及安装、调试、培训、保修等一切税金和费用</w:t>
      </w:r>
      <w:r>
        <w:rPr>
          <w:rFonts w:hint="eastAsia" w:cs="Times New Roman" w:asciiTheme="minorEastAsia" w:hAnsiTheme="minorEastAsia" w:eastAsiaTheme="minorEastAsia"/>
          <w:color w:val="auto"/>
          <w:sz w:val="24"/>
          <w:szCs w:val="24"/>
          <w:highlight w:val="none"/>
          <w:lang w:eastAsia="zh-CN"/>
        </w:rPr>
        <w:t>。</w:t>
      </w:r>
    </w:p>
    <w:p w14:paraId="23DAD02C">
      <w:pPr>
        <w:pageBreakBefore/>
        <w:snapToGrid w:val="0"/>
        <w:spacing w:line="360" w:lineRule="auto"/>
        <w:jc w:val="center"/>
        <w:outlineLvl w:val="0"/>
        <w:rPr>
          <w:rFonts w:asciiTheme="minorEastAsia" w:hAnsiTheme="minorEastAsia" w:eastAsiaTheme="minorEastAsia"/>
          <w:b/>
          <w:color w:val="auto"/>
          <w:sz w:val="32"/>
          <w:szCs w:val="32"/>
          <w:highlight w:val="none"/>
        </w:rPr>
      </w:pPr>
      <w:bookmarkStart w:id="91" w:name="_Toc21037"/>
      <w:r>
        <w:rPr>
          <w:rFonts w:hint="eastAsia" w:asciiTheme="minorEastAsia" w:hAnsiTheme="minorEastAsia" w:eastAsiaTheme="minorEastAsia"/>
          <w:b/>
          <w:color w:val="auto"/>
          <w:sz w:val="32"/>
          <w:szCs w:val="32"/>
          <w:highlight w:val="none"/>
        </w:rPr>
        <w:t>第六部分 拟签订的合同文本</w:t>
      </w:r>
      <w:bookmarkEnd w:id="91"/>
    </w:p>
    <w:p w14:paraId="79ECDDEC">
      <w:pPr>
        <w:widowControl/>
        <w:jc w:val="center"/>
        <w:rPr>
          <w:rFonts w:ascii="方正小标宋简体" w:hAnsi="黑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台州学院</w:t>
      </w:r>
    </w:p>
    <w:p w14:paraId="6ACD8480">
      <w:pPr>
        <w:widowControl/>
        <w:jc w:val="center"/>
        <w:rPr>
          <w:rFonts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**********项目</w:t>
      </w:r>
    </w:p>
    <w:p w14:paraId="13C420C2">
      <w:pPr>
        <w:rPr>
          <w:rFonts w:ascii="仿宋" w:hAnsi="仿宋" w:eastAsia="仿宋" w:cs="Times New Roman"/>
          <w:b/>
          <w:color w:val="auto"/>
          <w:kern w:val="0"/>
          <w:sz w:val="30"/>
          <w:szCs w:val="30"/>
          <w:highlight w:val="none"/>
        </w:rPr>
      </w:pPr>
    </w:p>
    <w:p w14:paraId="7C726F04">
      <w:pPr>
        <w:rPr>
          <w:rFonts w:ascii="仿宋" w:hAnsi="仿宋" w:eastAsia="仿宋" w:cs="Times New Roman"/>
          <w:b/>
          <w:color w:val="auto"/>
          <w:kern w:val="0"/>
          <w:sz w:val="30"/>
          <w:szCs w:val="30"/>
          <w:highlight w:val="none"/>
        </w:rPr>
      </w:pPr>
    </w:p>
    <w:p w14:paraId="7EEA890C">
      <w:pPr>
        <w:rPr>
          <w:rFonts w:ascii="仿宋" w:hAnsi="仿宋" w:eastAsia="仿宋" w:cs="Times New Roman"/>
          <w:b/>
          <w:color w:val="auto"/>
          <w:kern w:val="0"/>
          <w:sz w:val="30"/>
          <w:szCs w:val="30"/>
          <w:highlight w:val="none"/>
        </w:rPr>
      </w:pPr>
    </w:p>
    <w:p w14:paraId="415E463A">
      <w:pPr>
        <w:widowControl/>
        <w:jc w:val="center"/>
        <w:rPr>
          <w:rFonts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货物购买合同</w:t>
      </w:r>
    </w:p>
    <w:p w14:paraId="499B49B5">
      <w:pPr>
        <w:jc w:val="center"/>
        <w:rPr>
          <w:rFonts w:ascii="仿宋" w:hAnsi="仿宋" w:eastAsia="仿宋" w:cs="Times New Roman"/>
          <w:b/>
          <w:color w:val="auto"/>
          <w:kern w:val="0"/>
          <w:sz w:val="30"/>
          <w:szCs w:val="30"/>
          <w:highlight w:val="none"/>
        </w:rPr>
      </w:pPr>
    </w:p>
    <w:p w14:paraId="0D52D3F9">
      <w:pPr>
        <w:rPr>
          <w:rFonts w:ascii="仿宋" w:hAnsi="仿宋" w:eastAsia="仿宋" w:cs="Times New Roman"/>
          <w:b/>
          <w:color w:val="auto"/>
          <w:kern w:val="0"/>
          <w:sz w:val="30"/>
          <w:szCs w:val="30"/>
          <w:highlight w:val="none"/>
        </w:rPr>
      </w:pPr>
    </w:p>
    <w:p w14:paraId="1A0F5441">
      <w:pPr>
        <w:rPr>
          <w:rFonts w:ascii="仿宋" w:hAnsi="仿宋" w:eastAsia="仿宋" w:cs="Times New Roman"/>
          <w:b/>
          <w:color w:val="auto"/>
          <w:kern w:val="0"/>
          <w:sz w:val="30"/>
          <w:szCs w:val="30"/>
          <w:highlight w:val="none"/>
        </w:rPr>
      </w:pPr>
    </w:p>
    <w:p w14:paraId="19960183">
      <w:pPr>
        <w:rPr>
          <w:rFonts w:ascii="仿宋" w:hAnsi="仿宋" w:eastAsia="仿宋" w:cs="Times New Roman"/>
          <w:b/>
          <w:color w:val="auto"/>
          <w:kern w:val="0"/>
          <w:sz w:val="30"/>
          <w:szCs w:val="30"/>
          <w:highlight w:val="none"/>
        </w:rPr>
      </w:pPr>
    </w:p>
    <w:p w14:paraId="31A6FF7B">
      <w:pPr>
        <w:rPr>
          <w:rFonts w:ascii="仿宋" w:hAnsi="仿宋" w:eastAsia="仿宋" w:cs="Times New Roman"/>
          <w:b/>
          <w:color w:val="auto"/>
          <w:kern w:val="0"/>
          <w:sz w:val="30"/>
          <w:szCs w:val="30"/>
          <w:highlight w:val="none"/>
        </w:rPr>
      </w:pPr>
    </w:p>
    <w:p w14:paraId="648B54E7">
      <w:pPr>
        <w:widowControl/>
        <w:ind w:firstLine="720" w:firstLineChars="200"/>
        <w:jc w:val="left"/>
        <w:rPr>
          <w:rFonts w:ascii="方正小标宋简体" w:hAnsi="仿宋" w:eastAsia="方正小标宋简体" w:cs="Times New Roman"/>
          <w:color w:val="auto"/>
          <w:sz w:val="36"/>
          <w:szCs w:val="36"/>
          <w:highlight w:val="none"/>
        </w:rPr>
      </w:pPr>
      <w:bookmarkStart w:id="92" w:name="_Hlk136260485"/>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495ADD83">
      <w:pPr>
        <w:widowControl/>
        <w:ind w:firstLine="720" w:firstLineChars="200"/>
        <w:jc w:val="left"/>
        <w:rPr>
          <w:rFonts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5654AFB0">
      <w:pPr>
        <w:widowControl/>
        <w:ind w:firstLine="720" w:firstLineChars="200"/>
        <w:jc w:val="left"/>
        <w:rPr>
          <w:rFonts w:ascii="方正小标宋简体" w:hAnsi="仿宋" w:eastAsia="方正小标宋简体" w:cs="宋体"/>
          <w:color w:val="auto"/>
          <w:kern w:val="0"/>
          <w:sz w:val="36"/>
          <w:szCs w:val="36"/>
          <w:highlight w:val="none"/>
          <w:u w:val="single"/>
          <w:lang w:bidi="ar"/>
        </w:rPr>
      </w:pPr>
    </w:p>
    <w:p w14:paraId="53B5D41C">
      <w:pPr>
        <w:widowControl/>
        <w:ind w:firstLine="720" w:firstLineChars="200"/>
        <w:jc w:val="center"/>
        <w:rPr>
          <w:rFonts w:ascii="方正小标宋简体" w:hAnsi="仿宋" w:eastAsia="方正小标宋简体"/>
          <w:color w:val="auto"/>
          <w:kern w:val="0"/>
          <w:sz w:val="36"/>
          <w:szCs w:val="36"/>
          <w:highlight w:val="none"/>
        </w:rPr>
        <w:sectPr>
          <w:footerReference r:id="rId9" w:type="first"/>
          <w:footerReference r:id="rId8" w:type="default"/>
          <w:pgSz w:w="11906" w:h="16838"/>
          <w:pgMar w:top="1701" w:right="1474" w:bottom="1474" w:left="1588" w:header="851" w:footer="992" w:gutter="0"/>
          <w:pgBorders>
            <w:top w:val="none" w:sz="0" w:space="0"/>
            <w:left w:val="none" w:sz="0" w:space="0"/>
            <w:bottom w:val="none" w:sz="0" w:space="0"/>
            <w:right w:val="none" w:sz="0" w:space="0"/>
          </w:pgBorders>
          <w:pgNumType w:chapStyle="2"/>
          <w:cols w:space="425" w:num="1"/>
          <w:titlePg/>
          <w:docGrid w:type="lines" w:linePitch="312" w:charSpace="0"/>
        </w:sectPr>
      </w:pPr>
      <w:r>
        <w:rPr>
          <w:rFonts w:hint="eastAsia" w:ascii="方正小标宋简体" w:hAnsi="仿宋" w:eastAsia="方正小标宋简体" w:cs="Times New Roman"/>
          <w:color w:val="auto"/>
          <w:kern w:val="0"/>
          <w:sz w:val="36"/>
          <w:szCs w:val="36"/>
          <w:highlight w:val="none"/>
        </w:rPr>
        <w:t>2024年</w:t>
      </w:r>
      <w:r>
        <w:rPr>
          <w:rFonts w:hint="eastAsia" w:ascii="方正小标宋简体" w:hAnsi="黑体" w:eastAsia="方正小标宋简体" w:cs="宋体"/>
          <w:color w:val="auto"/>
          <w:kern w:val="0"/>
          <w:sz w:val="36"/>
          <w:szCs w:val="36"/>
          <w:highlight w:val="none"/>
          <w:lang w:bidi="ar"/>
        </w:rPr>
        <w:t>**</w:t>
      </w:r>
      <w:bookmarkEnd w:id="92"/>
      <w:r>
        <w:rPr>
          <w:rFonts w:hint="eastAsia" w:ascii="方正小标宋简体" w:hAnsi="仿宋" w:eastAsia="方正小标宋简体" w:cs="Times New Roman"/>
          <w:color w:val="auto"/>
          <w:kern w:val="0"/>
          <w:sz w:val="36"/>
          <w:szCs w:val="36"/>
          <w:highlight w:val="none"/>
        </w:rPr>
        <w:t>月</w:t>
      </w:r>
    </w:p>
    <w:p w14:paraId="79326AC2">
      <w:pPr>
        <w:widowControl/>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p w14:paraId="4115D783">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项目编号：************</w:t>
      </w:r>
    </w:p>
    <w:p w14:paraId="52B82CEF">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标段信息：*****</w:t>
      </w:r>
    </w:p>
    <w:p w14:paraId="46B651AE">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甲方</w:t>
      </w:r>
      <w:r>
        <w:rPr>
          <w:rFonts w:hint="eastAsia" w:ascii="宋体" w:hAnsi="宋体" w:eastAsia="宋体" w:cs="宋体"/>
          <w:bCs/>
          <w:color w:val="auto"/>
          <w:kern w:val="0"/>
          <w:sz w:val="24"/>
          <w:szCs w:val="24"/>
          <w:highlight w:val="none"/>
        </w:rPr>
        <w:t>：（采购人）台州学院</w:t>
      </w:r>
    </w:p>
    <w:p w14:paraId="21E8B688">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所在地</w:t>
      </w:r>
      <w:r>
        <w:rPr>
          <w:rFonts w:hint="eastAsia" w:ascii="宋体" w:hAnsi="宋体" w:eastAsia="宋体" w:cs="宋体"/>
          <w:bCs/>
          <w:color w:val="auto"/>
          <w:kern w:val="0"/>
          <w:sz w:val="24"/>
          <w:szCs w:val="24"/>
          <w:highlight w:val="none"/>
        </w:rPr>
        <w:t>：浙江台州</w:t>
      </w:r>
    </w:p>
    <w:p w14:paraId="759C040F">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乙方：（中标供应商）************ </w:t>
      </w:r>
    </w:p>
    <w:p w14:paraId="661D9769">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所在地： ************</w:t>
      </w:r>
    </w:p>
    <w:p w14:paraId="68194B4C">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甲、乙双方根据台州学院关于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项目公开招标的结果，签署本合同。</w:t>
      </w:r>
    </w:p>
    <w:p w14:paraId="3EF22968">
      <w:pPr>
        <w:widowControl w:val="0"/>
        <w:spacing w:before="0" w:after="0" w:line="360" w:lineRule="auto"/>
        <w:ind w:firstLine="480" w:firstLineChars="200"/>
        <w:jc w:val="left"/>
        <w:outlineLvl w:val="0"/>
        <w:rPr>
          <w:rFonts w:ascii="宋体" w:hAnsi="宋体" w:eastAsia="宋体" w:cs="宋体"/>
          <w:b/>
          <w:bCs/>
          <w:strike/>
          <w:color w:val="auto"/>
          <w:kern w:val="0"/>
          <w:sz w:val="24"/>
          <w:szCs w:val="24"/>
          <w:highlight w:val="none"/>
          <w:lang w:val="en-US" w:eastAsia="zh-CN" w:bidi="ar-SA"/>
        </w:rPr>
      </w:pPr>
      <w:bookmarkStart w:id="93" w:name="_Toc6417"/>
      <w:r>
        <w:rPr>
          <w:rFonts w:hint="eastAsia" w:ascii="宋体" w:hAnsi="宋体" w:eastAsia="宋体" w:cs="宋体"/>
          <w:b w:val="0"/>
          <w:bCs w:val="0"/>
          <w:color w:val="auto"/>
          <w:kern w:val="2"/>
          <w:sz w:val="24"/>
          <w:szCs w:val="24"/>
          <w:highlight w:val="none"/>
          <w:lang w:val="en-US" w:eastAsia="zh-CN" w:bidi="ar-SA"/>
        </w:rPr>
        <w:t>一、货物内容及合同价格</w:t>
      </w:r>
      <w:bookmarkEnd w:id="93"/>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00D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vAlign w:val="center"/>
          </w:tcPr>
          <w:p w14:paraId="5A05871F">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885" w:type="dxa"/>
            <w:vAlign w:val="center"/>
          </w:tcPr>
          <w:p w14:paraId="602877E7">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货物名称</w:t>
            </w:r>
          </w:p>
        </w:tc>
        <w:tc>
          <w:tcPr>
            <w:tcW w:w="1623" w:type="dxa"/>
            <w:vAlign w:val="center"/>
          </w:tcPr>
          <w:p w14:paraId="3ABB0AD4">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品牌、产地</w:t>
            </w:r>
          </w:p>
        </w:tc>
        <w:tc>
          <w:tcPr>
            <w:tcW w:w="1921" w:type="dxa"/>
            <w:vAlign w:val="center"/>
          </w:tcPr>
          <w:p w14:paraId="4E0BAF2D">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型号规格</w:t>
            </w:r>
          </w:p>
        </w:tc>
        <w:tc>
          <w:tcPr>
            <w:tcW w:w="850" w:type="dxa"/>
            <w:vAlign w:val="center"/>
          </w:tcPr>
          <w:p w14:paraId="4FDFA260">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数量</w:t>
            </w:r>
          </w:p>
        </w:tc>
        <w:tc>
          <w:tcPr>
            <w:tcW w:w="1134" w:type="dxa"/>
            <w:vAlign w:val="center"/>
          </w:tcPr>
          <w:p w14:paraId="2A99860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单价（元）</w:t>
            </w:r>
          </w:p>
        </w:tc>
        <w:tc>
          <w:tcPr>
            <w:tcW w:w="1134" w:type="dxa"/>
            <w:vAlign w:val="center"/>
          </w:tcPr>
          <w:p w14:paraId="1CB8DF5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总价（元）</w:t>
            </w:r>
          </w:p>
        </w:tc>
      </w:tr>
      <w:tr w14:paraId="3A38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7DFF738">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885" w:type="dxa"/>
            <w:vAlign w:val="center"/>
          </w:tcPr>
          <w:p w14:paraId="75721B07">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623" w:type="dxa"/>
            <w:vAlign w:val="center"/>
          </w:tcPr>
          <w:p w14:paraId="460E53F6">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921" w:type="dxa"/>
            <w:vAlign w:val="center"/>
          </w:tcPr>
          <w:p w14:paraId="22B0DBAC">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850" w:type="dxa"/>
            <w:vAlign w:val="center"/>
          </w:tcPr>
          <w:p w14:paraId="38CB2056">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134" w:type="dxa"/>
            <w:vAlign w:val="center"/>
          </w:tcPr>
          <w:p w14:paraId="15515053">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134" w:type="dxa"/>
            <w:tcBorders>
              <w:bottom w:val="single" w:color="auto" w:sz="4" w:space="0"/>
            </w:tcBorders>
            <w:vAlign w:val="center"/>
          </w:tcPr>
          <w:p w14:paraId="6B587D51">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6FA4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56C36E76">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885" w:type="dxa"/>
            <w:vAlign w:val="center"/>
          </w:tcPr>
          <w:p w14:paraId="51C2B676">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623" w:type="dxa"/>
            <w:vAlign w:val="center"/>
          </w:tcPr>
          <w:p w14:paraId="4D007FA7">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921" w:type="dxa"/>
            <w:vAlign w:val="center"/>
          </w:tcPr>
          <w:p w14:paraId="20CEFB86">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850" w:type="dxa"/>
            <w:vAlign w:val="center"/>
          </w:tcPr>
          <w:p w14:paraId="0CBB02FD">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134" w:type="dxa"/>
            <w:vAlign w:val="center"/>
          </w:tcPr>
          <w:p w14:paraId="1BE87667">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134" w:type="dxa"/>
            <w:tcBorders>
              <w:bottom w:val="single" w:color="auto" w:sz="4" w:space="0"/>
            </w:tcBorders>
            <w:vAlign w:val="center"/>
          </w:tcPr>
          <w:p w14:paraId="6A19864F">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4A2B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vAlign w:val="center"/>
          </w:tcPr>
          <w:p w14:paraId="2A34777E">
            <w:pPr>
              <w:keepNext w:val="0"/>
              <w:keepLines w:val="0"/>
              <w:suppressLineNumbers w:val="0"/>
              <w:tabs>
                <w:tab w:val="left" w:pos="180"/>
              </w:tabs>
              <w:spacing w:before="0" w:beforeAutospacing="0" w:after="0" w:afterAutospacing="0" w:line="360" w:lineRule="auto"/>
              <w:ind w:left="0" w:right="0"/>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134" w:type="dxa"/>
            <w:vAlign w:val="center"/>
          </w:tcPr>
          <w:p w14:paraId="25B6CC65">
            <w:pPr>
              <w:keepNext w:val="0"/>
              <w:keepLines w:val="0"/>
              <w:suppressLineNumbers w:val="0"/>
              <w:tabs>
                <w:tab w:val="left" w:pos="180"/>
              </w:tabs>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5A5B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vAlign w:val="center"/>
          </w:tcPr>
          <w:p w14:paraId="1DF83AC0">
            <w:pPr>
              <w:keepNext w:val="0"/>
              <w:keepLines w:val="0"/>
              <w:suppressLineNumbers w:val="0"/>
              <w:tabs>
                <w:tab w:val="left" w:pos="180"/>
              </w:tabs>
              <w:spacing w:before="0" w:beforeAutospacing="0" w:after="0" w:afterAutospacing="0" w:line="360" w:lineRule="auto"/>
              <w:ind w:left="0" w:right="0"/>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合同总价（人民币大写）： </w:t>
            </w:r>
          </w:p>
        </w:tc>
      </w:tr>
    </w:tbl>
    <w:p w14:paraId="44CF9A2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注：1.以上货物内容不清楚的详见</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或附件清单。</w:t>
      </w:r>
    </w:p>
    <w:p w14:paraId="26B4C53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2.以上合同总价包含货物送达用户并能正常使用所需的一切费用。</w:t>
      </w:r>
    </w:p>
    <w:p w14:paraId="06AC8BFF">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94" w:name="_Toc2491"/>
      <w:r>
        <w:rPr>
          <w:rFonts w:hint="eastAsia" w:ascii="宋体" w:hAnsi="宋体" w:eastAsia="宋体" w:cs="宋体"/>
          <w:b w:val="0"/>
          <w:bCs w:val="0"/>
          <w:color w:val="auto"/>
          <w:kern w:val="2"/>
          <w:sz w:val="24"/>
          <w:szCs w:val="24"/>
          <w:highlight w:val="none"/>
          <w:lang w:val="en-US" w:eastAsia="zh-CN" w:bidi="ar-SA"/>
        </w:rPr>
        <w:t>二、技术资料</w:t>
      </w:r>
      <w:bookmarkEnd w:id="94"/>
    </w:p>
    <w:p w14:paraId="3C1F7AE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规定的时间向甲方提供使用货物的有关技术资料。</w:t>
      </w:r>
    </w:p>
    <w:p w14:paraId="3C9DC79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C2C867">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95" w:name="_Toc22381"/>
      <w:r>
        <w:rPr>
          <w:rFonts w:hint="eastAsia" w:ascii="宋体" w:hAnsi="宋体" w:eastAsia="宋体" w:cs="宋体"/>
          <w:b w:val="0"/>
          <w:bCs w:val="0"/>
          <w:color w:val="auto"/>
          <w:kern w:val="2"/>
          <w:sz w:val="24"/>
          <w:szCs w:val="24"/>
          <w:highlight w:val="none"/>
          <w:lang w:val="en-US" w:eastAsia="zh-CN" w:bidi="ar-SA"/>
        </w:rPr>
        <w:t>三、知识产权</w:t>
      </w:r>
      <w:bookmarkEnd w:id="95"/>
    </w:p>
    <w:p w14:paraId="4B4E7967">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7FE7F3F8">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96" w:name="_Toc10235"/>
      <w:r>
        <w:rPr>
          <w:rFonts w:hint="eastAsia" w:ascii="宋体" w:hAnsi="宋体" w:eastAsia="宋体" w:cs="宋体"/>
          <w:b w:val="0"/>
          <w:bCs w:val="0"/>
          <w:color w:val="auto"/>
          <w:kern w:val="2"/>
          <w:sz w:val="24"/>
          <w:szCs w:val="24"/>
          <w:highlight w:val="none"/>
          <w:lang w:val="en-US" w:eastAsia="zh-CN" w:bidi="ar-SA"/>
        </w:rPr>
        <w:t>四、产权担保</w:t>
      </w:r>
      <w:bookmarkEnd w:id="96"/>
    </w:p>
    <w:p w14:paraId="118BA3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乙方保证所交付的货物的所有权完全属于乙方且无任何抵押、查封等权利瑕疵，否则由乙方承担全部责任。</w:t>
      </w:r>
    </w:p>
    <w:p w14:paraId="58F5D288">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97" w:name="_Toc32595"/>
      <w:r>
        <w:rPr>
          <w:rFonts w:hint="eastAsia" w:ascii="宋体" w:hAnsi="宋体" w:eastAsia="宋体" w:cs="宋体"/>
          <w:b w:val="0"/>
          <w:bCs w:val="0"/>
          <w:color w:val="auto"/>
          <w:kern w:val="2"/>
          <w:sz w:val="24"/>
          <w:szCs w:val="24"/>
          <w:highlight w:val="none"/>
          <w:lang w:val="en-US" w:eastAsia="zh-CN" w:bidi="ar-SA"/>
        </w:rPr>
        <w:t>五、转包或分包</w:t>
      </w:r>
      <w:bookmarkEnd w:id="97"/>
    </w:p>
    <w:p w14:paraId="7B23A14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1.本合同范围的货物，应由乙方直接供应，不得转让他人供应；</w:t>
      </w:r>
    </w:p>
    <w:p w14:paraId="7706F64F">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2.除非得到甲方的书面同意，乙方不得将本合同范围的货物全部或部分分包给他人供应；</w:t>
      </w:r>
    </w:p>
    <w:p w14:paraId="0C8FDA02">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3.如有转让和未经甲方同意的分包行为，甲方有权解除合同，并追究乙方的违约责任。</w:t>
      </w:r>
    </w:p>
    <w:p w14:paraId="3490F92A">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98" w:name="_Toc31861"/>
      <w:r>
        <w:rPr>
          <w:rFonts w:hint="eastAsia" w:ascii="宋体" w:hAnsi="宋体" w:eastAsia="宋体" w:cs="宋体"/>
          <w:b w:val="0"/>
          <w:bCs w:val="0"/>
          <w:color w:val="auto"/>
          <w:kern w:val="2"/>
          <w:sz w:val="24"/>
          <w:szCs w:val="24"/>
          <w:highlight w:val="none"/>
          <w:lang w:val="en-US" w:eastAsia="zh-CN" w:bidi="ar-SA"/>
        </w:rPr>
        <w:t>六、质保期</w:t>
      </w:r>
      <w:bookmarkEnd w:id="98"/>
    </w:p>
    <w:p w14:paraId="0973FC98">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年。</w:t>
      </w:r>
    </w:p>
    <w:p w14:paraId="44FC7DA5">
      <w:pPr>
        <w:widowControl w:val="0"/>
        <w:spacing w:before="0" w:after="0" w:line="360" w:lineRule="auto"/>
        <w:ind w:firstLine="480" w:firstLineChars="200"/>
        <w:jc w:val="left"/>
        <w:outlineLvl w:val="0"/>
        <w:rPr>
          <w:rFonts w:ascii="宋体" w:hAnsi="宋体" w:eastAsia="宋体" w:cs="宋体"/>
          <w:b/>
          <w:bCs/>
          <w:color w:val="auto"/>
          <w:kern w:val="0"/>
          <w:sz w:val="24"/>
          <w:szCs w:val="24"/>
          <w:highlight w:val="none"/>
          <w:lang w:val="en-US" w:eastAsia="zh-CN" w:bidi="ar-SA"/>
        </w:rPr>
      </w:pPr>
      <w:bookmarkStart w:id="99" w:name="_Toc8447"/>
      <w:r>
        <w:rPr>
          <w:rFonts w:hint="eastAsia" w:ascii="宋体" w:hAnsi="宋体" w:eastAsia="宋体" w:cs="宋体"/>
          <w:b w:val="0"/>
          <w:bCs w:val="0"/>
          <w:color w:val="auto"/>
          <w:kern w:val="2"/>
          <w:sz w:val="24"/>
          <w:szCs w:val="24"/>
          <w:highlight w:val="none"/>
          <w:lang w:val="en-US" w:eastAsia="zh-CN" w:bidi="ar-SA"/>
        </w:rPr>
        <w:t>七、交货时间、交货方式及交货地点</w:t>
      </w:r>
      <w:bookmarkEnd w:id="99"/>
    </w:p>
    <w:p w14:paraId="461CB0C5">
      <w:pPr>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1.交货时间：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交货；</w:t>
      </w:r>
    </w:p>
    <w:p w14:paraId="1FB3154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，运费、装卸费由乙方负责；</w:t>
      </w:r>
    </w:p>
    <w:p w14:paraId="77034D13">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3.交货地点：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7E9AE7">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0" w:name="_Toc12096"/>
      <w:r>
        <w:rPr>
          <w:rFonts w:hint="eastAsia" w:ascii="宋体" w:hAnsi="宋体" w:eastAsia="宋体" w:cs="宋体"/>
          <w:b w:val="0"/>
          <w:bCs w:val="0"/>
          <w:color w:val="auto"/>
          <w:kern w:val="2"/>
          <w:sz w:val="24"/>
          <w:szCs w:val="24"/>
          <w:highlight w:val="none"/>
          <w:lang w:val="en-US" w:eastAsia="zh-CN" w:bidi="ar-SA"/>
        </w:rPr>
        <w:t>八、货款支付</w:t>
      </w:r>
      <w:bookmarkEnd w:id="100"/>
    </w:p>
    <w:p w14:paraId="3088D94E">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否则甲方有权拒绝付款，不视为违约。</w:t>
      </w:r>
    </w:p>
    <w:p w14:paraId="4082C82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2.当采购数量与实际使用数量不一致时，乙方应根据实际使用量供货，合同的最终结算金额按实际使用量乘以成交单价进行计算。</w:t>
      </w:r>
    </w:p>
    <w:p w14:paraId="3E33B908">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3.因进口货物无法办理免税手续的，甲方可以解除该货物的采购合同，并应当及时通知乙方，因此造成的损失由乙方承担。</w:t>
      </w:r>
    </w:p>
    <w:p w14:paraId="044E2432">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1" w:name="_Toc25038"/>
      <w:r>
        <w:rPr>
          <w:rFonts w:hint="eastAsia" w:ascii="宋体" w:hAnsi="宋体" w:eastAsia="宋体" w:cs="宋体"/>
          <w:b w:val="0"/>
          <w:bCs w:val="0"/>
          <w:color w:val="auto"/>
          <w:kern w:val="2"/>
          <w:sz w:val="24"/>
          <w:szCs w:val="24"/>
          <w:highlight w:val="none"/>
          <w:lang w:val="en-US" w:eastAsia="zh-CN" w:bidi="ar-SA"/>
        </w:rPr>
        <w:t>九、税费</w:t>
      </w:r>
      <w:bookmarkEnd w:id="101"/>
    </w:p>
    <w:p w14:paraId="7AA7B57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14:paraId="55DB16D0">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2" w:name="_Toc32608"/>
      <w:r>
        <w:rPr>
          <w:rFonts w:hint="eastAsia" w:ascii="宋体" w:hAnsi="宋体" w:eastAsia="宋体" w:cs="宋体"/>
          <w:b w:val="0"/>
          <w:bCs w:val="0"/>
          <w:color w:val="auto"/>
          <w:kern w:val="2"/>
          <w:sz w:val="24"/>
          <w:szCs w:val="24"/>
          <w:highlight w:val="none"/>
          <w:lang w:val="en-US" w:eastAsia="zh-CN" w:bidi="ar-SA"/>
        </w:rPr>
        <w:t>十、质量保证及售后服务</w:t>
      </w:r>
      <w:bookmarkEnd w:id="102"/>
    </w:p>
    <w:p w14:paraId="0C5BF36B">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规定的货物性能、技术要求、质量标准向甲方提供未经使用的全新原装正品。</w:t>
      </w:r>
    </w:p>
    <w:p w14:paraId="5CF55AC9">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2.乙方提供的货物在质保期内非因人为原因发生故障，乙方应负责免费更换。对达不到技术要求者，根据实际情况，经双方协商，可按以下办法处理：</w:t>
      </w:r>
    </w:p>
    <w:p w14:paraId="426EC51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⑴更换：由乙方承担所发生的全部费用。</w:t>
      </w:r>
    </w:p>
    <w:p w14:paraId="1324C2B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⑵贬值处理：由甲乙双方合议定价。</w:t>
      </w:r>
    </w:p>
    <w:p w14:paraId="7AF52B1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⑶退货处理：乙方应退还甲方支付的合同款，同时应承担该货物的直接费用（运输、保险、检验、货款利息及银行手续费等）。</w:t>
      </w:r>
    </w:p>
    <w:p w14:paraId="44F805D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上述三种方式如协商不成，甲方有权直接自行选择上述三项处理方式任一项进行处理，乙方不得异议。</w:t>
      </w:r>
    </w:p>
    <w:p w14:paraId="2C492E72">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3.质保期内如在使用过程中发生质量问题，乙方在接到甲方通知后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小时内给与答复，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小时内作出响应，</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个工作日内到达甲方现场维修，一般故障应在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小时内修复，重大故障应在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w:t>
      </w:r>
    </w:p>
    <w:p w14:paraId="627129F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7EF8E8D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5.乙方终身免费提供应用咨询及技术帮助，质保期内，易损件和外购件根据原厂家质保期和国家质保标准保修，因人为因素出现的故障酌情收取材料费；质保期外实行有偿服务。</w:t>
      </w:r>
    </w:p>
    <w:p w14:paraId="4FF708A6">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3" w:name="_Toc24425"/>
      <w:r>
        <w:rPr>
          <w:rFonts w:hint="eastAsia" w:ascii="宋体" w:hAnsi="宋体" w:eastAsia="宋体" w:cs="宋体"/>
          <w:b w:val="0"/>
          <w:bCs w:val="0"/>
          <w:color w:val="auto"/>
          <w:kern w:val="2"/>
          <w:sz w:val="24"/>
          <w:szCs w:val="24"/>
          <w:highlight w:val="none"/>
          <w:lang w:val="en-US" w:eastAsia="zh-CN" w:bidi="ar-SA"/>
        </w:rPr>
        <w:t>十一、调试和验收</w:t>
      </w:r>
      <w:bookmarkEnd w:id="103"/>
    </w:p>
    <w:p w14:paraId="5F6711C3">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1.甲方对乙方提交的货物依据</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上的技术规格要求和国家有关质量标准进行现场初步验收，外观、说明书符合</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技术要求的，给予签收，初步验收不合格的不予签收。</w:t>
      </w:r>
    </w:p>
    <w:p w14:paraId="1C11171E">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3196B3A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3.乙方对安装仪器的实验室工作条件应提出具体要求，并在安装前予以确认。</w:t>
      </w:r>
    </w:p>
    <w:p w14:paraId="6FFB4858">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4.货物到达甲方指定交货地点后，根据甲方的时间安排，乙方在接到甲方通知后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13A534D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5.对技术复杂的货物，甲方可请国家认可的专业检测机构参与初步验收及最终验收，并由其出具质量检测报告。</w:t>
      </w:r>
    </w:p>
    <w:p w14:paraId="75917040">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6.验收时乙方必须在现场，验收完毕后作出验收结果报告；验收费用由乙方负责。如乙方拒不到场，视为其同意甲方之验收结果并不得异议。</w:t>
      </w:r>
    </w:p>
    <w:p w14:paraId="246BE54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7.因乙方人员在合同履行过程中造成甲方或其自身人身或财产损害，由乙方承担全部责任。</w:t>
      </w:r>
    </w:p>
    <w:p w14:paraId="0E354C7E">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4" w:name="_Toc19394"/>
      <w:r>
        <w:rPr>
          <w:rFonts w:hint="eastAsia" w:ascii="宋体" w:hAnsi="宋体" w:eastAsia="宋体" w:cs="宋体"/>
          <w:b w:val="0"/>
          <w:bCs w:val="0"/>
          <w:color w:val="auto"/>
          <w:kern w:val="2"/>
          <w:sz w:val="24"/>
          <w:szCs w:val="24"/>
          <w:highlight w:val="none"/>
          <w:lang w:val="en-US" w:eastAsia="zh-CN" w:bidi="ar-SA"/>
        </w:rPr>
        <w:t>十二、货物包装、发运及运输</w:t>
      </w:r>
      <w:bookmarkEnd w:id="104"/>
    </w:p>
    <w:p w14:paraId="0AD7D82B">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1.乙方应在货物发运前对其进行满足运输距离、防潮、防震、防锈和防破损装卸等要求包装，以保证货物安全运达甲方指定地点。</w:t>
      </w:r>
    </w:p>
    <w:p w14:paraId="2DB380CE">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2.使用说明书、质量检验证明书、随配附件和工具以及清单一并附于货物内。</w:t>
      </w:r>
    </w:p>
    <w:p w14:paraId="4955775F">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3.乙方在货物发运手续办理完毕后24小时内或货到甲方48</w:t>
      </w:r>
      <w:r>
        <w:rPr>
          <w:rFonts w:hint="eastAsia" w:ascii="宋体" w:hAnsi="宋体" w:eastAsia="宋体" w:cs="宋体"/>
          <w:color w:val="auto"/>
          <w:sz w:val="24"/>
          <w:szCs w:val="24"/>
          <w:highlight w:val="none"/>
        </w:rPr>
        <w:t>小时前通知甲方</w:t>
      </w:r>
      <w:r>
        <w:rPr>
          <w:rFonts w:hint="eastAsia" w:ascii="宋体" w:hAnsi="宋体" w:eastAsia="宋体" w:cs="宋体"/>
          <w:color w:val="auto"/>
          <w:kern w:val="0"/>
          <w:sz w:val="24"/>
          <w:szCs w:val="24"/>
          <w:highlight w:val="none"/>
        </w:rPr>
        <w:t>，以准备接货。</w:t>
      </w:r>
    </w:p>
    <w:p w14:paraId="5DD3A6C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4.货物在交付甲方前发生的风险均由乙方负责。</w:t>
      </w:r>
    </w:p>
    <w:p w14:paraId="199E1636">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5.货物在约定的交付期限内由乙方送达甲方指定的地点，乙方同时需通知甲方货物已送达，并与甲方工作人员办理交接手续，否则视为未交付。</w:t>
      </w:r>
    </w:p>
    <w:p w14:paraId="49A51BB3">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5" w:name="_Toc32069"/>
      <w:r>
        <w:rPr>
          <w:rFonts w:hint="eastAsia" w:ascii="宋体" w:hAnsi="宋体" w:eastAsia="宋体" w:cs="宋体"/>
          <w:b w:val="0"/>
          <w:bCs w:val="0"/>
          <w:color w:val="auto"/>
          <w:kern w:val="2"/>
          <w:sz w:val="24"/>
          <w:szCs w:val="24"/>
          <w:highlight w:val="none"/>
          <w:lang w:val="en-US" w:eastAsia="zh-CN" w:bidi="ar-SA"/>
        </w:rPr>
        <w:t>十三、违约责任</w:t>
      </w:r>
      <w:bookmarkEnd w:id="105"/>
    </w:p>
    <w:p w14:paraId="285BA57E">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1.甲方无正当理由拒收货物的，甲方向乙方偿付拒收货款总值的百分之五违约金。</w:t>
      </w:r>
    </w:p>
    <w:p w14:paraId="3F89661F">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2.甲方无故逾期验收和办理货款支付手续的,甲方应按逾期付款总额每日万分之五向乙方支付违约金。</w:t>
      </w:r>
    </w:p>
    <w:p w14:paraId="7E55E83C">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逾期交付货物的，乙方应按逾期交货总额每日千分之六向甲方支付违约金，甲方可直接从待付货款中扣除。乙方逾期超过约定日期10个工作日不能交货的或有其他违约行为的，甲方有权解除合同，预付款返还甲方，并且乙方应向甲方支付合同总价20%的违约金，如造成甲方损失超过违约金的，超出部分由乙方继续承担赔偿责任。</w:t>
      </w:r>
    </w:p>
    <w:p w14:paraId="04F14862">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4.乙方所交的货物品种、型号、规格、技术参数、质量不符合合同约定及</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75F7A1EB">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5.若发生纠纷，由违约方赔偿守约方因纠纷所支付的费用（包括但不限于律师费、差旅费、诉讼费、保全费、鉴定费、评估费等）。</w:t>
      </w:r>
    </w:p>
    <w:p w14:paraId="21A7672E">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6" w:name="_Toc28996"/>
      <w:r>
        <w:rPr>
          <w:rFonts w:hint="eastAsia" w:ascii="宋体" w:hAnsi="宋体" w:eastAsia="宋体" w:cs="宋体"/>
          <w:b w:val="0"/>
          <w:bCs w:val="0"/>
          <w:color w:val="auto"/>
          <w:kern w:val="2"/>
          <w:sz w:val="24"/>
          <w:szCs w:val="24"/>
          <w:highlight w:val="none"/>
          <w:lang w:val="en-US" w:eastAsia="zh-CN" w:bidi="ar-SA"/>
        </w:rPr>
        <w:t>十四、不可抗力</w:t>
      </w:r>
      <w:bookmarkEnd w:id="106"/>
    </w:p>
    <w:p w14:paraId="4284E4A4">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1.在合同有效期内，任何一方因不可抗力事件导致不能履行合同，则合同履行期可延长，其延长期与不可抗力影响期相同。</w:t>
      </w:r>
    </w:p>
    <w:p w14:paraId="3A3979AB">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2.不可抗力事件发生后，应立即通知对方，并寄送有关权威机构出具的证明。</w:t>
      </w:r>
    </w:p>
    <w:p w14:paraId="6CD9674C">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3.不可抗力事件延续60天以上，双方应通过友好协商，确定是否继续履行合同。</w:t>
      </w:r>
    </w:p>
    <w:p w14:paraId="3EE791E2">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7" w:name="_Toc30494"/>
      <w:r>
        <w:rPr>
          <w:rFonts w:hint="eastAsia" w:ascii="宋体" w:hAnsi="宋体" w:eastAsia="宋体" w:cs="宋体"/>
          <w:b w:val="0"/>
          <w:bCs w:val="0"/>
          <w:color w:val="auto"/>
          <w:kern w:val="2"/>
          <w:sz w:val="24"/>
          <w:szCs w:val="24"/>
          <w:highlight w:val="none"/>
          <w:lang w:val="en-US" w:eastAsia="zh-CN" w:bidi="ar-SA"/>
        </w:rPr>
        <w:t>十五、解决合同纠纷方式</w:t>
      </w:r>
      <w:bookmarkEnd w:id="107"/>
    </w:p>
    <w:p w14:paraId="4A10F2A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双方在执行合同中所发生的一切争议，应通过协商解决。如协商不成，依法向甲方所在地人民法院提起诉讼。</w:t>
      </w:r>
    </w:p>
    <w:p w14:paraId="6FA8DE40">
      <w:pPr>
        <w:widowControl w:val="0"/>
        <w:spacing w:before="0" w:after="0" w:line="360" w:lineRule="auto"/>
        <w:ind w:firstLine="480" w:firstLineChars="200"/>
        <w:jc w:val="left"/>
        <w:outlineLvl w:val="0"/>
        <w:rPr>
          <w:rFonts w:ascii="宋体" w:hAnsi="宋体" w:eastAsia="宋体" w:cs="宋体"/>
          <w:b w:val="0"/>
          <w:bCs w:val="0"/>
          <w:color w:val="auto"/>
          <w:kern w:val="2"/>
          <w:sz w:val="24"/>
          <w:szCs w:val="24"/>
          <w:highlight w:val="none"/>
          <w:lang w:val="en-US" w:eastAsia="zh-CN" w:bidi="ar-SA"/>
        </w:rPr>
      </w:pPr>
      <w:bookmarkStart w:id="108" w:name="_Toc3514"/>
      <w:r>
        <w:rPr>
          <w:rFonts w:hint="eastAsia" w:ascii="宋体" w:hAnsi="宋体" w:eastAsia="宋体" w:cs="宋体"/>
          <w:b w:val="0"/>
          <w:bCs w:val="0"/>
          <w:color w:val="auto"/>
          <w:kern w:val="2"/>
          <w:sz w:val="24"/>
          <w:szCs w:val="24"/>
          <w:highlight w:val="none"/>
          <w:lang w:val="en-US" w:eastAsia="zh-CN" w:bidi="ar-SA"/>
        </w:rPr>
        <w:t>十六、合同生效及其它</w:t>
      </w:r>
      <w:bookmarkEnd w:id="108"/>
    </w:p>
    <w:p w14:paraId="72A920A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1.合同经双方法定代表人或授权代表签字并加盖单位公章后生效。</w:t>
      </w:r>
    </w:p>
    <w:p w14:paraId="362C29EF">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2.本合同未尽事宜，遵照《民法典》及有关规定执行。</w:t>
      </w:r>
    </w:p>
    <w:p w14:paraId="2EEECFA4">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3.本合同一式柒份，甲方执伍份、乙方执贰份。本项目未尽事宜以</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、投标文件及澄清文件等为准。</w:t>
      </w:r>
    </w:p>
    <w:p w14:paraId="229576E8">
      <w:pPr>
        <w:widowControl/>
        <w:spacing w:line="360" w:lineRule="auto"/>
        <w:ind w:firstLine="482" w:firstLineChars="200"/>
        <w:rPr>
          <w:rFonts w:ascii="宋体" w:hAnsi="宋体" w:eastAsia="宋体" w:cs="宋体"/>
          <w:b/>
          <w:color w:val="auto"/>
          <w:sz w:val="24"/>
          <w:szCs w:val="24"/>
          <w:highlight w:val="none"/>
        </w:rPr>
      </w:pPr>
    </w:p>
    <w:p w14:paraId="738E815E">
      <w:pPr>
        <w:widowControl/>
        <w:spacing w:line="360" w:lineRule="auto"/>
        <w:ind w:firstLine="482" w:firstLineChars="200"/>
        <w:rPr>
          <w:rFonts w:ascii="宋体" w:hAnsi="宋体" w:eastAsia="宋体" w:cs="宋体"/>
          <w:b/>
          <w:color w:val="auto"/>
          <w:sz w:val="24"/>
          <w:szCs w:val="24"/>
          <w:highlight w:val="none"/>
        </w:rPr>
      </w:pPr>
    </w:p>
    <w:p w14:paraId="528E2400">
      <w:pPr>
        <w:spacing w:line="360" w:lineRule="auto"/>
        <w:ind w:left="5880" w:hanging="5880" w:hangingChars="2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甲方（公章）台州学院                  乙方（公章）</w:t>
      </w:r>
    </w:p>
    <w:p w14:paraId="16AF9925">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C6FE66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568290D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联系电话：0576-88660896               联系电话：</w:t>
      </w:r>
    </w:p>
    <w:p w14:paraId="7C11027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开户银行：建行台州市分行              开户银行： </w:t>
      </w:r>
    </w:p>
    <w:p w14:paraId="6DD43B3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0"/>
          <w:sz w:val="24"/>
          <w:szCs w:val="24"/>
          <w:highlight w:val="none"/>
        </w:rPr>
        <w:t>33050166350000000852</w:t>
      </w:r>
      <w:r>
        <w:rPr>
          <w:rFonts w:hint="eastAsia" w:ascii="宋体" w:hAnsi="宋体" w:eastAsia="宋体" w:cs="宋体"/>
          <w:color w:val="auto"/>
          <w:sz w:val="24"/>
          <w:szCs w:val="24"/>
          <w:highlight w:val="none"/>
        </w:rPr>
        <w:t xml:space="preserve">            账号：</w:t>
      </w:r>
    </w:p>
    <w:p w14:paraId="2F779B65">
      <w:pPr>
        <w:spacing w:line="360" w:lineRule="auto"/>
        <w:ind w:left="3800" w:hanging="3800" w:hangingChars="1900"/>
        <w:rPr>
          <w:rFonts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地址：</w:t>
      </w:r>
      <w:r>
        <w:rPr>
          <w:rFonts w:hint="eastAsia" w:ascii="宋体" w:hAnsi="宋体" w:eastAsia="宋体" w:cs="宋体"/>
          <w:color w:val="auto"/>
          <w:sz w:val="24"/>
          <w:szCs w:val="24"/>
          <w:highlight w:val="none"/>
        </w:rPr>
        <w:t xml:space="preserve">台州市椒江区市府大道1139号      </w:t>
      </w:r>
      <w:r>
        <w:rPr>
          <w:rFonts w:hint="eastAsia" w:ascii="宋体" w:hAnsi="宋体" w:eastAsia="宋体" w:cs="宋体"/>
          <w:color w:val="auto"/>
          <w:spacing w:val="-20"/>
          <w:sz w:val="24"/>
          <w:szCs w:val="24"/>
          <w:highlight w:val="none"/>
        </w:rPr>
        <w:t>地址：</w:t>
      </w:r>
    </w:p>
    <w:p w14:paraId="7383559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32B8F62">
      <w:pPr>
        <w:spacing w:line="360" w:lineRule="auto"/>
        <w:ind w:firstLine="480" w:firstLineChars="200"/>
        <w:rPr>
          <w:rFonts w:ascii="宋体" w:hAnsi="宋体" w:eastAsia="宋体" w:cs="宋体"/>
          <w:color w:val="auto"/>
          <w:sz w:val="24"/>
          <w:szCs w:val="24"/>
          <w:highlight w:val="none"/>
        </w:rPr>
      </w:pPr>
    </w:p>
    <w:p w14:paraId="130E5935">
      <w:pPr>
        <w:keepNext w:val="0"/>
        <w:keepLines w:val="0"/>
        <w:pageBreakBefore w:val="0"/>
        <w:kinsoku/>
        <w:wordWrap/>
        <w:overflowPunct/>
        <w:topLinePunct w:val="0"/>
        <w:autoSpaceDE/>
        <w:autoSpaceDN/>
        <w:bidi w:val="0"/>
        <w:adjustRightInd/>
        <w:spacing w:line="48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签订时间： 2024年    月    日</w:t>
      </w:r>
    </w:p>
    <w:bookmarkEnd w:id="89"/>
    <w:p w14:paraId="70E26067">
      <w:pPr>
        <w:rPr>
          <w:rFonts w:hint="eastAsia" w:ascii="宋体" w:hAnsi="宋体" w:eastAsia="宋体" w:cs="宋体"/>
          <w:b/>
          <w:color w:val="auto"/>
          <w:sz w:val="32"/>
          <w:szCs w:val="32"/>
          <w:highlight w:val="none"/>
        </w:rPr>
      </w:pPr>
      <w:bookmarkStart w:id="109" w:name="_Toc31348"/>
      <w:r>
        <w:rPr>
          <w:rFonts w:hint="eastAsia" w:ascii="宋体" w:hAnsi="宋体" w:eastAsia="宋体" w:cs="宋体"/>
          <w:b/>
          <w:color w:val="auto"/>
          <w:sz w:val="32"/>
          <w:szCs w:val="32"/>
          <w:highlight w:val="none"/>
        </w:rPr>
        <w:br w:type="page"/>
      </w:r>
    </w:p>
    <w:p w14:paraId="557F9EDF">
      <w:pPr>
        <w:jc w:val="center"/>
        <w:outlineLvl w:val="0"/>
        <w:rPr>
          <w:rFonts w:ascii="宋体" w:hAnsi="宋体" w:eastAsia="宋体" w:cs="宋体"/>
          <w:b/>
          <w:bCs/>
          <w:color w:val="auto"/>
          <w:sz w:val="32"/>
          <w:szCs w:val="32"/>
          <w:highlight w:val="none"/>
        </w:rPr>
      </w:pPr>
      <w:bookmarkStart w:id="110" w:name="_Toc6437"/>
      <w:r>
        <w:rPr>
          <w:rFonts w:hint="eastAsia" w:ascii="宋体" w:hAnsi="宋体" w:eastAsia="宋体" w:cs="宋体"/>
          <w:b/>
          <w:color w:val="auto"/>
          <w:sz w:val="32"/>
          <w:szCs w:val="32"/>
          <w:highlight w:val="none"/>
        </w:rPr>
        <w:t xml:space="preserve">第七部分   </w:t>
      </w:r>
      <w:r>
        <w:rPr>
          <w:rFonts w:hint="eastAsia" w:ascii="宋体" w:hAnsi="宋体" w:eastAsia="宋体" w:cs="宋体"/>
          <w:b/>
          <w:bCs/>
          <w:color w:val="auto"/>
          <w:sz w:val="32"/>
          <w:szCs w:val="32"/>
          <w:highlight w:val="none"/>
        </w:rPr>
        <w:t>格式与表格</w:t>
      </w:r>
      <w:bookmarkEnd w:id="109"/>
      <w:bookmarkEnd w:id="110"/>
    </w:p>
    <w:p w14:paraId="0ADE115E">
      <w:pPr>
        <w:widowControl w:val="0"/>
        <w:spacing w:after="120"/>
        <w:jc w:val="both"/>
        <w:rPr>
          <w:rFonts w:ascii="宋体" w:hAnsi="宋体" w:eastAsia="宋体" w:cs="宋体"/>
          <w:color w:val="auto"/>
          <w:kern w:val="2"/>
          <w:sz w:val="21"/>
          <w:szCs w:val="24"/>
          <w:highlight w:val="none"/>
          <w:lang w:val="en-US" w:eastAsia="zh-CN" w:bidi="ar-SA"/>
        </w:rPr>
      </w:pPr>
    </w:p>
    <w:p w14:paraId="235DBECD">
      <w:pPr>
        <w:shd w:val="clear" w:color="auto" w:fill="FFFFFF"/>
        <w:snapToGrid w:val="0"/>
        <w:spacing w:line="360" w:lineRule="auto"/>
        <w:jc w:val="center"/>
        <w:rPr>
          <w:rFonts w:ascii="宋体" w:hAnsi="宋体" w:eastAsia="宋体" w:cs="宋体"/>
          <w:b/>
          <w:bCs/>
          <w:color w:val="auto"/>
          <w:szCs w:val="21"/>
          <w:highlight w:val="none"/>
        </w:rPr>
      </w:pPr>
      <w:bookmarkStart w:id="111" w:name="_Toc2172"/>
      <w:bookmarkStart w:id="112" w:name="_Toc22871"/>
      <w:r>
        <w:rPr>
          <w:rFonts w:hint="eastAsia" w:ascii="宋体" w:hAnsi="宋体" w:eastAsia="宋体" w:cs="宋体"/>
          <w:color w:val="auto"/>
          <w:sz w:val="52"/>
          <w:szCs w:val="52"/>
          <w:highlight w:val="none"/>
        </w:rPr>
        <w:t>项目名称</w:t>
      </w:r>
      <w:bookmarkEnd w:id="111"/>
      <w:bookmarkEnd w:id="112"/>
    </w:p>
    <w:p w14:paraId="314D72FB">
      <w:pPr>
        <w:spacing w:line="360" w:lineRule="auto"/>
        <w:ind w:firstLine="3596" w:firstLineChars="995"/>
        <w:jc w:val="left"/>
        <w:rPr>
          <w:rFonts w:ascii="宋体" w:hAnsi="宋体" w:eastAsia="宋体" w:cs="宋体"/>
          <w:color w:val="auto"/>
          <w:sz w:val="30"/>
          <w:szCs w:val="30"/>
          <w:highlight w:val="none"/>
        </w:rPr>
      </w:pPr>
      <w:r>
        <w:rPr>
          <w:rFonts w:hint="eastAsia" w:ascii="宋体" w:hAnsi="宋体" w:eastAsia="宋体" w:cs="宋体"/>
          <w:b/>
          <w:color w:val="auto"/>
          <w:sz w:val="36"/>
          <w:szCs w:val="36"/>
          <w:highlight w:val="none"/>
        </w:rPr>
        <w:t>项目编号：</w:t>
      </w:r>
    </w:p>
    <w:p w14:paraId="57A2BA93">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w:t>
      </w:r>
    </w:p>
    <w:p w14:paraId="5F95D126">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标</w:t>
      </w:r>
    </w:p>
    <w:p w14:paraId="7B5CC918">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文</w:t>
      </w:r>
    </w:p>
    <w:p w14:paraId="796F58A4">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件</w:t>
      </w:r>
    </w:p>
    <w:p w14:paraId="3DFD827A">
      <w:pPr>
        <w:spacing w:line="360" w:lineRule="auto"/>
        <w:jc w:val="center"/>
        <w:rPr>
          <w:rFonts w:ascii="宋体" w:hAnsi="宋体" w:eastAsia="宋体" w:cs="宋体"/>
          <w:color w:val="auto"/>
          <w:sz w:val="28"/>
          <w:szCs w:val="28"/>
          <w:highlight w:val="none"/>
        </w:rPr>
      </w:pPr>
    </w:p>
    <w:p w14:paraId="61B09CF4">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（资格证明文件）</w:t>
      </w:r>
    </w:p>
    <w:p w14:paraId="2F896996">
      <w:pPr>
        <w:spacing w:line="360" w:lineRule="auto"/>
        <w:jc w:val="center"/>
        <w:rPr>
          <w:rFonts w:ascii="宋体" w:hAnsi="宋体" w:eastAsia="宋体" w:cs="宋体"/>
          <w:color w:val="auto"/>
          <w:sz w:val="32"/>
          <w:szCs w:val="32"/>
          <w:highlight w:val="none"/>
        </w:rPr>
      </w:pPr>
    </w:p>
    <w:p w14:paraId="571EC722">
      <w:pPr>
        <w:spacing w:line="360" w:lineRule="auto"/>
        <w:jc w:val="center"/>
        <w:rPr>
          <w:rFonts w:ascii="宋体" w:hAnsi="宋体" w:eastAsia="宋体" w:cs="宋体"/>
          <w:color w:val="auto"/>
          <w:sz w:val="32"/>
          <w:szCs w:val="32"/>
          <w:highlight w:val="none"/>
        </w:rPr>
      </w:pPr>
    </w:p>
    <w:p w14:paraId="66C78B73">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投标人名称（公章）：</w:t>
      </w:r>
    </w:p>
    <w:p w14:paraId="7CA0651F">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投标人地址：</w:t>
      </w:r>
    </w:p>
    <w:p w14:paraId="023E57E5">
      <w:pPr>
        <w:widowControl w:val="0"/>
        <w:ind w:left="0" w:leftChars="0" w:firstLine="1440" w:firstLineChars="400"/>
        <w:jc w:val="both"/>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36"/>
          <w:szCs w:val="36"/>
          <w:highlight w:val="none"/>
          <w:lang w:val="en-US" w:eastAsia="zh-CN" w:bidi="ar-SA"/>
        </w:rPr>
        <w:t>时    间：</w:t>
      </w:r>
    </w:p>
    <w:p w14:paraId="2ADB86F1">
      <w:pPr>
        <w:rPr>
          <w:rFonts w:ascii="宋体" w:hAnsi="宋体" w:eastAsia="宋体" w:cs="宋体"/>
          <w:color w:val="auto"/>
          <w:highlight w:val="none"/>
        </w:rPr>
      </w:pPr>
    </w:p>
    <w:p w14:paraId="6D7474A6">
      <w:pPr>
        <w:widowControl w:val="0"/>
        <w:spacing w:after="120"/>
        <w:jc w:val="both"/>
        <w:rPr>
          <w:rFonts w:ascii="宋体" w:hAnsi="宋体" w:eastAsia="宋体" w:cs="宋体"/>
          <w:color w:val="auto"/>
          <w:kern w:val="2"/>
          <w:sz w:val="21"/>
          <w:szCs w:val="24"/>
          <w:highlight w:val="none"/>
          <w:lang w:val="en-US" w:eastAsia="zh-CN" w:bidi="ar-SA"/>
        </w:rPr>
      </w:pPr>
    </w:p>
    <w:p w14:paraId="58C073DF">
      <w:pPr>
        <w:spacing w:line="360" w:lineRule="auto"/>
        <w:jc w:val="center"/>
        <w:rPr>
          <w:rFonts w:ascii="宋体" w:hAnsi="宋体" w:eastAsia="宋体" w:cs="宋体"/>
          <w:b/>
          <w:color w:val="auto"/>
          <w:sz w:val="44"/>
          <w:szCs w:val="44"/>
          <w:highlight w:val="none"/>
        </w:rPr>
      </w:pPr>
    </w:p>
    <w:p w14:paraId="24F78BC8">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6DBC099F">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077453B8">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592F667D">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1、符合参加政府采购活动应当具备的一般条件的承诺函………………………………（页码）</w:t>
      </w:r>
    </w:p>
    <w:p w14:paraId="68296E1B">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2、法人或者其他组织的营业执照等证明文件，自然人的身份证明……………………（页码）</w:t>
      </w:r>
    </w:p>
    <w:p w14:paraId="218D6A57">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3、本项目的特定资格要求（如果有，提供采购公告中符合供应商特定条件的有效资质证书扫描件)，以及供应商认为有必要提供的其他资格证明资料………………………………（页码）     </w:t>
      </w:r>
    </w:p>
    <w:p w14:paraId="5293B302">
      <w:pPr>
        <w:widowControl w:val="0"/>
        <w:spacing w:line="48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目录自行扩展)</w:t>
      </w:r>
    </w:p>
    <w:p w14:paraId="7B3AC346">
      <w:pPr>
        <w:rPr>
          <w:rFonts w:ascii="宋体" w:hAnsi="宋体" w:eastAsia="宋体" w:cs="宋体"/>
          <w:color w:val="auto"/>
          <w:highlight w:val="none"/>
        </w:rPr>
      </w:pPr>
    </w:p>
    <w:p w14:paraId="4B8A98E3">
      <w:pPr>
        <w:spacing w:after="100" w:afterAutospacing="1"/>
        <w:jc w:val="center"/>
        <w:rPr>
          <w:rFonts w:ascii="宋体" w:hAnsi="宋体" w:cs="宋体"/>
          <w:b/>
          <w:color w:val="auto"/>
          <w:sz w:val="32"/>
          <w:szCs w:val="32"/>
          <w:highlight w:val="none"/>
        </w:rPr>
        <w:sectPr>
          <w:footerReference r:id="rId10" w:type="default"/>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7B06680C">
      <w:pPr>
        <w:spacing w:after="100" w:afterAutospacing="1"/>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一、符合参加政府采购活动应当具备的一般条件的承诺函</w:t>
      </w:r>
    </w:p>
    <w:p w14:paraId="09295C71">
      <w:pPr>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7A8ABA15">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我方参与（项目名称）【招标编号：（采购编号）】政府采购活动，郑重承诺：</w:t>
      </w:r>
    </w:p>
    <w:p w14:paraId="14CE48C3">
      <w:pPr>
        <w:kinsoku/>
        <w:overflowPunct/>
        <w:topLinePunct w:val="0"/>
        <w:bidi w:val="0"/>
        <w:snapToGrid w:val="0"/>
        <w:spacing w:beforeAutospacing="0" w:afterAutospacing="0"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21FC74A7">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99F4913">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A0B7B4B">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492A6D0">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2A330B">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765CB771">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2B39AE96">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7168E4BD">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248E22FC">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B566D05">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7FFC298C">
      <w:pPr>
        <w:kinsoku/>
        <w:overflowPunct/>
        <w:topLinePunct w:val="0"/>
        <w:bidi w:val="0"/>
        <w:snapToGrid w:val="0"/>
        <w:spacing w:beforeAutospacing="0" w:afterAutospacing="0" w:line="440" w:lineRule="exact"/>
        <w:jc w:val="both"/>
        <w:rPr>
          <w:rFonts w:hint="eastAsia" w:ascii="宋体" w:hAnsi="宋体" w:eastAsia="宋体" w:cs="宋体"/>
          <w:color w:val="auto"/>
          <w:kern w:val="0"/>
          <w:sz w:val="24"/>
          <w:szCs w:val="24"/>
          <w:highlight w:val="none"/>
          <w:lang w:val="zh-CN"/>
        </w:rPr>
      </w:pPr>
    </w:p>
    <w:p w14:paraId="1BE44084">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751D6066">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361CE035">
      <w:pPr>
        <w:spacing w:after="100" w:afterAutospacing="1" w:line="48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1B59582F">
      <w:pPr>
        <w:spacing w:after="100" w:afterAutospacing="1"/>
        <w:jc w:val="both"/>
        <w:rPr>
          <w:rFonts w:hint="eastAsia" w:ascii="宋体" w:hAnsi="宋体" w:eastAsia="宋体" w:cs="宋体"/>
          <w:color w:val="auto"/>
          <w:kern w:val="0"/>
          <w:sz w:val="24"/>
          <w:szCs w:val="24"/>
          <w:highlight w:val="none"/>
          <w:lang w:val="zh-CN"/>
        </w:rPr>
      </w:pPr>
    </w:p>
    <w:p w14:paraId="3E63D8B6">
      <w:pPr>
        <w:spacing w:after="100" w:afterAutospacing="1"/>
        <w:jc w:val="both"/>
        <w:rPr>
          <w:rFonts w:hint="eastAsia" w:ascii="宋体" w:hAnsi="宋体" w:eastAsia="宋体" w:cs="宋体"/>
          <w:b/>
          <w:color w:val="auto"/>
          <w:sz w:val="32"/>
          <w:szCs w:val="32"/>
          <w:highlight w:val="none"/>
        </w:rPr>
      </w:pPr>
    </w:p>
    <w:p w14:paraId="7588EAFB">
      <w:pPr>
        <w:spacing w:after="100" w:afterAutospacing="1"/>
        <w:jc w:val="both"/>
        <w:rPr>
          <w:rFonts w:hint="eastAsia" w:ascii="宋体" w:hAnsi="宋体" w:eastAsia="宋体" w:cs="宋体"/>
          <w:b/>
          <w:color w:val="auto"/>
          <w:sz w:val="32"/>
          <w:szCs w:val="32"/>
          <w:highlight w:val="none"/>
        </w:rPr>
      </w:pPr>
    </w:p>
    <w:p w14:paraId="241390B0">
      <w:pPr>
        <w:spacing w:after="100" w:afterAutospacing="1"/>
        <w:jc w:val="both"/>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二、法人或者其他组织的营业执照等证明文件，自然人的身份证明</w:t>
      </w:r>
    </w:p>
    <w:p w14:paraId="64C4BF72">
      <w:pPr>
        <w:pStyle w:val="103"/>
        <w:rPr>
          <w:rFonts w:ascii="宋体" w:hAnsi="宋体" w:eastAsia="宋体" w:cs="宋体"/>
          <w:color w:val="auto"/>
          <w:sz w:val="21"/>
          <w:szCs w:val="21"/>
          <w:highlight w:val="none"/>
        </w:rPr>
      </w:pPr>
    </w:p>
    <w:p w14:paraId="528ADDF5">
      <w:pPr>
        <w:pStyle w:val="103"/>
        <w:rPr>
          <w:rFonts w:ascii="宋体" w:hAnsi="宋体" w:eastAsia="宋体" w:cs="宋体"/>
          <w:color w:val="auto"/>
          <w:sz w:val="21"/>
          <w:szCs w:val="21"/>
          <w:highlight w:val="none"/>
        </w:rPr>
      </w:pPr>
    </w:p>
    <w:p w14:paraId="177CECEE">
      <w:pPr>
        <w:widowControl w:val="0"/>
        <w:spacing w:line="360" w:lineRule="auto"/>
        <w:ind w:left="0" w:leftChars="0" w:firstLine="0" w:firstLineChars="0"/>
        <w:jc w:val="both"/>
        <w:rPr>
          <w:rFonts w:ascii="宋体" w:hAnsi="宋体" w:eastAsia="宋体" w:cs="宋体"/>
          <w:b/>
          <w:color w:val="auto"/>
          <w:kern w:val="2"/>
          <w:sz w:val="28"/>
          <w:szCs w:val="22"/>
          <w:highlight w:val="none"/>
          <w:lang w:val="en-US" w:eastAsia="zh-CN" w:bidi="ar-SA"/>
        </w:rPr>
      </w:pPr>
    </w:p>
    <w:p w14:paraId="2702C043">
      <w:pPr>
        <w:widowControl w:val="0"/>
        <w:spacing w:line="360" w:lineRule="auto"/>
        <w:ind w:left="0" w:leftChars="0" w:firstLine="0" w:firstLineChars="0"/>
        <w:jc w:val="both"/>
        <w:rPr>
          <w:rFonts w:ascii="宋体" w:hAnsi="宋体" w:eastAsia="宋体" w:cs="宋体"/>
          <w:b/>
          <w:color w:val="auto"/>
          <w:kern w:val="2"/>
          <w:sz w:val="28"/>
          <w:szCs w:val="22"/>
          <w:highlight w:val="none"/>
          <w:lang w:val="en-US" w:eastAsia="zh-CN" w:bidi="ar-SA"/>
        </w:rPr>
      </w:pPr>
    </w:p>
    <w:p w14:paraId="55DB867B">
      <w:pPr>
        <w:rPr>
          <w:rFonts w:hint="eastAsia" w:eastAsia="宋体" w:cs="宋体"/>
          <w:color w:val="auto"/>
          <w:highlight w:val="none"/>
          <w:lang w:eastAsia="zh-CN"/>
        </w:rPr>
      </w:pPr>
      <w:r>
        <w:rPr>
          <w:rFonts w:hint="eastAsia" w:cs="宋体"/>
          <w:b/>
          <w:color w:val="auto"/>
          <w:sz w:val="32"/>
          <w:szCs w:val="32"/>
          <w:highlight w:val="none"/>
          <w:lang w:eastAsia="zh-CN"/>
        </w:rPr>
        <w:t>三</w:t>
      </w:r>
      <w:r>
        <w:rPr>
          <w:rFonts w:hint="eastAsia" w:eastAsia="宋体" w:cs="宋体"/>
          <w:b/>
          <w:color w:val="auto"/>
          <w:sz w:val="32"/>
          <w:szCs w:val="32"/>
          <w:highlight w:val="none"/>
        </w:rPr>
        <w:t>、本项目的特定资格要求</w:t>
      </w:r>
      <w:r>
        <w:rPr>
          <w:rFonts w:hint="eastAsia" w:eastAsia="宋体" w:cs="宋体"/>
          <w:b/>
          <w:color w:val="auto"/>
          <w:sz w:val="32"/>
          <w:szCs w:val="32"/>
          <w:highlight w:val="none"/>
          <w:lang w:eastAsia="zh-CN"/>
        </w:rPr>
        <w:t>，以及供应商认为有必要提供的其他资格证明资料</w:t>
      </w:r>
    </w:p>
    <w:p w14:paraId="4AF1180C">
      <w:pPr>
        <w:spacing w:line="360" w:lineRule="auto"/>
        <w:jc w:val="center"/>
        <w:rPr>
          <w:rFonts w:hint="eastAsia" w:ascii="宋体" w:hAnsi="宋体" w:eastAsia="宋体" w:cs="宋体"/>
          <w:color w:val="auto"/>
          <w:sz w:val="24"/>
          <w:highlight w:val="none"/>
        </w:rPr>
      </w:pPr>
    </w:p>
    <w:p w14:paraId="611187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5569267">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（供应商认为有必要提供的其他资格证明资料，如果有，可提供）</w:t>
      </w:r>
    </w:p>
    <w:p w14:paraId="43D7E7D0">
      <w:pPr>
        <w:widowControl w:val="0"/>
        <w:spacing w:line="360" w:lineRule="auto"/>
        <w:ind w:left="420" w:leftChars="200" w:firstLine="440" w:firstLineChars="200"/>
        <w:jc w:val="both"/>
        <w:rPr>
          <w:rFonts w:ascii="宋体" w:hAnsi="宋体" w:eastAsia="宋体" w:cs="宋体"/>
          <w:color w:val="auto"/>
          <w:kern w:val="2"/>
          <w:sz w:val="22"/>
          <w:szCs w:val="22"/>
          <w:highlight w:val="none"/>
          <w:lang w:val="en-US" w:eastAsia="zh-CN" w:bidi="ar-SA"/>
        </w:rPr>
      </w:pPr>
    </w:p>
    <w:p w14:paraId="57B32477">
      <w:pPr>
        <w:rPr>
          <w:rFonts w:ascii="宋体" w:hAnsi="宋体" w:eastAsia="宋体" w:cs="宋体"/>
          <w:color w:val="auto"/>
          <w:highlight w:val="none"/>
        </w:rPr>
      </w:pPr>
    </w:p>
    <w:p w14:paraId="01F8C6B3">
      <w:pPr>
        <w:rPr>
          <w:rFonts w:ascii="宋体" w:hAnsi="宋体" w:eastAsia="宋体" w:cs="宋体"/>
          <w:color w:val="auto"/>
          <w:highlight w:val="none"/>
        </w:rPr>
      </w:pPr>
    </w:p>
    <w:p w14:paraId="31CC24E3">
      <w:pPr>
        <w:spacing w:line="360" w:lineRule="auto"/>
        <w:jc w:val="center"/>
        <w:rPr>
          <w:rFonts w:ascii="宋体" w:hAnsi="宋体" w:eastAsia="宋体" w:cs="宋体"/>
          <w:b/>
          <w:bCs/>
          <w:color w:val="auto"/>
          <w:kern w:val="0"/>
          <w:sz w:val="32"/>
          <w:szCs w:val="32"/>
          <w:highlight w:val="none"/>
        </w:rPr>
      </w:pPr>
    </w:p>
    <w:p w14:paraId="632090DA">
      <w:pPr>
        <w:spacing w:line="360" w:lineRule="auto"/>
        <w:jc w:val="center"/>
        <w:rPr>
          <w:rFonts w:ascii="宋体" w:hAnsi="宋体" w:eastAsia="宋体" w:cs="宋体"/>
          <w:b/>
          <w:bCs/>
          <w:color w:val="auto"/>
          <w:kern w:val="0"/>
          <w:sz w:val="32"/>
          <w:szCs w:val="32"/>
          <w:highlight w:val="none"/>
        </w:rPr>
      </w:pPr>
    </w:p>
    <w:p w14:paraId="740530C0">
      <w:pPr>
        <w:pageBreakBefore/>
        <w:spacing w:line="360" w:lineRule="auto"/>
        <w:ind w:right="-108"/>
        <w:jc w:val="center"/>
        <w:outlineLvl w:val="0"/>
        <w:rPr>
          <w:rFonts w:ascii="宋体" w:hAnsi="宋体" w:eastAsia="宋体" w:cs="宋体"/>
          <w:color w:val="auto"/>
          <w:spacing w:val="40"/>
          <w:sz w:val="52"/>
          <w:szCs w:val="52"/>
          <w:highlight w:val="none"/>
        </w:rPr>
      </w:pPr>
      <w:bookmarkStart w:id="113" w:name="_Toc4606"/>
      <w:bookmarkStart w:id="114" w:name="_Toc11790"/>
      <w:bookmarkStart w:id="115" w:name="_Toc5348"/>
      <w:bookmarkStart w:id="116" w:name="_Toc30629"/>
      <w:bookmarkStart w:id="117" w:name="_Toc17190"/>
      <w:bookmarkStart w:id="118" w:name="_Toc24215"/>
      <w:bookmarkStart w:id="119" w:name="_Toc12630"/>
      <w:bookmarkStart w:id="120" w:name="_Toc29941"/>
      <w:bookmarkStart w:id="121" w:name="_Toc24755"/>
      <w:r>
        <w:rPr>
          <w:rFonts w:hint="eastAsia" w:ascii="宋体" w:hAnsi="宋体" w:eastAsia="宋体" w:cs="宋体"/>
          <w:color w:val="auto"/>
          <w:spacing w:val="40"/>
          <w:sz w:val="52"/>
          <w:szCs w:val="52"/>
          <w:highlight w:val="none"/>
        </w:rPr>
        <w:t>项目名称</w:t>
      </w:r>
      <w:bookmarkEnd w:id="113"/>
      <w:bookmarkEnd w:id="114"/>
      <w:bookmarkEnd w:id="115"/>
      <w:bookmarkEnd w:id="116"/>
      <w:bookmarkEnd w:id="117"/>
      <w:bookmarkEnd w:id="118"/>
      <w:bookmarkEnd w:id="119"/>
      <w:bookmarkEnd w:id="120"/>
      <w:bookmarkEnd w:id="121"/>
    </w:p>
    <w:p w14:paraId="7A045CE6">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3312620E">
      <w:pPr>
        <w:spacing w:beforeLines="100"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05EB6A8">
      <w:pPr>
        <w:autoSpaceDE w:val="0"/>
        <w:autoSpaceDN w:val="0"/>
        <w:adjustRightInd w:val="0"/>
        <w:spacing w:line="360" w:lineRule="auto"/>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3078B2C7">
      <w:pPr>
        <w:autoSpaceDE w:val="0"/>
        <w:autoSpaceDN w:val="0"/>
        <w:adjustRightInd w:val="0"/>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10675C21">
      <w:pPr>
        <w:spacing w:after="100" w:afterAutospacing="1"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429A51F">
      <w:pPr>
        <w:spacing w:after="100" w:afterAutospacing="1" w:line="360" w:lineRule="auto"/>
        <w:ind w:right="-108"/>
        <w:jc w:val="center"/>
        <w:rPr>
          <w:rFonts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4F476449">
      <w:pPr>
        <w:spacing w:line="480" w:lineRule="auto"/>
        <w:ind w:right="532" w:firstLine="720" w:firstLineChars="200"/>
        <w:rPr>
          <w:rFonts w:ascii="宋体" w:hAnsi="宋体" w:eastAsia="宋体" w:cs="宋体"/>
          <w:color w:val="auto"/>
          <w:sz w:val="36"/>
          <w:szCs w:val="36"/>
          <w:highlight w:val="none"/>
        </w:rPr>
      </w:pPr>
    </w:p>
    <w:p w14:paraId="1482B270">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3B47DC1D">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2673AF27">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398D10E">
      <w:pPr>
        <w:rPr>
          <w:rFonts w:ascii="宋体" w:hAnsi="宋体" w:eastAsia="宋体" w:cs="宋体"/>
          <w:color w:val="auto"/>
          <w:highlight w:val="none"/>
        </w:rPr>
      </w:pPr>
    </w:p>
    <w:p w14:paraId="3C7D7EAF">
      <w:pPr>
        <w:widowControl w:val="0"/>
        <w:spacing w:after="120"/>
        <w:jc w:val="both"/>
        <w:rPr>
          <w:rFonts w:ascii="宋体" w:hAnsi="宋体" w:eastAsia="宋体" w:cs="宋体"/>
          <w:color w:val="auto"/>
          <w:kern w:val="2"/>
          <w:sz w:val="21"/>
          <w:szCs w:val="24"/>
          <w:highlight w:val="none"/>
          <w:lang w:val="en-US" w:eastAsia="zh-CN" w:bidi="ar-SA"/>
        </w:rPr>
      </w:pPr>
    </w:p>
    <w:p w14:paraId="441AB1C7">
      <w:pPr>
        <w:widowControl w:val="0"/>
        <w:ind w:left="2940" w:leftChars="1400"/>
        <w:jc w:val="both"/>
        <w:rPr>
          <w:rFonts w:ascii="宋体" w:hAnsi="宋体" w:eastAsia="宋体" w:cs="宋体"/>
          <w:color w:val="auto"/>
          <w:kern w:val="2"/>
          <w:sz w:val="21"/>
          <w:szCs w:val="24"/>
          <w:highlight w:val="none"/>
          <w:lang w:val="en-US" w:eastAsia="zh-CN" w:bidi="ar-SA"/>
        </w:rPr>
      </w:pPr>
    </w:p>
    <w:p w14:paraId="4AC0F26F">
      <w:pPr>
        <w:rPr>
          <w:rFonts w:ascii="宋体" w:hAnsi="宋体" w:eastAsia="宋体" w:cs="宋体"/>
          <w:b/>
          <w:color w:val="auto"/>
          <w:sz w:val="44"/>
          <w:szCs w:val="44"/>
          <w:highlight w:val="none"/>
        </w:rPr>
      </w:pPr>
    </w:p>
    <w:p w14:paraId="009EBFFE">
      <w:pPr>
        <w:jc w:val="center"/>
        <w:rPr>
          <w:rFonts w:ascii="宋体" w:hAnsi="宋体" w:cs="宋体"/>
          <w:b/>
          <w:color w:val="auto"/>
          <w:sz w:val="44"/>
          <w:szCs w:val="44"/>
          <w:highlight w:val="none"/>
        </w:rPr>
        <w:sectPr>
          <w:footerReference r:id="rId11" w:type="default"/>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72EE2EEF">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技术商务文件</w:t>
      </w:r>
    </w:p>
    <w:p w14:paraId="5C9B4BCA">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3D7B21D3">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1、商务技术自评表…………………………………………………………………………（页码）</w:t>
      </w:r>
    </w:p>
    <w:p w14:paraId="5D6DE5EF">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2、投标函……………………………………………………………………………………（页码）</w:t>
      </w:r>
    </w:p>
    <w:p w14:paraId="3F889DBD">
      <w:pPr>
        <w:spacing w:line="48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授权委托书或法定代表人身份证明……………………………………………………（页码）</w:t>
      </w:r>
    </w:p>
    <w:p w14:paraId="1577927E">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供应商基本情况表………………………………………………………………………（页码）</w:t>
      </w:r>
    </w:p>
    <w:p w14:paraId="5033A939">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供货清单</w:t>
      </w:r>
      <w:r>
        <w:rPr>
          <w:rFonts w:hint="eastAsia" w:ascii="宋体" w:hAnsi="宋体" w:eastAsia="宋体" w:cs="宋体"/>
          <w:color w:val="auto"/>
          <w:sz w:val="24"/>
          <w:highlight w:val="none"/>
        </w:rPr>
        <w:t>………………………………………………………………………………（页码）</w:t>
      </w:r>
    </w:p>
    <w:p w14:paraId="4D5163B6">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、技术规范偏离表…………………………………………………………………………（页码）</w:t>
      </w:r>
    </w:p>
    <w:p w14:paraId="570358B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、商务偏离表………………………………………………………………………………（页码）</w:t>
      </w:r>
    </w:p>
    <w:p w14:paraId="21B72624">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、相关项目实施业绩一览表………………………………………………………………（页码）</w:t>
      </w:r>
    </w:p>
    <w:p w14:paraId="4D035456">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供货</w:t>
      </w:r>
      <w:r>
        <w:rPr>
          <w:rFonts w:hint="eastAsia" w:ascii="宋体" w:hAnsi="宋体" w:eastAsia="宋体" w:cs="宋体"/>
          <w:color w:val="auto"/>
          <w:sz w:val="24"/>
          <w:highlight w:val="none"/>
        </w:rPr>
        <w:t>方案…………………………………………………………………………………（页码）</w:t>
      </w:r>
    </w:p>
    <w:p w14:paraId="255DFB3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、评分标准或采购文件需要提供的其他技术商务材料…………………………………（页码）</w:t>
      </w:r>
    </w:p>
    <w:p w14:paraId="6AA9D365">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、供应商认为有必要提供的其他技术商务文件资料……………………………………（页码）</w:t>
      </w:r>
    </w:p>
    <w:p w14:paraId="5877348C">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65116304">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2423345B">
      <w:pPr>
        <w:ind w:left="0" w:leftChars="0" w:firstLine="0" w:firstLineChars="0"/>
        <w:rPr>
          <w:rFonts w:ascii="宋体" w:hAnsi="宋体" w:cs="宋体"/>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1AF1493B">
      <w:pPr>
        <w:widowControl w:val="0"/>
        <w:ind w:left="2100" w:leftChars="1000"/>
        <w:jc w:val="both"/>
        <w:rPr>
          <w:rFonts w:ascii="宋体" w:hAnsi="宋体" w:eastAsia="宋体" w:cs="宋体"/>
          <w:color w:val="auto"/>
          <w:kern w:val="2"/>
          <w:sz w:val="21"/>
          <w:szCs w:val="24"/>
          <w:highlight w:val="none"/>
          <w:lang w:val="en-US" w:eastAsia="zh-CN" w:bidi="ar-SA"/>
        </w:rPr>
      </w:pPr>
    </w:p>
    <w:p w14:paraId="10F25CFD">
      <w:pPr>
        <w:pStyle w:val="111"/>
        <w:numPr>
          <w:ilvl w:val="0"/>
          <w:numId w:val="15"/>
        </w:numPr>
        <w:spacing w:afterLines="50" w:line="360" w:lineRule="auto"/>
        <w:ind w:firstLineChars="0"/>
        <w:jc w:val="center"/>
        <w:outlineLvl w:val="0"/>
        <w:rPr>
          <w:rFonts w:ascii="宋体" w:hAnsi="宋体" w:eastAsia="宋体" w:cs="宋体"/>
          <w:b/>
          <w:color w:val="auto"/>
          <w:kern w:val="2"/>
          <w:sz w:val="32"/>
          <w:szCs w:val="32"/>
          <w:highlight w:val="none"/>
        </w:rPr>
      </w:pPr>
      <w:bookmarkStart w:id="122" w:name="_Toc1427"/>
      <w:bookmarkStart w:id="123" w:name="_Toc20566"/>
      <w:bookmarkStart w:id="124" w:name="_Toc16737"/>
      <w:bookmarkStart w:id="125" w:name="_Toc28471"/>
      <w:bookmarkStart w:id="126" w:name="_Toc25635"/>
      <w:bookmarkStart w:id="127" w:name="_Toc4248"/>
      <w:bookmarkStart w:id="128" w:name="_Toc26107"/>
      <w:bookmarkStart w:id="129" w:name="_Toc13033"/>
      <w:bookmarkStart w:id="130" w:name="_Toc10956"/>
      <w:r>
        <w:rPr>
          <w:rFonts w:hint="eastAsia" w:ascii="宋体" w:hAnsi="宋体" w:eastAsia="宋体" w:cs="宋体"/>
          <w:b/>
          <w:color w:val="auto"/>
          <w:kern w:val="2"/>
          <w:sz w:val="32"/>
          <w:szCs w:val="32"/>
          <w:highlight w:val="none"/>
        </w:rPr>
        <w:t>商务技术自评表</w:t>
      </w:r>
      <w:bookmarkEnd w:id="122"/>
      <w:bookmarkEnd w:id="123"/>
      <w:bookmarkEnd w:id="124"/>
      <w:bookmarkEnd w:id="125"/>
      <w:bookmarkEnd w:id="126"/>
      <w:bookmarkEnd w:id="127"/>
      <w:bookmarkEnd w:id="128"/>
      <w:bookmarkEnd w:id="129"/>
      <w:bookmarkEnd w:id="130"/>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696F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93B650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7C1FB1A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7B77147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4BEFD06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41AF7FC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投标文件对应页码</w:t>
            </w:r>
          </w:p>
        </w:tc>
      </w:tr>
      <w:tr w14:paraId="6F77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9EE432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2027B6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E7ADA3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1BA04C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BFE668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11D6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EA7F29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A77436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DE605A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68618D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3EA517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681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51D691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371017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B6DF12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E3FFAA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913871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267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9C256C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83287F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23FDB1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6C2F3D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C7844C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11B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BD9C0B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3B813A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4AB7D5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BFD77B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B88D7C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711A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FE554F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C5E3B9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C2988D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C8DB2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813120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838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F34DD2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E79878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836768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78FF20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1595DA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039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C99EDB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5AED14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8EBF4A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8E7BE7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611BCF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698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A79277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9F4F3D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0256AF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5B0F76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E1B458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244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A18A31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A08A31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0B4639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F9F69B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BFAD81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23D9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9AB5E0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422FB1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DFEC8A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6DA54D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D8D680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bl>
    <w:p w14:paraId="146944E2">
      <w:pPr>
        <w:spacing w:afterLines="50" w:line="360" w:lineRule="auto"/>
        <w:jc w:val="center"/>
        <w:outlineLvl w:val="0"/>
        <w:rPr>
          <w:rFonts w:ascii="宋体" w:hAnsi="宋体" w:cs="宋体"/>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5565ED3E">
      <w:pPr>
        <w:pageBreakBefore/>
        <w:spacing w:line="360" w:lineRule="auto"/>
        <w:jc w:val="center"/>
        <w:rPr>
          <w:rFonts w:ascii="宋体" w:hAnsi="宋体" w:eastAsia="宋体" w:cs="宋体"/>
          <w:b/>
          <w:color w:val="auto"/>
          <w:sz w:val="32"/>
          <w:szCs w:val="32"/>
          <w:highlight w:val="none"/>
        </w:rPr>
      </w:pPr>
      <w:bookmarkStart w:id="131" w:name="_Toc8155"/>
      <w:bookmarkStart w:id="132" w:name="_Toc5952"/>
      <w:bookmarkStart w:id="133" w:name="_Toc10969"/>
      <w:bookmarkStart w:id="134" w:name="_Toc23521"/>
      <w:bookmarkStart w:id="135" w:name="_Toc29896"/>
      <w:bookmarkStart w:id="136" w:name="_Toc25271"/>
      <w:bookmarkStart w:id="137" w:name="_Toc2650"/>
      <w:bookmarkStart w:id="138" w:name="_Toc15162"/>
      <w:r>
        <w:rPr>
          <w:rFonts w:hint="eastAsia" w:ascii="宋体" w:hAnsi="宋体" w:eastAsia="宋体" w:cs="宋体"/>
          <w:b/>
          <w:bCs/>
          <w:color w:val="auto"/>
          <w:kern w:val="0"/>
          <w:sz w:val="32"/>
          <w:szCs w:val="32"/>
          <w:highlight w:val="none"/>
          <w:lang w:eastAsia="zh-CN"/>
        </w:rPr>
        <w:t>二</w:t>
      </w:r>
      <w:r>
        <w:rPr>
          <w:rFonts w:hint="eastAsia" w:ascii="宋体" w:hAnsi="宋体" w:eastAsia="宋体" w:cs="宋体"/>
          <w:b/>
          <w:bCs/>
          <w:color w:val="auto"/>
          <w:kern w:val="0"/>
          <w:sz w:val="32"/>
          <w:szCs w:val="32"/>
          <w:highlight w:val="none"/>
        </w:rPr>
        <w:t>、投标函</w:t>
      </w:r>
    </w:p>
    <w:p w14:paraId="1BC99EB9">
      <w:pPr>
        <w:widowControl w:val="0"/>
        <w:spacing w:line="500" w:lineRule="exact"/>
        <w:ind w:left="-284"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致：</w:t>
      </w:r>
      <w:r>
        <w:rPr>
          <w:rFonts w:hint="eastAsia" w:ascii="宋体" w:hAnsi="宋体" w:eastAsia="宋体" w:cs="宋体"/>
          <w:color w:val="auto"/>
          <w:kern w:val="2"/>
          <w:sz w:val="24"/>
          <w:szCs w:val="24"/>
          <w:highlight w:val="none"/>
          <w:u w:val="single"/>
          <w:lang w:val="en-US" w:eastAsia="zh-CN" w:bidi="ar-SA"/>
        </w:rPr>
        <w:t xml:space="preserve">  （采购人）  </w:t>
      </w:r>
    </w:p>
    <w:p w14:paraId="2EAFC5D8">
      <w:pPr>
        <w:widowControl w:val="0"/>
        <w:spacing w:line="500" w:lineRule="exact"/>
        <w:ind w:firstLine="490"/>
        <w:jc w:val="both"/>
        <w:rPr>
          <w:rFonts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 xml:space="preserve">   （供应商全称）       </w:t>
      </w:r>
      <w:r>
        <w:rPr>
          <w:rFonts w:hint="eastAsia" w:ascii="宋体" w:hAnsi="宋体" w:eastAsia="宋体" w:cs="宋体"/>
          <w:color w:val="auto"/>
          <w:kern w:val="2"/>
          <w:sz w:val="24"/>
          <w:szCs w:val="24"/>
          <w:highlight w:val="none"/>
          <w:lang w:val="en-US" w:eastAsia="zh-CN" w:bidi="ar-SA"/>
        </w:rPr>
        <w:t>授权</w:t>
      </w:r>
      <w:r>
        <w:rPr>
          <w:rFonts w:hint="eastAsia" w:ascii="宋体" w:hAnsi="宋体" w:eastAsia="宋体" w:cs="宋体"/>
          <w:color w:val="auto"/>
          <w:kern w:val="2"/>
          <w:sz w:val="24"/>
          <w:szCs w:val="24"/>
          <w:highlight w:val="none"/>
          <w:u w:val="single"/>
          <w:lang w:val="en-US" w:eastAsia="zh-CN" w:bidi="ar-SA"/>
        </w:rPr>
        <w:t xml:space="preserve">   （被授权人姓名、职务）   </w:t>
      </w:r>
      <w:r>
        <w:rPr>
          <w:rFonts w:hint="eastAsia" w:ascii="宋体" w:hAnsi="宋体" w:eastAsia="宋体" w:cs="宋体"/>
          <w:color w:val="auto"/>
          <w:kern w:val="2"/>
          <w:sz w:val="24"/>
          <w:szCs w:val="24"/>
          <w:highlight w:val="none"/>
          <w:lang w:val="en-US" w:eastAsia="zh-CN" w:bidi="ar-SA"/>
        </w:rPr>
        <w:t>为本公司合法代理人，参加贵方组织的</w:t>
      </w:r>
      <w:r>
        <w:rPr>
          <w:rFonts w:hint="eastAsia" w:ascii="宋体" w:hAnsi="宋体" w:eastAsia="宋体" w:cs="宋体"/>
          <w:color w:val="auto"/>
          <w:kern w:val="2"/>
          <w:sz w:val="24"/>
          <w:szCs w:val="24"/>
          <w:highlight w:val="none"/>
          <w:u w:val="single"/>
          <w:lang w:val="en-US" w:eastAsia="zh-CN" w:bidi="ar-SA"/>
        </w:rPr>
        <w:t xml:space="preserve">   （项目编号、项目名称）  </w:t>
      </w:r>
      <w:r>
        <w:rPr>
          <w:rFonts w:hint="eastAsia" w:ascii="宋体" w:hAnsi="宋体" w:eastAsia="宋体" w:cs="宋体"/>
          <w:color w:val="auto"/>
          <w:kern w:val="2"/>
          <w:sz w:val="24"/>
          <w:szCs w:val="24"/>
          <w:highlight w:val="none"/>
          <w:lang w:val="en-US" w:eastAsia="zh-CN" w:bidi="ar-SA"/>
        </w:rPr>
        <w:t>招投标活动，代表本公司处理招投标活动中的一切事宜。在此：</w:t>
      </w:r>
    </w:p>
    <w:p w14:paraId="2A8B49BB">
      <w:pPr>
        <w:widowControl w:val="0"/>
        <w:tabs>
          <w:tab w:val="left" w:pos="426"/>
        </w:tabs>
        <w:spacing w:line="500" w:lineRule="exac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1、提供采购文件中“投标须知”规定的全部投标文件资料。</w:t>
      </w:r>
    </w:p>
    <w:p w14:paraId="7E4845B6">
      <w:pPr>
        <w:widowControl w:val="0"/>
        <w:tabs>
          <w:tab w:val="left" w:pos="426"/>
        </w:tabs>
        <w:spacing w:line="500" w:lineRule="exac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2、据此函，签字代表宣布并承诺如下：</w:t>
      </w:r>
    </w:p>
    <w:p w14:paraId="08F6F9D5">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579C515A">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（2）本投标自开标之日起</w:t>
      </w:r>
      <w:r>
        <w:rPr>
          <w:rFonts w:hint="eastAsia" w:ascii="宋体" w:hAnsi="宋体" w:eastAsia="宋体" w:cs="宋体"/>
          <w:color w:val="auto"/>
          <w:kern w:val="2"/>
          <w:sz w:val="24"/>
          <w:szCs w:val="24"/>
          <w:highlight w:val="none"/>
          <w:u w:val="single"/>
          <w:lang w:val="en-US" w:eastAsia="zh-CN" w:bidi="ar-SA"/>
        </w:rPr>
        <w:t>90天</w:t>
      </w:r>
      <w:r>
        <w:rPr>
          <w:rFonts w:hint="eastAsia" w:ascii="宋体" w:hAnsi="宋体" w:eastAsia="宋体" w:cs="宋体"/>
          <w:color w:val="auto"/>
          <w:kern w:val="2"/>
          <w:sz w:val="24"/>
          <w:szCs w:val="24"/>
          <w:highlight w:val="none"/>
          <w:lang w:val="en-US" w:eastAsia="zh-CN" w:bidi="ar-SA"/>
        </w:rPr>
        <w:t>内有效。</w:t>
      </w:r>
    </w:p>
    <w:p w14:paraId="4D553CD4">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（3）保证遵守采购文件有关条款规定。</w:t>
      </w:r>
    </w:p>
    <w:p w14:paraId="49410F7E">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（4）保证在中标后忠实地执行与采购人所签署的合同，并承担合同规定的责任义务。保证在中标后按照采购文件的规定支付招标代理服务费。</w:t>
      </w:r>
    </w:p>
    <w:p w14:paraId="5CDCBAD4">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（5）承诺应贵方要求提供任何与该项目投标有关的数据、情况和技术资料。</w:t>
      </w:r>
    </w:p>
    <w:p w14:paraId="5C773F33">
      <w:pPr>
        <w:widowControl w:val="0"/>
        <w:tabs>
          <w:tab w:val="left" w:pos="426"/>
        </w:tabs>
        <w:spacing w:line="500" w:lineRule="exac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3、我们郑重声明：</w:t>
      </w:r>
    </w:p>
    <w:p w14:paraId="74024FCB">
      <w:pPr>
        <w:widowControl w:val="0"/>
        <w:tabs>
          <w:tab w:val="left" w:pos="426"/>
        </w:tabs>
        <w:spacing w:line="5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BFF1063">
      <w:pPr>
        <w:widowControl w:val="0"/>
        <w:tabs>
          <w:tab w:val="left" w:pos="426"/>
        </w:tabs>
        <w:spacing w:line="500" w:lineRule="exac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4、与本投标有关的一切往来通讯请寄：</w:t>
      </w:r>
    </w:p>
    <w:p w14:paraId="6B635C61">
      <w:pPr>
        <w:widowControl w:val="0"/>
        <w:spacing w:line="500" w:lineRule="exact"/>
        <w:ind w:left="480"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w:t>
      </w:r>
    </w:p>
    <w:p w14:paraId="41CC5E3C">
      <w:pPr>
        <w:widowControl w:val="0"/>
        <w:spacing w:line="500" w:lineRule="exact"/>
        <w:ind w:left="480" w:firstLine="0"/>
        <w:jc w:val="both"/>
        <w:rPr>
          <w:rFonts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邮编：电话：传真：</w:t>
      </w:r>
    </w:p>
    <w:p w14:paraId="0BB57777">
      <w:pPr>
        <w:widowControl w:val="0"/>
        <w:tabs>
          <w:tab w:val="left" w:pos="426"/>
        </w:tabs>
        <w:spacing w:line="500" w:lineRule="exact"/>
        <w:ind w:firstLine="480" w:firstLineChars="200"/>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投标人名称（盖公章）：</w:t>
      </w:r>
      <w:r>
        <w:rPr>
          <w:rFonts w:hint="eastAsia" w:ascii="宋体" w:hAnsi="宋体" w:eastAsia="宋体" w:cs="宋体"/>
          <w:color w:val="auto"/>
          <w:kern w:val="2"/>
          <w:sz w:val="24"/>
          <w:szCs w:val="24"/>
          <w:highlight w:val="none"/>
          <w:lang w:val="en-US" w:eastAsia="zh-CN" w:bidi="ar-SA"/>
        </w:rPr>
        <w:tab/>
      </w:r>
    </w:p>
    <w:p w14:paraId="3B1A27CA">
      <w:pPr>
        <w:widowControl w:val="0"/>
        <w:tabs>
          <w:tab w:val="left" w:pos="426"/>
        </w:tabs>
        <w:spacing w:line="500" w:lineRule="exact"/>
        <w:ind w:firstLine="480" w:firstLineChars="200"/>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法定代表人或授权委托代理人（签字或盖章）：</w:t>
      </w:r>
      <w:r>
        <w:rPr>
          <w:rFonts w:hint="eastAsia" w:ascii="宋体" w:hAnsi="宋体" w:eastAsia="宋体" w:cs="宋体"/>
          <w:color w:val="auto"/>
          <w:kern w:val="2"/>
          <w:sz w:val="24"/>
          <w:szCs w:val="24"/>
          <w:highlight w:val="none"/>
          <w:lang w:val="en-US" w:eastAsia="zh-CN" w:bidi="ar-SA"/>
        </w:rPr>
        <w:tab/>
      </w:r>
    </w:p>
    <w:p w14:paraId="79584AA6">
      <w:pPr>
        <w:widowControl w:val="0"/>
        <w:tabs>
          <w:tab w:val="left" w:pos="426"/>
        </w:tabs>
        <w:spacing w:line="500" w:lineRule="exact"/>
        <w:ind w:firstLine="480" w:firstLineChars="200"/>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日期：年   月  日</w:t>
      </w:r>
    </w:p>
    <w:p w14:paraId="4428348E">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p>
    <w:p w14:paraId="3EA61E6B">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p>
    <w:p w14:paraId="5C212F46">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三、授权委托书或法定代表人身份证明</w:t>
      </w:r>
    </w:p>
    <w:p w14:paraId="6BFBC576">
      <w:pPr>
        <w:kinsoku/>
        <w:overflowPunct/>
        <w:topLinePunct w:val="0"/>
        <w:bidi w:val="0"/>
        <w:spacing w:beforeAutospacing="0" w:afterAutospacing="0" w:line="440" w:lineRule="exact"/>
        <w:jc w:val="center"/>
        <w:rPr>
          <w:rFonts w:hint="eastAsia" w:ascii="仿宋" w:hAnsi="仿宋" w:eastAsia="仿宋" w:cs="仿宋"/>
          <w:b/>
          <w:color w:val="auto"/>
          <w:sz w:val="24"/>
          <w:szCs w:val="24"/>
          <w:highlight w:val="none"/>
        </w:rPr>
      </w:pPr>
    </w:p>
    <w:p w14:paraId="224BD16F">
      <w:pPr>
        <w:kinsoku/>
        <w:overflowPunct/>
        <w:topLinePunct w:val="0"/>
        <w:bidi w:val="0"/>
        <w:snapToGrid w:val="0"/>
        <w:spacing w:beforeAutospacing="0" w:afterAutospacing="0" w:line="440" w:lineRule="exact"/>
        <w:ind w:firstLine="643" w:firstLineChars="20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32"/>
          <w:szCs w:val="32"/>
          <w:highlight w:val="none"/>
          <w:lang w:val="en-US" w:eastAsia="zh-CN" w:bidi="ar-SA"/>
        </w:rPr>
        <w:t>授权委托书(格式)</w:t>
      </w:r>
    </w:p>
    <w:p w14:paraId="63ECE9C5">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33476853">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的（填写姓名）为我公司授权代表，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6C3CF5FA">
      <w:pPr>
        <w:kinsoku/>
        <w:overflowPunct/>
        <w:topLinePunct w:val="0"/>
        <w:bidi w:val="0"/>
        <w:snapToGrid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5A3994BB">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1A25E464">
      <w:pPr>
        <w:kinsoku/>
        <w:overflowPunct/>
        <w:topLinePunct w:val="0"/>
        <w:bidi w:val="0"/>
        <w:snapToGrid w:val="0"/>
        <w:spacing w:beforeAutospacing="0" w:afterAutospacing="0" w:line="440" w:lineRule="exact"/>
        <w:jc w:val="left"/>
        <w:rPr>
          <w:rFonts w:hint="eastAsia" w:ascii="宋体" w:hAnsi="宋体" w:eastAsia="宋体" w:cs="宋体"/>
          <w:color w:val="auto"/>
          <w:sz w:val="24"/>
          <w:szCs w:val="24"/>
          <w:highlight w:val="none"/>
        </w:rPr>
      </w:pPr>
    </w:p>
    <w:p w14:paraId="228C701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711DD8B7">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316D7659">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13030A09">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77093E87">
      <w:pPr>
        <w:widowControl/>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4848E95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2B4FBAA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8C608DC">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（电子签章）：</w:t>
      </w:r>
    </w:p>
    <w:p w14:paraId="0FC3EFA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7AAA4B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74AE0F17">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13556F2E">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36ECBCB3">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C692BE8">
      <w:pPr>
        <w:kinsoku/>
        <w:overflowPunct/>
        <w:topLinePunct w:val="0"/>
        <w:bidi w:val="0"/>
        <w:spacing w:beforeAutospacing="0" w:afterAutospacing="0" w:line="440" w:lineRule="exact"/>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法定代表人及其授权代表身份证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2E4FA594">
      <w:pPr>
        <w:kinsoku/>
        <w:overflowPunct/>
        <w:topLinePunct w:val="0"/>
        <w:bidi w:val="0"/>
        <w:spacing w:beforeAutospacing="0" w:afterAutospacing="0" w:line="440" w:lineRule="exact"/>
        <w:jc w:val="left"/>
        <w:rPr>
          <w:rFonts w:hint="eastAsia" w:ascii="仿宋" w:hAnsi="仿宋" w:eastAsia="仿宋" w:cs="仿宋"/>
          <w:b/>
          <w:color w:val="auto"/>
          <w:sz w:val="30"/>
          <w:szCs w:val="30"/>
          <w:highlight w:val="none"/>
        </w:rPr>
      </w:pPr>
    </w:p>
    <w:p w14:paraId="4AA24AED">
      <w:pPr>
        <w:kinsoku/>
        <w:overflowPunct/>
        <w:topLinePunct w:val="0"/>
        <w:bidi w:val="0"/>
        <w:spacing w:beforeAutospacing="0" w:afterAutospacing="0" w:line="440" w:lineRule="exact"/>
        <w:jc w:val="center"/>
        <w:rPr>
          <w:rFonts w:hint="eastAsia" w:ascii="宋体" w:hAnsi="宋体" w:eastAsia="宋体" w:cs="宋体"/>
          <w:color w:val="auto"/>
          <w:sz w:val="24"/>
          <w:szCs w:val="24"/>
          <w:highlight w:val="none"/>
        </w:rPr>
      </w:pPr>
    </w:p>
    <w:p w14:paraId="4A405C8D">
      <w:pPr>
        <w:kinsoku/>
        <w:overflowPunct/>
        <w:topLinePunct w:val="0"/>
        <w:bidi w:val="0"/>
        <w:spacing w:beforeAutospacing="0" w:afterAutospacing="0" w:line="440" w:lineRule="exact"/>
        <w:jc w:val="righ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55F5E19A">
      <w:pPr>
        <w:kinsoku/>
        <w:overflowPunct/>
        <w:topLinePunct w:val="0"/>
        <w:bidi w:val="0"/>
        <w:spacing w:beforeAutospacing="0" w:afterAutospacing="0" w:line="440" w:lineRule="exact"/>
        <w:rPr>
          <w:rFonts w:hint="eastAsia" w:ascii="仿宋" w:hAnsi="仿宋" w:eastAsia="仿宋" w:cs="仿宋"/>
          <w:b/>
          <w:color w:val="auto"/>
          <w:sz w:val="24"/>
          <w:szCs w:val="24"/>
          <w:highlight w:val="none"/>
        </w:rPr>
      </w:pPr>
    </w:p>
    <w:p w14:paraId="126C975A">
      <w:pPr>
        <w:kinsoku/>
        <w:overflowPunct/>
        <w:topLinePunct w:val="0"/>
        <w:bidi w:val="0"/>
        <w:spacing w:beforeAutospacing="0" w:afterAutospacing="0" w:line="440" w:lineRule="exact"/>
        <w:jc w:val="center"/>
        <w:rPr>
          <w:rFonts w:hint="eastAsia" w:ascii="仿宋" w:hAnsi="仿宋" w:eastAsia="仿宋" w:cs="仿宋"/>
          <w:b/>
          <w:color w:val="auto"/>
          <w:sz w:val="30"/>
          <w:szCs w:val="30"/>
          <w:highlight w:val="none"/>
          <w:lang w:val="en-US" w:eastAsia="zh-CN"/>
        </w:rPr>
      </w:pPr>
    </w:p>
    <w:p w14:paraId="59C24C1D">
      <w:pPr>
        <w:widowControl w:val="0"/>
        <w:spacing w:after="12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法定代表人身份证明(格式)</w:t>
      </w:r>
    </w:p>
    <w:p w14:paraId="5785BC27">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78D549D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16D7914">
      <w:pPr>
        <w:kinsoku/>
        <w:overflowPunct/>
        <w:topLinePunct w:val="0"/>
        <w:bidi w:val="0"/>
        <w:spacing w:beforeAutospacing="0" w:afterAutospacing="0" w:line="440" w:lineRule="exact"/>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30165C29">
      <w:pPr>
        <w:kinsoku/>
        <w:overflowPunct/>
        <w:topLinePunct w:val="0"/>
        <w:bidi w:val="0"/>
        <w:spacing w:beforeAutospacing="0" w:afterAutospacing="0" w:line="440" w:lineRule="exact"/>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5E91AA6">
      <w:pPr>
        <w:kinsoku/>
        <w:overflowPunct/>
        <w:topLinePunct w:val="0"/>
        <w:bidi w:val="0"/>
        <w:spacing w:beforeAutospacing="0" w:afterAutospacing="0" w:line="440" w:lineRule="exact"/>
        <w:ind w:right="281" w:rightChars="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1BA61E1C">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rPr>
        <w:t>的法定代表人。</w:t>
      </w:r>
    </w:p>
    <w:p w14:paraId="7457DE2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C5635C7">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D4028A8">
      <w:pPr>
        <w:kinsoku/>
        <w:overflowPunct/>
        <w:topLinePunct w:val="0"/>
        <w:bidi w:val="0"/>
        <w:spacing w:beforeAutospacing="0" w:afterAutospacing="0"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 xml:space="preserve">（电子签章）：                             </w:t>
      </w:r>
    </w:p>
    <w:p w14:paraId="6739CE62">
      <w:pPr>
        <w:kinsoku/>
        <w:overflowPunct/>
        <w:topLinePunct w:val="0"/>
        <w:bidi w:val="0"/>
        <w:spacing w:beforeAutospacing="0" w:afterAutospacing="0" w:line="440" w:lineRule="exact"/>
        <w:ind w:right="480"/>
        <w:rPr>
          <w:rFonts w:hint="eastAsia" w:ascii="宋体" w:hAnsi="宋体" w:eastAsia="宋体" w:cs="宋体"/>
          <w:color w:val="auto"/>
          <w:sz w:val="24"/>
          <w:szCs w:val="24"/>
          <w:highlight w:val="none"/>
        </w:rPr>
      </w:pPr>
    </w:p>
    <w:p w14:paraId="6B96C15A">
      <w:pPr>
        <w:kinsoku/>
        <w:overflowPunct/>
        <w:topLinePunct w:val="0"/>
        <w:bidi w:val="0"/>
        <w:spacing w:beforeAutospacing="0" w:afterAutospacing="0" w:line="440" w:lineRule="exact"/>
        <w:ind w:right="7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年   月   日</w:t>
      </w:r>
    </w:p>
    <w:p w14:paraId="7739A36B">
      <w:pPr>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法定代表人身份证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64D82258">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2D88222">
      <w:pPr>
        <w:spacing w:afterLines="50" w:line="360" w:lineRule="auto"/>
        <w:jc w:val="center"/>
        <w:outlineLvl w:val="0"/>
        <w:rPr>
          <w:rFonts w:ascii="宋体" w:hAnsi="宋体" w:eastAsia="宋体" w:cs="宋体"/>
          <w:b/>
          <w:color w:val="auto"/>
          <w:sz w:val="32"/>
          <w:szCs w:val="32"/>
          <w:highlight w:val="none"/>
        </w:rPr>
      </w:pPr>
      <w:bookmarkStart w:id="139" w:name="_Toc14611"/>
      <w:r>
        <w:rPr>
          <w:rFonts w:hint="eastAsia" w:ascii="宋体" w:hAnsi="宋体" w:eastAsia="宋体" w:cs="宋体"/>
          <w:b/>
          <w:color w:val="auto"/>
          <w:sz w:val="32"/>
          <w:szCs w:val="32"/>
          <w:highlight w:val="none"/>
          <w:lang w:eastAsia="zh-CN"/>
        </w:rPr>
        <w:t>四</w:t>
      </w:r>
      <w:r>
        <w:rPr>
          <w:rFonts w:hint="eastAsia" w:ascii="宋体" w:hAnsi="宋体" w:eastAsia="宋体" w:cs="宋体"/>
          <w:b/>
          <w:color w:val="auto"/>
          <w:sz w:val="32"/>
          <w:szCs w:val="32"/>
          <w:highlight w:val="none"/>
        </w:rPr>
        <w:t>、供应商基本情况表</w:t>
      </w:r>
      <w:bookmarkEnd w:id="131"/>
      <w:bookmarkEnd w:id="132"/>
      <w:bookmarkEnd w:id="133"/>
      <w:bookmarkEnd w:id="134"/>
      <w:bookmarkEnd w:id="135"/>
      <w:bookmarkEnd w:id="136"/>
      <w:bookmarkEnd w:id="137"/>
      <w:bookmarkEnd w:id="138"/>
      <w:bookmarkEnd w:id="139"/>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3D3E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E6911A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bookmarkStart w:id="140" w:name="_Toc5966"/>
            <w:bookmarkStart w:id="141" w:name="_Toc20172"/>
            <w:bookmarkStart w:id="142" w:name="_Toc4427"/>
            <w:bookmarkStart w:id="143" w:name="_Toc14297"/>
            <w:bookmarkStart w:id="144" w:name="_Toc5320"/>
            <w:bookmarkStart w:id="145" w:name="_Toc11379"/>
            <w:r>
              <w:rPr>
                <w:rFonts w:hint="eastAsia" w:ascii="宋体" w:hAnsi="宋体" w:eastAsia="宋体" w:cs="宋体"/>
                <w:color w:val="auto"/>
                <w:sz w:val="24"/>
                <w:szCs w:val="24"/>
                <w:highlight w:val="none"/>
              </w:rPr>
              <w:t>单位名称</w:t>
            </w:r>
          </w:p>
        </w:tc>
        <w:tc>
          <w:tcPr>
            <w:tcW w:w="2739" w:type="dxa"/>
            <w:gridSpan w:val="3"/>
            <w:vAlign w:val="center"/>
          </w:tcPr>
          <w:p w14:paraId="68EACCE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9359C9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453" w:type="dxa"/>
            <w:vAlign w:val="center"/>
          </w:tcPr>
          <w:p w14:paraId="3BF3B45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015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D77427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39" w:type="dxa"/>
            <w:gridSpan w:val="3"/>
            <w:vAlign w:val="center"/>
          </w:tcPr>
          <w:p w14:paraId="47BB6B9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D530F8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453" w:type="dxa"/>
            <w:vAlign w:val="center"/>
          </w:tcPr>
          <w:p w14:paraId="233275E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951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60270D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39" w:type="dxa"/>
            <w:gridSpan w:val="3"/>
            <w:vAlign w:val="center"/>
          </w:tcPr>
          <w:p w14:paraId="60A5CDD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D0399A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税务登记证号</w:t>
            </w:r>
          </w:p>
        </w:tc>
        <w:tc>
          <w:tcPr>
            <w:tcW w:w="2453" w:type="dxa"/>
            <w:vAlign w:val="center"/>
          </w:tcPr>
          <w:p w14:paraId="3C0E8A4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6479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9508B3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39" w:type="dxa"/>
            <w:gridSpan w:val="3"/>
            <w:vAlign w:val="center"/>
          </w:tcPr>
          <w:p w14:paraId="1E84D5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26236C8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453" w:type="dxa"/>
            <w:vAlign w:val="center"/>
          </w:tcPr>
          <w:p w14:paraId="2984725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E04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C6DFED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39" w:type="dxa"/>
            <w:gridSpan w:val="3"/>
            <w:vAlign w:val="center"/>
          </w:tcPr>
          <w:p w14:paraId="74CEB19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1776CB8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453" w:type="dxa"/>
            <w:vAlign w:val="center"/>
          </w:tcPr>
          <w:p w14:paraId="2C6A4B5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7656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2AC247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539" w:type="dxa"/>
            <w:gridSpan w:val="5"/>
            <w:vAlign w:val="center"/>
          </w:tcPr>
          <w:p w14:paraId="35AA247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0671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5F3A91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539" w:type="dxa"/>
            <w:gridSpan w:val="5"/>
            <w:vAlign w:val="center"/>
          </w:tcPr>
          <w:p w14:paraId="31207E15">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共人，其中，高级职称人，中级职称人</w:t>
            </w:r>
          </w:p>
        </w:tc>
      </w:tr>
      <w:tr w14:paraId="50C6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528D27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39" w:type="dxa"/>
            <w:gridSpan w:val="3"/>
            <w:vAlign w:val="center"/>
          </w:tcPr>
          <w:p w14:paraId="35A62DC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1710F82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53" w:type="dxa"/>
            <w:vAlign w:val="center"/>
          </w:tcPr>
          <w:p w14:paraId="30DEAC6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2C58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F985B9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539" w:type="dxa"/>
            <w:gridSpan w:val="5"/>
            <w:vAlign w:val="center"/>
          </w:tcPr>
          <w:p w14:paraId="6229AD41">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p w14:paraId="0CE32B5B">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tc>
      </w:tr>
      <w:tr w14:paraId="17A3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32EAE10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65DA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12398D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39" w:type="dxa"/>
            <w:gridSpan w:val="3"/>
            <w:vAlign w:val="center"/>
          </w:tcPr>
          <w:p w14:paraId="3FA0E0E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21595D0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453" w:type="dxa"/>
            <w:vAlign w:val="center"/>
          </w:tcPr>
          <w:p w14:paraId="2C4A5DE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2BC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9B7BB5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15" w:type="dxa"/>
            <w:vAlign w:val="center"/>
          </w:tcPr>
          <w:p w14:paraId="008D22D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1062" w:type="dxa"/>
            <w:vAlign w:val="center"/>
          </w:tcPr>
          <w:p w14:paraId="60DAF13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62" w:type="dxa"/>
            <w:vAlign w:val="center"/>
          </w:tcPr>
          <w:p w14:paraId="30C36A3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3E2DBA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453" w:type="dxa"/>
            <w:vAlign w:val="center"/>
          </w:tcPr>
          <w:p w14:paraId="3E0529C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37B8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66170975">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4955AB00">
      <w:pPr>
        <w:spacing w:beforeLines="50" w:line="360" w:lineRule="auto"/>
        <w:ind w:right="-227" w:rightChars="-10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兹证明上述声明是真实、正确的，并提供了全部能提供的资料和数据，我们同意遵照贵方要求出示有关证明文件。</w:t>
      </w:r>
    </w:p>
    <w:p w14:paraId="0DCF8E9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投标人名称（盖公章）：</w:t>
      </w:r>
    </w:p>
    <w:p w14:paraId="3A0BD3B6">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法定代表人或授权委托代理人（签字或盖章）：</w:t>
      </w:r>
    </w:p>
    <w:p w14:paraId="3607903C">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55B9564F">
      <w:pPr>
        <w:widowControl w:val="0"/>
        <w:spacing w:line="360" w:lineRule="auto"/>
        <w:jc w:val="center"/>
        <w:rPr>
          <w:rFonts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五、</w:t>
      </w:r>
      <w:r>
        <w:rPr>
          <w:rFonts w:hint="eastAsia" w:ascii="宋体" w:hAnsi="宋体" w:cs="宋体"/>
          <w:b/>
          <w:color w:val="auto"/>
          <w:kern w:val="2"/>
          <w:sz w:val="32"/>
          <w:szCs w:val="32"/>
          <w:highlight w:val="none"/>
          <w:lang w:val="en-US" w:eastAsia="zh-CN" w:bidi="ar-SA"/>
        </w:rPr>
        <w:t>供货清单</w:t>
      </w:r>
    </w:p>
    <w:p w14:paraId="06BFA944">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p>
    <w:p w14:paraId="7DF42088">
      <w:pPr>
        <w:spacing w:line="480" w:lineRule="auto"/>
        <w:rPr>
          <w:rFonts w:hint="eastAsia" w:ascii="宋体" w:hAnsi="宋体"/>
          <w:color w:val="auto"/>
          <w:sz w:val="24"/>
          <w:highlight w:val="none"/>
        </w:rPr>
      </w:pPr>
      <w:r>
        <w:rPr>
          <w:rFonts w:hint="eastAsia" w:ascii="宋体" w:hAnsi="宋体"/>
          <w:color w:val="auto"/>
          <w:sz w:val="24"/>
          <w:highlight w:val="none"/>
        </w:rPr>
        <w:t>项目编号：</w:t>
      </w:r>
    </w:p>
    <w:p w14:paraId="1C2DF5B6">
      <w:pPr>
        <w:spacing w:line="480" w:lineRule="auto"/>
        <w:rPr>
          <w:rFonts w:hint="eastAsia" w:ascii="宋体" w:hAnsi="宋体"/>
          <w:color w:val="auto"/>
          <w:sz w:val="24"/>
          <w:highlight w:val="none"/>
        </w:rPr>
      </w:pPr>
      <w:r>
        <w:rPr>
          <w:rFonts w:hint="eastAsia" w:ascii="宋体" w:hAnsi="宋体"/>
          <w:color w:val="auto"/>
          <w:sz w:val="24"/>
          <w:highlight w:val="none"/>
        </w:rPr>
        <w:t>项目</w:t>
      </w:r>
      <w:r>
        <w:rPr>
          <w:rFonts w:hint="eastAsia" w:ascii="宋体" w:hAnsi="宋体"/>
          <w:color w:val="auto"/>
          <w:sz w:val="24"/>
          <w:highlight w:val="none"/>
          <w:lang w:eastAsia="zh-CN"/>
        </w:rPr>
        <w:t>名称</w:t>
      </w:r>
      <w:r>
        <w:rPr>
          <w:rFonts w:hint="eastAsia" w:ascii="宋体" w:hAnsi="宋体"/>
          <w:color w:val="auto"/>
          <w:sz w:val="24"/>
          <w:highlight w:val="none"/>
        </w:rPr>
        <w:t>：</w:t>
      </w:r>
    </w:p>
    <w:tbl>
      <w:tblPr>
        <w:tblStyle w:val="47"/>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3CB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6F0535B">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1BC0ECCF">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069FA365">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08A841E0">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727873B">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2F6B965E">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r>
      <w:tr w14:paraId="0A35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A55F75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169" w:type="dxa"/>
            <w:vAlign w:val="center"/>
          </w:tcPr>
          <w:p w14:paraId="6111378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134" w:type="dxa"/>
            <w:vAlign w:val="center"/>
          </w:tcPr>
          <w:p w14:paraId="42B8E96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42" w:type="dxa"/>
            <w:vAlign w:val="center"/>
          </w:tcPr>
          <w:p w14:paraId="5326A28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993" w:type="dxa"/>
            <w:vAlign w:val="center"/>
          </w:tcPr>
          <w:p w14:paraId="14916AC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559" w:type="dxa"/>
            <w:vAlign w:val="center"/>
          </w:tcPr>
          <w:p w14:paraId="132A34A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22C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99B771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169" w:type="dxa"/>
            <w:vAlign w:val="center"/>
          </w:tcPr>
          <w:p w14:paraId="35279EC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134" w:type="dxa"/>
            <w:vAlign w:val="center"/>
          </w:tcPr>
          <w:p w14:paraId="64F586A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42" w:type="dxa"/>
            <w:vAlign w:val="center"/>
          </w:tcPr>
          <w:p w14:paraId="3F47804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993" w:type="dxa"/>
            <w:vAlign w:val="center"/>
          </w:tcPr>
          <w:p w14:paraId="0DEC73A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559" w:type="dxa"/>
            <w:vAlign w:val="center"/>
          </w:tcPr>
          <w:p w14:paraId="48A8C1D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3F7C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26065D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169" w:type="dxa"/>
            <w:vAlign w:val="center"/>
          </w:tcPr>
          <w:p w14:paraId="3F58E7D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134" w:type="dxa"/>
            <w:vAlign w:val="center"/>
          </w:tcPr>
          <w:p w14:paraId="2ABE738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42" w:type="dxa"/>
            <w:vAlign w:val="center"/>
          </w:tcPr>
          <w:p w14:paraId="08CE42C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993" w:type="dxa"/>
            <w:vAlign w:val="center"/>
          </w:tcPr>
          <w:p w14:paraId="08A1B2F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559" w:type="dxa"/>
            <w:vAlign w:val="center"/>
          </w:tcPr>
          <w:p w14:paraId="3892D4E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4B9C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4EDD69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169" w:type="dxa"/>
            <w:vAlign w:val="center"/>
          </w:tcPr>
          <w:p w14:paraId="4E87AC6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134" w:type="dxa"/>
            <w:vAlign w:val="center"/>
          </w:tcPr>
          <w:p w14:paraId="2EE73300">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42" w:type="dxa"/>
            <w:vAlign w:val="center"/>
          </w:tcPr>
          <w:p w14:paraId="3AB6167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993" w:type="dxa"/>
            <w:vAlign w:val="center"/>
          </w:tcPr>
          <w:p w14:paraId="355F9CC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559" w:type="dxa"/>
            <w:vAlign w:val="center"/>
          </w:tcPr>
          <w:p w14:paraId="152E897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68B7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9C4AB6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169" w:type="dxa"/>
            <w:vAlign w:val="center"/>
          </w:tcPr>
          <w:p w14:paraId="7930FFA3">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134" w:type="dxa"/>
            <w:vAlign w:val="center"/>
          </w:tcPr>
          <w:p w14:paraId="03F166F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42" w:type="dxa"/>
            <w:vAlign w:val="center"/>
          </w:tcPr>
          <w:p w14:paraId="0814661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993" w:type="dxa"/>
            <w:vAlign w:val="center"/>
          </w:tcPr>
          <w:p w14:paraId="48FABB8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559" w:type="dxa"/>
            <w:vAlign w:val="center"/>
          </w:tcPr>
          <w:p w14:paraId="1E5CF88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7A96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EF0A8E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169" w:type="dxa"/>
            <w:vAlign w:val="center"/>
          </w:tcPr>
          <w:p w14:paraId="79028C0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134" w:type="dxa"/>
            <w:vAlign w:val="center"/>
          </w:tcPr>
          <w:p w14:paraId="4420EE9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42" w:type="dxa"/>
            <w:vAlign w:val="center"/>
          </w:tcPr>
          <w:p w14:paraId="430BE8F0">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993" w:type="dxa"/>
            <w:vAlign w:val="center"/>
          </w:tcPr>
          <w:p w14:paraId="31B9743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559" w:type="dxa"/>
            <w:vAlign w:val="center"/>
          </w:tcPr>
          <w:p w14:paraId="3A37827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14:paraId="7C54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098EC3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2169" w:type="dxa"/>
            <w:vAlign w:val="center"/>
          </w:tcPr>
          <w:p w14:paraId="7944F83B">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134" w:type="dxa"/>
            <w:vAlign w:val="center"/>
          </w:tcPr>
          <w:p w14:paraId="3999742C">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42" w:type="dxa"/>
            <w:vAlign w:val="center"/>
          </w:tcPr>
          <w:p w14:paraId="7CA9836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993" w:type="dxa"/>
            <w:vAlign w:val="center"/>
          </w:tcPr>
          <w:p w14:paraId="4198263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559" w:type="dxa"/>
            <w:vAlign w:val="center"/>
          </w:tcPr>
          <w:p w14:paraId="45D3881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bl>
    <w:p w14:paraId="097D5CA0">
      <w:pPr>
        <w:spacing w:line="360" w:lineRule="auto"/>
        <w:rPr>
          <w:rFonts w:ascii="宋体" w:hAnsi="宋体"/>
          <w:color w:val="auto"/>
          <w:sz w:val="24"/>
          <w:highlight w:val="none"/>
        </w:rPr>
      </w:pPr>
    </w:p>
    <w:p w14:paraId="632EE456">
      <w:pPr>
        <w:spacing w:line="360" w:lineRule="auto"/>
        <w:rPr>
          <w:rFonts w:ascii="宋体" w:hAnsi="宋体"/>
          <w:b/>
          <w:bCs/>
          <w:color w:val="auto"/>
          <w:sz w:val="24"/>
          <w:highlight w:val="none"/>
        </w:rPr>
      </w:pPr>
      <w:r>
        <w:rPr>
          <w:rFonts w:hint="eastAsia" w:ascii="宋体" w:hAnsi="宋体"/>
          <w:b/>
          <w:bCs/>
          <w:color w:val="auto"/>
          <w:sz w:val="24"/>
          <w:highlight w:val="none"/>
        </w:rPr>
        <w:t>要求：</w:t>
      </w:r>
    </w:p>
    <w:p w14:paraId="508C55C9">
      <w:pPr>
        <w:numPr>
          <w:ilvl w:val="0"/>
          <w:numId w:val="16"/>
        </w:numPr>
        <w:spacing w:line="360" w:lineRule="auto"/>
        <w:jc w:val="left"/>
        <w:rPr>
          <w:rFonts w:hint="eastAsia" w:ascii="宋体" w:hAnsi="宋体"/>
          <w:color w:val="auto"/>
          <w:sz w:val="24"/>
          <w:highlight w:val="none"/>
        </w:rPr>
      </w:pPr>
      <w:r>
        <w:rPr>
          <w:rFonts w:hint="eastAsia" w:ascii="宋体" w:hAnsi="宋体"/>
          <w:color w:val="auto"/>
          <w:sz w:val="24"/>
          <w:highlight w:val="none"/>
        </w:rPr>
        <w:t>本表参照本</w:t>
      </w:r>
      <w:r>
        <w:rPr>
          <w:rFonts w:hint="eastAsia" w:ascii="宋体" w:hAnsi="宋体"/>
          <w:color w:val="auto"/>
          <w:sz w:val="24"/>
          <w:highlight w:val="none"/>
          <w:lang w:eastAsia="zh-CN"/>
        </w:rPr>
        <w:t>采购文件</w:t>
      </w:r>
      <w:r>
        <w:rPr>
          <w:rFonts w:hint="eastAsia" w:ascii="宋体" w:hAnsi="宋体"/>
          <w:color w:val="auto"/>
          <w:sz w:val="24"/>
          <w:highlight w:val="none"/>
        </w:rPr>
        <w:t>第</w:t>
      </w:r>
      <w:r>
        <w:rPr>
          <w:rFonts w:hint="eastAsia" w:ascii="宋体" w:hAnsi="宋体"/>
          <w:color w:val="auto"/>
          <w:sz w:val="24"/>
          <w:highlight w:val="none"/>
          <w:lang w:eastAsia="zh-CN"/>
        </w:rPr>
        <w:t>五部分</w:t>
      </w:r>
      <w:r>
        <w:rPr>
          <w:rFonts w:hint="eastAsia" w:ascii="宋体" w:hAnsi="宋体"/>
          <w:color w:val="auto"/>
          <w:sz w:val="24"/>
          <w:highlight w:val="none"/>
        </w:rPr>
        <w:t>“</w:t>
      </w:r>
      <w:r>
        <w:rPr>
          <w:rFonts w:hint="eastAsia" w:ascii="宋体" w:hAnsi="宋体"/>
          <w:color w:val="auto"/>
          <w:sz w:val="24"/>
          <w:highlight w:val="none"/>
          <w:lang w:eastAsia="zh-CN"/>
        </w:rPr>
        <w:t>采购内容及要求</w:t>
      </w:r>
      <w:r>
        <w:rPr>
          <w:rFonts w:hint="eastAsia" w:ascii="宋体" w:hAnsi="宋体"/>
          <w:color w:val="auto"/>
          <w:sz w:val="24"/>
          <w:highlight w:val="none"/>
        </w:rPr>
        <w:t>”内容填制。</w:t>
      </w:r>
    </w:p>
    <w:p w14:paraId="5CA83D10">
      <w:pPr>
        <w:numPr>
          <w:ilvl w:val="0"/>
          <w:numId w:val="16"/>
        </w:numPr>
        <w:spacing w:line="360" w:lineRule="auto"/>
        <w:jc w:val="left"/>
        <w:rPr>
          <w:color w:val="auto"/>
          <w:sz w:val="24"/>
          <w:szCs w:val="24"/>
          <w:highlight w:val="none"/>
        </w:rPr>
      </w:pPr>
      <w:r>
        <w:rPr>
          <w:rFonts w:hint="eastAsia"/>
          <w:color w:val="auto"/>
          <w:sz w:val="24"/>
          <w:szCs w:val="24"/>
          <w:highlight w:val="none"/>
        </w:rPr>
        <w:t>在填写时，如本表格不适合投标单位的实际情况，可根据本表格式自行划表填写。</w:t>
      </w:r>
    </w:p>
    <w:p w14:paraId="5DA1440F">
      <w:pPr>
        <w:spacing w:line="360" w:lineRule="auto"/>
        <w:jc w:val="left"/>
        <w:rPr>
          <w:color w:val="auto"/>
          <w:sz w:val="24"/>
          <w:szCs w:val="24"/>
          <w:highlight w:val="none"/>
        </w:rPr>
      </w:pPr>
    </w:p>
    <w:p w14:paraId="4EBBB6C8">
      <w:pPr>
        <w:spacing w:line="360" w:lineRule="auto"/>
        <w:jc w:val="right"/>
        <w:rPr>
          <w:color w:val="auto"/>
          <w:sz w:val="24"/>
          <w:szCs w:val="24"/>
          <w:highlight w:val="none"/>
        </w:rPr>
      </w:pPr>
      <w:r>
        <w:rPr>
          <w:color w:val="auto"/>
          <w:sz w:val="24"/>
          <w:szCs w:val="24"/>
          <w:highlight w:val="none"/>
        </w:rPr>
        <w:t xml:space="preserve">投标人名称（盖章）： </w:t>
      </w:r>
    </w:p>
    <w:p w14:paraId="380B1897">
      <w:pPr>
        <w:spacing w:line="360" w:lineRule="auto"/>
        <w:jc w:val="right"/>
        <w:rPr>
          <w:color w:val="auto"/>
          <w:sz w:val="24"/>
          <w:szCs w:val="24"/>
          <w:highlight w:val="none"/>
        </w:rPr>
      </w:pPr>
      <w:r>
        <w:rPr>
          <w:rFonts w:hint="eastAsia"/>
          <w:color w:val="auto"/>
          <w:sz w:val="24"/>
          <w:szCs w:val="24"/>
          <w:highlight w:val="none"/>
        </w:rPr>
        <w:t>法定代表人或授权委托人(签字或盖章)：</w:t>
      </w:r>
    </w:p>
    <w:p w14:paraId="3F0121A7">
      <w:pPr>
        <w:spacing w:line="480" w:lineRule="auto"/>
        <w:ind w:firstLine="435"/>
        <w:jc w:val="right"/>
        <w:rPr>
          <w:rFonts w:ascii="宋体" w:hAnsi="宋体" w:eastAsia="宋体" w:cs="宋体"/>
          <w:color w:val="auto"/>
          <w:sz w:val="24"/>
          <w:szCs w:val="24"/>
          <w:highlight w:val="none"/>
        </w:rPr>
      </w:pPr>
      <w:r>
        <w:rPr>
          <w:color w:val="auto"/>
          <w:sz w:val="24"/>
          <w:szCs w:val="24"/>
          <w:highlight w:val="none"/>
        </w:rPr>
        <w:t xml:space="preserve">日 </w:t>
      </w:r>
      <w:r>
        <w:rPr>
          <w:rFonts w:hint="eastAsia" w:eastAsia="宋体" w:cs="Times New Roman"/>
          <w:color w:val="auto"/>
          <w:sz w:val="24"/>
          <w:szCs w:val="24"/>
          <w:highlight w:val="none"/>
        </w:rPr>
        <w:t xml:space="preserve">期：2024年  月  </w:t>
      </w:r>
      <w:r>
        <w:rPr>
          <w:color w:val="auto"/>
          <w:sz w:val="24"/>
          <w:szCs w:val="24"/>
          <w:highlight w:val="none"/>
        </w:rPr>
        <w:t>日</w:t>
      </w:r>
    </w:p>
    <w:p w14:paraId="0123C62C">
      <w:pPr>
        <w:spacing w:after="100" w:afterAutospacing="1" w:line="360" w:lineRule="auto"/>
        <w:jc w:val="center"/>
        <w:outlineLvl w:val="0"/>
        <w:rPr>
          <w:rFonts w:ascii="宋体" w:hAnsi="宋体" w:eastAsia="宋体" w:cs="宋体"/>
          <w:b/>
          <w:color w:val="auto"/>
          <w:sz w:val="32"/>
          <w:szCs w:val="32"/>
          <w:highlight w:val="none"/>
        </w:rPr>
      </w:pPr>
    </w:p>
    <w:p w14:paraId="1FDF0D60">
      <w:pPr>
        <w:pageBreakBefore/>
        <w:spacing w:after="100" w:afterAutospacing="1" w:line="360" w:lineRule="auto"/>
        <w:jc w:val="center"/>
        <w:outlineLvl w:val="0"/>
        <w:rPr>
          <w:rFonts w:ascii="宋体" w:hAnsi="宋体" w:eastAsia="宋体" w:cs="宋体"/>
          <w:b/>
          <w:color w:val="auto"/>
          <w:sz w:val="32"/>
          <w:szCs w:val="32"/>
          <w:highlight w:val="none"/>
        </w:rPr>
      </w:pPr>
      <w:bookmarkStart w:id="146" w:name="_Toc30960"/>
      <w:bookmarkStart w:id="147" w:name="_Toc29674"/>
      <w:bookmarkStart w:id="148" w:name="_Toc1403"/>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、技术规范偏离表</w:t>
      </w:r>
      <w:bookmarkEnd w:id="140"/>
      <w:bookmarkEnd w:id="141"/>
      <w:bookmarkEnd w:id="142"/>
      <w:bookmarkEnd w:id="143"/>
      <w:bookmarkEnd w:id="144"/>
      <w:bookmarkEnd w:id="145"/>
      <w:bookmarkEnd w:id="146"/>
      <w:bookmarkEnd w:id="147"/>
      <w:bookmarkEnd w:id="148"/>
    </w:p>
    <w:p w14:paraId="1525056A">
      <w:pPr>
        <w:spacing w:after="100" w:afterAutospacing="1" w:line="360" w:lineRule="auto"/>
        <w:outlineLvl w:val="0"/>
        <w:rPr>
          <w:rFonts w:ascii="宋体" w:hAnsi="宋体" w:eastAsia="宋体" w:cs="宋体"/>
          <w:color w:val="auto"/>
          <w:sz w:val="24"/>
          <w:szCs w:val="24"/>
          <w:highlight w:val="none"/>
        </w:rPr>
      </w:pPr>
      <w:bookmarkStart w:id="149" w:name="_Toc24291"/>
      <w:bookmarkStart w:id="150" w:name="_Toc2748"/>
      <w:bookmarkStart w:id="151" w:name="_Toc9730"/>
      <w:r>
        <w:rPr>
          <w:rFonts w:hint="eastAsia" w:ascii="宋体" w:hAnsi="宋体" w:eastAsia="宋体" w:cs="宋体"/>
          <w:color w:val="auto"/>
          <w:sz w:val="24"/>
          <w:szCs w:val="24"/>
          <w:highlight w:val="none"/>
        </w:rPr>
        <w:t>项目编号：                                                 项目名称：</w:t>
      </w:r>
      <w:bookmarkEnd w:id="149"/>
      <w:bookmarkEnd w:id="150"/>
      <w:bookmarkEnd w:id="151"/>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168FF6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637C6067">
            <w:pPr>
              <w:keepNext w:val="0"/>
              <w:keepLines w:val="0"/>
              <w:widowControl w:val="0"/>
              <w:suppressLineNumbers w:val="0"/>
              <w:spacing w:before="0" w:beforeAutospacing="0" w:after="0" w:afterAutospacing="0" w:line="340" w:lineRule="exact"/>
              <w:ind w:left="0" w:right="0" w:firstLine="120" w:firstLineChars="50"/>
              <w:contextualSpacing/>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768" w:type="dxa"/>
            <w:tcBorders>
              <w:top w:val="single" w:color="auto" w:sz="4" w:space="0"/>
              <w:bottom w:val="single" w:color="auto" w:sz="4" w:space="0"/>
            </w:tcBorders>
            <w:tcMar>
              <w:left w:w="0" w:type="dxa"/>
              <w:right w:w="0" w:type="dxa"/>
            </w:tcMar>
            <w:vAlign w:val="center"/>
          </w:tcPr>
          <w:p w14:paraId="78BF64D6">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《采购文件》中的技术要求</w:t>
            </w:r>
          </w:p>
        </w:tc>
        <w:tc>
          <w:tcPr>
            <w:tcW w:w="3768" w:type="dxa"/>
            <w:tcBorders>
              <w:top w:val="single" w:color="auto" w:sz="4" w:space="0"/>
              <w:bottom w:val="single" w:color="auto" w:sz="4" w:space="0"/>
            </w:tcBorders>
            <w:tcMar>
              <w:left w:w="0" w:type="dxa"/>
              <w:right w:w="0" w:type="dxa"/>
            </w:tcMar>
            <w:vAlign w:val="center"/>
          </w:tcPr>
          <w:p w14:paraId="62A7A56A">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《投标文件》技术条款响应</w:t>
            </w:r>
          </w:p>
        </w:tc>
        <w:tc>
          <w:tcPr>
            <w:tcW w:w="995" w:type="dxa"/>
            <w:tcBorders>
              <w:top w:val="single" w:color="auto" w:sz="4" w:space="0"/>
              <w:bottom w:val="single" w:color="auto" w:sz="4" w:space="0"/>
            </w:tcBorders>
            <w:tcMar>
              <w:left w:w="0" w:type="dxa"/>
              <w:right w:w="0" w:type="dxa"/>
            </w:tcMar>
            <w:vAlign w:val="center"/>
          </w:tcPr>
          <w:p w14:paraId="720C4F25">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19D182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6B69CC1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8" w:type="dxa"/>
            <w:tcBorders>
              <w:top w:val="single" w:color="auto" w:sz="4" w:space="0"/>
            </w:tcBorders>
            <w:tcMar>
              <w:left w:w="0" w:type="dxa"/>
              <w:right w:w="0" w:type="dxa"/>
            </w:tcMar>
            <w:vAlign w:val="center"/>
          </w:tcPr>
          <w:p w14:paraId="20A3FD6E">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Borders>
              <w:top w:val="single" w:color="auto" w:sz="4" w:space="0"/>
            </w:tcBorders>
            <w:tcMar>
              <w:left w:w="0" w:type="dxa"/>
              <w:right w:w="0" w:type="dxa"/>
            </w:tcMar>
            <w:vAlign w:val="center"/>
          </w:tcPr>
          <w:p w14:paraId="5A1CD83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467E922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6B815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457A040">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68" w:type="dxa"/>
            <w:tcMar>
              <w:left w:w="0" w:type="dxa"/>
              <w:right w:w="0" w:type="dxa"/>
            </w:tcMar>
            <w:vAlign w:val="center"/>
          </w:tcPr>
          <w:p w14:paraId="5B312D3E">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C2F644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813A30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0765AF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6C83D6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68" w:type="dxa"/>
            <w:tcMar>
              <w:left w:w="0" w:type="dxa"/>
              <w:right w:w="0" w:type="dxa"/>
            </w:tcMar>
            <w:vAlign w:val="center"/>
          </w:tcPr>
          <w:p w14:paraId="03AA055D">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3E9994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0C964AF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691E68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6F2326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68" w:type="dxa"/>
            <w:tcMar>
              <w:left w:w="0" w:type="dxa"/>
              <w:right w:w="0" w:type="dxa"/>
            </w:tcMar>
            <w:vAlign w:val="center"/>
          </w:tcPr>
          <w:p w14:paraId="0DA79DA2">
            <w:pPr>
              <w:keepNext w:val="0"/>
              <w:keepLines w:val="0"/>
              <w:suppressLineNumbers w:val="0"/>
              <w:tabs>
                <w:tab w:val="left" w:pos="851"/>
              </w:tabs>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4BBF67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526FC3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2E5C49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877706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68" w:type="dxa"/>
            <w:tcMar>
              <w:left w:w="0" w:type="dxa"/>
              <w:right w:w="0" w:type="dxa"/>
            </w:tcMar>
            <w:vAlign w:val="center"/>
          </w:tcPr>
          <w:p w14:paraId="1350D95D">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6A19718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2317E5B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02A8CF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D0DCA1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68" w:type="dxa"/>
            <w:tcMar>
              <w:left w:w="0" w:type="dxa"/>
              <w:right w:w="0" w:type="dxa"/>
            </w:tcMar>
            <w:vAlign w:val="center"/>
          </w:tcPr>
          <w:p w14:paraId="420AEF3A">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3B6C677B">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314C762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C5EDA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44CF920">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68" w:type="dxa"/>
            <w:tcMar>
              <w:left w:w="0" w:type="dxa"/>
              <w:right w:w="0" w:type="dxa"/>
            </w:tcMar>
            <w:vAlign w:val="center"/>
          </w:tcPr>
          <w:p w14:paraId="7E34DE17">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025E74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298A99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40E8D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F2EF56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68" w:type="dxa"/>
            <w:tcMar>
              <w:left w:w="0" w:type="dxa"/>
              <w:right w:w="0" w:type="dxa"/>
            </w:tcMar>
            <w:vAlign w:val="center"/>
          </w:tcPr>
          <w:p w14:paraId="2857D41E">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58A1A0B">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71753FD0">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6C61F3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4B86B0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68" w:type="dxa"/>
            <w:tcMar>
              <w:left w:w="0" w:type="dxa"/>
              <w:right w:w="0" w:type="dxa"/>
            </w:tcMar>
            <w:vAlign w:val="center"/>
          </w:tcPr>
          <w:p w14:paraId="4E9E5748">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0F06A8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341B9A8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A1925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123C5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68" w:type="dxa"/>
            <w:tcMar>
              <w:left w:w="0" w:type="dxa"/>
              <w:right w:w="0" w:type="dxa"/>
            </w:tcMar>
            <w:vAlign w:val="center"/>
          </w:tcPr>
          <w:p w14:paraId="7F11788F">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634206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D36490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4860B1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826B29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5CB58637">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20A674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F7123A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bl>
    <w:p w14:paraId="237863FB">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33F9A20A">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1、列明采购文件的技术要求与投标文件对应响应，并说明偏离状况（正偏离或负偏离）；</w:t>
      </w:r>
    </w:p>
    <w:p w14:paraId="38ECA2A4">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7A426E54">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6CDD9807">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5E6C77F">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7ED5566F">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6D112AB">
      <w:pPr>
        <w:pageBreakBefore/>
        <w:spacing w:after="100" w:afterAutospacing="1" w:line="360" w:lineRule="auto"/>
        <w:jc w:val="center"/>
        <w:outlineLvl w:val="0"/>
        <w:rPr>
          <w:rFonts w:ascii="宋体" w:hAnsi="宋体" w:eastAsia="宋体" w:cs="宋体"/>
          <w:b/>
          <w:color w:val="auto"/>
          <w:sz w:val="32"/>
          <w:szCs w:val="32"/>
          <w:highlight w:val="none"/>
        </w:rPr>
      </w:pPr>
      <w:bookmarkStart w:id="152" w:name="_Toc18229"/>
      <w:bookmarkStart w:id="153" w:name="_Toc4688"/>
      <w:bookmarkStart w:id="154" w:name="_Toc9701"/>
      <w:bookmarkStart w:id="155" w:name="_Toc7232"/>
      <w:bookmarkStart w:id="156" w:name="_Toc22735"/>
      <w:bookmarkStart w:id="157" w:name="_Toc9606"/>
      <w:bookmarkStart w:id="158" w:name="_Toc14058"/>
      <w:bookmarkStart w:id="159" w:name="_Toc3100"/>
      <w:bookmarkStart w:id="160" w:name="_Toc27833"/>
      <w:r>
        <w:rPr>
          <w:rFonts w:hint="eastAsia" w:ascii="宋体" w:hAnsi="宋体" w:eastAsia="宋体" w:cs="宋体"/>
          <w:b/>
          <w:color w:val="auto"/>
          <w:sz w:val="32"/>
          <w:szCs w:val="32"/>
          <w:highlight w:val="none"/>
          <w:lang w:eastAsia="zh-CN"/>
        </w:rPr>
        <w:t>七</w:t>
      </w:r>
      <w:r>
        <w:rPr>
          <w:rFonts w:hint="eastAsia" w:ascii="宋体" w:hAnsi="宋体" w:eastAsia="宋体" w:cs="宋体"/>
          <w:b/>
          <w:color w:val="auto"/>
          <w:sz w:val="32"/>
          <w:szCs w:val="32"/>
          <w:highlight w:val="none"/>
        </w:rPr>
        <w:t>、商务偏离表</w:t>
      </w:r>
      <w:bookmarkEnd w:id="152"/>
      <w:bookmarkEnd w:id="153"/>
      <w:bookmarkEnd w:id="154"/>
      <w:bookmarkEnd w:id="155"/>
      <w:bookmarkEnd w:id="156"/>
      <w:bookmarkEnd w:id="157"/>
      <w:bookmarkEnd w:id="158"/>
      <w:bookmarkEnd w:id="159"/>
      <w:bookmarkEnd w:id="160"/>
    </w:p>
    <w:p w14:paraId="28EF6AD7">
      <w:pPr>
        <w:widowControl w:val="0"/>
        <w:tabs>
          <w:tab w:val="right" w:pos="8847"/>
        </w:tabs>
        <w:spacing w:line="480" w:lineRule="atLeast"/>
        <w:ind w:left="479" w:leftChars="228" w:firstLine="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                                         项目名称：</w:t>
      </w:r>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450"/>
        <w:gridCol w:w="3086"/>
        <w:gridCol w:w="995"/>
      </w:tblGrid>
      <w:tr w14:paraId="48A2C1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08F4718F">
            <w:pPr>
              <w:keepNext w:val="0"/>
              <w:keepLines w:val="0"/>
              <w:widowControl w:val="0"/>
              <w:suppressLineNumbers w:val="0"/>
              <w:spacing w:before="0" w:beforeAutospacing="0" w:after="0" w:afterAutospacing="0" w:line="340" w:lineRule="exact"/>
              <w:ind w:left="0" w:right="0" w:firstLine="120" w:firstLineChars="50"/>
              <w:contextualSpacing/>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4450" w:type="dxa"/>
            <w:tcBorders>
              <w:top w:val="single" w:color="auto" w:sz="4" w:space="0"/>
              <w:bottom w:val="single" w:color="auto" w:sz="4" w:space="0"/>
            </w:tcBorders>
            <w:tcMar>
              <w:left w:w="0" w:type="dxa"/>
              <w:right w:w="0" w:type="dxa"/>
            </w:tcMar>
            <w:vAlign w:val="center"/>
          </w:tcPr>
          <w:p w14:paraId="502C61D3">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《采购文件》商务条款要求</w:t>
            </w:r>
          </w:p>
        </w:tc>
        <w:tc>
          <w:tcPr>
            <w:tcW w:w="3086" w:type="dxa"/>
            <w:tcBorders>
              <w:top w:val="single" w:color="auto" w:sz="4" w:space="0"/>
              <w:bottom w:val="single" w:color="auto" w:sz="4" w:space="0"/>
            </w:tcBorders>
            <w:tcMar>
              <w:left w:w="0" w:type="dxa"/>
              <w:right w:w="0" w:type="dxa"/>
            </w:tcMar>
            <w:vAlign w:val="center"/>
          </w:tcPr>
          <w:p w14:paraId="00201513">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《投标文件》商务条款响应</w:t>
            </w:r>
          </w:p>
        </w:tc>
        <w:tc>
          <w:tcPr>
            <w:tcW w:w="995" w:type="dxa"/>
            <w:tcBorders>
              <w:top w:val="single" w:color="auto" w:sz="4" w:space="0"/>
              <w:bottom w:val="single" w:color="auto" w:sz="4" w:space="0"/>
            </w:tcBorders>
            <w:tcMar>
              <w:left w:w="0" w:type="dxa"/>
              <w:right w:w="0" w:type="dxa"/>
            </w:tcMar>
            <w:vAlign w:val="center"/>
          </w:tcPr>
          <w:p w14:paraId="2BD8E87B">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0F85E0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AC1221A">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50" w:type="dxa"/>
            <w:tcBorders>
              <w:top w:val="single" w:color="auto" w:sz="4" w:space="0"/>
            </w:tcBorders>
            <w:tcMar>
              <w:left w:w="0" w:type="dxa"/>
              <w:right w:w="0" w:type="dxa"/>
            </w:tcMar>
            <w:vAlign w:val="center"/>
          </w:tcPr>
          <w:p w14:paraId="56115B45">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Borders>
              <w:top w:val="single" w:color="auto" w:sz="4" w:space="0"/>
            </w:tcBorders>
            <w:tcMar>
              <w:left w:w="0" w:type="dxa"/>
              <w:right w:w="0" w:type="dxa"/>
            </w:tcMar>
            <w:vAlign w:val="center"/>
          </w:tcPr>
          <w:p w14:paraId="48871BE1">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625F962A">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5345FA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0AA7310">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50" w:type="dxa"/>
            <w:tcMar>
              <w:left w:w="0" w:type="dxa"/>
              <w:right w:w="0" w:type="dxa"/>
            </w:tcMar>
            <w:vAlign w:val="center"/>
          </w:tcPr>
          <w:p w14:paraId="489514C0">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023FC800">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602051BC">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1ADBB2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C8817E5">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50" w:type="dxa"/>
            <w:tcMar>
              <w:left w:w="0" w:type="dxa"/>
              <w:right w:w="0" w:type="dxa"/>
            </w:tcMar>
            <w:vAlign w:val="center"/>
          </w:tcPr>
          <w:p w14:paraId="29136374">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0693EB71">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513849F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324E0E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C6AA9AC">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450" w:type="dxa"/>
            <w:tcMar>
              <w:left w:w="0" w:type="dxa"/>
              <w:right w:w="0" w:type="dxa"/>
            </w:tcMar>
            <w:vAlign w:val="center"/>
          </w:tcPr>
          <w:p w14:paraId="0097CC60">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13715C8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3BA7651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687042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05FDDEA">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450" w:type="dxa"/>
            <w:tcMar>
              <w:left w:w="0" w:type="dxa"/>
              <w:right w:w="0" w:type="dxa"/>
            </w:tcMar>
            <w:vAlign w:val="center"/>
          </w:tcPr>
          <w:p w14:paraId="47A69988">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4EC0B8C0">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4FAE6A0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56FBA6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A097B07">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450" w:type="dxa"/>
            <w:tcMar>
              <w:left w:w="0" w:type="dxa"/>
              <w:right w:w="0" w:type="dxa"/>
            </w:tcMar>
            <w:vAlign w:val="center"/>
          </w:tcPr>
          <w:p w14:paraId="416EEA36">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05235B12">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789560B4">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55E14B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72999A2">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450" w:type="dxa"/>
            <w:tcMar>
              <w:left w:w="0" w:type="dxa"/>
              <w:right w:w="0" w:type="dxa"/>
            </w:tcMar>
            <w:vAlign w:val="center"/>
          </w:tcPr>
          <w:p w14:paraId="3C26169F">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517D11BB">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678A1D41">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428AED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1B8A96A">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450" w:type="dxa"/>
            <w:tcMar>
              <w:left w:w="0" w:type="dxa"/>
              <w:right w:w="0" w:type="dxa"/>
            </w:tcMar>
            <w:vAlign w:val="center"/>
          </w:tcPr>
          <w:p w14:paraId="60E02683">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789F4664">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52072964">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2C5FC9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F2A9935">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450" w:type="dxa"/>
            <w:tcMar>
              <w:left w:w="0" w:type="dxa"/>
              <w:right w:w="0" w:type="dxa"/>
            </w:tcMar>
            <w:vAlign w:val="center"/>
          </w:tcPr>
          <w:p w14:paraId="5D9CC1D3">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07A9E2D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4D86E047">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14B904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961AA9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450" w:type="dxa"/>
            <w:tcMar>
              <w:left w:w="0" w:type="dxa"/>
              <w:right w:w="0" w:type="dxa"/>
            </w:tcMar>
            <w:vAlign w:val="center"/>
          </w:tcPr>
          <w:p w14:paraId="5384E0AE">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72855574">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4A687512">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3F7EEB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A34F5C0">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450" w:type="dxa"/>
            <w:tcMar>
              <w:left w:w="0" w:type="dxa"/>
              <w:right w:w="0" w:type="dxa"/>
            </w:tcMar>
            <w:vAlign w:val="center"/>
          </w:tcPr>
          <w:p w14:paraId="280B539F">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167104F3">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2E024F1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bl>
    <w:p w14:paraId="2B22F57B">
      <w:pPr>
        <w:widowControl w:val="0"/>
        <w:spacing w:line="480" w:lineRule="atLeas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09354089">
      <w:pPr>
        <w:widowControl w:val="0"/>
        <w:spacing w:line="480" w:lineRule="atLeas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1、列明采购文件的商务要求与投标文件对应响应，并说明偏离状况（正偏离或负偏离）；</w:t>
      </w:r>
    </w:p>
    <w:p w14:paraId="4F658020">
      <w:pPr>
        <w:widowControl w:val="0"/>
        <w:spacing w:line="480" w:lineRule="atLeas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5B3A5DE0">
      <w:pPr>
        <w:widowControl w:val="0"/>
        <w:spacing w:line="480" w:lineRule="atLeas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2EE763E9">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6C2E466C">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4578BD2A">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DEF91A7">
      <w:pPr>
        <w:pageBreakBefore/>
        <w:spacing w:line="360" w:lineRule="auto"/>
        <w:jc w:val="center"/>
        <w:outlineLvl w:val="0"/>
        <w:rPr>
          <w:rFonts w:ascii="宋体" w:hAnsi="宋体" w:eastAsia="宋体" w:cs="宋体"/>
          <w:color w:val="auto"/>
          <w:sz w:val="32"/>
          <w:szCs w:val="32"/>
          <w:highlight w:val="none"/>
        </w:rPr>
      </w:pPr>
      <w:bookmarkStart w:id="161" w:name="_Toc19019"/>
      <w:bookmarkStart w:id="162" w:name="_Toc5515"/>
      <w:bookmarkStart w:id="163" w:name="_Toc19473"/>
      <w:bookmarkStart w:id="164" w:name="_Toc2665"/>
      <w:bookmarkStart w:id="165" w:name="_Toc21753"/>
      <w:bookmarkStart w:id="166" w:name="_Toc15797"/>
      <w:bookmarkStart w:id="167" w:name="_Toc7667"/>
      <w:bookmarkStart w:id="168" w:name="_Toc31566"/>
      <w:bookmarkStart w:id="169" w:name="_Toc20733"/>
      <w:r>
        <w:rPr>
          <w:rFonts w:hint="eastAsia" w:ascii="宋体" w:hAnsi="宋体" w:eastAsia="宋体" w:cs="宋体"/>
          <w:b/>
          <w:color w:val="auto"/>
          <w:sz w:val="32"/>
          <w:szCs w:val="32"/>
          <w:highlight w:val="none"/>
          <w:lang w:eastAsia="zh-CN"/>
        </w:rPr>
        <w:t>八</w:t>
      </w:r>
      <w:r>
        <w:rPr>
          <w:rFonts w:hint="eastAsia" w:ascii="宋体" w:hAnsi="宋体" w:eastAsia="宋体" w:cs="宋体"/>
          <w:b/>
          <w:color w:val="auto"/>
          <w:sz w:val="32"/>
          <w:szCs w:val="32"/>
          <w:highlight w:val="none"/>
        </w:rPr>
        <w:t>、相关项目实施业绩一览表</w:t>
      </w:r>
      <w:bookmarkEnd w:id="161"/>
      <w:bookmarkEnd w:id="162"/>
      <w:bookmarkEnd w:id="163"/>
      <w:bookmarkEnd w:id="164"/>
      <w:bookmarkEnd w:id="165"/>
      <w:bookmarkEnd w:id="166"/>
      <w:bookmarkEnd w:id="167"/>
      <w:bookmarkEnd w:id="168"/>
      <w:bookmarkEnd w:id="169"/>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0E05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6B126A4B">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3" w:type="dxa"/>
            <w:vAlign w:val="center"/>
          </w:tcPr>
          <w:p w14:paraId="6B16CD7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06" w:type="dxa"/>
            <w:vAlign w:val="center"/>
          </w:tcPr>
          <w:p w14:paraId="4D8B5714">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774" w:type="dxa"/>
            <w:vAlign w:val="center"/>
          </w:tcPr>
          <w:p w14:paraId="7E4C0DC0">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242" w:type="dxa"/>
            <w:vAlign w:val="center"/>
          </w:tcPr>
          <w:p w14:paraId="76D4D004">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p w14:paraId="51A4E5F1">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643" w:type="dxa"/>
            <w:vAlign w:val="center"/>
          </w:tcPr>
          <w:p w14:paraId="10E713CC">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r>
      <w:tr w14:paraId="4B67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4D1C2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3" w:type="dxa"/>
            <w:vAlign w:val="center"/>
          </w:tcPr>
          <w:p w14:paraId="7FCFB9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31ED45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1A2FE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1ED3AA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330C2B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96F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4579AD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3" w:type="dxa"/>
            <w:vAlign w:val="center"/>
          </w:tcPr>
          <w:p w14:paraId="449CDF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3B1A2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3EB8D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73C155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4B376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5BD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D017A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3" w:type="dxa"/>
            <w:vAlign w:val="center"/>
          </w:tcPr>
          <w:p w14:paraId="7906F1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6F0C6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7CB9F6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5AF588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1BD5A0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36E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88BC5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83" w:type="dxa"/>
            <w:vAlign w:val="center"/>
          </w:tcPr>
          <w:p w14:paraId="7B2862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51E10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A4CB9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02601C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72EAB5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946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767AE9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43F281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FBE4C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667F13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354212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1DAC0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05B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3D856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2934E3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787BF9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30AE5D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B83CB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4F3B5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76AD5E74">
      <w:pPr>
        <w:spacing w:before="77" w:line="360" w:lineRule="auto"/>
        <w:ind w:right="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注：需按评分标准要求附项目证明材料。</w:t>
      </w:r>
    </w:p>
    <w:p w14:paraId="00D7B7F7">
      <w:pPr>
        <w:spacing w:line="360" w:lineRule="auto"/>
        <w:ind w:firstLine="4440" w:firstLineChars="1850"/>
        <w:rPr>
          <w:rFonts w:hint="eastAsia" w:ascii="宋体" w:hAnsi="宋体" w:eastAsia="宋体" w:cs="宋体"/>
          <w:color w:val="auto"/>
          <w:sz w:val="24"/>
          <w:szCs w:val="24"/>
          <w:highlight w:val="none"/>
        </w:rPr>
      </w:pPr>
    </w:p>
    <w:p w14:paraId="430F45E1">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1297B7C2">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5C0D2ACC">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EAF1669">
      <w:pPr>
        <w:widowControl w:val="0"/>
        <w:ind w:left="2940" w:leftChars="1400"/>
        <w:jc w:val="both"/>
        <w:rPr>
          <w:rFonts w:ascii="宋体" w:hAnsi="宋体" w:eastAsia="宋体" w:cs="宋体"/>
          <w:color w:val="auto"/>
          <w:kern w:val="2"/>
          <w:sz w:val="24"/>
          <w:szCs w:val="24"/>
          <w:highlight w:val="none"/>
          <w:lang w:val="en-US" w:eastAsia="zh-CN" w:bidi="ar-SA"/>
        </w:rPr>
      </w:pPr>
    </w:p>
    <w:p w14:paraId="376254F5">
      <w:pPr>
        <w:rPr>
          <w:rFonts w:ascii="宋体" w:hAnsi="宋体" w:eastAsia="宋体" w:cs="宋体"/>
          <w:color w:val="auto"/>
          <w:highlight w:val="none"/>
        </w:rPr>
      </w:pPr>
    </w:p>
    <w:p w14:paraId="2EAB0D66">
      <w:pPr>
        <w:widowControl w:val="0"/>
        <w:spacing w:after="120"/>
        <w:jc w:val="both"/>
        <w:rPr>
          <w:rFonts w:ascii="宋体" w:hAnsi="宋体" w:eastAsia="宋体" w:cs="宋体"/>
          <w:color w:val="auto"/>
          <w:kern w:val="2"/>
          <w:sz w:val="21"/>
          <w:szCs w:val="24"/>
          <w:highlight w:val="none"/>
          <w:lang w:val="en-US" w:eastAsia="zh-CN" w:bidi="ar-SA"/>
        </w:rPr>
      </w:pPr>
    </w:p>
    <w:p w14:paraId="66A0F6C1">
      <w:pPr>
        <w:widowControl w:val="0"/>
        <w:ind w:left="2940" w:leftChars="1400"/>
        <w:jc w:val="both"/>
        <w:rPr>
          <w:rFonts w:ascii="宋体" w:hAnsi="宋体" w:eastAsia="宋体" w:cs="宋体"/>
          <w:color w:val="auto"/>
          <w:kern w:val="2"/>
          <w:sz w:val="21"/>
          <w:szCs w:val="24"/>
          <w:highlight w:val="none"/>
          <w:lang w:val="en-US" w:eastAsia="zh-CN" w:bidi="ar-SA"/>
        </w:rPr>
      </w:pPr>
    </w:p>
    <w:p w14:paraId="3888BB9F">
      <w:pPr>
        <w:rPr>
          <w:rFonts w:ascii="宋体" w:hAnsi="宋体" w:eastAsia="宋体" w:cs="宋体"/>
          <w:color w:val="auto"/>
          <w:highlight w:val="none"/>
        </w:rPr>
      </w:pPr>
    </w:p>
    <w:p w14:paraId="1C9D8F2B">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1CFF4CAF">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4978C988">
      <w:pPr>
        <w:pageBreakBefore/>
        <w:spacing w:line="360" w:lineRule="auto"/>
        <w:ind w:right="-108"/>
        <w:jc w:val="center"/>
        <w:outlineLvl w:val="0"/>
        <w:rPr>
          <w:rFonts w:ascii="宋体" w:hAnsi="宋体" w:eastAsia="宋体" w:cs="宋体"/>
          <w:color w:val="auto"/>
          <w:spacing w:val="40"/>
          <w:sz w:val="52"/>
          <w:szCs w:val="52"/>
          <w:highlight w:val="none"/>
        </w:rPr>
      </w:pPr>
      <w:bookmarkStart w:id="170" w:name="_Toc28397"/>
      <w:bookmarkStart w:id="171" w:name="_Toc18892"/>
      <w:bookmarkStart w:id="172" w:name="_Toc16232"/>
      <w:bookmarkStart w:id="173" w:name="_Toc6727"/>
      <w:bookmarkStart w:id="174" w:name="_Toc7488"/>
      <w:bookmarkStart w:id="175" w:name="_Toc17529"/>
      <w:bookmarkStart w:id="176" w:name="_Toc25688"/>
      <w:bookmarkStart w:id="177" w:name="_Toc28068"/>
      <w:bookmarkStart w:id="178" w:name="_Toc2003"/>
      <w:r>
        <w:rPr>
          <w:rFonts w:hint="eastAsia" w:ascii="宋体" w:hAnsi="宋体" w:eastAsia="宋体" w:cs="宋体"/>
          <w:color w:val="auto"/>
          <w:spacing w:val="40"/>
          <w:sz w:val="52"/>
          <w:szCs w:val="52"/>
          <w:highlight w:val="none"/>
        </w:rPr>
        <w:t>项目名称</w:t>
      </w:r>
      <w:bookmarkEnd w:id="170"/>
      <w:bookmarkEnd w:id="171"/>
      <w:bookmarkEnd w:id="172"/>
      <w:bookmarkEnd w:id="173"/>
      <w:bookmarkEnd w:id="174"/>
      <w:bookmarkEnd w:id="175"/>
      <w:bookmarkEnd w:id="176"/>
      <w:bookmarkEnd w:id="177"/>
      <w:bookmarkEnd w:id="178"/>
    </w:p>
    <w:p w14:paraId="15C48F36">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59E58D84">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4E1AA0A8">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3EB2796E">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21BD067C">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7C5246E2">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（报价文件）</w:t>
      </w:r>
    </w:p>
    <w:p w14:paraId="12878FB5">
      <w:pPr>
        <w:spacing w:line="360" w:lineRule="auto"/>
        <w:ind w:right="532"/>
        <w:rPr>
          <w:rFonts w:ascii="宋体" w:hAnsi="宋体" w:eastAsia="宋体" w:cs="宋体"/>
          <w:color w:val="auto"/>
          <w:sz w:val="36"/>
          <w:szCs w:val="36"/>
          <w:highlight w:val="none"/>
        </w:rPr>
      </w:pPr>
    </w:p>
    <w:p w14:paraId="754ACC0B">
      <w:pPr>
        <w:spacing w:line="36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679B64F3">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3B1C4F90">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0900E280">
      <w:pPr>
        <w:widowControl w:val="0"/>
        <w:spacing w:after="120"/>
        <w:jc w:val="both"/>
        <w:rPr>
          <w:rFonts w:ascii="宋体" w:hAnsi="宋体" w:eastAsia="宋体" w:cs="宋体"/>
          <w:color w:val="auto"/>
          <w:kern w:val="2"/>
          <w:sz w:val="21"/>
          <w:szCs w:val="24"/>
          <w:highlight w:val="none"/>
          <w:lang w:val="en-US" w:eastAsia="zh-CN" w:bidi="ar-SA"/>
        </w:rPr>
      </w:pPr>
    </w:p>
    <w:p w14:paraId="7916AE0B">
      <w:pPr>
        <w:widowControl w:val="0"/>
        <w:ind w:left="2940" w:leftChars="1400"/>
        <w:jc w:val="both"/>
        <w:rPr>
          <w:rFonts w:ascii="宋体" w:hAnsi="宋体" w:eastAsia="宋体" w:cs="宋体"/>
          <w:color w:val="auto"/>
          <w:kern w:val="2"/>
          <w:sz w:val="21"/>
          <w:szCs w:val="24"/>
          <w:highlight w:val="none"/>
          <w:lang w:val="en-US" w:eastAsia="zh-CN" w:bidi="ar-SA"/>
        </w:rPr>
      </w:pPr>
    </w:p>
    <w:p w14:paraId="7F3157DB">
      <w:pPr>
        <w:rPr>
          <w:rFonts w:ascii="宋体" w:hAnsi="宋体" w:eastAsia="宋体" w:cs="宋体"/>
          <w:color w:val="auto"/>
          <w:highlight w:val="none"/>
        </w:rPr>
      </w:pPr>
    </w:p>
    <w:p w14:paraId="1DD38360">
      <w:pPr>
        <w:widowControl w:val="0"/>
        <w:spacing w:after="120"/>
        <w:jc w:val="both"/>
        <w:rPr>
          <w:rFonts w:ascii="宋体" w:hAnsi="宋体" w:eastAsia="宋体" w:cs="宋体"/>
          <w:color w:val="auto"/>
          <w:kern w:val="2"/>
          <w:sz w:val="21"/>
          <w:szCs w:val="24"/>
          <w:highlight w:val="none"/>
          <w:lang w:val="en-US" w:eastAsia="zh-CN" w:bidi="ar-SA"/>
        </w:rPr>
      </w:pPr>
    </w:p>
    <w:p w14:paraId="6E8E40E1">
      <w:pPr>
        <w:shd w:val="clear" w:color="auto" w:fill="FFFFFF"/>
        <w:snapToGrid w:val="0"/>
        <w:spacing w:line="360" w:lineRule="auto"/>
        <w:jc w:val="center"/>
        <w:outlineLvl w:val="1"/>
        <w:rPr>
          <w:rFonts w:ascii="宋体" w:hAnsi="宋体" w:eastAsia="宋体" w:cs="宋体"/>
          <w:b/>
          <w:bCs/>
          <w:color w:val="auto"/>
          <w:kern w:val="0"/>
          <w:sz w:val="32"/>
          <w:szCs w:val="32"/>
          <w:highlight w:val="none"/>
        </w:rPr>
      </w:pPr>
    </w:p>
    <w:p w14:paraId="7CB0CE34">
      <w:pPr>
        <w:spacing w:line="360" w:lineRule="auto"/>
        <w:jc w:val="center"/>
        <w:rPr>
          <w:rFonts w:ascii="宋体" w:hAnsi="宋体" w:cs="宋体"/>
          <w:b/>
          <w:color w:val="auto"/>
          <w:sz w:val="44"/>
          <w:szCs w:val="44"/>
          <w:highlight w:val="none"/>
        </w:rPr>
        <w:sectPr>
          <w:footerReference r:id="rId12" w:type="default"/>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69863D8B">
      <w:pPr>
        <w:pageBreakBefore/>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报价文件</w:t>
      </w:r>
    </w:p>
    <w:p w14:paraId="27139A59">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60CB3C12">
      <w:pPr>
        <w:numPr>
          <w:ilvl w:val="0"/>
          <w:numId w:val="17"/>
        </w:num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开标一览表…………………………………………………………………………（页码）</w:t>
      </w:r>
    </w:p>
    <w:p w14:paraId="429AFE7C">
      <w:pPr>
        <w:numPr>
          <w:ilvl w:val="0"/>
          <w:numId w:val="17"/>
        </w:numPr>
        <w:spacing w:line="48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报价明细表</w:t>
      </w:r>
      <w:r>
        <w:rPr>
          <w:rFonts w:hint="eastAsia" w:ascii="宋体" w:hAnsi="宋体" w:eastAsia="宋体" w:cs="宋体"/>
          <w:color w:val="auto"/>
          <w:sz w:val="24"/>
          <w:highlight w:val="none"/>
        </w:rPr>
        <w:t>…………………………………………………………………………（页码）</w:t>
      </w:r>
    </w:p>
    <w:p w14:paraId="5B1FD148">
      <w:pPr>
        <w:spacing w:line="48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highlight w:val="none"/>
          <w:lang w:eastAsia="zh-CN"/>
        </w:rPr>
        <w:t>中小企业声明函（如有，可提供）</w:t>
      </w:r>
      <w:r>
        <w:rPr>
          <w:rFonts w:hint="eastAsia" w:ascii="宋体" w:hAnsi="宋体" w:eastAsia="宋体" w:cs="宋体"/>
          <w:color w:val="auto"/>
          <w:sz w:val="24"/>
          <w:highlight w:val="none"/>
        </w:rPr>
        <w:t>………………………………………………（页码）</w:t>
      </w:r>
    </w:p>
    <w:p w14:paraId="2EE50446">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投标人认为需提交的其他</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文件资料</w:t>
      </w:r>
      <w:r>
        <w:rPr>
          <w:rFonts w:hint="eastAsia" w:ascii="宋体" w:hAnsi="宋体" w:eastAsia="宋体" w:cs="宋体"/>
          <w:color w:val="auto"/>
          <w:sz w:val="24"/>
          <w:highlight w:val="none"/>
        </w:rPr>
        <w:t>…………………………………………（页码）</w:t>
      </w:r>
    </w:p>
    <w:p w14:paraId="533E44E8">
      <w:pPr>
        <w:spacing w:line="48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5E880774">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p>
    <w:p w14:paraId="504AFA4B">
      <w:pPr>
        <w:widowControl w:val="0"/>
        <w:ind w:left="2940" w:leftChars="1400"/>
        <w:jc w:val="both"/>
        <w:rPr>
          <w:rFonts w:ascii="宋体" w:hAnsi="宋体" w:eastAsia="宋体" w:cs="宋体"/>
          <w:color w:val="auto"/>
          <w:kern w:val="2"/>
          <w:sz w:val="21"/>
          <w:szCs w:val="24"/>
          <w:highlight w:val="none"/>
          <w:lang w:val="en-US" w:eastAsia="zh-CN" w:bidi="ar-SA"/>
        </w:rPr>
      </w:pPr>
    </w:p>
    <w:p w14:paraId="7B9AE94D">
      <w:pPr>
        <w:rPr>
          <w:rFonts w:ascii="宋体" w:hAnsi="宋体" w:eastAsia="宋体" w:cs="宋体"/>
          <w:color w:val="auto"/>
          <w:highlight w:val="none"/>
        </w:rPr>
      </w:pPr>
    </w:p>
    <w:p w14:paraId="1D8533CE">
      <w:pPr>
        <w:widowControl w:val="0"/>
        <w:spacing w:after="120"/>
        <w:jc w:val="both"/>
        <w:rPr>
          <w:rFonts w:ascii="宋体" w:hAnsi="宋体" w:eastAsia="宋体" w:cs="宋体"/>
          <w:color w:val="auto"/>
          <w:kern w:val="2"/>
          <w:sz w:val="21"/>
          <w:szCs w:val="24"/>
          <w:highlight w:val="none"/>
          <w:lang w:val="en-US" w:eastAsia="zh-CN" w:bidi="ar-SA"/>
        </w:rPr>
      </w:pPr>
    </w:p>
    <w:p w14:paraId="145E1CA7">
      <w:pPr>
        <w:widowControl w:val="0"/>
        <w:ind w:left="2940" w:leftChars="1400"/>
        <w:jc w:val="both"/>
        <w:rPr>
          <w:rFonts w:ascii="宋体" w:hAnsi="宋体" w:eastAsia="宋体" w:cs="宋体"/>
          <w:color w:val="auto"/>
          <w:kern w:val="2"/>
          <w:sz w:val="21"/>
          <w:szCs w:val="24"/>
          <w:highlight w:val="none"/>
          <w:lang w:val="en-US" w:eastAsia="zh-CN" w:bidi="ar-SA"/>
        </w:rPr>
      </w:pPr>
    </w:p>
    <w:p w14:paraId="7BF4D858">
      <w:pPr>
        <w:rPr>
          <w:rFonts w:ascii="宋体" w:hAnsi="宋体" w:eastAsia="宋体" w:cs="宋体"/>
          <w:color w:val="auto"/>
          <w:highlight w:val="none"/>
        </w:rPr>
      </w:pPr>
    </w:p>
    <w:p w14:paraId="22B4BE55">
      <w:pPr>
        <w:widowControl w:val="0"/>
        <w:spacing w:after="120"/>
        <w:jc w:val="both"/>
        <w:rPr>
          <w:rFonts w:ascii="宋体" w:hAnsi="宋体" w:eastAsia="宋体" w:cs="宋体"/>
          <w:color w:val="auto"/>
          <w:kern w:val="2"/>
          <w:sz w:val="21"/>
          <w:szCs w:val="24"/>
          <w:highlight w:val="none"/>
          <w:lang w:val="en-US" w:eastAsia="zh-CN" w:bidi="ar-SA"/>
        </w:rPr>
      </w:pPr>
    </w:p>
    <w:p w14:paraId="413F3284">
      <w:pPr>
        <w:widowControl w:val="0"/>
        <w:ind w:left="2940" w:leftChars="1400"/>
        <w:jc w:val="both"/>
        <w:rPr>
          <w:rFonts w:ascii="宋体" w:hAnsi="宋体" w:eastAsia="宋体" w:cs="宋体"/>
          <w:color w:val="auto"/>
          <w:kern w:val="2"/>
          <w:sz w:val="21"/>
          <w:szCs w:val="24"/>
          <w:highlight w:val="none"/>
          <w:lang w:val="en-US" w:eastAsia="zh-CN" w:bidi="ar-SA"/>
        </w:rPr>
      </w:pPr>
    </w:p>
    <w:p w14:paraId="7391F875">
      <w:pPr>
        <w:rPr>
          <w:rFonts w:ascii="宋体" w:hAnsi="宋体" w:eastAsia="宋体" w:cs="宋体"/>
          <w:color w:val="auto"/>
          <w:highlight w:val="none"/>
        </w:rPr>
      </w:pPr>
    </w:p>
    <w:p w14:paraId="484A96CA">
      <w:pPr>
        <w:widowControl w:val="0"/>
        <w:spacing w:after="120"/>
        <w:jc w:val="both"/>
        <w:rPr>
          <w:rFonts w:ascii="宋体" w:hAnsi="宋体" w:eastAsia="宋体" w:cs="宋体"/>
          <w:color w:val="auto"/>
          <w:kern w:val="2"/>
          <w:sz w:val="21"/>
          <w:szCs w:val="24"/>
          <w:highlight w:val="none"/>
          <w:lang w:val="en-US" w:eastAsia="zh-CN" w:bidi="ar-SA"/>
        </w:rPr>
      </w:pPr>
    </w:p>
    <w:p w14:paraId="7AC29B22">
      <w:pPr>
        <w:widowControl w:val="0"/>
        <w:ind w:left="2940" w:leftChars="1400"/>
        <w:jc w:val="both"/>
        <w:rPr>
          <w:rFonts w:ascii="宋体" w:hAnsi="宋体" w:eastAsia="宋体" w:cs="宋体"/>
          <w:color w:val="auto"/>
          <w:kern w:val="2"/>
          <w:sz w:val="21"/>
          <w:szCs w:val="24"/>
          <w:highlight w:val="none"/>
          <w:lang w:val="en-US" w:eastAsia="zh-CN" w:bidi="ar-SA"/>
        </w:rPr>
      </w:pPr>
    </w:p>
    <w:p w14:paraId="41234558">
      <w:pPr>
        <w:rPr>
          <w:rFonts w:ascii="宋体" w:hAnsi="宋体" w:eastAsia="宋体" w:cs="宋体"/>
          <w:color w:val="auto"/>
          <w:highlight w:val="none"/>
        </w:rPr>
      </w:pPr>
    </w:p>
    <w:p w14:paraId="1D13D75F">
      <w:pPr>
        <w:spacing w:line="360" w:lineRule="auto"/>
        <w:jc w:val="both"/>
        <w:rPr>
          <w:rFonts w:ascii="宋体" w:hAnsi="宋体" w:cs="宋体"/>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241225B8">
      <w:pPr>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一</w:t>
      </w:r>
      <w:r>
        <w:rPr>
          <w:rFonts w:hint="eastAsia" w:cs="宋体" w:asciiTheme="minorEastAsia" w:hAnsiTheme="minorEastAsia" w:eastAsiaTheme="minorEastAsia"/>
          <w:b/>
          <w:bCs/>
          <w:color w:val="auto"/>
          <w:kern w:val="0"/>
          <w:sz w:val="32"/>
          <w:szCs w:val="32"/>
          <w:highlight w:val="none"/>
        </w:rPr>
        <w:t>、</w:t>
      </w:r>
      <w:r>
        <w:rPr>
          <w:rFonts w:cs="宋体" w:asciiTheme="minorEastAsia" w:hAnsiTheme="minorEastAsia" w:eastAsiaTheme="minorEastAsia"/>
          <w:b/>
          <w:bCs/>
          <w:color w:val="auto"/>
          <w:kern w:val="0"/>
          <w:sz w:val="32"/>
          <w:szCs w:val="32"/>
          <w:highlight w:val="none"/>
        </w:rPr>
        <w:t>开标一览表</w:t>
      </w:r>
    </w:p>
    <w:p w14:paraId="62CD3202">
      <w:pPr>
        <w:tabs>
          <w:tab w:val="left" w:pos="8280"/>
        </w:tabs>
        <w:autoSpaceDE w:val="0"/>
        <w:autoSpaceDN w:val="0"/>
        <w:adjustRightInd w:val="0"/>
        <w:spacing w:line="300" w:lineRule="exact"/>
        <w:ind w:firstLine="360" w:firstLineChars="1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                    项目名称：</w:t>
      </w:r>
      <w:r>
        <w:rPr>
          <w:rFonts w:hint="eastAsia" w:ascii="宋体" w:hAnsi="宋体" w:cs="宋体"/>
          <w:color w:val="auto"/>
          <w:sz w:val="24"/>
          <w:highlight w:val="none"/>
          <w:lang w:val="en-US" w:eastAsia="zh-CN"/>
        </w:rPr>
        <w:t xml:space="preserve">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73F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2E4B96F8">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2546" w:type="dxa"/>
            <w:vAlign w:val="center"/>
          </w:tcPr>
          <w:p w14:paraId="17B50471">
            <w:pPr>
              <w:keepNext w:val="0"/>
              <w:keepLines w:val="0"/>
              <w:suppressLineNumbers w:val="0"/>
              <w:autoSpaceDE w:val="0"/>
              <w:autoSpaceDN w:val="0"/>
              <w:adjustRightInd w:val="0"/>
              <w:spacing w:before="0" w:beforeAutospacing="0" w:after="0" w:afterAutospacing="0" w:line="240" w:lineRule="exact"/>
              <w:ind w:left="0" w:right="25"/>
              <w:jc w:val="center"/>
              <w:rPr>
                <w:rFonts w:hint="default" w:ascii="宋体" w:hAnsi="宋体" w:cs="宋体"/>
                <w:color w:val="auto"/>
                <w:sz w:val="24"/>
                <w:highlight w:val="none"/>
              </w:rPr>
            </w:pPr>
            <w:r>
              <w:rPr>
                <w:rFonts w:hint="eastAsia" w:ascii="宋体" w:hAnsi="宋体" w:cs="宋体"/>
                <w:color w:val="auto"/>
                <w:sz w:val="24"/>
                <w:highlight w:val="none"/>
              </w:rPr>
              <w:t>采购内容</w:t>
            </w:r>
          </w:p>
        </w:tc>
        <w:tc>
          <w:tcPr>
            <w:tcW w:w="4125" w:type="dxa"/>
            <w:vAlign w:val="center"/>
          </w:tcPr>
          <w:p w14:paraId="7BE9005B">
            <w:pPr>
              <w:keepNext w:val="0"/>
              <w:keepLines w:val="0"/>
              <w:suppressLineNumbers w:val="0"/>
              <w:autoSpaceDE w:val="0"/>
              <w:autoSpaceDN w:val="0"/>
              <w:adjustRightInd w:val="0"/>
              <w:spacing w:before="0" w:beforeAutospacing="0" w:after="0" w:afterAutospacing="0" w:line="240" w:lineRule="exact"/>
              <w:ind w:left="0" w:right="25"/>
              <w:jc w:val="center"/>
              <w:rPr>
                <w:rFonts w:hint="default" w:ascii="宋体" w:hAnsi="宋体" w:cs="宋体"/>
                <w:color w:val="auto"/>
                <w:sz w:val="24"/>
                <w:highlight w:val="none"/>
              </w:rPr>
            </w:pPr>
            <w:r>
              <w:rPr>
                <w:rFonts w:hint="eastAsia" w:ascii="宋体" w:hAnsi="宋体" w:cs="宋体"/>
                <w:color w:val="auto"/>
                <w:sz w:val="24"/>
                <w:highlight w:val="none"/>
              </w:rPr>
              <w:t>内容</w:t>
            </w:r>
          </w:p>
        </w:tc>
        <w:tc>
          <w:tcPr>
            <w:tcW w:w="1735" w:type="dxa"/>
            <w:vAlign w:val="center"/>
          </w:tcPr>
          <w:p w14:paraId="73911B87">
            <w:pPr>
              <w:keepNext w:val="0"/>
              <w:keepLines w:val="0"/>
              <w:suppressLineNumbers w:val="0"/>
              <w:autoSpaceDE w:val="0"/>
              <w:autoSpaceDN w:val="0"/>
              <w:adjustRightInd w:val="0"/>
              <w:spacing w:before="0" w:beforeAutospacing="0" w:after="0" w:afterAutospacing="0" w:line="240" w:lineRule="exact"/>
              <w:ind w:left="0" w:right="25"/>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14:paraId="6032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677619E8">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2546" w:type="dxa"/>
            <w:vMerge w:val="restart"/>
            <w:vAlign w:val="center"/>
          </w:tcPr>
          <w:p w14:paraId="7A5505CB">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投标总价</w:t>
            </w:r>
          </w:p>
        </w:tc>
        <w:tc>
          <w:tcPr>
            <w:tcW w:w="4125" w:type="dxa"/>
            <w:vAlign w:val="center"/>
          </w:tcPr>
          <w:p w14:paraId="3EE0669A">
            <w:pPr>
              <w:keepNext w:val="0"/>
              <w:keepLines w:val="0"/>
              <w:suppressLineNumbers w:val="0"/>
              <w:tabs>
                <w:tab w:val="left" w:pos="8280"/>
              </w:tabs>
              <w:autoSpaceDE w:val="0"/>
              <w:autoSpaceDN w:val="0"/>
              <w:adjustRightInd w:val="0"/>
              <w:spacing w:before="0" w:beforeAutospacing="0" w:after="0" w:afterAutospacing="0" w:line="300" w:lineRule="exact"/>
              <w:ind w:left="0" w:right="0"/>
              <w:jc w:val="left"/>
              <w:rPr>
                <w:rFonts w:hint="default" w:ascii="宋体" w:hAnsi="宋体" w:cs="宋体"/>
                <w:color w:val="auto"/>
                <w:sz w:val="24"/>
                <w:highlight w:val="none"/>
              </w:rPr>
            </w:pPr>
            <w:r>
              <w:rPr>
                <w:rFonts w:hint="eastAsia" w:ascii="宋体" w:hAnsi="宋体" w:cs="宋体"/>
                <w:color w:val="auto"/>
                <w:sz w:val="24"/>
                <w:highlight w:val="none"/>
              </w:rPr>
              <w:t>大写：</w:t>
            </w:r>
          </w:p>
        </w:tc>
        <w:tc>
          <w:tcPr>
            <w:tcW w:w="1735" w:type="dxa"/>
            <w:vMerge w:val="restart"/>
            <w:vAlign w:val="center"/>
          </w:tcPr>
          <w:p w14:paraId="00348C31">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p>
        </w:tc>
      </w:tr>
      <w:tr w14:paraId="7505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2EF6A6C5">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p>
        </w:tc>
        <w:tc>
          <w:tcPr>
            <w:tcW w:w="2546" w:type="dxa"/>
            <w:vMerge w:val="continue"/>
            <w:vAlign w:val="center"/>
          </w:tcPr>
          <w:p w14:paraId="6A703C54">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p>
        </w:tc>
        <w:tc>
          <w:tcPr>
            <w:tcW w:w="4125" w:type="dxa"/>
            <w:vAlign w:val="center"/>
          </w:tcPr>
          <w:p w14:paraId="2E6C4B71">
            <w:pPr>
              <w:keepNext w:val="0"/>
              <w:keepLines w:val="0"/>
              <w:suppressLineNumbers w:val="0"/>
              <w:tabs>
                <w:tab w:val="left" w:pos="8280"/>
              </w:tabs>
              <w:autoSpaceDE w:val="0"/>
              <w:autoSpaceDN w:val="0"/>
              <w:adjustRightInd w:val="0"/>
              <w:spacing w:before="0" w:beforeAutospacing="0" w:after="0" w:afterAutospacing="0" w:line="300" w:lineRule="exact"/>
              <w:ind w:left="0" w:right="0"/>
              <w:jc w:val="left"/>
              <w:rPr>
                <w:rFonts w:hint="default" w:ascii="宋体" w:hAnsi="宋体" w:cs="宋体"/>
                <w:color w:val="auto"/>
                <w:sz w:val="24"/>
                <w:highlight w:val="none"/>
              </w:rPr>
            </w:pPr>
            <w:r>
              <w:rPr>
                <w:rFonts w:hint="eastAsia" w:ascii="宋体" w:hAnsi="宋体" w:cs="宋体"/>
                <w:color w:val="auto"/>
                <w:sz w:val="24"/>
                <w:highlight w:val="none"/>
              </w:rPr>
              <w:t>小写：</w:t>
            </w:r>
          </w:p>
        </w:tc>
        <w:tc>
          <w:tcPr>
            <w:tcW w:w="1735" w:type="dxa"/>
            <w:vMerge w:val="continue"/>
            <w:vAlign w:val="center"/>
          </w:tcPr>
          <w:p w14:paraId="3D49EB8E">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p>
        </w:tc>
      </w:tr>
      <w:tr w14:paraId="0D6B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6861A54F">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hAnsi="宋体"/>
                <w:b/>
                <w:color w:val="auto"/>
                <w:sz w:val="24"/>
                <w:highlight w:val="none"/>
              </w:rPr>
            </w:pPr>
            <w:r>
              <w:rPr>
                <w:rFonts w:hint="eastAsia" w:ascii="宋体" w:hAnsi="宋体" w:cs="宋体"/>
                <w:color w:val="auto"/>
                <w:sz w:val="24"/>
                <w:highlight w:val="none"/>
              </w:rPr>
              <w:t>合同履行期限</w:t>
            </w:r>
          </w:p>
        </w:tc>
        <w:tc>
          <w:tcPr>
            <w:tcW w:w="5860" w:type="dxa"/>
            <w:gridSpan w:val="2"/>
            <w:vAlign w:val="center"/>
          </w:tcPr>
          <w:p w14:paraId="725E00B7">
            <w:pPr>
              <w:keepNext w:val="0"/>
              <w:keepLines w:val="0"/>
              <w:widowControl/>
              <w:suppressLineNumbers w:val="0"/>
              <w:spacing w:before="0" w:beforeAutospacing="0" w:after="0" w:afterAutospacing="0" w:line="360" w:lineRule="auto"/>
              <w:ind w:left="103" w:right="100" w:firstLine="482" w:firstLineChars="200"/>
              <w:rPr>
                <w:rFonts w:hint="default" w:ascii="宋体" w:hAnsi="宋体"/>
                <w:b/>
                <w:color w:val="auto"/>
                <w:sz w:val="24"/>
                <w:highlight w:val="none"/>
              </w:rPr>
            </w:pPr>
          </w:p>
        </w:tc>
      </w:tr>
    </w:tbl>
    <w:p w14:paraId="3DBCBF05">
      <w:pPr>
        <w:pStyle w:val="126"/>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填报要求：</w:t>
      </w:r>
    </w:p>
    <w:p w14:paraId="3AE9E25A">
      <w:pPr>
        <w:spacing w:line="360" w:lineRule="auto"/>
        <w:ind w:left="420"/>
        <w:rPr>
          <w:rFonts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6F26166E">
      <w:pPr>
        <w:spacing w:line="360" w:lineRule="auto"/>
        <w:ind w:left="42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应是采购文件所确定的招标范围内全部工作内容的价格表现。其应包含实现标书的所有功能，采购人不再另外增加费用，其应包括货款、标准附件、备品备件、专用工具、包装、运输、装卸、保险、税金、货到就位以及安装、调试、培训、保修等一切税金和费用</w:t>
      </w:r>
      <w:r>
        <w:rPr>
          <w:rFonts w:ascii="宋体" w:hAnsi="宋体" w:cs="宋体"/>
          <w:color w:val="auto"/>
          <w:sz w:val="24"/>
          <w:highlight w:val="none"/>
        </w:rPr>
        <w:t>。</w:t>
      </w:r>
    </w:p>
    <w:p w14:paraId="52A4FAE7">
      <w:pPr>
        <w:spacing w:line="360" w:lineRule="auto"/>
        <w:ind w:left="420"/>
        <w:jc w:val="right"/>
        <w:rPr>
          <w:rFonts w:ascii="宋体" w:hAnsi="宋体" w:cs="宋体"/>
          <w:color w:val="auto"/>
          <w:sz w:val="24"/>
          <w:highlight w:val="none"/>
        </w:rPr>
      </w:pPr>
      <w:r>
        <w:rPr>
          <w:rFonts w:hint="eastAsia" w:ascii="宋体" w:hAnsi="宋体" w:cs="宋体"/>
          <w:color w:val="auto"/>
          <w:sz w:val="24"/>
          <w:highlight w:val="none"/>
        </w:rPr>
        <w:t>投标人名称（盖公章）：</w:t>
      </w:r>
    </w:p>
    <w:p w14:paraId="57091623">
      <w:pPr>
        <w:spacing w:line="360" w:lineRule="auto"/>
        <w:ind w:firstLine="424" w:firstLineChars="177"/>
        <w:jc w:val="right"/>
        <w:rPr>
          <w:rFonts w:ascii="宋体" w:hAnsi="宋体" w:cs="宋体"/>
          <w:color w:val="auto"/>
          <w:sz w:val="24"/>
          <w:highlight w:val="none"/>
        </w:rPr>
      </w:pPr>
      <w:r>
        <w:rPr>
          <w:rFonts w:hint="eastAsia" w:ascii="宋体" w:hAnsi="宋体" w:cs="宋体"/>
          <w:color w:val="auto"/>
          <w:sz w:val="24"/>
          <w:highlight w:val="none"/>
        </w:rPr>
        <w:t>法定代表人或代理人（签字或盖章）：</w:t>
      </w:r>
    </w:p>
    <w:p w14:paraId="75B4E456">
      <w:pPr>
        <w:spacing w:line="360" w:lineRule="auto"/>
        <w:ind w:firstLine="435"/>
        <w:jc w:val="right"/>
        <w:rPr>
          <w:rFonts w:ascii="宋体" w:hAnsi="宋体" w:cs="宋体"/>
          <w:color w:val="auto"/>
          <w:sz w:val="24"/>
          <w:highlight w:val="none"/>
        </w:rPr>
      </w:pPr>
      <w:r>
        <w:rPr>
          <w:rFonts w:hint="eastAsia" w:ascii="宋体" w:hAnsi="宋体" w:cs="宋体"/>
          <w:color w:val="auto"/>
          <w:sz w:val="24"/>
          <w:highlight w:val="none"/>
        </w:rPr>
        <w:t>日        期：</w:t>
      </w:r>
    </w:p>
    <w:p w14:paraId="0DA252D0">
      <w:pPr>
        <w:spacing w:line="480" w:lineRule="auto"/>
        <w:ind w:firstLine="435"/>
        <w:jc w:val="right"/>
        <w:rPr>
          <w:rFonts w:cs="宋体" w:asciiTheme="minorEastAsia" w:hAnsiTheme="minorEastAsia" w:eastAsiaTheme="minorEastAsia"/>
          <w:color w:val="auto"/>
          <w:szCs w:val="21"/>
          <w:highlight w:val="none"/>
        </w:rPr>
      </w:pPr>
    </w:p>
    <w:p w14:paraId="47C20825">
      <w:pPr>
        <w:pStyle w:val="21"/>
        <w:rPr>
          <w:color w:val="auto"/>
          <w:highlight w:val="none"/>
        </w:rPr>
      </w:pPr>
    </w:p>
    <w:p w14:paraId="3943C92C">
      <w:pPr>
        <w:rPr>
          <w:color w:val="auto"/>
          <w:highlight w:val="none"/>
        </w:rPr>
      </w:pPr>
    </w:p>
    <w:p w14:paraId="3A435FCF">
      <w:pPr>
        <w:pStyle w:val="21"/>
        <w:rPr>
          <w:color w:val="auto"/>
          <w:highlight w:val="none"/>
        </w:rPr>
      </w:pPr>
    </w:p>
    <w:p w14:paraId="2324C521">
      <w:pPr>
        <w:rPr>
          <w:color w:val="auto"/>
          <w:highlight w:val="none"/>
        </w:rPr>
      </w:pPr>
    </w:p>
    <w:p w14:paraId="7734BD9A">
      <w:pPr>
        <w:rPr>
          <w:color w:val="auto"/>
          <w:highlight w:val="none"/>
        </w:rPr>
      </w:pPr>
    </w:p>
    <w:p w14:paraId="1D373764">
      <w:pPr>
        <w:spacing w:line="360" w:lineRule="auto"/>
        <w:jc w:val="center"/>
        <w:rPr>
          <w:rFonts w:cs="宋体" w:asciiTheme="minorEastAsia" w:hAnsiTheme="minorEastAsia" w:eastAsiaTheme="minorEastAsia"/>
          <w:b/>
          <w:bCs/>
          <w:color w:val="auto"/>
          <w:kern w:val="0"/>
          <w:sz w:val="32"/>
          <w:szCs w:val="32"/>
          <w:highlight w:val="none"/>
        </w:rPr>
      </w:pPr>
    </w:p>
    <w:p w14:paraId="56EE9EFF">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二</w:t>
      </w:r>
      <w:r>
        <w:rPr>
          <w:rFonts w:hint="eastAsia" w:cs="宋体" w:asciiTheme="minorEastAsia" w:hAnsiTheme="minorEastAsia" w:eastAsiaTheme="minorEastAsia"/>
          <w:b/>
          <w:bCs/>
          <w:color w:val="auto"/>
          <w:kern w:val="0"/>
          <w:sz w:val="32"/>
          <w:szCs w:val="32"/>
          <w:highlight w:val="none"/>
        </w:rPr>
        <w:t>、报价明细表</w:t>
      </w:r>
    </w:p>
    <w:p w14:paraId="4041F4C1">
      <w:pPr>
        <w:tabs>
          <w:tab w:val="left" w:pos="8280"/>
        </w:tabs>
        <w:autoSpaceDE w:val="0"/>
        <w:autoSpaceDN w:val="0"/>
        <w:adjustRightInd w:val="0"/>
        <w:spacing w:line="300" w:lineRule="exact"/>
        <w:ind w:firstLine="361" w:firstLineChars="150"/>
        <w:rPr>
          <w:rFonts w:ascii="Arial" w:hAnsi="Arial" w:eastAsia="新宋体" w:cs="Arial"/>
          <w:b/>
          <w:color w:val="auto"/>
          <w:sz w:val="24"/>
          <w:highlight w:val="none"/>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lang w:val="en-US" w:eastAsia="zh-CN"/>
        </w:rPr>
        <w:t xml:space="preserve">  </w:t>
      </w:r>
      <w:r>
        <w:rPr>
          <w:rFonts w:hint="eastAsia" w:ascii="Arial" w:hAnsi="Arial" w:eastAsia="新宋体" w:cs="Arial"/>
          <w:b/>
          <w:bCs w:val="0"/>
          <w:color w:val="auto"/>
          <w:sz w:val="24"/>
          <w:highlight w:val="none"/>
          <w:lang w:val="en-US" w:eastAsia="zh-CN"/>
        </w:rPr>
        <w:t xml:space="preserve">       </w:t>
      </w:r>
    </w:p>
    <w:tbl>
      <w:tblPr>
        <w:tblStyle w:val="4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862"/>
        <w:gridCol w:w="1309"/>
        <w:gridCol w:w="986"/>
        <w:gridCol w:w="1196"/>
        <w:gridCol w:w="857"/>
        <w:gridCol w:w="617"/>
        <w:gridCol w:w="657"/>
        <w:gridCol w:w="616"/>
        <w:gridCol w:w="694"/>
      </w:tblGrid>
      <w:tr w14:paraId="2339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01" w:type="dxa"/>
            <w:vAlign w:val="center"/>
          </w:tcPr>
          <w:p w14:paraId="56E01063">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1862" w:type="dxa"/>
            <w:vAlign w:val="center"/>
          </w:tcPr>
          <w:p w14:paraId="285C5D28">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设备名称</w:t>
            </w:r>
          </w:p>
          <w:p w14:paraId="4256BA3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（采购标的）</w:t>
            </w:r>
          </w:p>
        </w:tc>
        <w:tc>
          <w:tcPr>
            <w:tcW w:w="1309" w:type="dxa"/>
            <w:vAlign w:val="center"/>
          </w:tcPr>
          <w:p w14:paraId="41042BAA">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制造商名称（全称）</w:t>
            </w:r>
          </w:p>
        </w:tc>
        <w:tc>
          <w:tcPr>
            <w:tcW w:w="986" w:type="dxa"/>
            <w:vAlign w:val="center"/>
          </w:tcPr>
          <w:p w14:paraId="2C0A95C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是否是</w:t>
            </w:r>
            <w:r>
              <w:rPr>
                <w:rFonts w:hint="eastAsia" w:ascii="宋体" w:hAnsi="宋体" w:cs="宋体"/>
                <w:b/>
                <w:bCs/>
                <w:color w:val="auto"/>
                <w:sz w:val="24"/>
                <w:highlight w:val="none"/>
                <w:lang w:eastAsia="zh-CN"/>
              </w:rPr>
              <w:t>中</w:t>
            </w:r>
            <w:r>
              <w:rPr>
                <w:rFonts w:hint="eastAsia" w:ascii="宋体" w:hAnsi="宋体" w:cs="宋体"/>
                <w:b/>
                <w:bCs/>
                <w:color w:val="auto"/>
                <w:sz w:val="24"/>
                <w:highlight w:val="none"/>
              </w:rPr>
              <w:t>小微企业</w:t>
            </w:r>
          </w:p>
        </w:tc>
        <w:tc>
          <w:tcPr>
            <w:tcW w:w="1196" w:type="dxa"/>
            <w:vAlign w:val="center"/>
          </w:tcPr>
          <w:p w14:paraId="14678087">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品牌、产地</w:t>
            </w:r>
          </w:p>
          <w:p w14:paraId="4A8C380E">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（如有）</w:t>
            </w:r>
          </w:p>
        </w:tc>
        <w:tc>
          <w:tcPr>
            <w:tcW w:w="857" w:type="dxa"/>
            <w:vAlign w:val="center"/>
          </w:tcPr>
          <w:p w14:paraId="43F75F37">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型号和规格</w:t>
            </w:r>
          </w:p>
        </w:tc>
        <w:tc>
          <w:tcPr>
            <w:tcW w:w="617" w:type="dxa"/>
            <w:vAlign w:val="center"/>
          </w:tcPr>
          <w:p w14:paraId="496C5178">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数量</w:t>
            </w:r>
          </w:p>
        </w:tc>
        <w:tc>
          <w:tcPr>
            <w:tcW w:w="657" w:type="dxa"/>
            <w:vAlign w:val="center"/>
          </w:tcPr>
          <w:p w14:paraId="43FA1C43">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单位</w:t>
            </w:r>
          </w:p>
        </w:tc>
        <w:tc>
          <w:tcPr>
            <w:tcW w:w="616" w:type="dxa"/>
            <w:vAlign w:val="center"/>
          </w:tcPr>
          <w:p w14:paraId="618EBF0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单价</w:t>
            </w:r>
          </w:p>
        </w:tc>
        <w:tc>
          <w:tcPr>
            <w:tcW w:w="694" w:type="dxa"/>
            <w:vAlign w:val="center"/>
          </w:tcPr>
          <w:p w14:paraId="07CD408E">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总价</w:t>
            </w:r>
          </w:p>
        </w:tc>
      </w:tr>
      <w:tr w14:paraId="13B4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01" w:type="dxa"/>
            <w:vAlign w:val="center"/>
          </w:tcPr>
          <w:p w14:paraId="575C400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62" w:type="dxa"/>
            <w:vAlign w:val="center"/>
          </w:tcPr>
          <w:p w14:paraId="0DB8AAF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p>
        </w:tc>
        <w:tc>
          <w:tcPr>
            <w:tcW w:w="1309" w:type="dxa"/>
            <w:vAlign w:val="center"/>
          </w:tcPr>
          <w:p w14:paraId="75A3619E">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39BB5B3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1B798F9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vAlign w:val="center"/>
          </w:tcPr>
          <w:p w14:paraId="3E4FA91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392B29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57" w:type="dxa"/>
            <w:vAlign w:val="center"/>
          </w:tcPr>
          <w:p w14:paraId="3E0E84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16" w:type="dxa"/>
            <w:vAlign w:val="center"/>
          </w:tcPr>
          <w:p w14:paraId="0E49E1C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437F065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37DC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255042E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62" w:type="dxa"/>
            <w:vAlign w:val="center"/>
          </w:tcPr>
          <w:p w14:paraId="43848BE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p>
        </w:tc>
        <w:tc>
          <w:tcPr>
            <w:tcW w:w="1309" w:type="dxa"/>
            <w:vAlign w:val="center"/>
          </w:tcPr>
          <w:p w14:paraId="5A7073E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2CE197B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18E98E01">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tcPr>
          <w:p w14:paraId="6955CFA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6823EF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57" w:type="dxa"/>
            <w:vAlign w:val="center"/>
          </w:tcPr>
          <w:p w14:paraId="28AD41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16" w:type="dxa"/>
            <w:vAlign w:val="center"/>
          </w:tcPr>
          <w:p w14:paraId="1E188C61">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5A137FE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3C13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01" w:type="dxa"/>
            <w:vAlign w:val="center"/>
          </w:tcPr>
          <w:p w14:paraId="041D7AB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62" w:type="dxa"/>
            <w:vAlign w:val="center"/>
          </w:tcPr>
          <w:p w14:paraId="4B6DC36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p>
        </w:tc>
        <w:tc>
          <w:tcPr>
            <w:tcW w:w="1309" w:type="dxa"/>
            <w:vAlign w:val="center"/>
          </w:tcPr>
          <w:p w14:paraId="3902FB2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6D2E8346">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61036DE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tcPr>
          <w:p w14:paraId="37B4D54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549D15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57" w:type="dxa"/>
            <w:vAlign w:val="center"/>
          </w:tcPr>
          <w:p w14:paraId="1CE949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16" w:type="dxa"/>
            <w:vAlign w:val="center"/>
          </w:tcPr>
          <w:p w14:paraId="54073A0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1797B490">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0565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01" w:type="dxa"/>
            <w:vAlign w:val="center"/>
          </w:tcPr>
          <w:p w14:paraId="58ACA97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62" w:type="dxa"/>
            <w:vAlign w:val="center"/>
          </w:tcPr>
          <w:p w14:paraId="692D5B5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p>
        </w:tc>
        <w:tc>
          <w:tcPr>
            <w:tcW w:w="1309" w:type="dxa"/>
            <w:vAlign w:val="center"/>
          </w:tcPr>
          <w:p w14:paraId="15618CF4">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7866E5E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6047836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tcPr>
          <w:p w14:paraId="53A7DDB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3FFD17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57" w:type="dxa"/>
            <w:vAlign w:val="center"/>
          </w:tcPr>
          <w:p w14:paraId="723C0B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16" w:type="dxa"/>
            <w:vAlign w:val="center"/>
          </w:tcPr>
          <w:p w14:paraId="34A68BE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3AB2CB5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32D5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298D4BF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62" w:type="dxa"/>
            <w:vAlign w:val="center"/>
          </w:tcPr>
          <w:p w14:paraId="5FEFAB0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p>
        </w:tc>
        <w:tc>
          <w:tcPr>
            <w:tcW w:w="1309" w:type="dxa"/>
            <w:vAlign w:val="center"/>
          </w:tcPr>
          <w:p w14:paraId="32861C4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3D7D5EE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212E0CCF">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tcPr>
          <w:p w14:paraId="3F1837F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11EA9D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57" w:type="dxa"/>
            <w:vAlign w:val="center"/>
          </w:tcPr>
          <w:p w14:paraId="67B35E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16" w:type="dxa"/>
            <w:vAlign w:val="center"/>
          </w:tcPr>
          <w:p w14:paraId="13282C7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127F543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7A08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1" w:type="dxa"/>
            <w:vAlign w:val="center"/>
          </w:tcPr>
          <w:p w14:paraId="2964492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862" w:type="dxa"/>
            <w:vAlign w:val="center"/>
          </w:tcPr>
          <w:p w14:paraId="0C31EA7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p>
        </w:tc>
        <w:tc>
          <w:tcPr>
            <w:tcW w:w="1309" w:type="dxa"/>
            <w:vAlign w:val="center"/>
          </w:tcPr>
          <w:p w14:paraId="38FD9030">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986" w:type="dxa"/>
            <w:vAlign w:val="center"/>
          </w:tcPr>
          <w:p w14:paraId="0C7D4A3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96" w:type="dxa"/>
            <w:vAlign w:val="center"/>
          </w:tcPr>
          <w:p w14:paraId="7ABFA5D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57" w:type="dxa"/>
          </w:tcPr>
          <w:p w14:paraId="6D5F0B9E">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17" w:type="dxa"/>
            <w:vAlign w:val="center"/>
          </w:tcPr>
          <w:p w14:paraId="7510B3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57" w:type="dxa"/>
            <w:vAlign w:val="center"/>
          </w:tcPr>
          <w:p w14:paraId="3FC2A2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16" w:type="dxa"/>
            <w:vAlign w:val="center"/>
          </w:tcPr>
          <w:p w14:paraId="34E89DF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94" w:type="dxa"/>
            <w:vAlign w:val="center"/>
          </w:tcPr>
          <w:p w14:paraId="3C24C69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5F19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01" w:type="dxa"/>
            <w:gridSpan w:val="9"/>
            <w:vAlign w:val="center"/>
          </w:tcPr>
          <w:p w14:paraId="401A4377">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合计大写（人民币）：</w:t>
            </w:r>
          </w:p>
        </w:tc>
        <w:tc>
          <w:tcPr>
            <w:tcW w:w="694" w:type="dxa"/>
            <w:vAlign w:val="center"/>
          </w:tcPr>
          <w:p w14:paraId="3D3C9AC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w:t>
            </w:r>
          </w:p>
        </w:tc>
      </w:tr>
    </w:tbl>
    <w:p w14:paraId="25B06EA7">
      <w:pPr>
        <w:numPr>
          <w:ilvl w:val="0"/>
          <w:numId w:val="18"/>
        </w:numPr>
        <w:ind w:left="-2" w:leftChars="-1" w:firstLine="480" w:firstLineChars="200"/>
        <w:rPr>
          <w:rFonts w:ascii="宋体" w:hAnsi="宋体" w:cs="微软雅黑"/>
          <w:color w:val="auto"/>
          <w:kern w:val="0"/>
          <w:sz w:val="24"/>
          <w:highlight w:val="none"/>
        </w:rPr>
      </w:pPr>
      <w:r>
        <w:rPr>
          <w:rFonts w:hint="eastAsia" w:ascii="宋体" w:hAnsi="宋体" w:cs="微软雅黑"/>
          <w:color w:val="auto"/>
          <w:kern w:val="0"/>
          <w:sz w:val="24"/>
          <w:highlight w:val="none"/>
        </w:rPr>
        <w:t>此表的合计总价应与开标一览表中投标报价总价一致。</w:t>
      </w:r>
    </w:p>
    <w:p w14:paraId="67583FE5">
      <w:pPr>
        <w:numPr>
          <w:ilvl w:val="0"/>
          <w:numId w:val="18"/>
        </w:numPr>
        <w:ind w:left="-2" w:leftChars="-1" w:firstLine="480" w:firstLineChars="200"/>
        <w:rPr>
          <w:rFonts w:ascii="宋体" w:hAnsi="宋体" w:cs="微软雅黑"/>
          <w:color w:val="auto"/>
          <w:kern w:val="0"/>
          <w:sz w:val="24"/>
          <w:highlight w:val="none"/>
          <w:lang w:val="zh-CN"/>
        </w:rPr>
      </w:pPr>
      <w:r>
        <w:rPr>
          <w:rFonts w:hint="eastAsia" w:ascii="宋体" w:hAnsi="宋体" w:cs="微软雅黑"/>
          <w:color w:val="auto"/>
          <w:kern w:val="0"/>
          <w:sz w:val="24"/>
          <w:highlight w:val="none"/>
          <w:lang w:val="zh-CN"/>
        </w:rPr>
        <w:t>投标人需按本表格式填写，如无对应内容，则填写：“无或/”。</w:t>
      </w:r>
    </w:p>
    <w:p w14:paraId="43C8F1E9">
      <w:pPr>
        <w:spacing w:line="48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2FF932E8">
      <w:pPr>
        <w:spacing w:line="480" w:lineRule="auto"/>
        <w:ind w:firstLine="424" w:firstLineChars="177"/>
        <w:jc w:val="right"/>
        <w:rPr>
          <w:rFonts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10A0AABD">
      <w:pPr>
        <w:spacing w:line="360" w:lineRule="auto"/>
        <w:ind w:firstLine="435"/>
        <w:jc w:val="right"/>
        <w:rPr>
          <w:rFonts w:ascii="宋体" w:hAnsi="宋体" w:eastAsia="宋体" w:cs="宋体"/>
          <w:color w:val="auto"/>
          <w:szCs w:val="21"/>
          <w:highlight w:val="none"/>
        </w:rPr>
      </w:pPr>
      <w:r>
        <w:rPr>
          <w:rFonts w:hint="eastAsia" w:ascii="宋体" w:hAnsi="宋体" w:cs="微软雅黑"/>
          <w:color w:val="auto"/>
          <w:sz w:val="24"/>
          <w:highlight w:val="none"/>
        </w:rPr>
        <w:t>日        期：</w:t>
      </w:r>
    </w:p>
    <w:p w14:paraId="1477BC21">
      <w:pPr>
        <w:spacing w:line="480" w:lineRule="auto"/>
        <w:ind w:firstLine="435"/>
        <w:jc w:val="right"/>
        <w:rPr>
          <w:rFonts w:ascii="宋体" w:hAnsi="宋体" w:eastAsia="宋体" w:cs="宋体"/>
          <w:color w:val="auto"/>
          <w:szCs w:val="21"/>
          <w:highlight w:val="none"/>
        </w:rPr>
      </w:pPr>
    </w:p>
    <w:p w14:paraId="704D18BE">
      <w:pPr>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br w:type="page"/>
      </w:r>
    </w:p>
    <w:p w14:paraId="00EB59D0">
      <w:pPr>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lang w:eastAsia="zh-CN"/>
        </w:rPr>
        <w:t>三、</w:t>
      </w:r>
      <w:r>
        <w:rPr>
          <w:rFonts w:hint="eastAsia" w:ascii="宋体" w:hAnsi="宋体" w:eastAsia="宋体" w:cs="宋体"/>
          <w:b/>
          <w:bCs/>
          <w:color w:val="auto"/>
          <w:kern w:val="0"/>
          <w:sz w:val="32"/>
          <w:szCs w:val="32"/>
          <w:highlight w:val="none"/>
        </w:rPr>
        <w:t>中小企业声明函</w:t>
      </w:r>
    </w:p>
    <w:p w14:paraId="6332E53E">
      <w:pPr>
        <w:spacing w:line="360" w:lineRule="auto"/>
        <w:ind w:firstLine="533" w:firstLineChars="177"/>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eastAsia="宋体" w:cs="宋体"/>
          <w:b/>
          <w:color w:val="auto"/>
          <w:sz w:val="30"/>
          <w:szCs w:val="30"/>
          <w:highlight w:val="none"/>
        </w:rPr>
        <w:t>）</w:t>
      </w:r>
    </w:p>
    <w:p w14:paraId="19A85B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191C91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rPr>
        <w:t>虚拟化防火墙</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1AF48B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rPr>
        <w:t>虚拟化上网行为管理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0410D5DF">
      <w:pPr>
        <w:spacing w:line="360" w:lineRule="auto"/>
        <w:ind w:firstLine="480" w:firstLineChars="200"/>
        <w:rPr>
          <w:rFonts w:hint="eastAsia" w:ascii="宋体" w:hAnsi="宋体" w:cs="宋体"/>
          <w:color w:val="auto"/>
          <w:sz w:val="24"/>
          <w:highlight w:val="none"/>
          <w:lang w:eastAsia="zh-CN"/>
        </w:rPr>
      </w:pPr>
    </w:p>
    <w:p w14:paraId="67A9BC78">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p>
    <w:p w14:paraId="64825B0D">
      <w:pPr>
        <w:spacing w:line="360" w:lineRule="auto"/>
        <w:ind w:firstLine="480" w:firstLineChars="200"/>
        <w:rPr>
          <w:rFonts w:hint="eastAsia" w:ascii="宋体" w:hAnsi="宋体" w:cs="宋体"/>
          <w:color w:val="auto"/>
          <w:sz w:val="24"/>
          <w:highlight w:val="none"/>
          <w:lang w:eastAsia="zh-CN"/>
        </w:rPr>
      </w:pPr>
    </w:p>
    <w:p w14:paraId="0380D4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7B746E8">
      <w:pPr>
        <w:kinsoku/>
        <w:overflowPunct/>
        <w:topLinePunct w:val="0"/>
        <w:bidi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本企业对上述声明内容的真实性负责。如有虚假，将依法承担相应责任</w:t>
      </w:r>
      <w:r>
        <w:rPr>
          <w:rFonts w:hint="eastAsia" w:ascii="宋体" w:hAnsi="宋体" w:eastAsia="宋体" w:cs="宋体"/>
          <w:color w:val="auto"/>
          <w:sz w:val="24"/>
          <w:szCs w:val="24"/>
          <w:highlight w:val="none"/>
        </w:rPr>
        <w:t>。</w:t>
      </w:r>
    </w:p>
    <w:p w14:paraId="3361A85C">
      <w:pPr>
        <w:kinsoku/>
        <w:overflowPunct/>
        <w:topLinePunct w:val="0"/>
        <w:bidi w:val="0"/>
        <w:spacing w:beforeAutospacing="0" w:afterAutospacing="0" w:line="440" w:lineRule="exact"/>
        <w:ind w:right="420" w:firstLine="5880" w:firstLineChars="2450"/>
        <w:jc w:val="left"/>
        <w:rPr>
          <w:rFonts w:hint="eastAsia" w:ascii="宋体" w:hAnsi="宋体" w:eastAsia="宋体" w:cs="宋体"/>
          <w:color w:val="auto"/>
          <w:sz w:val="24"/>
          <w:szCs w:val="24"/>
          <w:highlight w:val="none"/>
        </w:rPr>
      </w:pPr>
    </w:p>
    <w:p w14:paraId="5FA51BA7">
      <w:pPr>
        <w:kinsoku/>
        <w:overflowPunct/>
        <w:topLinePunct w:val="0"/>
        <w:bidi w:val="0"/>
        <w:spacing w:beforeAutospacing="0" w:afterAutospacing="0" w:line="440" w:lineRule="exact"/>
        <w:ind w:right="3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3746F5C8">
      <w:pPr>
        <w:kinsoku/>
        <w:overflowPunct/>
        <w:topLinePunct w:val="0"/>
        <w:bidi w:val="0"/>
        <w:spacing w:beforeAutospacing="0" w:afterAutospacing="0" w:line="440" w:lineRule="exact"/>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002D742">
      <w:pPr>
        <w:kinsoku/>
        <w:overflowPunct/>
        <w:topLinePunct w:val="0"/>
        <w:bidi w:val="0"/>
        <w:spacing w:beforeAutospacing="0" w:afterAutospacing="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07E8460E">
      <w:pPr>
        <w:kinsoku/>
        <w:overflowPunct/>
        <w:topLinePunct w:val="0"/>
        <w:bidi w:val="0"/>
        <w:spacing w:beforeAutospacing="0" w:afterAutospacing="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填写要求：①“标的名称”、“采购文件中明确的所属行业”依据招标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4"/>
          <w:szCs w:val="24"/>
          <w:highlight w:val="none"/>
        </w:rPr>
        <w:t>如国家颁布新的企业划型标准，则按最新标准执行。</w:t>
      </w:r>
      <w:r>
        <w:rPr>
          <w:rFonts w:hint="eastAsia" w:ascii="宋体" w:hAnsi="宋体" w:eastAsia="宋体" w:cs="宋体"/>
          <w:b/>
          <w:color w:val="auto"/>
          <w:sz w:val="24"/>
          <w:szCs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764C350C">
      <w:pPr>
        <w:spacing w:line="360" w:lineRule="auto"/>
        <w:jc w:val="left"/>
        <w:rPr>
          <w:rFonts w:hint="eastAsia" w:ascii="宋体" w:hAnsi="宋体" w:eastAsia="宋体" w:cs="宋体"/>
          <w:b/>
          <w:bCs/>
          <w:color w:val="auto"/>
          <w:kern w:val="0"/>
          <w:sz w:val="32"/>
          <w:szCs w:val="32"/>
          <w:highlight w:val="none"/>
          <w:lang w:eastAsia="zh-CN"/>
        </w:rPr>
      </w:pPr>
    </w:p>
    <w:p w14:paraId="0328431A">
      <w:pPr>
        <w:spacing w:line="360" w:lineRule="auto"/>
        <w:jc w:val="left"/>
        <w:rPr>
          <w:rFonts w:hint="eastAsia" w:ascii="宋体" w:hAnsi="宋体" w:eastAsia="宋体" w:cs="宋体"/>
          <w:b/>
          <w:bCs/>
          <w:color w:val="auto"/>
          <w:kern w:val="0"/>
          <w:sz w:val="32"/>
          <w:szCs w:val="32"/>
          <w:highlight w:val="none"/>
          <w:lang w:eastAsia="zh-CN"/>
        </w:rPr>
      </w:pPr>
    </w:p>
    <w:p w14:paraId="31E25B80">
      <w:pPr>
        <w:spacing w:line="360" w:lineRule="auto"/>
        <w:jc w:val="left"/>
        <w:rPr>
          <w:rFonts w:hint="eastAsia" w:ascii="宋体" w:hAnsi="宋体" w:eastAsia="宋体" w:cs="宋体"/>
          <w:b/>
          <w:bCs/>
          <w:color w:val="auto"/>
          <w:kern w:val="0"/>
          <w:sz w:val="32"/>
          <w:szCs w:val="32"/>
          <w:highlight w:val="none"/>
          <w:lang w:eastAsia="zh-CN"/>
        </w:rPr>
      </w:pPr>
    </w:p>
    <w:p w14:paraId="04751A5D">
      <w:pPr>
        <w:spacing w:line="360" w:lineRule="auto"/>
        <w:jc w:val="left"/>
        <w:rPr>
          <w:rFonts w:hint="eastAsia" w:ascii="宋体" w:hAnsi="宋体" w:eastAsia="宋体" w:cs="宋体"/>
          <w:b/>
          <w:bCs/>
          <w:color w:val="auto"/>
          <w:kern w:val="0"/>
          <w:sz w:val="32"/>
          <w:szCs w:val="32"/>
          <w:highlight w:val="none"/>
          <w:lang w:eastAsia="zh-CN"/>
        </w:rPr>
      </w:pPr>
    </w:p>
    <w:p w14:paraId="6A239631">
      <w:pPr>
        <w:spacing w:line="360" w:lineRule="auto"/>
        <w:jc w:val="left"/>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附件：残疾人福利性单位声明函</w:t>
      </w:r>
    </w:p>
    <w:p w14:paraId="729EC413">
      <w:pPr>
        <w:kinsoku/>
        <w:overflowPunct/>
        <w:topLinePunct w:val="0"/>
        <w:bidi w:val="0"/>
        <w:spacing w:beforeAutospacing="0" w:afterAutospacing="0" w:line="440" w:lineRule="exact"/>
        <w:jc w:val="center"/>
        <w:rPr>
          <w:rFonts w:hint="eastAsia" w:ascii="仿宋" w:hAnsi="仿宋" w:eastAsia="仿宋" w:cs="仿宋"/>
          <w:b/>
          <w:color w:val="auto"/>
          <w:spacing w:val="6"/>
          <w:sz w:val="32"/>
          <w:szCs w:val="32"/>
          <w:highlight w:val="none"/>
        </w:rPr>
      </w:pPr>
      <w:bookmarkStart w:id="179" w:name="OLE_LINK13"/>
      <w:bookmarkStart w:id="180" w:name="OLE_LINK14"/>
    </w:p>
    <w:p w14:paraId="05214B83">
      <w:pPr>
        <w:kinsoku/>
        <w:overflowPunct/>
        <w:topLinePunct w:val="0"/>
        <w:bidi w:val="0"/>
        <w:spacing w:beforeAutospacing="0" w:afterAutospacing="0" w:line="440"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179"/>
    <w:bookmarkEnd w:id="180"/>
    <w:p w14:paraId="625BE86E">
      <w:pPr>
        <w:kinsoku/>
        <w:overflowPunct/>
        <w:topLinePunct w:val="0"/>
        <w:bidi w:val="0"/>
        <w:spacing w:beforeAutospacing="0" w:afterAutospacing="0" w:line="440" w:lineRule="exact"/>
        <w:rPr>
          <w:rFonts w:hint="eastAsia" w:ascii="宋体" w:hAnsi="宋体" w:eastAsia="宋体" w:cs="宋体"/>
          <w:b/>
          <w:color w:val="auto"/>
          <w:spacing w:val="6"/>
          <w:sz w:val="30"/>
          <w:szCs w:val="30"/>
          <w:highlight w:val="none"/>
        </w:rPr>
      </w:pPr>
    </w:p>
    <w:p w14:paraId="51AD8214">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332229A5">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DA8389E">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3F3EF283">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66B25B0A">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供应商名称（电子签名）</w:t>
      </w:r>
      <w:r>
        <w:rPr>
          <w:rFonts w:hint="eastAsia" w:ascii="宋体" w:hAnsi="宋体" w:eastAsia="宋体" w:cs="宋体"/>
          <w:color w:val="auto"/>
          <w:sz w:val="24"/>
          <w:szCs w:val="24"/>
          <w:highlight w:val="none"/>
        </w:rPr>
        <w:t>：</w:t>
      </w:r>
    </w:p>
    <w:p w14:paraId="29A59AC8">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2A237E1">
      <w:pPr>
        <w:pageBreakBefore/>
        <w:widowControl w:val="0"/>
        <w:snapToGrid w:val="0"/>
        <w:spacing w:after="156" w:line="480" w:lineRule="exact"/>
        <w:jc w:val="center"/>
        <w:rPr>
          <w:rFonts w:hint="eastAsia" w:ascii="宋体" w:hAnsi="宋体" w:eastAsia="宋体" w:cs="宋体"/>
          <w:color w:val="auto"/>
          <w:kern w:val="2"/>
          <w:sz w:val="24"/>
          <w:szCs w:val="24"/>
          <w:highlight w:val="none"/>
          <w:lang w:val="en-GB" w:eastAsia="zh-CN" w:bidi="ar-SA"/>
        </w:rPr>
      </w:pPr>
      <w:r>
        <w:rPr>
          <w:rFonts w:hint="eastAsia" w:ascii="宋体" w:hAnsi="宋体" w:eastAsia="宋体" w:cs="宋体"/>
          <w:b/>
          <w:color w:val="auto"/>
          <w:kern w:val="2"/>
          <w:sz w:val="24"/>
          <w:szCs w:val="24"/>
          <w:highlight w:val="none"/>
          <w:lang w:val="en-US" w:eastAsia="zh-CN" w:bidi="ar-SA"/>
        </w:rPr>
        <w:t>(参加本项目采购活动的供应商须填写“政府采购活动现场确认声明书”，并在开标后30分钟内将扫描件发送至代理机构邮箱</w:t>
      </w:r>
      <w:r>
        <w:rPr>
          <w:rFonts w:hint="eastAsia" w:ascii="宋体" w:hAnsi="Courier New" w:eastAsia="宋体" w:cs="Times New Roman"/>
          <w:color w:val="auto"/>
          <w:kern w:val="2"/>
          <w:sz w:val="24"/>
          <w:szCs w:val="24"/>
          <w:highlight w:val="none"/>
          <w:lang w:val="en-US" w:eastAsia="zh-CN" w:bidi="ar-SA"/>
        </w:rPr>
        <w:fldChar w:fldCharType="begin"/>
      </w:r>
      <w:r>
        <w:rPr>
          <w:rFonts w:hint="eastAsia" w:ascii="宋体" w:hAnsi="Courier New" w:eastAsia="宋体" w:cs="Times New Roman"/>
          <w:color w:val="auto"/>
          <w:kern w:val="2"/>
          <w:sz w:val="24"/>
          <w:szCs w:val="24"/>
          <w:highlight w:val="none"/>
          <w:lang w:val="en-US" w:eastAsia="zh-CN" w:bidi="ar-SA"/>
        </w:rPr>
        <w:instrText xml:space="preserve"> HYPERLINK "mailto:zgtzfgs@163.com" </w:instrText>
      </w:r>
      <w:r>
        <w:rPr>
          <w:rFonts w:hint="eastAsia" w:ascii="宋体" w:hAnsi="Courier New" w:eastAsia="宋体" w:cs="Times New Roman"/>
          <w:color w:val="auto"/>
          <w:kern w:val="2"/>
          <w:sz w:val="24"/>
          <w:szCs w:val="24"/>
          <w:highlight w:val="none"/>
          <w:lang w:val="en-US" w:eastAsia="zh-CN" w:bidi="ar-SA"/>
        </w:rPr>
        <w:fldChar w:fldCharType="separate"/>
      </w:r>
      <w:r>
        <w:rPr>
          <w:rFonts w:hint="eastAsia" w:ascii="宋体" w:hAnsi="宋体" w:eastAsia="宋体" w:cs="宋体"/>
          <w:b/>
          <w:color w:val="auto"/>
          <w:kern w:val="2"/>
          <w:sz w:val="24"/>
          <w:szCs w:val="24"/>
          <w:highlight w:val="none"/>
          <w:lang w:val="en-US" w:eastAsia="zh-CN" w:bidi="ar-SA"/>
        </w:rPr>
        <w:t>zgtzfgs@163.com</w:t>
      </w:r>
      <w:r>
        <w:rPr>
          <w:rFonts w:hint="eastAsia" w:ascii="宋体" w:hAnsi="宋体" w:eastAsia="宋体" w:cs="宋体"/>
          <w:b/>
          <w:color w:val="auto"/>
          <w:kern w:val="2"/>
          <w:sz w:val="24"/>
          <w:szCs w:val="24"/>
          <w:highlight w:val="none"/>
          <w:lang w:val="en-US" w:eastAsia="zh-CN" w:bidi="ar-SA"/>
        </w:rPr>
        <w:fldChar w:fldCharType="end"/>
      </w:r>
      <w:r>
        <w:rPr>
          <w:rFonts w:hint="eastAsia" w:ascii="宋体" w:hAnsi="宋体" w:eastAsia="宋体" w:cs="宋体"/>
          <w:b/>
          <w:color w:val="auto"/>
          <w:kern w:val="2"/>
          <w:sz w:val="24"/>
          <w:szCs w:val="24"/>
          <w:highlight w:val="none"/>
          <w:lang w:val="en-US" w:eastAsia="zh-CN" w:bidi="ar-SA"/>
        </w:rPr>
        <w:t>)</w:t>
      </w:r>
    </w:p>
    <w:p w14:paraId="32A45746">
      <w:pPr>
        <w:widowControl w:val="0"/>
        <w:snapToGrid w:val="0"/>
        <w:spacing w:line="500" w:lineRule="exact"/>
        <w:ind w:firstLine="720"/>
        <w:jc w:val="center"/>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4B536947">
      <w:pPr>
        <w:widowControl w:val="0"/>
        <w:snapToGrid w:val="0"/>
        <w:spacing w:line="440" w:lineRule="exact"/>
        <w:jc w:val="both"/>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中冠工程管理咨询有限公司</w:t>
      </w:r>
      <w:r>
        <w:rPr>
          <w:rFonts w:hint="eastAsia" w:ascii="宋体" w:hAnsi="宋体" w:eastAsia="宋体" w:cs="宋体"/>
          <w:color w:val="auto"/>
          <w:kern w:val="0"/>
          <w:sz w:val="24"/>
          <w:szCs w:val="24"/>
          <w:highlight w:val="none"/>
          <w:lang w:val="en-US" w:eastAsia="zh-CN" w:bidi="ar-SA"/>
        </w:rPr>
        <w:t>：</w:t>
      </w:r>
    </w:p>
    <w:p w14:paraId="3D03047F">
      <w:pPr>
        <w:widowControl w:val="0"/>
        <w:snapToGrid w:val="0"/>
        <w:spacing w:line="440" w:lineRule="exact"/>
        <w:ind w:firstLine="504" w:firstLineChars="200"/>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本人经由</w:t>
      </w:r>
      <w:r>
        <w:rPr>
          <w:rFonts w:hint="eastAsia" w:ascii="宋体" w:hAnsi="宋体" w:eastAsia="宋体" w:cs="宋体"/>
          <w:color w:val="auto"/>
          <w:spacing w:val="6"/>
          <w:kern w:val="2"/>
          <w:sz w:val="24"/>
          <w:szCs w:val="24"/>
          <w:highlight w:val="none"/>
          <w:u w:val="single"/>
          <w:lang w:val="en-US" w:eastAsia="zh-CN" w:bidi="ar-SA"/>
        </w:rPr>
        <w:t>（单位）</w:t>
      </w:r>
      <w:r>
        <w:rPr>
          <w:rFonts w:hint="eastAsia" w:ascii="宋体" w:hAnsi="宋体" w:eastAsia="宋体" w:cs="宋体"/>
          <w:color w:val="auto"/>
          <w:spacing w:val="6"/>
          <w:kern w:val="2"/>
          <w:sz w:val="24"/>
          <w:szCs w:val="24"/>
          <w:highlight w:val="none"/>
          <w:lang w:val="en-US" w:eastAsia="zh-CN" w:bidi="ar-SA"/>
        </w:rPr>
        <w:t>法人代表（负责人）</w:t>
      </w:r>
      <w:r>
        <w:rPr>
          <w:rFonts w:hint="eastAsia" w:ascii="宋体" w:hAnsi="宋体" w:eastAsia="宋体" w:cs="宋体"/>
          <w:color w:val="auto"/>
          <w:spacing w:val="6"/>
          <w:kern w:val="2"/>
          <w:sz w:val="24"/>
          <w:szCs w:val="24"/>
          <w:highlight w:val="none"/>
          <w:u w:val="single"/>
          <w:lang w:val="en-US" w:eastAsia="zh-CN" w:bidi="ar-SA"/>
        </w:rPr>
        <w:t>（姓名）</w:t>
      </w:r>
      <w:r>
        <w:rPr>
          <w:rFonts w:hint="eastAsia" w:ascii="宋体" w:hAnsi="宋体" w:eastAsia="宋体" w:cs="宋体"/>
          <w:color w:val="auto"/>
          <w:spacing w:val="6"/>
          <w:kern w:val="2"/>
          <w:sz w:val="24"/>
          <w:szCs w:val="24"/>
          <w:highlight w:val="none"/>
          <w:lang w:val="en-US" w:eastAsia="zh-CN" w:bidi="ar-SA"/>
        </w:rPr>
        <w:t>合法授权参加项目（编号：）政府采购活动，经与本单位法人代表（负责人）联系确认，现就有关公平竞争事项郑重声明如下：</w:t>
      </w:r>
    </w:p>
    <w:p w14:paraId="37CF6279">
      <w:pPr>
        <w:widowControl/>
        <w:numPr>
          <w:ilvl w:val="0"/>
          <w:numId w:val="1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本单位与采购人之间□不存在利害关系□存在下列利害关系：</w:t>
      </w:r>
    </w:p>
    <w:p w14:paraId="3F8A2BCC">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A.投资关系    B.行政隶属关系    C.业务指导关系</w:t>
      </w:r>
    </w:p>
    <w:p w14:paraId="54428E7B">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w:t>
      </w:r>
      <w:r>
        <w:rPr>
          <w:rFonts w:hint="eastAsia" w:ascii="宋体" w:hAnsi="宋体" w:eastAsia="宋体" w:cs="宋体"/>
          <w:color w:val="auto"/>
          <w:kern w:val="0"/>
          <w:sz w:val="24"/>
          <w:szCs w:val="24"/>
          <w:highlight w:val="none"/>
          <w:u w:val="single"/>
          <w:lang w:val="en-US" w:eastAsia="zh-CN" w:bidi="ar-SA"/>
        </w:rPr>
        <w:t>（如有，请如实说明）</w:t>
      </w:r>
      <w:r>
        <w:rPr>
          <w:rFonts w:hint="eastAsia" w:ascii="宋体" w:hAnsi="宋体" w:eastAsia="宋体" w:cs="宋体"/>
          <w:color w:val="auto"/>
          <w:kern w:val="0"/>
          <w:sz w:val="24"/>
          <w:szCs w:val="24"/>
          <w:highlight w:val="none"/>
          <w:lang w:val="en-US" w:eastAsia="zh-CN" w:bidi="ar-SA"/>
        </w:rPr>
        <w:t>。</w:t>
      </w:r>
    </w:p>
    <w:p w14:paraId="1B04E17F">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现已清楚知道参加本项目采购活动的其他所有供应商名称，本单位□与其他所有供应商之间均不存在利害关系□与</w:t>
      </w:r>
      <w:r>
        <w:rPr>
          <w:rFonts w:hint="eastAsia" w:ascii="宋体" w:hAnsi="宋体" w:eastAsia="宋体" w:cs="宋体"/>
          <w:color w:val="auto"/>
          <w:kern w:val="0"/>
          <w:sz w:val="24"/>
          <w:szCs w:val="24"/>
          <w:highlight w:val="none"/>
          <w:u w:val="single"/>
          <w:lang w:val="en-US" w:eastAsia="zh-CN" w:bidi="ar-SA"/>
        </w:rPr>
        <w:t xml:space="preserve">           （供应商名称）</w:t>
      </w:r>
      <w:r>
        <w:rPr>
          <w:rFonts w:hint="eastAsia" w:ascii="宋体" w:hAnsi="宋体" w:eastAsia="宋体" w:cs="宋体"/>
          <w:color w:val="auto"/>
          <w:kern w:val="0"/>
          <w:sz w:val="24"/>
          <w:szCs w:val="24"/>
          <w:highlight w:val="none"/>
          <w:lang w:val="en-US" w:eastAsia="zh-CN" w:bidi="ar-SA"/>
        </w:rPr>
        <w:t>之间存在下列利害关系：</w:t>
      </w:r>
    </w:p>
    <w:p w14:paraId="43E79395">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3AB4B620">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79BE1035">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58936CB4">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018F1588">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0494D306">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7E56607A">
      <w:pPr>
        <w:widowControl w:val="0"/>
        <w:snapToGrid w:val="0"/>
        <w:spacing w:line="440" w:lineRule="exact"/>
        <w:jc w:val="both"/>
        <w:outlineLvl w:val="0"/>
        <w:rPr>
          <w:rFonts w:hint="default" w:ascii="宋体" w:hAnsi="宋体" w:eastAsia="宋体" w:cs="宋体"/>
          <w:color w:val="auto"/>
          <w:kern w:val="0"/>
          <w:sz w:val="24"/>
          <w:szCs w:val="24"/>
          <w:highlight w:val="none"/>
          <w:lang w:val="en-US" w:eastAsia="zh-CN" w:bidi="ar-SA"/>
        </w:rPr>
      </w:pPr>
      <w:bookmarkStart w:id="181" w:name="_Toc15030"/>
      <w:bookmarkStart w:id="182" w:name="_Toc19343"/>
      <w:bookmarkStart w:id="183" w:name="_Toc2857"/>
      <w:bookmarkStart w:id="184" w:name="_Toc9367"/>
      <w:bookmarkStart w:id="185" w:name="_Toc21795"/>
      <w:bookmarkStart w:id="186" w:name="_Toc24072"/>
      <w:bookmarkStart w:id="187" w:name="_Toc9031"/>
      <w:bookmarkStart w:id="188" w:name="_Toc22017"/>
      <w:bookmarkStart w:id="189" w:name="_Toc20365"/>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181"/>
      <w:bookmarkEnd w:id="182"/>
      <w:bookmarkEnd w:id="183"/>
      <w:bookmarkEnd w:id="184"/>
      <w:bookmarkEnd w:id="185"/>
      <w:bookmarkEnd w:id="186"/>
      <w:bookmarkEnd w:id="187"/>
      <w:bookmarkEnd w:id="188"/>
      <w:bookmarkEnd w:id="189"/>
    </w:p>
    <w:p w14:paraId="7CA4EC2A">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管理关系、重要业务（占主营业务收入50%以上）或重要财务往来关系（如融资）等其他实质性控制关系；</w:t>
      </w:r>
    </w:p>
    <w:p w14:paraId="1BBEDF03">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I</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hint="eastAsia" w:ascii="宋体" w:hAnsi="宋体" w:eastAsia="宋体" w:cs="宋体"/>
          <w:color w:val="auto"/>
          <w:kern w:val="0"/>
          <w:sz w:val="24"/>
          <w:szCs w:val="24"/>
          <w:highlight w:val="none"/>
          <w:lang w:val="en-US" w:eastAsia="zh-CN" w:bidi="ar-SA"/>
        </w:rPr>
        <w:t>。</w:t>
      </w:r>
    </w:p>
    <w:p w14:paraId="53FE88B6">
      <w:pPr>
        <w:widowControl/>
        <w:numPr>
          <w:ilvl w:val="0"/>
          <w:numId w:val="20"/>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严格遵守政府采购法律法规和现场纪律。</w:t>
      </w:r>
    </w:p>
    <w:p w14:paraId="5F22D5E0">
      <w:pPr>
        <w:widowControl/>
        <w:numPr>
          <w:ilvl w:val="0"/>
          <w:numId w:val="20"/>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我发现供应商</w:t>
      </w:r>
      <w:r>
        <w:rPr>
          <w:rFonts w:hint="eastAsia" w:ascii="宋体" w:hAnsi="宋体" w:eastAsia="宋体" w:cs="宋体"/>
          <w:color w:val="auto"/>
          <w:kern w:val="0"/>
          <w:sz w:val="24"/>
          <w:szCs w:val="24"/>
          <w:highlight w:val="none"/>
          <w:u w:val="single"/>
          <w:lang w:val="en-US" w:eastAsia="zh-CN" w:bidi="ar-SA"/>
        </w:rPr>
        <w:t xml:space="preserve">                     之间</w:t>
      </w:r>
      <w:r>
        <w:rPr>
          <w:rFonts w:hint="eastAsia" w:ascii="宋体" w:hAnsi="宋体" w:eastAsia="宋体" w:cs="宋体"/>
          <w:color w:val="auto"/>
          <w:kern w:val="0"/>
          <w:sz w:val="24"/>
          <w:szCs w:val="24"/>
          <w:highlight w:val="none"/>
          <w:lang w:val="en-US" w:eastAsia="zh-CN" w:bidi="ar-SA"/>
        </w:rPr>
        <w:t>存在或可能存在上述第二条第项利害关系。</w:t>
      </w:r>
    </w:p>
    <w:p w14:paraId="6371D9F9">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p>
    <w:p w14:paraId="7654F7E3">
      <w:pPr>
        <w:widowControl w:val="0"/>
        <w:snapToGrid w:val="0"/>
        <w:spacing w:line="440" w:lineRule="exact"/>
        <w:ind w:firstLine="480" w:firstLineChars="200"/>
        <w:jc w:val="right"/>
        <w:rPr>
          <w:rFonts w:hint="default" w:ascii="宋体" w:hAnsi="宋体" w:eastAsia="宋体" w:cs="宋体"/>
          <w:color w:val="auto"/>
          <w:kern w:val="2"/>
          <w:sz w:val="24"/>
          <w:szCs w:val="24"/>
          <w:highlight w:val="none"/>
          <w:lang w:val="en-US" w:eastAsia="zh-CN" w:bidi="ar-SA"/>
        </w:rPr>
      </w:pPr>
    </w:p>
    <w:p w14:paraId="614FF067">
      <w:pPr>
        <w:pStyle w:val="131"/>
        <w:widowControl w:val="0"/>
        <w:snapToGrid w:val="0"/>
        <w:spacing w:line="440" w:lineRule="exact"/>
        <w:jc w:val="right"/>
        <w:rPr>
          <w:rFonts w:hint="default"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（供应商代表签名）：</w:t>
      </w:r>
    </w:p>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995E">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12C11">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B12C11">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7266">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3BA6E40F">
                          <w:pPr>
                            <w:pStyle w:val="31"/>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cHnNqtoBAACuAwAADgAAAAAAAAAB&#10;ACAAAAAgAQAAZHJzL2Uyb0RvYy54bWxQSwUGAAAAAAYABgBZAQAAbAUAAAAA&#10;">
              <v:fill on="f" focussize="0,0"/>
              <v:stroke on="f" weight="0.5pt"/>
              <v:imagedata o:title=""/>
              <o:lock v:ext="edit" aspectratio="f"/>
              <v:textbox inset="0mm,0mm,0mm,0mm" style="mso-fit-shape-to-text:t;">
                <w:txbxContent>
                  <w:p w14:paraId="3BA6E40F">
                    <w:pPr>
                      <w:pStyle w:val="31"/>
                    </w:pPr>
                    <w:r>
                      <w:fldChar w:fldCharType="begin"/>
                    </w:r>
                    <w:r>
                      <w:instrText xml:space="preserve"> PAGE  \* MERGEFORMAT </w:instrText>
                    </w:r>
                    <w:r>
                      <w:fldChar w:fldCharType="separate"/>
                    </w:r>
                    <w:r>
                      <w:t>78</w:t>
                    </w:r>
                    <w:r>
                      <w:fldChar w:fldCharType="end"/>
                    </w:r>
                  </w:p>
                </w:txbxContent>
              </v:textbox>
            </v:shape>
          </w:pict>
        </mc:Fallback>
      </mc:AlternateContent>
    </w:r>
  </w:p>
  <w:p w14:paraId="372F9076">
    <w:pPr>
      <w:pStyle w:val="3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567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30E0">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AC6D1">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EEAC6D1">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D7A4">
    <w:pPr>
      <w:pStyle w:val="3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3352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335280"/>
                      </a:xfrm>
                      <a:prstGeom prst="rect">
                        <a:avLst/>
                      </a:prstGeom>
                      <a:noFill/>
                      <a:ln>
                        <a:noFill/>
                      </a:ln>
                      <a:effectLst/>
                    </wps:spPr>
                    <wps:txbx>
                      <w:txbxContent>
                        <w:sdt>
                          <w:sdtPr>
                            <w:id w:val="4"/>
                          </w:sdtPr>
                          <w:sdtContent>
                            <w:p w14:paraId="4188FA83">
                              <w:pPr>
                                <w:pStyle w:val="31"/>
                                <w:jc w:val="right"/>
                              </w:pPr>
                              <w:r>
                                <w:fldChar w:fldCharType="begin"/>
                              </w:r>
                              <w:r>
                                <w:instrText xml:space="preserve">PAGE   \* MERGEFORMAT</w:instrText>
                              </w:r>
                              <w:r>
                                <w:fldChar w:fldCharType="separate"/>
                              </w:r>
                              <w:r>
                                <w:rPr>
                                  <w:lang w:val="zh-CN"/>
                                </w:rPr>
                                <w:t>6</w:t>
                              </w:r>
                              <w:r>
                                <w:rPr>
                                  <w:lang w:val="zh-CN"/>
                                </w:rPr>
                                <w:fldChar w:fldCharType="end"/>
                              </w:r>
                            </w:p>
                          </w:sdtContent>
                        </w:sdt>
                        <w:p w14:paraId="6E4E201A"/>
                      </w:txbxContent>
                    </wps:txbx>
                    <wps:bodyPr wrap="none" lIns="0" tIns="0" rIns="0" bIns="0" upright="1">
                      <a:spAutoFit/>
                    </wps:bodyPr>
                  </wps:wsp>
                </a:graphicData>
              </a:graphic>
            </wp:anchor>
          </w:drawing>
        </mc:Choice>
        <mc:Fallback>
          <w:pict>
            <v:shape id="_x0000_s1026" o:spid="_x0000_s1026" o:spt="202" type="#_x0000_t202" style="position:absolute;left:0pt;margin-top:0pt;height:26.4pt;width:9.05pt;mso-position-horizontal:center;mso-position-horizontal-relative:margin;mso-wrap-style:none;z-index:251661312;mso-width-relative:page;mso-height-relative:page;" filled="f" stroked="f" coordsize="21600,21600" o:gfxdata="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mDyKnQAAAAAwEAAA8AAAAAAAAAAQAgAAAAIgAAAGRy&#10;cy9kb3ducmV2LnhtbFBLAQIUABQAAAAIAIdO4kAI5PxV1AEAAKUDAAAOAAAAAAAAAAEAIAAAAB8B&#10;AABkcnMvZTJvRG9jLnhtbFBLBQYAAAAABgAGAFkBAABlBQAAAAA=&#10;">
              <v:fill on="f" focussize="0,0"/>
              <v:stroke on="f"/>
              <v:imagedata o:title=""/>
              <o:lock v:ext="edit" aspectratio="f"/>
              <v:textbox inset="0mm,0mm,0mm,0mm" style="mso-fit-shape-to-text:t;">
                <w:txbxContent>
                  <w:sdt>
                    <w:sdtPr>
                      <w:id w:val="4"/>
                    </w:sdtPr>
                    <w:sdtContent>
                      <w:p w14:paraId="4188FA83">
                        <w:pPr>
                          <w:pStyle w:val="31"/>
                          <w:jc w:val="right"/>
                        </w:pPr>
                        <w:r>
                          <w:fldChar w:fldCharType="begin"/>
                        </w:r>
                        <w:r>
                          <w:instrText xml:space="preserve">PAGE   \* MERGEFORMAT</w:instrText>
                        </w:r>
                        <w:r>
                          <w:fldChar w:fldCharType="separate"/>
                        </w:r>
                        <w:r>
                          <w:rPr>
                            <w:lang w:val="zh-CN"/>
                          </w:rPr>
                          <w:t>6</w:t>
                        </w:r>
                        <w:r>
                          <w:rPr>
                            <w:lang w:val="zh-CN"/>
                          </w:rPr>
                          <w:fldChar w:fldCharType="end"/>
                        </w:r>
                      </w:p>
                    </w:sdtContent>
                  </w:sdt>
                  <w:p w14:paraId="6E4E201A"/>
                </w:txbxContent>
              </v:textbox>
            </v:shape>
          </w:pict>
        </mc:Fallback>
      </mc:AlternateContent>
    </w:r>
  </w:p>
  <w:p w14:paraId="1FACF700">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A9E6">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EC5A2">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w:t>
                          </w:r>
                          <w:r>
                            <w:rPr>
                              <w:rFonts w:ascii="Calibri" w:hAnsi="Calibri" w:eastAsia="宋体" w:cs="Times New Roman"/>
                              <w:kern w:val="2"/>
                              <w:sz w:val="18"/>
                              <w:szCs w:val="18"/>
                              <w:lang w:val="en-US" w:eastAsia="zh-CN" w:bidi="ar-SA"/>
                            </w:rPr>
                            <w:t xml:space="preserve"> 5 -</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74BEC5A2">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w:t>
                    </w:r>
                    <w:r>
                      <w:rPr>
                        <w:rFonts w:ascii="Calibri" w:hAnsi="Calibri" w:eastAsia="宋体" w:cs="Times New Roman"/>
                        <w:kern w:val="2"/>
                        <w:sz w:val="18"/>
                        <w:szCs w:val="18"/>
                        <w:lang w:val="en-US" w:eastAsia="zh-CN" w:bidi="ar-SA"/>
                      </w:rPr>
                      <w:t xml:space="preserve"> 5 -</w:t>
                    </w:r>
                    <w:r>
                      <w:rPr>
                        <w:rFonts w:ascii="Calibri" w:hAnsi="Calibri" w:eastAsia="宋体" w:cs="Times New Roman"/>
                        <w:kern w:val="2"/>
                        <w:sz w:val="18"/>
                        <w:szCs w:val="18"/>
                        <w:lang w:val="en-US" w:eastAsia="zh-CN" w:bidi="ar-SA"/>
                      </w:rPr>
                      <w:fldChar w:fldCharType="end"/>
                    </w:r>
                  </w:p>
                </w:txbxContent>
              </v:textbox>
            </v:shape>
          </w:pict>
        </mc:Fallback>
      </mc:AlternateContent>
    </w:r>
  </w:p>
  <w:p w14:paraId="79C65746">
    <w:pPr>
      <w:widowControl w:val="0"/>
      <w:tabs>
        <w:tab w:val="center" w:pos="4422"/>
        <w:tab w:val="right" w:pos="8844"/>
      </w:tabs>
      <w:snapToGrid w:val="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B082">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C5989">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29</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4BCC5989">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29</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A522">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100A5FA3">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438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100A5FA3">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v:textbox>
            </v:shape>
          </w:pict>
        </mc:Fallback>
      </mc:AlternateContent>
    </w:r>
  </w:p>
  <w:p w14:paraId="4FE77F52">
    <w:pPr>
      <w:widowControl w:val="0"/>
      <w:snapToGrid w:val="0"/>
      <w:ind w:firstLine="440"/>
      <w:jc w:val="left"/>
      <w:rPr>
        <w:rFonts w:ascii="等线" w:hAnsi="等线"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4AC6">
    <w:pPr>
      <w:framePr w:wrap="around" w:vAnchor="text" w:hAnchor="margin" w:xAlign="center" w:y="1"/>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p w14:paraId="5FD646E3">
    <w:pPr>
      <w:widowControl w:val="0"/>
      <w:snapToGrid w:val="0"/>
      <w:ind w:right="360" w:firstLine="360"/>
      <w:jc w:val="left"/>
      <w:rPr>
        <w:rFonts w:ascii="等线" w:hAnsi="等线" w:eastAsia="宋体" w:cs="Times New Roman"/>
        <w:kern w:val="2"/>
        <w:sz w:val="18"/>
        <w:szCs w:val="18"/>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797D1">
    <w:pPr>
      <w:widowControl w:val="0"/>
      <w:snapToGrid w:val="0"/>
      <w:ind w:firstLine="440"/>
      <w:jc w:val="center"/>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617F66">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XHQ7YAQAAs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VNuSLvwgiTKA2tJyv2237kuXXN&#10;EWl2uA81tbj+lOhPFuVOqzMZYTK2k7H3Qe1a7Hieq4P/sI/YW245VRhgkWpycJCZ9Lh0aVP+93PW&#10;04+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BcdDtgBAACwAwAADgAAAAAAAAABACAA&#10;AAAfAQAAZHJzL2Uyb0RvYy54bWxQSwUGAAAAAAYABgBZAQAAaQUAAAAA&#10;">
              <v:fill on="f" focussize="0,0"/>
              <v:stroke on="f" weight="0.5pt"/>
              <v:imagedata o:title=""/>
              <o:lock v:ext="edit" aspectratio="f"/>
              <v:textbox inset="0mm,0mm,0mm,0mm" style="mso-fit-shape-to-text:t;">
                <w:txbxContent>
                  <w:p w14:paraId="72617F66">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v:textbox>
            </v:shape>
          </w:pict>
        </mc:Fallback>
      </mc:AlternateContent>
    </w: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5B73B">
                          <w:pPr>
                            <w:widowControl w:val="0"/>
                            <w:snapToGrid w:val="0"/>
                            <w:ind w:firstLine="440"/>
                            <w:jc w:val="center"/>
                            <w:rPr>
                              <w:rFonts w:ascii="等线" w:hAnsi="等线" w:eastAsia="宋体" w:cs="Times New Roman"/>
                              <w:kern w:val="2"/>
                              <w:sz w:val="18"/>
                              <w:szCs w:val="18"/>
                              <w:lang w:val="en-US" w:eastAsia="zh-CN" w:bidi="ar-SA"/>
                            </w:rPr>
                          </w:pPr>
                        </w:p>
                        <w:p w14:paraId="7D849517">
                          <w:pPr>
                            <w:rPr>
                              <w:rFonts w:eastAsia="宋体"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0675B73B">
                    <w:pPr>
                      <w:widowControl w:val="0"/>
                      <w:snapToGrid w:val="0"/>
                      <w:ind w:firstLine="440"/>
                      <w:jc w:val="center"/>
                      <w:rPr>
                        <w:rFonts w:ascii="等线" w:hAnsi="等线" w:eastAsia="宋体" w:cs="Times New Roman"/>
                        <w:kern w:val="2"/>
                        <w:sz w:val="18"/>
                        <w:szCs w:val="18"/>
                        <w:lang w:val="en-US" w:eastAsia="zh-CN" w:bidi="ar-SA"/>
                      </w:rPr>
                    </w:pPr>
                  </w:p>
                  <w:p w14:paraId="7D849517">
                    <w:pPr>
                      <w:rPr>
                        <w:rFonts w:eastAsia="宋体" w:cs="Times New Roman"/>
                      </w:rPr>
                    </w:pPr>
                  </w:p>
                </w:txbxContent>
              </v:textbox>
            </v:shape>
          </w:pict>
        </mc:Fallback>
      </mc:AlternateContent>
    </w:r>
  </w:p>
  <w:p w14:paraId="0AC00691">
    <w:pPr>
      <w:widowControl w:val="0"/>
      <w:snapToGrid w:val="0"/>
      <w:ind w:firstLine="440"/>
      <w:jc w:val="left"/>
      <w:rPr>
        <w:rFonts w:ascii="等线" w:hAnsi="等线"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F7C6">
    <w:pPr>
      <w:pStyle w:val="32"/>
      <w:pBdr>
        <w:bottom w:val="none" w:color="auto" w:sz="0" w:space="0"/>
      </w:pBdr>
      <w:tabs>
        <w:tab w:val="right" w:pos="9813"/>
        <w:tab w:val="clear" w:pos="4153"/>
        <w:tab w:val="clear" w:pos="8306"/>
      </w:tabs>
      <w:ind w:left="-966" w:right="-968"/>
      <w:rPr>
        <w:rFonts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CB930"/>
    <w:multiLevelType w:val="singleLevel"/>
    <w:tmpl w:val="8DDCB930"/>
    <w:lvl w:ilvl="0" w:tentative="0">
      <w:start w:val="1"/>
      <w:numFmt w:val="decimal"/>
      <w:suff w:val="nothing"/>
      <w:lvlText w:val="（%1）"/>
      <w:lvlJc w:val="left"/>
    </w:lvl>
  </w:abstractNum>
  <w:abstractNum w:abstractNumId="1">
    <w:nsid w:val="8F8E4D46"/>
    <w:multiLevelType w:val="singleLevel"/>
    <w:tmpl w:val="8F8E4D46"/>
    <w:lvl w:ilvl="0" w:tentative="0">
      <w:start w:val="2"/>
      <w:numFmt w:val="chineseCounting"/>
      <w:lvlText w:val="(%1)"/>
      <w:lvlJc w:val="left"/>
      <w:pPr>
        <w:tabs>
          <w:tab w:val="left" w:pos="312"/>
        </w:tabs>
      </w:pPr>
      <w:rPr>
        <w:rFonts w:hint="eastAsia"/>
      </w:rPr>
    </w:lvl>
  </w:abstractNum>
  <w:abstractNum w:abstractNumId="2">
    <w:nsid w:val="940C7304"/>
    <w:multiLevelType w:val="singleLevel"/>
    <w:tmpl w:val="940C7304"/>
    <w:lvl w:ilvl="0" w:tentative="0">
      <w:start w:val="1"/>
      <w:numFmt w:val="decimal"/>
      <w:lvlText w:val="%1."/>
      <w:lvlJc w:val="left"/>
      <w:pPr>
        <w:ind w:left="425" w:hanging="425"/>
      </w:pPr>
      <w:rPr>
        <w:rFonts w:hint="default"/>
      </w:rPr>
    </w:lvl>
  </w:abstractNum>
  <w:abstractNum w:abstractNumId="3">
    <w:nsid w:val="A4BBED1E"/>
    <w:multiLevelType w:val="singleLevel"/>
    <w:tmpl w:val="A4BBED1E"/>
    <w:lvl w:ilvl="0" w:tentative="0">
      <w:start w:val="1"/>
      <w:numFmt w:val="decimal"/>
      <w:lvlText w:val="%1."/>
      <w:lvlJc w:val="left"/>
      <w:pPr>
        <w:tabs>
          <w:tab w:val="left" w:pos="312"/>
        </w:tabs>
      </w:pPr>
    </w:lvl>
  </w:abstractNum>
  <w:abstractNum w:abstractNumId="4">
    <w:nsid w:val="BB4561FD"/>
    <w:multiLevelType w:val="singleLevel"/>
    <w:tmpl w:val="BB4561FD"/>
    <w:lvl w:ilvl="0" w:tentative="0">
      <w:start w:val="1"/>
      <w:numFmt w:val="decimal"/>
      <w:lvlText w:val="%1."/>
      <w:lvlJc w:val="left"/>
      <w:pPr>
        <w:ind w:left="425" w:hanging="425"/>
      </w:pPr>
      <w:rPr>
        <w:rFonts w:hint="default"/>
      </w:rPr>
    </w:lvl>
  </w:abstractNum>
  <w:abstractNum w:abstractNumId="5">
    <w:nsid w:val="CF1EF4B9"/>
    <w:multiLevelType w:val="singleLevel"/>
    <w:tmpl w:val="CF1EF4B9"/>
    <w:lvl w:ilvl="0" w:tentative="0">
      <w:start w:val="1"/>
      <w:numFmt w:val="decimal"/>
      <w:suff w:val="nothing"/>
      <w:lvlText w:val="（%1）"/>
      <w:lvlJc w:val="left"/>
    </w:lvl>
  </w:abstractNum>
  <w:abstractNum w:abstractNumId="6">
    <w:nsid w:val="DA069F1E"/>
    <w:multiLevelType w:val="singleLevel"/>
    <w:tmpl w:val="DA069F1E"/>
    <w:lvl w:ilvl="0" w:tentative="0">
      <w:start w:val="1"/>
      <w:numFmt w:val="decimal"/>
      <w:pStyle w:val="12"/>
      <w:lvlText w:val="%1."/>
      <w:lvlJc w:val="left"/>
      <w:pPr>
        <w:tabs>
          <w:tab w:val="left" w:pos="780"/>
        </w:tabs>
        <w:ind w:left="780" w:hanging="360"/>
      </w:pPr>
    </w:lvl>
  </w:abstractNum>
  <w:abstractNum w:abstractNumId="7">
    <w:nsid w:val="DADFD21D"/>
    <w:multiLevelType w:val="singleLevel"/>
    <w:tmpl w:val="DADFD21D"/>
    <w:lvl w:ilvl="0" w:tentative="0">
      <w:start w:val="1"/>
      <w:numFmt w:val="decimal"/>
      <w:pStyle w:val="268"/>
      <w:suff w:val="nothing"/>
      <w:lvlText w:val="%1、"/>
      <w:lvlJc w:val="left"/>
    </w:lvl>
  </w:abstractNum>
  <w:abstractNum w:abstractNumId="8">
    <w:nsid w:val="07A97BC2"/>
    <w:multiLevelType w:val="multilevel"/>
    <w:tmpl w:val="07A97BC2"/>
    <w:lvl w:ilvl="0" w:tentative="0">
      <w:start w:val="1"/>
      <w:numFmt w:val="bullet"/>
      <w:pStyle w:val="27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9">
    <w:nsid w:val="0B65B9C3"/>
    <w:multiLevelType w:val="singleLevel"/>
    <w:tmpl w:val="0B65B9C3"/>
    <w:lvl w:ilvl="0" w:tentative="0">
      <w:start w:val="1"/>
      <w:numFmt w:val="decimal"/>
      <w:suff w:val="nothing"/>
      <w:lvlText w:val="%1、"/>
      <w:lvlJc w:val="left"/>
    </w:lvl>
  </w:abstractNum>
  <w:abstractNum w:abstractNumId="10">
    <w:nsid w:val="13CE3105"/>
    <w:multiLevelType w:val="singleLevel"/>
    <w:tmpl w:val="13CE3105"/>
    <w:lvl w:ilvl="0" w:tentative="0">
      <w:start w:val="1"/>
      <w:numFmt w:val="decimal"/>
      <w:lvlText w:val="%1."/>
      <w:lvlJc w:val="left"/>
      <w:pPr>
        <w:ind w:left="425" w:hanging="425"/>
      </w:pPr>
      <w:rPr>
        <w:rFonts w:hint="default"/>
      </w:rPr>
    </w:lvl>
  </w:abstractNum>
  <w:abstractNum w:abstractNumId="11">
    <w:nsid w:val="2593A27D"/>
    <w:multiLevelType w:val="singleLevel"/>
    <w:tmpl w:val="2593A27D"/>
    <w:lvl w:ilvl="0" w:tentative="0">
      <w:start w:val="2"/>
      <w:numFmt w:val="decimal"/>
      <w:suff w:val="nothing"/>
      <w:lvlText w:val="（%1）"/>
      <w:lvlJc w:val="left"/>
    </w:lvl>
  </w:abstractNum>
  <w:abstractNum w:abstractNumId="12">
    <w:nsid w:val="3E5A3A14"/>
    <w:multiLevelType w:val="multilevel"/>
    <w:tmpl w:val="3E5A3A14"/>
    <w:lvl w:ilvl="0" w:tentative="0">
      <w:start w:val="1"/>
      <w:numFmt w:val="chineseCountingThousand"/>
      <w:lvlText w:val="%1、"/>
      <w:lvlJc w:val="left"/>
      <w:pPr>
        <w:ind w:left="425" w:hanging="425"/>
      </w:pPr>
      <w:rPr>
        <w:rFonts w:hint="eastAsia"/>
      </w:rPr>
    </w:lvl>
    <w:lvl w:ilvl="1" w:tentative="0">
      <w:start w:val="1"/>
      <w:numFmt w:val="decimal"/>
      <w:isLgl/>
      <w:lvlText w:val="%1.%2"/>
      <w:lvlJc w:val="left"/>
      <w:pPr>
        <w:ind w:left="2410" w:hanging="567"/>
      </w:pPr>
      <w:rPr>
        <w:rFonts w:hint="eastAsia"/>
      </w:rPr>
    </w:lvl>
    <w:lvl w:ilvl="2" w:tentative="0">
      <w:start w:val="1"/>
      <w:numFmt w:val="decimal"/>
      <w:isLgl/>
      <w:lvlText w:val="%1.%2.%3"/>
      <w:lvlJc w:val="left"/>
      <w:pPr>
        <w:ind w:left="1418" w:hanging="567"/>
      </w:pPr>
      <w:rPr>
        <w:rFonts w:hint="eastAsia"/>
      </w:rPr>
    </w:lvl>
    <w:lvl w:ilvl="3" w:tentative="0">
      <w:start w:val="18"/>
      <w:numFmt w:val="decimal"/>
      <w:lvlText w:val="%4."/>
      <w:lvlJc w:val="left"/>
      <w:pPr>
        <w:ind w:left="1716" w:hanging="44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E3EF080"/>
    <w:multiLevelType w:val="singleLevel"/>
    <w:tmpl w:val="4E3EF080"/>
    <w:lvl w:ilvl="0" w:tentative="0">
      <w:start w:val="1"/>
      <w:numFmt w:val="decimal"/>
      <w:lvlText w:val="%1."/>
      <w:lvlJc w:val="left"/>
      <w:pPr>
        <w:tabs>
          <w:tab w:val="left" w:pos="312"/>
        </w:tabs>
      </w:pPr>
    </w:lvl>
  </w:abstractNum>
  <w:abstractNum w:abstractNumId="14">
    <w:nsid w:val="520C8405"/>
    <w:multiLevelType w:val="singleLevel"/>
    <w:tmpl w:val="520C8405"/>
    <w:lvl w:ilvl="0" w:tentative="0">
      <w:start w:val="1"/>
      <w:numFmt w:val="chineseCounting"/>
      <w:pStyle w:val="265"/>
      <w:suff w:val="nothing"/>
      <w:lvlText w:val="%1、"/>
      <w:lvlJc w:val="left"/>
      <w:rPr>
        <w:rFonts w:hint="eastAsia"/>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5DC2298"/>
    <w:multiLevelType w:val="multilevel"/>
    <w:tmpl w:val="55DC2298"/>
    <w:lvl w:ilvl="0" w:tentative="0">
      <w:start w:val="1"/>
      <w:numFmt w:val="chineseCountingThousand"/>
      <w:pStyle w:val="44"/>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7FD6F39"/>
    <w:multiLevelType w:val="singleLevel"/>
    <w:tmpl w:val="77FD6F39"/>
    <w:lvl w:ilvl="0" w:tentative="0">
      <w:start w:val="1"/>
      <w:numFmt w:val="decimal"/>
      <w:suff w:val="nothing"/>
      <w:lvlText w:val="（%1）"/>
      <w:lvlJc w:val="left"/>
    </w:lvl>
  </w:abstractNum>
  <w:abstractNum w:abstractNumId="19">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7"/>
  </w:num>
  <w:num w:numId="3">
    <w:abstractNumId w:val="14"/>
  </w:num>
  <w:num w:numId="4">
    <w:abstractNumId w:val="7"/>
  </w:num>
  <w:num w:numId="5">
    <w:abstractNumId w:val="8"/>
  </w:num>
  <w:num w:numId="6">
    <w:abstractNumId w:val="11"/>
  </w:num>
  <w:num w:numId="7">
    <w:abstractNumId w:val="0"/>
  </w:num>
  <w:num w:numId="8">
    <w:abstractNumId w:val="18"/>
  </w:num>
  <w:num w:numId="9">
    <w:abstractNumId w:val="5"/>
  </w:num>
  <w:num w:numId="10">
    <w:abstractNumId w:val="1"/>
  </w:num>
  <w:num w:numId="11">
    <w:abstractNumId w:val="12"/>
  </w:num>
  <w:num w:numId="12">
    <w:abstractNumId w:val="10"/>
  </w:num>
  <w:num w:numId="13">
    <w:abstractNumId w:val="2"/>
  </w:num>
  <w:num w:numId="14">
    <w:abstractNumId w:val="4"/>
  </w:num>
  <w:num w:numId="15">
    <w:abstractNumId w:val="19"/>
  </w:num>
  <w:num w:numId="16">
    <w:abstractNumId w:val="3"/>
  </w:num>
  <w:num w:numId="17">
    <w:abstractNumId w:val="9"/>
  </w:num>
  <w:num w:numId="18">
    <w:abstractNumId w:val="13"/>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OGRkNzllMGM3M2ExODkxMzBhNDRjY2MwYjc2OGEifQ=="/>
    <w:docVar w:name="KSO_WPS_MARK_KEY" w:val="8a0c89e6-ed9b-4421-8040-6b767f61daa1"/>
  </w:docVars>
  <w:rsids>
    <w:rsidRoot w:val="00F42B94"/>
    <w:rsid w:val="00000762"/>
    <w:rsid w:val="00001465"/>
    <w:rsid w:val="00001C6A"/>
    <w:rsid w:val="000044C6"/>
    <w:rsid w:val="00004E7D"/>
    <w:rsid w:val="00010975"/>
    <w:rsid w:val="00011EB0"/>
    <w:rsid w:val="00012B18"/>
    <w:rsid w:val="0002041D"/>
    <w:rsid w:val="00023D21"/>
    <w:rsid w:val="00023E3A"/>
    <w:rsid w:val="00024F27"/>
    <w:rsid w:val="00025B3B"/>
    <w:rsid w:val="000272BF"/>
    <w:rsid w:val="0002734A"/>
    <w:rsid w:val="000303FA"/>
    <w:rsid w:val="00031543"/>
    <w:rsid w:val="0003158D"/>
    <w:rsid w:val="00031FF1"/>
    <w:rsid w:val="000329DA"/>
    <w:rsid w:val="00033FAF"/>
    <w:rsid w:val="0003440F"/>
    <w:rsid w:val="00034A15"/>
    <w:rsid w:val="0003720C"/>
    <w:rsid w:val="000378E8"/>
    <w:rsid w:val="00041935"/>
    <w:rsid w:val="0004250C"/>
    <w:rsid w:val="000447C4"/>
    <w:rsid w:val="00044E85"/>
    <w:rsid w:val="00050830"/>
    <w:rsid w:val="00051171"/>
    <w:rsid w:val="000515CF"/>
    <w:rsid w:val="0005221F"/>
    <w:rsid w:val="000522A6"/>
    <w:rsid w:val="000525A0"/>
    <w:rsid w:val="00057655"/>
    <w:rsid w:val="00057E21"/>
    <w:rsid w:val="00062441"/>
    <w:rsid w:val="00062E7B"/>
    <w:rsid w:val="00063713"/>
    <w:rsid w:val="00064543"/>
    <w:rsid w:val="000725D0"/>
    <w:rsid w:val="00075589"/>
    <w:rsid w:val="00080445"/>
    <w:rsid w:val="00081011"/>
    <w:rsid w:val="00081DA6"/>
    <w:rsid w:val="00081F5F"/>
    <w:rsid w:val="00084226"/>
    <w:rsid w:val="00084F20"/>
    <w:rsid w:val="00085E3C"/>
    <w:rsid w:val="00086D54"/>
    <w:rsid w:val="00087829"/>
    <w:rsid w:val="00090559"/>
    <w:rsid w:val="00090924"/>
    <w:rsid w:val="0009183B"/>
    <w:rsid w:val="0009269F"/>
    <w:rsid w:val="0009417B"/>
    <w:rsid w:val="000946F7"/>
    <w:rsid w:val="000957AF"/>
    <w:rsid w:val="000978B4"/>
    <w:rsid w:val="000A1A77"/>
    <w:rsid w:val="000A21E3"/>
    <w:rsid w:val="000A281E"/>
    <w:rsid w:val="000A31AB"/>
    <w:rsid w:val="000A5353"/>
    <w:rsid w:val="000A6BE6"/>
    <w:rsid w:val="000A7AB5"/>
    <w:rsid w:val="000B2495"/>
    <w:rsid w:val="000B29CD"/>
    <w:rsid w:val="000B4522"/>
    <w:rsid w:val="000B5823"/>
    <w:rsid w:val="000C121D"/>
    <w:rsid w:val="000C13B4"/>
    <w:rsid w:val="000C4E1D"/>
    <w:rsid w:val="000C729C"/>
    <w:rsid w:val="000C72D6"/>
    <w:rsid w:val="000C78F3"/>
    <w:rsid w:val="000D0268"/>
    <w:rsid w:val="000D1F81"/>
    <w:rsid w:val="000D5278"/>
    <w:rsid w:val="000D625F"/>
    <w:rsid w:val="000D6668"/>
    <w:rsid w:val="000E0D3F"/>
    <w:rsid w:val="000E349E"/>
    <w:rsid w:val="000E38FD"/>
    <w:rsid w:val="000E7353"/>
    <w:rsid w:val="000E745A"/>
    <w:rsid w:val="000F01DF"/>
    <w:rsid w:val="000F0690"/>
    <w:rsid w:val="000F2CFB"/>
    <w:rsid w:val="000F2DF2"/>
    <w:rsid w:val="000F753C"/>
    <w:rsid w:val="00106871"/>
    <w:rsid w:val="001068E5"/>
    <w:rsid w:val="00110BCF"/>
    <w:rsid w:val="00113970"/>
    <w:rsid w:val="00114B62"/>
    <w:rsid w:val="0011513E"/>
    <w:rsid w:val="00115531"/>
    <w:rsid w:val="00123CD3"/>
    <w:rsid w:val="0012467F"/>
    <w:rsid w:val="00124913"/>
    <w:rsid w:val="001249DF"/>
    <w:rsid w:val="00124DAE"/>
    <w:rsid w:val="00124E03"/>
    <w:rsid w:val="00126BAF"/>
    <w:rsid w:val="00127235"/>
    <w:rsid w:val="00130D18"/>
    <w:rsid w:val="00134577"/>
    <w:rsid w:val="00141870"/>
    <w:rsid w:val="00141C37"/>
    <w:rsid w:val="00141C72"/>
    <w:rsid w:val="00144D6E"/>
    <w:rsid w:val="00150508"/>
    <w:rsid w:val="001535A6"/>
    <w:rsid w:val="00153D99"/>
    <w:rsid w:val="00154745"/>
    <w:rsid w:val="00156755"/>
    <w:rsid w:val="001570FF"/>
    <w:rsid w:val="00157FB4"/>
    <w:rsid w:val="0016003C"/>
    <w:rsid w:val="00161A82"/>
    <w:rsid w:val="00162879"/>
    <w:rsid w:val="00162B57"/>
    <w:rsid w:val="001647C6"/>
    <w:rsid w:val="00164AAD"/>
    <w:rsid w:val="00170457"/>
    <w:rsid w:val="00172416"/>
    <w:rsid w:val="00176000"/>
    <w:rsid w:val="00176CC4"/>
    <w:rsid w:val="00177BB0"/>
    <w:rsid w:val="001800E2"/>
    <w:rsid w:val="00180F85"/>
    <w:rsid w:val="001822AF"/>
    <w:rsid w:val="00182D33"/>
    <w:rsid w:val="00183CA1"/>
    <w:rsid w:val="00186101"/>
    <w:rsid w:val="001868FC"/>
    <w:rsid w:val="00187118"/>
    <w:rsid w:val="00187FC2"/>
    <w:rsid w:val="0019104C"/>
    <w:rsid w:val="00192965"/>
    <w:rsid w:val="00193604"/>
    <w:rsid w:val="00194A69"/>
    <w:rsid w:val="00195202"/>
    <w:rsid w:val="001956C2"/>
    <w:rsid w:val="00195846"/>
    <w:rsid w:val="00196C48"/>
    <w:rsid w:val="001A01C0"/>
    <w:rsid w:val="001A028D"/>
    <w:rsid w:val="001A44B8"/>
    <w:rsid w:val="001A4529"/>
    <w:rsid w:val="001A56C1"/>
    <w:rsid w:val="001A7117"/>
    <w:rsid w:val="001B018C"/>
    <w:rsid w:val="001B057E"/>
    <w:rsid w:val="001C1C84"/>
    <w:rsid w:val="001C1DCA"/>
    <w:rsid w:val="001C2573"/>
    <w:rsid w:val="001C43B5"/>
    <w:rsid w:val="001C6223"/>
    <w:rsid w:val="001C7A2C"/>
    <w:rsid w:val="001C7A91"/>
    <w:rsid w:val="001D1C0E"/>
    <w:rsid w:val="001D6B71"/>
    <w:rsid w:val="001E1F3B"/>
    <w:rsid w:val="001E20DE"/>
    <w:rsid w:val="001E2571"/>
    <w:rsid w:val="001E291B"/>
    <w:rsid w:val="001E41F2"/>
    <w:rsid w:val="001E5719"/>
    <w:rsid w:val="001E5FC6"/>
    <w:rsid w:val="001E69A1"/>
    <w:rsid w:val="001F17FE"/>
    <w:rsid w:val="001F1A18"/>
    <w:rsid w:val="001F4F2F"/>
    <w:rsid w:val="001F6C0A"/>
    <w:rsid w:val="00211A93"/>
    <w:rsid w:val="00211B56"/>
    <w:rsid w:val="00213322"/>
    <w:rsid w:val="002137CE"/>
    <w:rsid w:val="00215E1F"/>
    <w:rsid w:val="00217476"/>
    <w:rsid w:val="00217E4A"/>
    <w:rsid w:val="00221130"/>
    <w:rsid w:val="00222A02"/>
    <w:rsid w:val="002234ED"/>
    <w:rsid w:val="0022407A"/>
    <w:rsid w:val="002272C8"/>
    <w:rsid w:val="00231B55"/>
    <w:rsid w:val="00232245"/>
    <w:rsid w:val="002356D6"/>
    <w:rsid w:val="002369B3"/>
    <w:rsid w:val="00237B9D"/>
    <w:rsid w:val="00242142"/>
    <w:rsid w:val="00242C32"/>
    <w:rsid w:val="0024483F"/>
    <w:rsid w:val="00247CB5"/>
    <w:rsid w:val="002507EA"/>
    <w:rsid w:val="0025201A"/>
    <w:rsid w:val="00252549"/>
    <w:rsid w:val="00253737"/>
    <w:rsid w:val="00253D22"/>
    <w:rsid w:val="00254DB5"/>
    <w:rsid w:val="002570D2"/>
    <w:rsid w:val="00257E3F"/>
    <w:rsid w:val="00261BE8"/>
    <w:rsid w:val="002620E8"/>
    <w:rsid w:val="002625BC"/>
    <w:rsid w:val="0026420C"/>
    <w:rsid w:val="00267AA7"/>
    <w:rsid w:val="00270E12"/>
    <w:rsid w:val="00272161"/>
    <w:rsid w:val="002722B2"/>
    <w:rsid w:val="002733B8"/>
    <w:rsid w:val="00274300"/>
    <w:rsid w:val="002746DA"/>
    <w:rsid w:val="002749D3"/>
    <w:rsid w:val="00277380"/>
    <w:rsid w:val="0027787C"/>
    <w:rsid w:val="00277BA0"/>
    <w:rsid w:val="00277BFD"/>
    <w:rsid w:val="00277DD5"/>
    <w:rsid w:val="00277F46"/>
    <w:rsid w:val="00280EC2"/>
    <w:rsid w:val="002825A0"/>
    <w:rsid w:val="0028388C"/>
    <w:rsid w:val="002838DD"/>
    <w:rsid w:val="002857A1"/>
    <w:rsid w:val="002860C9"/>
    <w:rsid w:val="00287152"/>
    <w:rsid w:val="0029051E"/>
    <w:rsid w:val="00290A0C"/>
    <w:rsid w:val="00295357"/>
    <w:rsid w:val="00297B67"/>
    <w:rsid w:val="002A43F4"/>
    <w:rsid w:val="002A68F3"/>
    <w:rsid w:val="002B6004"/>
    <w:rsid w:val="002C0105"/>
    <w:rsid w:val="002C3455"/>
    <w:rsid w:val="002C4C38"/>
    <w:rsid w:val="002C5065"/>
    <w:rsid w:val="002C573D"/>
    <w:rsid w:val="002C738A"/>
    <w:rsid w:val="002D0B8F"/>
    <w:rsid w:val="002D232C"/>
    <w:rsid w:val="002D2674"/>
    <w:rsid w:val="002D3E6B"/>
    <w:rsid w:val="002D4BBD"/>
    <w:rsid w:val="002D779E"/>
    <w:rsid w:val="002E0A6B"/>
    <w:rsid w:val="002E0EBD"/>
    <w:rsid w:val="002E241B"/>
    <w:rsid w:val="002E2865"/>
    <w:rsid w:val="002E41DD"/>
    <w:rsid w:val="002E46D1"/>
    <w:rsid w:val="002E4736"/>
    <w:rsid w:val="002E4E75"/>
    <w:rsid w:val="002E631F"/>
    <w:rsid w:val="002E6ABA"/>
    <w:rsid w:val="002F062F"/>
    <w:rsid w:val="002F0BD5"/>
    <w:rsid w:val="002F2ECB"/>
    <w:rsid w:val="002F661B"/>
    <w:rsid w:val="002F6AFC"/>
    <w:rsid w:val="002F74D6"/>
    <w:rsid w:val="00302F15"/>
    <w:rsid w:val="00304513"/>
    <w:rsid w:val="003055D7"/>
    <w:rsid w:val="00310946"/>
    <w:rsid w:val="00310A55"/>
    <w:rsid w:val="00310C05"/>
    <w:rsid w:val="00312039"/>
    <w:rsid w:val="00313163"/>
    <w:rsid w:val="0031472D"/>
    <w:rsid w:val="003149EA"/>
    <w:rsid w:val="003177C2"/>
    <w:rsid w:val="00317A78"/>
    <w:rsid w:val="00317D0C"/>
    <w:rsid w:val="00317D8D"/>
    <w:rsid w:val="00320468"/>
    <w:rsid w:val="003209C5"/>
    <w:rsid w:val="003209F9"/>
    <w:rsid w:val="0032224E"/>
    <w:rsid w:val="003228EA"/>
    <w:rsid w:val="003232DE"/>
    <w:rsid w:val="00323C23"/>
    <w:rsid w:val="00324383"/>
    <w:rsid w:val="003269A6"/>
    <w:rsid w:val="00326DD4"/>
    <w:rsid w:val="00326DE6"/>
    <w:rsid w:val="003277B2"/>
    <w:rsid w:val="00330A07"/>
    <w:rsid w:val="0033126E"/>
    <w:rsid w:val="00331DB0"/>
    <w:rsid w:val="0033204F"/>
    <w:rsid w:val="003327A3"/>
    <w:rsid w:val="003345F4"/>
    <w:rsid w:val="00337289"/>
    <w:rsid w:val="00337C2C"/>
    <w:rsid w:val="00342C3D"/>
    <w:rsid w:val="00346440"/>
    <w:rsid w:val="003479BA"/>
    <w:rsid w:val="0035123E"/>
    <w:rsid w:val="003519A9"/>
    <w:rsid w:val="0035267F"/>
    <w:rsid w:val="00353831"/>
    <w:rsid w:val="0035399B"/>
    <w:rsid w:val="00354382"/>
    <w:rsid w:val="00354749"/>
    <w:rsid w:val="0035796B"/>
    <w:rsid w:val="003609B1"/>
    <w:rsid w:val="0036350A"/>
    <w:rsid w:val="0036389C"/>
    <w:rsid w:val="00365BDA"/>
    <w:rsid w:val="0036727F"/>
    <w:rsid w:val="00367B6A"/>
    <w:rsid w:val="00370621"/>
    <w:rsid w:val="00370E02"/>
    <w:rsid w:val="003713C2"/>
    <w:rsid w:val="0037290E"/>
    <w:rsid w:val="00374306"/>
    <w:rsid w:val="003766CE"/>
    <w:rsid w:val="003813FC"/>
    <w:rsid w:val="00385F28"/>
    <w:rsid w:val="003866B1"/>
    <w:rsid w:val="003875C5"/>
    <w:rsid w:val="00387B33"/>
    <w:rsid w:val="003902BD"/>
    <w:rsid w:val="00390887"/>
    <w:rsid w:val="00390F6B"/>
    <w:rsid w:val="00391CC3"/>
    <w:rsid w:val="00391EA6"/>
    <w:rsid w:val="00392B38"/>
    <w:rsid w:val="00394155"/>
    <w:rsid w:val="003942A0"/>
    <w:rsid w:val="00395CB7"/>
    <w:rsid w:val="003963B5"/>
    <w:rsid w:val="00397575"/>
    <w:rsid w:val="003A0E12"/>
    <w:rsid w:val="003A0F16"/>
    <w:rsid w:val="003A24DC"/>
    <w:rsid w:val="003A3B05"/>
    <w:rsid w:val="003A4948"/>
    <w:rsid w:val="003A4D65"/>
    <w:rsid w:val="003A6341"/>
    <w:rsid w:val="003B14F7"/>
    <w:rsid w:val="003B4A60"/>
    <w:rsid w:val="003B5C60"/>
    <w:rsid w:val="003B6332"/>
    <w:rsid w:val="003C1C96"/>
    <w:rsid w:val="003C3F61"/>
    <w:rsid w:val="003C6E3E"/>
    <w:rsid w:val="003D033B"/>
    <w:rsid w:val="003D0637"/>
    <w:rsid w:val="003D1FF1"/>
    <w:rsid w:val="003D23CF"/>
    <w:rsid w:val="003D389C"/>
    <w:rsid w:val="003D4077"/>
    <w:rsid w:val="003D6662"/>
    <w:rsid w:val="003E0108"/>
    <w:rsid w:val="003E0AAF"/>
    <w:rsid w:val="003E1977"/>
    <w:rsid w:val="003E578B"/>
    <w:rsid w:val="003F0351"/>
    <w:rsid w:val="003F0866"/>
    <w:rsid w:val="003F2136"/>
    <w:rsid w:val="003F2DBD"/>
    <w:rsid w:val="003F4F19"/>
    <w:rsid w:val="003F6380"/>
    <w:rsid w:val="003F63CE"/>
    <w:rsid w:val="003F7EA9"/>
    <w:rsid w:val="00401A5F"/>
    <w:rsid w:val="00401D7D"/>
    <w:rsid w:val="00406ACE"/>
    <w:rsid w:val="0041063D"/>
    <w:rsid w:val="00411617"/>
    <w:rsid w:val="004142D5"/>
    <w:rsid w:val="00414C3A"/>
    <w:rsid w:val="004168DA"/>
    <w:rsid w:val="00420AFF"/>
    <w:rsid w:val="004221E8"/>
    <w:rsid w:val="0042490D"/>
    <w:rsid w:val="004301EE"/>
    <w:rsid w:val="00430ADD"/>
    <w:rsid w:val="00433E25"/>
    <w:rsid w:val="00435601"/>
    <w:rsid w:val="0043611A"/>
    <w:rsid w:val="004425C5"/>
    <w:rsid w:val="00446139"/>
    <w:rsid w:val="00446CF0"/>
    <w:rsid w:val="00451D12"/>
    <w:rsid w:val="00452A91"/>
    <w:rsid w:val="00456619"/>
    <w:rsid w:val="00456841"/>
    <w:rsid w:val="004640BA"/>
    <w:rsid w:val="00464FC9"/>
    <w:rsid w:val="00467261"/>
    <w:rsid w:val="004721C8"/>
    <w:rsid w:val="00472C47"/>
    <w:rsid w:val="0047423D"/>
    <w:rsid w:val="004749F7"/>
    <w:rsid w:val="00475306"/>
    <w:rsid w:val="004761BC"/>
    <w:rsid w:val="00480E69"/>
    <w:rsid w:val="00490404"/>
    <w:rsid w:val="00490E81"/>
    <w:rsid w:val="00493FFC"/>
    <w:rsid w:val="0049507A"/>
    <w:rsid w:val="0049521C"/>
    <w:rsid w:val="004977CB"/>
    <w:rsid w:val="004A03D5"/>
    <w:rsid w:val="004A12F0"/>
    <w:rsid w:val="004A2219"/>
    <w:rsid w:val="004A2962"/>
    <w:rsid w:val="004A2993"/>
    <w:rsid w:val="004A42D8"/>
    <w:rsid w:val="004A458E"/>
    <w:rsid w:val="004A48D8"/>
    <w:rsid w:val="004A61DE"/>
    <w:rsid w:val="004A6426"/>
    <w:rsid w:val="004A6837"/>
    <w:rsid w:val="004A73DF"/>
    <w:rsid w:val="004B2C6F"/>
    <w:rsid w:val="004B4539"/>
    <w:rsid w:val="004B573B"/>
    <w:rsid w:val="004B5D86"/>
    <w:rsid w:val="004C0A3E"/>
    <w:rsid w:val="004C14C9"/>
    <w:rsid w:val="004C2A8F"/>
    <w:rsid w:val="004C4B33"/>
    <w:rsid w:val="004C6066"/>
    <w:rsid w:val="004C710F"/>
    <w:rsid w:val="004C725B"/>
    <w:rsid w:val="004D5A0C"/>
    <w:rsid w:val="004E206A"/>
    <w:rsid w:val="004E505D"/>
    <w:rsid w:val="004E5E2F"/>
    <w:rsid w:val="004E729F"/>
    <w:rsid w:val="004F1A04"/>
    <w:rsid w:val="004F3C8E"/>
    <w:rsid w:val="004F4817"/>
    <w:rsid w:val="004F538F"/>
    <w:rsid w:val="004F5EB3"/>
    <w:rsid w:val="005002AE"/>
    <w:rsid w:val="00502DE4"/>
    <w:rsid w:val="0050600C"/>
    <w:rsid w:val="00507199"/>
    <w:rsid w:val="0051429F"/>
    <w:rsid w:val="00514835"/>
    <w:rsid w:val="00516B48"/>
    <w:rsid w:val="00517525"/>
    <w:rsid w:val="00522DD9"/>
    <w:rsid w:val="00525C8F"/>
    <w:rsid w:val="005316F9"/>
    <w:rsid w:val="005317C5"/>
    <w:rsid w:val="00532AD2"/>
    <w:rsid w:val="00544C4F"/>
    <w:rsid w:val="0054717C"/>
    <w:rsid w:val="00550394"/>
    <w:rsid w:val="00553ABE"/>
    <w:rsid w:val="00554490"/>
    <w:rsid w:val="00554CDB"/>
    <w:rsid w:val="0055551D"/>
    <w:rsid w:val="00556CC9"/>
    <w:rsid w:val="0055716F"/>
    <w:rsid w:val="005575BC"/>
    <w:rsid w:val="0055797F"/>
    <w:rsid w:val="00560972"/>
    <w:rsid w:val="00561C5E"/>
    <w:rsid w:val="0056261A"/>
    <w:rsid w:val="00563842"/>
    <w:rsid w:val="00564F64"/>
    <w:rsid w:val="005703A3"/>
    <w:rsid w:val="005708AE"/>
    <w:rsid w:val="00572043"/>
    <w:rsid w:val="00572C95"/>
    <w:rsid w:val="005733D5"/>
    <w:rsid w:val="00576723"/>
    <w:rsid w:val="005771F4"/>
    <w:rsid w:val="00577DD0"/>
    <w:rsid w:val="00577F99"/>
    <w:rsid w:val="00581C39"/>
    <w:rsid w:val="00583B79"/>
    <w:rsid w:val="00583EAB"/>
    <w:rsid w:val="00584495"/>
    <w:rsid w:val="00585B19"/>
    <w:rsid w:val="00586ED9"/>
    <w:rsid w:val="00586EE9"/>
    <w:rsid w:val="00590196"/>
    <w:rsid w:val="00591DE4"/>
    <w:rsid w:val="005925AE"/>
    <w:rsid w:val="005925F5"/>
    <w:rsid w:val="00593681"/>
    <w:rsid w:val="00594BD6"/>
    <w:rsid w:val="00595FB1"/>
    <w:rsid w:val="005969AF"/>
    <w:rsid w:val="005972DE"/>
    <w:rsid w:val="005A174A"/>
    <w:rsid w:val="005A7169"/>
    <w:rsid w:val="005A78A2"/>
    <w:rsid w:val="005B1A53"/>
    <w:rsid w:val="005B4095"/>
    <w:rsid w:val="005B4183"/>
    <w:rsid w:val="005B593D"/>
    <w:rsid w:val="005C0BE9"/>
    <w:rsid w:val="005C3827"/>
    <w:rsid w:val="005D0B93"/>
    <w:rsid w:val="005D0D4C"/>
    <w:rsid w:val="005D0DC2"/>
    <w:rsid w:val="005D1999"/>
    <w:rsid w:val="005D4E6D"/>
    <w:rsid w:val="005D5686"/>
    <w:rsid w:val="005E0B31"/>
    <w:rsid w:val="005E1E55"/>
    <w:rsid w:val="005E4BA6"/>
    <w:rsid w:val="005E66E0"/>
    <w:rsid w:val="005E675D"/>
    <w:rsid w:val="005E7C9A"/>
    <w:rsid w:val="005E7CD1"/>
    <w:rsid w:val="005F0574"/>
    <w:rsid w:val="005F0684"/>
    <w:rsid w:val="005F1B6F"/>
    <w:rsid w:val="005F502F"/>
    <w:rsid w:val="005F56B9"/>
    <w:rsid w:val="005F58C5"/>
    <w:rsid w:val="005F7C84"/>
    <w:rsid w:val="00601A1C"/>
    <w:rsid w:val="00604D11"/>
    <w:rsid w:val="00604DBE"/>
    <w:rsid w:val="006066D7"/>
    <w:rsid w:val="00606964"/>
    <w:rsid w:val="00610815"/>
    <w:rsid w:val="00611781"/>
    <w:rsid w:val="00616DA5"/>
    <w:rsid w:val="006211D0"/>
    <w:rsid w:val="00621DCB"/>
    <w:rsid w:val="00623C00"/>
    <w:rsid w:val="00623D7C"/>
    <w:rsid w:val="00625A2E"/>
    <w:rsid w:val="00625B17"/>
    <w:rsid w:val="00626001"/>
    <w:rsid w:val="00630EEB"/>
    <w:rsid w:val="0063109A"/>
    <w:rsid w:val="00634454"/>
    <w:rsid w:val="00635507"/>
    <w:rsid w:val="00642438"/>
    <w:rsid w:val="006458EA"/>
    <w:rsid w:val="0064591D"/>
    <w:rsid w:val="0064698F"/>
    <w:rsid w:val="006469E1"/>
    <w:rsid w:val="00650D5F"/>
    <w:rsid w:val="00650E52"/>
    <w:rsid w:val="00651A29"/>
    <w:rsid w:val="006522EB"/>
    <w:rsid w:val="00656C13"/>
    <w:rsid w:val="00660E54"/>
    <w:rsid w:val="00661651"/>
    <w:rsid w:val="00664F13"/>
    <w:rsid w:val="006711DD"/>
    <w:rsid w:val="00671E19"/>
    <w:rsid w:val="00675120"/>
    <w:rsid w:val="00675A83"/>
    <w:rsid w:val="00677E4E"/>
    <w:rsid w:val="006826E2"/>
    <w:rsid w:val="00684BF9"/>
    <w:rsid w:val="00686166"/>
    <w:rsid w:val="006870EC"/>
    <w:rsid w:val="00690164"/>
    <w:rsid w:val="006938D8"/>
    <w:rsid w:val="006A0F62"/>
    <w:rsid w:val="006A1419"/>
    <w:rsid w:val="006A21BA"/>
    <w:rsid w:val="006A410B"/>
    <w:rsid w:val="006A42C9"/>
    <w:rsid w:val="006A75F9"/>
    <w:rsid w:val="006B49B4"/>
    <w:rsid w:val="006B53A3"/>
    <w:rsid w:val="006B5891"/>
    <w:rsid w:val="006B70E3"/>
    <w:rsid w:val="006B791F"/>
    <w:rsid w:val="006C14E1"/>
    <w:rsid w:val="006C240C"/>
    <w:rsid w:val="006C3FB0"/>
    <w:rsid w:val="006C4AD3"/>
    <w:rsid w:val="006C606A"/>
    <w:rsid w:val="006D0873"/>
    <w:rsid w:val="006D0CC0"/>
    <w:rsid w:val="006D2AAC"/>
    <w:rsid w:val="006D2C83"/>
    <w:rsid w:val="006E1834"/>
    <w:rsid w:val="006E3A64"/>
    <w:rsid w:val="006E43C4"/>
    <w:rsid w:val="006E573E"/>
    <w:rsid w:val="006E5966"/>
    <w:rsid w:val="006E6AFB"/>
    <w:rsid w:val="006F033F"/>
    <w:rsid w:val="006F10F0"/>
    <w:rsid w:val="0070103E"/>
    <w:rsid w:val="00701D18"/>
    <w:rsid w:val="0070240C"/>
    <w:rsid w:val="0070447E"/>
    <w:rsid w:val="00705017"/>
    <w:rsid w:val="007053B8"/>
    <w:rsid w:val="00705768"/>
    <w:rsid w:val="0070592F"/>
    <w:rsid w:val="007075CA"/>
    <w:rsid w:val="00711234"/>
    <w:rsid w:val="0071289F"/>
    <w:rsid w:val="00713030"/>
    <w:rsid w:val="007160FD"/>
    <w:rsid w:val="00721AEE"/>
    <w:rsid w:val="00721BA5"/>
    <w:rsid w:val="0072329D"/>
    <w:rsid w:val="007238A4"/>
    <w:rsid w:val="007240DF"/>
    <w:rsid w:val="007241BD"/>
    <w:rsid w:val="007255F3"/>
    <w:rsid w:val="00727E49"/>
    <w:rsid w:val="00731694"/>
    <w:rsid w:val="00732E8F"/>
    <w:rsid w:val="00734B19"/>
    <w:rsid w:val="00734D60"/>
    <w:rsid w:val="007401DA"/>
    <w:rsid w:val="00740886"/>
    <w:rsid w:val="00742C30"/>
    <w:rsid w:val="00742DBD"/>
    <w:rsid w:val="00742E10"/>
    <w:rsid w:val="00743FE9"/>
    <w:rsid w:val="0074513B"/>
    <w:rsid w:val="00751FAE"/>
    <w:rsid w:val="007522C4"/>
    <w:rsid w:val="007531FB"/>
    <w:rsid w:val="007532EB"/>
    <w:rsid w:val="00754C56"/>
    <w:rsid w:val="007562E3"/>
    <w:rsid w:val="0076083E"/>
    <w:rsid w:val="00763688"/>
    <w:rsid w:val="00763753"/>
    <w:rsid w:val="007639B0"/>
    <w:rsid w:val="00764FD1"/>
    <w:rsid w:val="00766DA6"/>
    <w:rsid w:val="007671DE"/>
    <w:rsid w:val="00773F23"/>
    <w:rsid w:val="00773FD0"/>
    <w:rsid w:val="0077709A"/>
    <w:rsid w:val="00782568"/>
    <w:rsid w:val="00782FF3"/>
    <w:rsid w:val="00784CF3"/>
    <w:rsid w:val="00786122"/>
    <w:rsid w:val="00790DE6"/>
    <w:rsid w:val="00791758"/>
    <w:rsid w:val="0079254E"/>
    <w:rsid w:val="0079537E"/>
    <w:rsid w:val="00795EBD"/>
    <w:rsid w:val="007A1A54"/>
    <w:rsid w:val="007A20FF"/>
    <w:rsid w:val="007A273C"/>
    <w:rsid w:val="007A3536"/>
    <w:rsid w:val="007A595C"/>
    <w:rsid w:val="007A7900"/>
    <w:rsid w:val="007B05F1"/>
    <w:rsid w:val="007B229C"/>
    <w:rsid w:val="007B4029"/>
    <w:rsid w:val="007C1957"/>
    <w:rsid w:val="007C2328"/>
    <w:rsid w:val="007C32C2"/>
    <w:rsid w:val="007C3D11"/>
    <w:rsid w:val="007C43D5"/>
    <w:rsid w:val="007C4640"/>
    <w:rsid w:val="007C5CFC"/>
    <w:rsid w:val="007C5F2D"/>
    <w:rsid w:val="007C6213"/>
    <w:rsid w:val="007D0C3B"/>
    <w:rsid w:val="007D2B5D"/>
    <w:rsid w:val="007D48FC"/>
    <w:rsid w:val="007D4BFD"/>
    <w:rsid w:val="007D6A51"/>
    <w:rsid w:val="007D6EEE"/>
    <w:rsid w:val="007D7A2E"/>
    <w:rsid w:val="007E0254"/>
    <w:rsid w:val="007E0B08"/>
    <w:rsid w:val="007E198F"/>
    <w:rsid w:val="007E419C"/>
    <w:rsid w:val="007E6992"/>
    <w:rsid w:val="007E74BE"/>
    <w:rsid w:val="007F011F"/>
    <w:rsid w:val="007F0317"/>
    <w:rsid w:val="007F0D37"/>
    <w:rsid w:val="007F1FCD"/>
    <w:rsid w:val="007F22DF"/>
    <w:rsid w:val="007F354E"/>
    <w:rsid w:val="007F4EC1"/>
    <w:rsid w:val="0080077C"/>
    <w:rsid w:val="0080205A"/>
    <w:rsid w:val="00804FE3"/>
    <w:rsid w:val="00807101"/>
    <w:rsid w:val="00810BA5"/>
    <w:rsid w:val="008117CB"/>
    <w:rsid w:val="00814657"/>
    <w:rsid w:val="00814AD5"/>
    <w:rsid w:val="00815A93"/>
    <w:rsid w:val="00817386"/>
    <w:rsid w:val="0082276F"/>
    <w:rsid w:val="008239E5"/>
    <w:rsid w:val="00823F1F"/>
    <w:rsid w:val="008243A9"/>
    <w:rsid w:val="008251E2"/>
    <w:rsid w:val="008310E7"/>
    <w:rsid w:val="00831724"/>
    <w:rsid w:val="00833716"/>
    <w:rsid w:val="00833D52"/>
    <w:rsid w:val="00834C1D"/>
    <w:rsid w:val="00842393"/>
    <w:rsid w:val="00843E29"/>
    <w:rsid w:val="00844B53"/>
    <w:rsid w:val="00844FC2"/>
    <w:rsid w:val="00850131"/>
    <w:rsid w:val="00851160"/>
    <w:rsid w:val="00851BC3"/>
    <w:rsid w:val="00851DC4"/>
    <w:rsid w:val="0085381B"/>
    <w:rsid w:val="00853B8C"/>
    <w:rsid w:val="00856A63"/>
    <w:rsid w:val="0085769B"/>
    <w:rsid w:val="00860899"/>
    <w:rsid w:val="00860E07"/>
    <w:rsid w:val="00865378"/>
    <w:rsid w:val="008665A7"/>
    <w:rsid w:val="008729D7"/>
    <w:rsid w:val="008745B2"/>
    <w:rsid w:val="00874BA3"/>
    <w:rsid w:val="008805F2"/>
    <w:rsid w:val="008813B0"/>
    <w:rsid w:val="00883B1D"/>
    <w:rsid w:val="00884BAD"/>
    <w:rsid w:val="008857C7"/>
    <w:rsid w:val="00885AED"/>
    <w:rsid w:val="0088762C"/>
    <w:rsid w:val="00891752"/>
    <w:rsid w:val="00891C31"/>
    <w:rsid w:val="00893B62"/>
    <w:rsid w:val="00894E2D"/>
    <w:rsid w:val="0089583E"/>
    <w:rsid w:val="00895CBC"/>
    <w:rsid w:val="008A0DD5"/>
    <w:rsid w:val="008A2FAA"/>
    <w:rsid w:val="008A3AA8"/>
    <w:rsid w:val="008A4071"/>
    <w:rsid w:val="008A4EDE"/>
    <w:rsid w:val="008B08B9"/>
    <w:rsid w:val="008B0DFB"/>
    <w:rsid w:val="008B23FB"/>
    <w:rsid w:val="008B2957"/>
    <w:rsid w:val="008B3459"/>
    <w:rsid w:val="008B38B7"/>
    <w:rsid w:val="008B44B6"/>
    <w:rsid w:val="008B45C2"/>
    <w:rsid w:val="008B5509"/>
    <w:rsid w:val="008B7616"/>
    <w:rsid w:val="008C0D03"/>
    <w:rsid w:val="008C3614"/>
    <w:rsid w:val="008C7643"/>
    <w:rsid w:val="008C780E"/>
    <w:rsid w:val="008C79AF"/>
    <w:rsid w:val="008D089D"/>
    <w:rsid w:val="008D092F"/>
    <w:rsid w:val="008D3909"/>
    <w:rsid w:val="008D4142"/>
    <w:rsid w:val="008D4424"/>
    <w:rsid w:val="008D5FE6"/>
    <w:rsid w:val="008E0A80"/>
    <w:rsid w:val="008E0D1A"/>
    <w:rsid w:val="008E1A30"/>
    <w:rsid w:val="008E25B8"/>
    <w:rsid w:val="008E377F"/>
    <w:rsid w:val="008E4BD9"/>
    <w:rsid w:val="008E56B0"/>
    <w:rsid w:val="008E6025"/>
    <w:rsid w:val="008F00B1"/>
    <w:rsid w:val="008F2A14"/>
    <w:rsid w:val="008F33F6"/>
    <w:rsid w:val="008F627D"/>
    <w:rsid w:val="00901CE5"/>
    <w:rsid w:val="00901D20"/>
    <w:rsid w:val="009037A1"/>
    <w:rsid w:val="00903A3E"/>
    <w:rsid w:val="00907009"/>
    <w:rsid w:val="00911B44"/>
    <w:rsid w:val="0091275D"/>
    <w:rsid w:val="009137F2"/>
    <w:rsid w:val="00913D22"/>
    <w:rsid w:val="00913F90"/>
    <w:rsid w:val="009163D8"/>
    <w:rsid w:val="00916416"/>
    <w:rsid w:val="00920F02"/>
    <w:rsid w:val="00921873"/>
    <w:rsid w:val="009223E9"/>
    <w:rsid w:val="00922D01"/>
    <w:rsid w:val="00925D43"/>
    <w:rsid w:val="00927143"/>
    <w:rsid w:val="00930BB8"/>
    <w:rsid w:val="00930CD7"/>
    <w:rsid w:val="00932D2D"/>
    <w:rsid w:val="00934821"/>
    <w:rsid w:val="00937B05"/>
    <w:rsid w:val="009407A6"/>
    <w:rsid w:val="00942899"/>
    <w:rsid w:val="00942DC1"/>
    <w:rsid w:val="009475EB"/>
    <w:rsid w:val="00947D27"/>
    <w:rsid w:val="00952878"/>
    <w:rsid w:val="00953D11"/>
    <w:rsid w:val="009566A2"/>
    <w:rsid w:val="0095694E"/>
    <w:rsid w:val="00957F94"/>
    <w:rsid w:val="00960431"/>
    <w:rsid w:val="00960CC2"/>
    <w:rsid w:val="00961CB3"/>
    <w:rsid w:val="00963D96"/>
    <w:rsid w:val="00964DE7"/>
    <w:rsid w:val="00965F81"/>
    <w:rsid w:val="009679CA"/>
    <w:rsid w:val="00967EC9"/>
    <w:rsid w:val="0097006C"/>
    <w:rsid w:val="009706E4"/>
    <w:rsid w:val="009737F3"/>
    <w:rsid w:val="00974CA2"/>
    <w:rsid w:val="009753E3"/>
    <w:rsid w:val="00977797"/>
    <w:rsid w:val="00981CDB"/>
    <w:rsid w:val="009829B7"/>
    <w:rsid w:val="00984E8C"/>
    <w:rsid w:val="0098538E"/>
    <w:rsid w:val="00985B84"/>
    <w:rsid w:val="00986433"/>
    <w:rsid w:val="00987EF2"/>
    <w:rsid w:val="00992117"/>
    <w:rsid w:val="00993966"/>
    <w:rsid w:val="00993F17"/>
    <w:rsid w:val="009952D4"/>
    <w:rsid w:val="00995D34"/>
    <w:rsid w:val="009A01B5"/>
    <w:rsid w:val="009A1762"/>
    <w:rsid w:val="009A1904"/>
    <w:rsid w:val="009A409A"/>
    <w:rsid w:val="009A48AB"/>
    <w:rsid w:val="009A5C63"/>
    <w:rsid w:val="009A6ED7"/>
    <w:rsid w:val="009B1321"/>
    <w:rsid w:val="009B190C"/>
    <w:rsid w:val="009B5197"/>
    <w:rsid w:val="009B5739"/>
    <w:rsid w:val="009B68A2"/>
    <w:rsid w:val="009B7859"/>
    <w:rsid w:val="009C04C9"/>
    <w:rsid w:val="009C1F1F"/>
    <w:rsid w:val="009C77A5"/>
    <w:rsid w:val="009C7ABE"/>
    <w:rsid w:val="009D1086"/>
    <w:rsid w:val="009D1C85"/>
    <w:rsid w:val="009D2010"/>
    <w:rsid w:val="009D29A4"/>
    <w:rsid w:val="009D3A94"/>
    <w:rsid w:val="009D5013"/>
    <w:rsid w:val="009E1BEA"/>
    <w:rsid w:val="009E28CE"/>
    <w:rsid w:val="009E3674"/>
    <w:rsid w:val="009E376D"/>
    <w:rsid w:val="009E68B7"/>
    <w:rsid w:val="009E6AA3"/>
    <w:rsid w:val="009F10EC"/>
    <w:rsid w:val="009F20EF"/>
    <w:rsid w:val="009F257E"/>
    <w:rsid w:val="009F2DC0"/>
    <w:rsid w:val="009F4D9C"/>
    <w:rsid w:val="00A04F3B"/>
    <w:rsid w:val="00A0529C"/>
    <w:rsid w:val="00A06C62"/>
    <w:rsid w:val="00A07EFF"/>
    <w:rsid w:val="00A07F01"/>
    <w:rsid w:val="00A133E0"/>
    <w:rsid w:val="00A14E81"/>
    <w:rsid w:val="00A16C9F"/>
    <w:rsid w:val="00A20021"/>
    <w:rsid w:val="00A20754"/>
    <w:rsid w:val="00A20BF9"/>
    <w:rsid w:val="00A2365A"/>
    <w:rsid w:val="00A238F6"/>
    <w:rsid w:val="00A25268"/>
    <w:rsid w:val="00A3167C"/>
    <w:rsid w:val="00A4018D"/>
    <w:rsid w:val="00A4153D"/>
    <w:rsid w:val="00A425A3"/>
    <w:rsid w:val="00A43989"/>
    <w:rsid w:val="00A47467"/>
    <w:rsid w:val="00A478F9"/>
    <w:rsid w:val="00A51C09"/>
    <w:rsid w:val="00A53F4E"/>
    <w:rsid w:val="00A549B1"/>
    <w:rsid w:val="00A55F44"/>
    <w:rsid w:val="00A57559"/>
    <w:rsid w:val="00A57ABF"/>
    <w:rsid w:val="00A60962"/>
    <w:rsid w:val="00A62948"/>
    <w:rsid w:val="00A64A86"/>
    <w:rsid w:val="00A651F1"/>
    <w:rsid w:val="00A655C7"/>
    <w:rsid w:val="00A66EF1"/>
    <w:rsid w:val="00A763ED"/>
    <w:rsid w:val="00A765EA"/>
    <w:rsid w:val="00A80403"/>
    <w:rsid w:val="00A81283"/>
    <w:rsid w:val="00A81B7C"/>
    <w:rsid w:val="00A81D91"/>
    <w:rsid w:val="00A8252D"/>
    <w:rsid w:val="00A83497"/>
    <w:rsid w:val="00A842DE"/>
    <w:rsid w:val="00A8430A"/>
    <w:rsid w:val="00A86FC5"/>
    <w:rsid w:val="00A93AF1"/>
    <w:rsid w:val="00A96F98"/>
    <w:rsid w:val="00A97848"/>
    <w:rsid w:val="00AA1679"/>
    <w:rsid w:val="00AA5793"/>
    <w:rsid w:val="00AA7279"/>
    <w:rsid w:val="00AB0DB5"/>
    <w:rsid w:val="00AB2E55"/>
    <w:rsid w:val="00AB41CA"/>
    <w:rsid w:val="00AC006D"/>
    <w:rsid w:val="00AC1129"/>
    <w:rsid w:val="00AC140E"/>
    <w:rsid w:val="00AC5339"/>
    <w:rsid w:val="00AC6CCF"/>
    <w:rsid w:val="00AD026D"/>
    <w:rsid w:val="00AD04FF"/>
    <w:rsid w:val="00AD7DE0"/>
    <w:rsid w:val="00AE02B8"/>
    <w:rsid w:val="00AE0C04"/>
    <w:rsid w:val="00AE21C1"/>
    <w:rsid w:val="00AE2394"/>
    <w:rsid w:val="00AE42D6"/>
    <w:rsid w:val="00AF1AF8"/>
    <w:rsid w:val="00AF2F72"/>
    <w:rsid w:val="00AF4A04"/>
    <w:rsid w:val="00AF5CAC"/>
    <w:rsid w:val="00B00A76"/>
    <w:rsid w:val="00B02819"/>
    <w:rsid w:val="00B0530B"/>
    <w:rsid w:val="00B06CFD"/>
    <w:rsid w:val="00B071E8"/>
    <w:rsid w:val="00B13F29"/>
    <w:rsid w:val="00B14AE3"/>
    <w:rsid w:val="00B1505C"/>
    <w:rsid w:val="00B152B8"/>
    <w:rsid w:val="00B15ACB"/>
    <w:rsid w:val="00B16D03"/>
    <w:rsid w:val="00B17A51"/>
    <w:rsid w:val="00B211FD"/>
    <w:rsid w:val="00B225B5"/>
    <w:rsid w:val="00B24C84"/>
    <w:rsid w:val="00B25410"/>
    <w:rsid w:val="00B2699E"/>
    <w:rsid w:val="00B3034C"/>
    <w:rsid w:val="00B3053E"/>
    <w:rsid w:val="00B31108"/>
    <w:rsid w:val="00B32314"/>
    <w:rsid w:val="00B32609"/>
    <w:rsid w:val="00B41018"/>
    <w:rsid w:val="00B411A8"/>
    <w:rsid w:val="00B43197"/>
    <w:rsid w:val="00B43594"/>
    <w:rsid w:val="00B437DC"/>
    <w:rsid w:val="00B4401B"/>
    <w:rsid w:val="00B44477"/>
    <w:rsid w:val="00B463E0"/>
    <w:rsid w:val="00B47938"/>
    <w:rsid w:val="00B54498"/>
    <w:rsid w:val="00B55EF0"/>
    <w:rsid w:val="00B60268"/>
    <w:rsid w:val="00B6213C"/>
    <w:rsid w:val="00B62CE4"/>
    <w:rsid w:val="00B64F0C"/>
    <w:rsid w:val="00B65265"/>
    <w:rsid w:val="00B660E2"/>
    <w:rsid w:val="00B70DF4"/>
    <w:rsid w:val="00B7117E"/>
    <w:rsid w:val="00B711BC"/>
    <w:rsid w:val="00B72288"/>
    <w:rsid w:val="00B75537"/>
    <w:rsid w:val="00B75F3E"/>
    <w:rsid w:val="00B7658B"/>
    <w:rsid w:val="00B77002"/>
    <w:rsid w:val="00B81FBC"/>
    <w:rsid w:val="00B82373"/>
    <w:rsid w:val="00B826F9"/>
    <w:rsid w:val="00B8365A"/>
    <w:rsid w:val="00B85623"/>
    <w:rsid w:val="00B8588F"/>
    <w:rsid w:val="00B85C73"/>
    <w:rsid w:val="00B93BCF"/>
    <w:rsid w:val="00B9556B"/>
    <w:rsid w:val="00B973AD"/>
    <w:rsid w:val="00B97CED"/>
    <w:rsid w:val="00BA0104"/>
    <w:rsid w:val="00BA0131"/>
    <w:rsid w:val="00BA13D4"/>
    <w:rsid w:val="00BA1C31"/>
    <w:rsid w:val="00BA4119"/>
    <w:rsid w:val="00BA733A"/>
    <w:rsid w:val="00BB0099"/>
    <w:rsid w:val="00BB299B"/>
    <w:rsid w:val="00BB3681"/>
    <w:rsid w:val="00BB59B6"/>
    <w:rsid w:val="00BB7E72"/>
    <w:rsid w:val="00BC2028"/>
    <w:rsid w:val="00BC3AF8"/>
    <w:rsid w:val="00BC61A2"/>
    <w:rsid w:val="00BC62F5"/>
    <w:rsid w:val="00BC672B"/>
    <w:rsid w:val="00BD0697"/>
    <w:rsid w:val="00BD09AE"/>
    <w:rsid w:val="00BD344D"/>
    <w:rsid w:val="00BD58EF"/>
    <w:rsid w:val="00BD7E52"/>
    <w:rsid w:val="00BE1BA4"/>
    <w:rsid w:val="00BE2E03"/>
    <w:rsid w:val="00BE37D8"/>
    <w:rsid w:val="00BE4B57"/>
    <w:rsid w:val="00BE59A1"/>
    <w:rsid w:val="00BE68AA"/>
    <w:rsid w:val="00BE7BBD"/>
    <w:rsid w:val="00BF2743"/>
    <w:rsid w:val="00BF2AC8"/>
    <w:rsid w:val="00BF3932"/>
    <w:rsid w:val="00BF4580"/>
    <w:rsid w:val="00C014FC"/>
    <w:rsid w:val="00C019C7"/>
    <w:rsid w:val="00C027B0"/>
    <w:rsid w:val="00C03602"/>
    <w:rsid w:val="00C07E1E"/>
    <w:rsid w:val="00C1497B"/>
    <w:rsid w:val="00C15F57"/>
    <w:rsid w:val="00C17A2F"/>
    <w:rsid w:val="00C21BBB"/>
    <w:rsid w:val="00C231BA"/>
    <w:rsid w:val="00C23A01"/>
    <w:rsid w:val="00C2421A"/>
    <w:rsid w:val="00C26967"/>
    <w:rsid w:val="00C269E2"/>
    <w:rsid w:val="00C27343"/>
    <w:rsid w:val="00C31813"/>
    <w:rsid w:val="00C32976"/>
    <w:rsid w:val="00C329FA"/>
    <w:rsid w:val="00C345A3"/>
    <w:rsid w:val="00C34B47"/>
    <w:rsid w:val="00C36186"/>
    <w:rsid w:val="00C41926"/>
    <w:rsid w:val="00C42D07"/>
    <w:rsid w:val="00C43984"/>
    <w:rsid w:val="00C45F03"/>
    <w:rsid w:val="00C4766C"/>
    <w:rsid w:val="00C47E33"/>
    <w:rsid w:val="00C517F5"/>
    <w:rsid w:val="00C539B2"/>
    <w:rsid w:val="00C54D00"/>
    <w:rsid w:val="00C57529"/>
    <w:rsid w:val="00C602EF"/>
    <w:rsid w:val="00C615B1"/>
    <w:rsid w:val="00C61FF9"/>
    <w:rsid w:val="00C6244E"/>
    <w:rsid w:val="00C646D8"/>
    <w:rsid w:val="00C648AB"/>
    <w:rsid w:val="00C650D5"/>
    <w:rsid w:val="00C65633"/>
    <w:rsid w:val="00C65F22"/>
    <w:rsid w:val="00C71893"/>
    <w:rsid w:val="00C73CDC"/>
    <w:rsid w:val="00C773F3"/>
    <w:rsid w:val="00C80696"/>
    <w:rsid w:val="00C81C0A"/>
    <w:rsid w:val="00C821CB"/>
    <w:rsid w:val="00C84E3F"/>
    <w:rsid w:val="00C87E9D"/>
    <w:rsid w:val="00C90400"/>
    <w:rsid w:val="00C93364"/>
    <w:rsid w:val="00C93C23"/>
    <w:rsid w:val="00C95B7F"/>
    <w:rsid w:val="00C96354"/>
    <w:rsid w:val="00C970A1"/>
    <w:rsid w:val="00C97DDA"/>
    <w:rsid w:val="00CA04D8"/>
    <w:rsid w:val="00CA63E9"/>
    <w:rsid w:val="00CB097C"/>
    <w:rsid w:val="00CB1EE2"/>
    <w:rsid w:val="00CB2124"/>
    <w:rsid w:val="00CB4368"/>
    <w:rsid w:val="00CB7F6A"/>
    <w:rsid w:val="00CC0FC1"/>
    <w:rsid w:val="00CC1DF7"/>
    <w:rsid w:val="00CC6862"/>
    <w:rsid w:val="00CC73B3"/>
    <w:rsid w:val="00CD0A0F"/>
    <w:rsid w:val="00CD6FEE"/>
    <w:rsid w:val="00CD76AF"/>
    <w:rsid w:val="00CE093E"/>
    <w:rsid w:val="00CE28AA"/>
    <w:rsid w:val="00CE5321"/>
    <w:rsid w:val="00CE5BF4"/>
    <w:rsid w:val="00CE5F28"/>
    <w:rsid w:val="00CE77E7"/>
    <w:rsid w:val="00CF034D"/>
    <w:rsid w:val="00CF30D4"/>
    <w:rsid w:val="00CF38F0"/>
    <w:rsid w:val="00CF49F9"/>
    <w:rsid w:val="00CF4CE7"/>
    <w:rsid w:val="00D0000F"/>
    <w:rsid w:val="00D008CE"/>
    <w:rsid w:val="00D02536"/>
    <w:rsid w:val="00D03C0C"/>
    <w:rsid w:val="00D069CC"/>
    <w:rsid w:val="00D07288"/>
    <w:rsid w:val="00D073DA"/>
    <w:rsid w:val="00D11019"/>
    <w:rsid w:val="00D112C3"/>
    <w:rsid w:val="00D121D3"/>
    <w:rsid w:val="00D1226E"/>
    <w:rsid w:val="00D12E9F"/>
    <w:rsid w:val="00D16291"/>
    <w:rsid w:val="00D207EA"/>
    <w:rsid w:val="00D208AC"/>
    <w:rsid w:val="00D2112C"/>
    <w:rsid w:val="00D25F14"/>
    <w:rsid w:val="00D276FF"/>
    <w:rsid w:val="00D27AB0"/>
    <w:rsid w:val="00D308B2"/>
    <w:rsid w:val="00D31D08"/>
    <w:rsid w:val="00D31E2E"/>
    <w:rsid w:val="00D32A29"/>
    <w:rsid w:val="00D336D8"/>
    <w:rsid w:val="00D33C0E"/>
    <w:rsid w:val="00D356D8"/>
    <w:rsid w:val="00D36106"/>
    <w:rsid w:val="00D361D2"/>
    <w:rsid w:val="00D40054"/>
    <w:rsid w:val="00D414C5"/>
    <w:rsid w:val="00D42786"/>
    <w:rsid w:val="00D45554"/>
    <w:rsid w:val="00D52217"/>
    <w:rsid w:val="00D537EE"/>
    <w:rsid w:val="00D53A16"/>
    <w:rsid w:val="00D54514"/>
    <w:rsid w:val="00D54BA5"/>
    <w:rsid w:val="00D56085"/>
    <w:rsid w:val="00D561C7"/>
    <w:rsid w:val="00D57AA5"/>
    <w:rsid w:val="00D60BD6"/>
    <w:rsid w:val="00D65454"/>
    <w:rsid w:val="00D6626F"/>
    <w:rsid w:val="00D66B22"/>
    <w:rsid w:val="00D70EED"/>
    <w:rsid w:val="00D71655"/>
    <w:rsid w:val="00D7172C"/>
    <w:rsid w:val="00D74E84"/>
    <w:rsid w:val="00D75617"/>
    <w:rsid w:val="00D75D8F"/>
    <w:rsid w:val="00D76A8B"/>
    <w:rsid w:val="00D77126"/>
    <w:rsid w:val="00D84762"/>
    <w:rsid w:val="00D865B5"/>
    <w:rsid w:val="00D9067A"/>
    <w:rsid w:val="00D94555"/>
    <w:rsid w:val="00D9648E"/>
    <w:rsid w:val="00D966C7"/>
    <w:rsid w:val="00D96EB9"/>
    <w:rsid w:val="00D96F6A"/>
    <w:rsid w:val="00D979C0"/>
    <w:rsid w:val="00DA35B0"/>
    <w:rsid w:val="00DA3C45"/>
    <w:rsid w:val="00DA5BA7"/>
    <w:rsid w:val="00DA6962"/>
    <w:rsid w:val="00DA7EA8"/>
    <w:rsid w:val="00DB00E1"/>
    <w:rsid w:val="00DB1124"/>
    <w:rsid w:val="00DB212C"/>
    <w:rsid w:val="00DB2774"/>
    <w:rsid w:val="00DB6CDA"/>
    <w:rsid w:val="00DC16C3"/>
    <w:rsid w:val="00DC2DA0"/>
    <w:rsid w:val="00DC31F6"/>
    <w:rsid w:val="00DC43D0"/>
    <w:rsid w:val="00DC4F0D"/>
    <w:rsid w:val="00DC5183"/>
    <w:rsid w:val="00DC7C14"/>
    <w:rsid w:val="00DD2096"/>
    <w:rsid w:val="00DD3483"/>
    <w:rsid w:val="00DD4183"/>
    <w:rsid w:val="00DD64EA"/>
    <w:rsid w:val="00DD678B"/>
    <w:rsid w:val="00DD7AB6"/>
    <w:rsid w:val="00DE22DC"/>
    <w:rsid w:val="00DE2CC1"/>
    <w:rsid w:val="00DE3856"/>
    <w:rsid w:val="00DE3D22"/>
    <w:rsid w:val="00DE4755"/>
    <w:rsid w:val="00DE77DC"/>
    <w:rsid w:val="00DE7B09"/>
    <w:rsid w:val="00DF5969"/>
    <w:rsid w:val="00DF63BB"/>
    <w:rsid w:val="00DF738A"/>
    <w:rsid w:val="00DF7CDB"/>
    <w:rsid w:val="00E027F6"/>
    <w:rsid w:val="00E04243"/>
    <w:rsid w:val="00E07027"/>
    <w:rsid w:val="00E070F0"/>
    <w:rsid w:val="00E11426"/>
    <w:rsid w:val="00E24664"/>
    <w:rsid w:val="00E252E4"/>
    <w:rsid w:val="00E2767E"/>
    <w:rsid w:val="00E27F61"/>
    <w:rsid w:val="00E328E2"/>
    <w:rsid w:val="00E33B95"/>
    <w:rsid w:val="00E35445"/>
    <w:rsid w:val="00E35B09"/>
    <w:rsid w:val="00E35D80"/>
    <w:rsid w:val="00E35DD7"/>
    <w:rsid w:val="00E422A1"/>
    <w:rsid w:val="00E4369A"/>
    <w:rsid w:val="00E448D9"/>
    <w:rsid w:val="00E46839"/>
    <w:rsid w:val="00E46A5B"/>
    <w:rsid w:val="00E52E2D"/>
    <w:rsid w:val="00E556DF"/>
    <w:rsid w:val="00E55B09"/>
    <w:rsid w:val="00E56CCE"/>
    <w:rsid w:val="00E60AEE"/>
    <w:rsid w:val="00E61956"/>
    <w:rsid w:val="00E61E9E"/>
    <w:rsid w:val="00E65C33"/>
    <w:rsid w:val="00E66E53"/>
    <w:rsid w:val="00E672A2"/>
    <w:rsid w:val="00E67C5A"/>
    <w:rsid w:val="00E70DD7"/>
    <w:rsid w:val="00E71993"/>
    <w:rsid w:val="00E73D04"/>
    <w:rsid w:val="00E73D06"/>
    <w:rsid w:val="00E7465E"/>
    <w:rsid w:val="00E74E46"/>
    <w:rsid w:val="00E7789B"/>
    <w:rsid w:val="00E84A26"/>
    <w:rsid w:val="00E90030"/>
    <w:rsid w:val="00E9026C"/>
    <w:rsid w:val="00E904F8"/>
    <w:rsid w:val="00E91A73"/>
    <w:rsid w:val="00E92A85"/>
    <w:rsid w:val="00E9313A"/>
    <w:rsid w:val="00E93347"/>
    <w:rsid w:val="00E938FD"/>
    <w:rsid w:val="00E9418E"/>
    <w:rsid w:val="00E94F9D"/>
    <w:rsid w:val="00E95041"/>
    <w:rsid w:val="00E96DB5"/>
    <w:rsid w:val="00EA08EF"/>
    <w:rsid w:val="00EA3FB8"/>
    <w:rsid w:val="00EA475D"/>
    <w:rsid w:val="00EA4B26"/>
    <w:rsid w:val="00EA5E60"/>
    <w:rsid w:val="00EB01C8"/>
    <w:rsid w:val="00EB03EE"/>
    <w:rsid w:val="00EB24D7"/>
    <w:rsid w:val="00EB4186"/>
    <w:rsid w:val="00EC0CFF"/>
    <w:rsid w:val="00EC1F22"/>
    <w:rsid w:val="00EC4FDE"/>
    <w:rsid w:val="00EC779A"/>
    <w:rsid w:val="00ED1487"/>
    <w:rsid w:val="00ED24B0"/>
    <w:rsid w:val="00ED5E1D"/>
    <w:rsid w:val="00ED646B"/>
    <w:rsid w:val="00ED7581"/>
    <w:rsid w:val="00EE0202"/>
    <w:rsid w:val="00EE3477"/>
    <w:rsid w:val="00EE368F"/>
    <w:rsid w:val="00EE7E38"/>
    <w:rsid w:val="00EF4039"/>
    <w:rsid w:val="00EF4505"/>
    <w:rsid w:val="00EF5E77"/>
    <w:rsid w:val="00EF6198"/>
    <w:rsid w:val="00EF648F"/>
    <w:rsid w:val="00EF7389"/>
    <w:rsid w:val="00F004F4"/>
    <w:rsid w:val="00F0104B"/>
    <w:rsid w:val="00F01DD8"/>
    <w:rsid w:val="00F03A7C"/>
    <w:rsid w:val="00F0617B"/>
    <w:rsid w:val="00F0726F"/>
    <w:rsid w:val="00F078D7"/>
    <w:rsid w:val="00F1048F"/>
    <w:rsid w:val="00F10FDB"/>
    <w:rsid w:val="00F144A6"/>
    <w:rsid w:val="00F14522"/>
    <w:rsid w:val="00F14560"/>
    <w:rsid w:val="00F24753"/>
    <w:rsid w:val="00F25729"/>
    <w:rsid w:val="00F30DC9"/>
    <w:rsid w:val="00F33248"/>
    <w:rsid w:val="00F34FC9"/>
    <w:rsid w:val="00F366B2"/>
    <w:rsid w:val="00F37182"/>
    <w:rsid w:val="00F378D2"/>
    <w:rsid w:val="00F42849"/>
    <w:rsid w:val="00F42B94"/>
    <w:rsid w:val="00F43CA5"/>
    <w:rsid w:val="00F43DED"/>
    <w:rsid w:val="00F51C11"/>
    <w:rsid w:val="00F52E62"/>
    <w:rsid w:val="00F54293"/>
    <w:rsid w:val="00F57BE6"/>
    <w:rsid w:val="00F62819"/>
    <w:rsid w:val="00F64FF6"/>
    <w:rsid w:val="00F67021"/>
    <w:rsid w:val="00F670FA"/>
    <w:rsid w:val="00F72F00"/>
    <w:rsid w:val="00F73705"/>
    <w:rsid w:val="00F761A0"/>
    <w:rsid w:val="00F77391"/>
    <w:rsid w:val="00F77727"/>
    <w:rsid w:val="00F81E63"/>
    <w:rsid w:val="00F87444"/>
    <w:rsid w:val="00F87FAC"/>
    <w:rsid w:val="00F904EA"/>
    <w:rsid w:val="00F92506"/>
    <w:rsid w:val="00F92566"/>
    <w:rsid w:val="00F93151"/>
    <w:rsid w:val="00F94050"/>
    <w:rsid w:val="00F97261"/>
    <w:rsid w:val="00F973FD"/>
    <w:rsid w:val="00FA07D1"/>
    <w:rsid w:val="00FA141D"/>
    <w:rsid w:val="00FA2609"/>
    <w:rsid w:val="00FB210A"/>
    <w:rsid w:val="00FB2824"/>
    <w:rsid w:val="00FB34A4"/>
    <w:rsid w:val="00FB4C18"/>
    <w:rsid w:val="00FB6049"/>
    <w:rsid w:val="00FC266C"/>
    <w:rsid w:val="00FC40A7"/>
    <w:rsid w:val="00FC4686"/>
    <w:rsid w:val="00FD077C"/>
    <w:rsid w:val="00FE0FC1"/>
    <w:rsid w:val="00FE24C8"/>
    <w:rsid w:val="00FE2B74"/>
    <w:rsid w:val="00FE45A4"/>
    <w:rsid w:val="00FE522D"/>
    <w:rsid w:val="00FE536A"/>
    <w:rsid w:val="00FE5FF3"/>
    <w:rsid w:val="00FE6234"/>
    <w:rsid w:val="00FE6360"/>
    <w:rsid w:val="00FE63B0"/>
    <w:rsid w:val="00FE7F4C"/>
    <w:rsid w:val="00FF2180"/>
    <w:rsid w:val="00FF3D98"/>
    <w:rsid w:val="00FF5EA5"/>
    <w:rsid w:val="00FF7F46"/>
    <w:rsid w:val="012E1C2C"/>
    <w:rsid w:val="01400C34"/>
    <w:rsid w:val="01401144"/>
    <w:rsid w:val="01514F94"/>
    <w:rsid w:val="0176597C"/>
    <w:rsid w:val="01C74429"/>
    <w:rsid w:val="022573A2"/>
    <w:rsid w:val="02524569"/>
    <w:rsid w:val="02757725"/>
    <w:rsid w:val="027D13B9"/>
    <w:rsid w:val="02836FD5"/>
    <w:rsid w:val="029C7664"/>
    <w:rsid w:val="02C0796F"/>
    <w:rsid w:val="02DF13AE"/>
    <w:rsid w:val="032C4E8C"/>
    <w:rsid w:val="03AF1619"/>
    <w:rsid w:val="044F0764"/>
    <w:rsid w:val="04DD47FE"/>
    <w:rsid w:val="04EB6681"/>
    <w:rsid w:val="052851DF"/>
    <w:rsid w:val="05434B14"/>
    <w:rsid w:val="054A19C3"/>
    <w:rsid w:val="056A3A4A"/>
    <w:rsid w:val="05832C2A"/>
    <w:rsid w:val="05924D4E"/>
    <w:rsid w:val="05C8651C"/>
    <w:rsid w:val="05DB04A3"/>
    <w:rsid w:val="05E71039"/>
    <w:rsid w:val="068848E9"/>
    <w:rsid w:val="06986594"/>
    <w:rsid w:val="069D39AB"/>
    <w:rsid w:val="06C67807"/>
    <w:rsid w:val="07434B4F"/>
    <w:rsid w:val="075D09CC"/>
    <w:rsid w:val="07E31891"/>
    <w:rsid w:val="08712E62"/>
    <w:rsid w:val="08C6543B"/>
    <w:rsid w:val="08FC70AE"/>
    <w:rsid w:val="09150170"/>
    <w:rsid w:val="092D79BE"/>
    <w:rsid w:val="095F3199"/>
    <w:rsid w:val="09C851E3"/>
    <w:rsid w:val="09DA18A6"/>
    <w:rsid w:val="0A1977EC"/>
    <w:rsid w:val="0A402FCB"/>
    <w:rsid w:val="0A460466"/>
    <w:rsid w:val="0A4E6541"/>
    <w:rsid w:val="0A521BF4"/>
    <w:rsid w:val="0A6C019B"/>
    <w:rsid w:val="0A9D1AC2"/>
    <w:rsid w:val="0ABB6AF5"/>
    <w:rsid w:val="0B293A5F"/>
    <w:rsid w:val="0B3A2110"/>
    <w:rsid w:val="0C437EE4"/>
    <w:rsid w:val="0C5114BF"/>
    <w:rsid w:val="0C685EC7"/>
    <w:rsid w:val="0C7A01DC"/>
    <w:rsid w:val="0C7A3C79"/>
    <w:rsid w:val="0C8B0C29"/>
    <w:rsid w:val="0D624460"/>
    <w:rsid w:val="0D645222"/>
    <w:rsid w:val="0D662D48"/>
    <w:rsid w:val="0D690A8B"/>
    <w:rsid w:val="0DF442BC"/>
    <w:rsid w:val="0E1A06E3"/>
    <w:rsid w:val="0E2055ED"/>
    <w:rsid w:val="0E52151F"/>
    <w:rsid w:val="0E547045"/>
    <w:rsid w:val="0E59189D"/>
    <w:rsid w:val="0E6179B4"/>
    <w:rsid w:val="0E655D57"/>
    <w:rsid w:val="0EEA32E0"/>
    <w:rsid w:val="0F276507"/>
    <w:rsid w:val="0F663740"/>
    <w:rsid w:val="0F933B9E"/>
    <w:rsid w:val="0FA67D74"/>
    <w:rsid w:val="0FAF05F5"/>
    <w:rsid w:val="0FCD6B82"/>
    <w:rsid w:val="0FD30808"/>
    <w:rsid w:val="0FD45288"/>
    <w:rsid w:val="0FD7617F"/>
    <w:rsid w:val="10156CA8"/>
    <w:rsid w:val="10331FC2"/>
    <w:rsid w:val="10991687"/>
    <w:rsid w:val="10FE773C"/>
    <w:rsid w:val="115713E8"/>
    <w:rsid w:val="1173012A"/>
    <w:rsid w:val="11E46914"/>
    <w:rsid w:val="125C6E10"/>
    <w:rsid w:val="126006AE"/>
    <w:rsid w:val="126246A3"/>
    <w:rsid w:val="126A5950"/>
    <w:rsid w:val="12C02EFB"/>
    <w:rsid w:val="12CC5073"/>
    <w:rsid w:val="1359153B"/>
    <w:rsid w:val="13E3036E"/>
    <w:rsid w:val="14171668"/>
    <w:rsid w:val="141F6347"/>
    <w:rsid w:val="14A14FAE"/>
    <w:rsid w:val="14AF3D90"/>
    <w:rsid w:val="14BC3B96"/>
    <w:rsid w:val="14C501E8"/>
    <w:rsid w:val="14EF1875"/>
    <w:rsid w:val="153674A4"/>
    <w:rsid w:val="15542020"/>
    <w:rsid w:val="155707AA"/>
    <w:rsid w:val="15746C69"/>
    <w:rsid w:val="15B56FF0"/>
    <w:rsid w:val="15C23272"/>
    <w:rsid w:val="15CE1DD3"/>
    <w:rsid w:val="160B7C2E"/>
    <w:rsid w:val="163C045B"/>
    <w:rsid w:val="16AF39B2"/>
    <w:rsid w:val="16C15797"/>
    <w:rsid w:val="16C65C69"/>
    <w:rsid w:val="16C827C1"/>
    <w:rsid w:val="17665808"/>
    <w:rsid w:val="176A0022"/>
    <w:rsid w:val="17792AE5"/>
    <w:rsid w:val="17A03013"/>
    <w:rsid w:val="17CE1649"/>
    <w:rsid w:val="17DB2585"/>
    <w:rsid w:val="18162D91"/>
    <w:rsid w:val="18383533"/>
    <w:rsid w:val="183D3240"/>
    <w:rsid w:val="185C1918"/>
    <w:rsid w:val="189C5406"/>
    <w:rsid w:val="18BA663E"/>
    <w:rsid w:val="1910269D"/>
    <w:rsid w:val="19144564"/>
    <w:rsid w:val="19197809"/>
    <w:rsid w:val="197930F0"/>
    <w:rsid w:val="19D90D46"/>
    <w:rsid w:val="1A120A17"/>
    <w:rsid w:val="1A3F34E6"/>
    <w:rsid w:val="1A562397"/>
    <w:rsid w:val="1AA41354"/>
    <w:rsid w:val="1B267FBB"/>
    <w:rsid w:val="1B2B43C6"/>
    <w:rsid w:val="1B5E7755"/>
    <w:rsid w:val="1B662AAD"/>
    <w:rsid w:val="1BFB31F6"/>
    <w:rsid w:val="1CB405CB"/>
    <w:rsid w:val="1D4C0356"/>
    <w:rsid w:val="1D886D0B"/>
    <w:rsid w:val="1E27125C"/>
    <w:rsid w:val="1E311151"/>
    <w:rsid w:val="1EA23DFC"/>
    <w:rsid w:val="1F106342"/>
    <w:rsid w:val="1F52137F"/>
    <w:rsid w:val="1F5F584A"/>
    <w:rsid w:val="1F6E53CE"/>
    <w:rsid w:val="1F7E6617"/>
    <w:rsid w:val="1FA37E2C"/>
    <w:rsid w:val="1FC644C7"/>
    <w:rsid w:val="1FD0121B"/>
    <w:rsid w:val="206536DB"/>
    <w:rsid w:val="207167BE"/>
    <w:rsid w:val="20B901F1"/>
    <w:rsid w:val="20E420DA"/>
    <w:rsid w:val="211F34E2"/>
    <w:rsid w:val="213C3B04"/>
    <w:rsid w:val="219A6D4B"/>
    <w:rsid w:val="21AD0AEE"/>
    <w:rsid w:val="21EC02FA"/>
    <w:rsid w:val="22206FE5"/>
    <w:rsid w:val="22462CF1"/>
    <w:rsid w:val="22663E50"/>
    <w:rsid w:val="22DB198C"/>
    <w:rsid w:val="230230BC"/>
    <w:rsid w:val="231D7594"/>
    <w:rsid w:val="23847554"/>
    <w:rsid w:val="23A203FB"/>
    <w:rsid w:val="23C31FB6"/>
    <w:rsid w:val="23EB3F49"/>
    <w:rsid w:val="246163AE"/>
    <w:rsid w:val="249D61A7"/>
    <w:rsid w:val="24B44889"/>
    <w:rsid w:val="24BC729A"/>
    <w:rsid w:val="24EF1480"/>
    <w:rsid w:val="252C2672"/>
    <w:rsid w:val="253B0B07"/>
    <w:rsid w:val="25636026"/>
    <w:rsid w:val="25777D91"/>
    <w:rsid w:val="25891872"/>
    <w:rsid w:val="25AE752B"/>
    <w:rsid w:val="262A64AA"/>
    <w:rsid w:val="263E65FC"/>
    <w:rsid w:val="26994747"/>
    <w:rsid w:val="26AA79A0"/>
    <w:rsid w:val="26EE6922"/>
    <w:rsid w:val="27117D71"/>
    <w:rsid w:val="273720EB"/>
    <w:rsid w:val="273D198C"/>
    <w:rsid w:val="273F4ECE"/>
    <w:rsid w:val="277F75BE"/>
    <w:rsid w:val="27870033"/>
    <w:rsid w:val="27FF7BCA"/>
    <w:rsid w:val="28445F24"/>
    <w:rsid w:val="288E0F4E"/>
    <w:rsid w:val="289D4920"/>
    <w:rsid w:val="28B163DE"/>
    <w:rsid w:val="28D23530"/>
    <w:rsid w:val="28F973C4"/>
    <w:rsid w:val="290B259E"/>
    <w:rsid w:val="290C0DE9"/>
    <w:rsid w:val="299F2EE6"/>
    <w:rsid w:val="29EF3C6E"/>
    <w:rsid w:val="2A68414C"/>
    <w:rsid w:val="2B02634F"/>
    <w:rsid w:val="2B082C47"/>
    <w:rsid w:val="2B111DFB"/>
    <w:rsid w:val="2B45623B"/>
    <w:rsid w:val="2B717030"/>
    <w:rsid w:val="2B8C5C18"/>
    <w:rsid w:val="2BF85B7E"/>
    <w:rsid w:val="2C0F23A5"/>
    <w:rsid w:val="2C1A2D58"/>
    <w:rsid w:val="2C1C00BB"/>
    <w:rsid w:val="2C2C11A9"/>
    <w:rsid w:val="2C312A5B"/>
    <w:rsid w:val="2C576226"/>
    <w:rsid w:val="2C842D93"/>
    <w:rsid w:val="2D3E5F4B"/>
    <w:rsid w:val="2D574004"/>
    <w:rsid w:val="2D5902D2"/>
    <w:rsid w:val="2D7B6970"/>
    <w:rsid w:val="2DEB3174"/>
    <w:rsid w:val="2E9574DA"/>
    <w:rsid w:val="2E976DAE"/>
    <w:rsid w:val="2EA94D33"/>
    <w:rsid w:val="2F155F25"/>
    <w:rsid w:val="2F393BE2"/>
    <w:rsid w:val="2F63276B"/>
    <w:rsid w:val="2F6A001E"/>
    <w:rsid w:val="2F7B66D0"/>
    <w:rsid w:val="2F8310E0"/>
    <w:rsid w:val="2FF47D51"/>
    <w:rsid w:val="301902AB"/>
    <w:rsid w:val="305E79C7"/>
    <w:rsid w:val="30874C00"/>
    <w:rsid w:val="30E06BCF"/>
    <w:rsid w:val="30FA7AC8"/>
    <w:rsid w:val="311C17EC"/>
    <w:rsid w:val="313905F0"/>
    <w:rsid w:val="313D2FFD"/>
    <w:rsid w:val="314E0B3F"/>
    <w:rsid w:val="315E00CE"/>
    <w:rsid w:val="31ED3189"/>
    <w:rsid w:val="32290665"/>
    <w:rsid w:val="322D761C"/>
    <w:rsid w:val="327714C1"/>
    <w:rsid w:val="327D62BB"/>
    <w:rsid w:val="32B36180"/>
    <w:rsid w:val="32FE789A"/>
    <w:rsid w:val="332C19E0"/>
    <w:rsid w:val="33354C61"/>
    <w:rsid w:val="33494FB5"/>
    <w:rsid w:val="33D22636"/>
    <w:rsid w:val="3428494C"/>
    <w:rsid w:val="34313801"/>
    <w:rsid w:val="345471B1"/>
    <w:rsid w:val="34620281"/>
    <w:rsid w:val="347A791D"/>
    <w:rsid w:val="351017B8"/>
    <w:rsid w:val="354D466A"/>
    <w:rsid w:val="35552E2C"/>
    <w:rsid w:val="35A14C6F"/>
    <w:rsid w:val="35D419DA"/>
    <w:rsid w:val="35FD0FF5"/>
    <w:rsid w:val="36614130"/>
    <w:rsid w:val="367774C5"/>
    <w:rsid w:val="36B24E99"/>
    <w:rsid w:val="36C4095C"/>
    <w:rsid w:val="370F76FD"/>
    <w:rsid w:val="37270EEB"/>
    <w:rsid w:val="37677539"/>
    <w:rsid w:val="37797999"/>
    <w:rsid w:val="378E0F6A"/>
    <w:rsid w:val="37B24C58"/>
    <w:rsid w:val="37D90551"/>
    <w:rsid w:val="380A6843"/>
    <w:rsid w:val="386D2F8D"/>
    <w:rsid w:val="38A00F55"/>
    <w:rsid w:val="38A071A7"/>
    <w:rsid w:val="38A764F8"/>
    <w:rsid w:val="38E466B3"/>
    <w:rsid w:val="395051B1"/>
    <w:rsid w:val="395D41A2"/>
    <w:rsid w:val="398E34A3"/>
    <w:rsid w:val="399457AA"/>
    <w:rsid w:val="39A16D33"/>
    <w:rsid w:val="39C173D5"/>
    <w:rsid w:val="39DF5AAD"/>
    <w:rsid w:val="3A1F5EA9"/>
    <w:rsid w:val="3A211C22"/>
    <w:rsid w:val="3A42077A"/>
    <w:rsid w:val="3A6F0BDF"/>
    <w:rsid w:val="3A726921"/>
    <w:rsid w:val="3AC727C9"/>
    <w:rsid w:val="3AD10538"/>
    <w:rsid w:val="3B585B17"/>
    <w:rsid w:val="3B760E9F"/>
    <w:rsid w:val="3BB56AC5"/>
    <w:rsid w:val="3BB840E2"/>
    <w:rsid w:val="3BD64F66"/>
    <w:rsid w:val="3BE960DF"/>
    <w:rsid w:val="3BEB91C6"/>
    <w:rsid w:val="3BFF1A64"/>
    <w:rsid w:val="3C1D0A16"/>
    <w:rsid w:val="3C2105FF"/>
    <w:rsid w:val="3C601127"/>
    <w:rsid w:val="3CCF1E09"/>
    <w:rsid w:val="3CE81E35"/>
    <w:rsid w:val="3D194F1C"/>
    <w:rsid w:val="3D457307"/>
    <w:rsid w:val="3D5F66E9"/>
    <w:rsid w:val="3D814A07"/>
    <w:rsid w:val="3DAA6BBD"/>
    <w:rsid w:val="3DAC214A"/>
    <w:rsid w:val="3E153CC6"/>
    <w:rsid w:val="3E4D4E8C"/>
    <w:rsid w:val="3E4E3201"/>
    <w:rsid w:val="3E76638E"/>
    <w:rsid w:val="3EA6028E"/>
    <w:rsid w:val="3F0D4E6A"/>
    <w:rsid w:val="3F6644B1"/>
    <w:rsid w:val="3F7722BD"/>
    <w:rsid w:val="3FCBC233"/>
    <w:rsid w:val="3FEBBCB0"/>
    <w:rsid w:val="3FFF64D9"/>
    <w:rsid w:val="40107744"/>
    <w:rsid w:val="404E3CB8"/>
    <w:rsid w:val="40556AC9"/>
    <w:rsid w:val="40730CFD"/>
    <w:rsid w:val="40CB4CC1"/>
    <w:rsid w:val="40E1210B"/>
    <w:rsid w:val="40FC3CFB"/>
    <w:rsid w:val="41313092"/>
    <w:rsid w:val="418B7E82"/>
    <w:rsid w:val="41E8409F"/>
    <w:rsid w:val="41FF0A9A"/>
    <w:rsid w:val="421F634F"/>
    <w:rsid w:val="422F4D7D"/>
    <w:rsid w:val="431C38CE"/>
    <w:rsid w:val="432F53AF"/>
    <w:rsid w:val="435968D0"/>
    <w:rsid w:val="43D22EA6"/>
    <w:rsid w:val="44224F14"/>
    <w:rsid w:val="445552E9"/>
    <w:rsid w:val="44760467"/>
    <w:rsid w:val="44775FA6"/>
    <w:rsid w:val="44827761"/>
    <w:rsid w:val="44E7252A"/>
    <w:rsid w:val="44F87A23"/>
    <w:rsid w:val="45184BE7"/>
    <w:rsid w:val="45725A27"/>
    <w:rsid w:val="459B423E"/>
    <w:rsid w:val="463F1DAD"/>
    <w:rsid w:val="465E71E2"/>
    <w:rsid w:val="46A329BF"/>
    <w:rsid w:val="46B52A48"/>
    <w:rsid w:val="470913EF"/>
    <w:rsid w:val="47217705"/>
    <w:rsid w:val="47462CC7"/>
    <w:rsid w:val="47A143A2"/>
    <w:rsid w:val="47B6488F"/>
    <w:rsid w:val="4887761A"/>
    <w:rsid w:val="48FE7EA6"/>
    <w:rsid w:val="492C1679"/>
    <w:rsid w:val="494A7626"/>
    <w:rsid w:val="495A7D97"/>
    <w:rsid w:val="4972249A"/>
    <w:rsid w:val="4A121587"/>
    <w:rsid w:val="4A435283"/>
    <w:rsid w:val="4AE253FD"/>
    <w:rsid w:val="4AFF7D5D"/>
    <w:rsid w:val="4B2E1BDB"/>
    <w:rsid w:val="4B562034"/>
    <w:rsid w:val="4BA07FCD"/>
    <w:rsid w:val="4BDA16B8"/>
    <w:rsid w:val="4C12455D"/>
    <w:rsid w:val="4C4340A1"/>
    <w:rsid w:val="4C563E14"/>
    <w:rsid w:val="4C6F6961"/>
    <w:rsid w:val="4C7B1665"/>
    <w:rsid w:val="4C924FEE"/>
    <w:rsid w:val="4C9E7102"/>
    <w:rsid w:val="4D433C01"/>
    <w:rsid w:val="4D4C4DB0"/>
    <w:rsid w:val="4DF74249"/>
    <w:rsid w:val="4DFF0074"/>
    <w:rsid w:val="4E7D2DE3"/>
    <w:rsid w:val="4E8E3F55"/>
    <w:rsid w:val="4EFE2C71"/>
    <w:rsid w:val="4F381A8F"/>
    <w:rsid w:val="50502E09"/>
    <w:rsid w:val="51022355"/>
    <w:rsid w:val="51171C09"/>
    <w:rsid w:val="51316796"/>
    <w:rsid w:val="51565AE5"/>
    <w:rsid w:val="51EB4B97"/>
    <w:rsid w:val="521950A4"/>
    <w:rsid w:val="52F21F55"/>
    <w:rsid w:val="52F25D4B"/>
    <w:rsid w:val="531463D8"/>
    <w:rsid w:val="53516408"/>
    <w:rsid w:val="53A35FB7"/>
    <w:rsid w:val="53B8319F"/>
    <w:rsid w:val="53B92FEC"/>
    <w:rsid w:val="53EC29B6"/>
    <w:rsid w:val="53ED3E94"/>
    <w:rsid w:val="53F36189"/>
    <w:rsid w:val="542E2AEA"/>
    <w:rsid w:val="544A6CFB"/>
    <w:rsid w:val="545F6D80"/>
    <w:rsid w:val="54972DB4"/>
    <w:rsid w:val="54D51B2F"/>
    <w:rsid w:val="55064017"/>
    <w:rsid w:val="55393E6B"/>
    <w:rsid w:val="55A41C2D"/>
    <w:rsid w:val="55DA4455"/>
    <w:rsid w:val="55E71B19"/>
    <w:rsid w:val="56263D60"/>
    <w:rsid w:val="5627572A"/>
    <w:rsid w:val="56390724"/>
    <w:rsid w:val="56B03EFA"/>
    <w:rsid w:val="56B75990"/>
    <w:rsid w:val="56BF6C9D"/>
    <w:rsid w:val="56CF79BB"/>
    <w:rsid w:val="56D1214F"/>
    <w:rsid w:val="56DC108D"/>
    <w:rsid w:val="57170572"/>
    <w:rsid w:val="57203535"/>
    <w:rsid w:val="573568B4"/>
    <w:rsid w:val="579161E1"/>
    <w:rsid w:val="579D4D0F"/>
    <w:rsid w:val="57A001D2"/>
    <w:rsid w:val="580C1D0B"/>
    <w:rsid w:val="586138B6"/>
    <w:rsid w:val="587055E6"/>
    <w:rsid w:val="589D2551"/>
    <w:rsid w:val="58E467E4"/>
    <w:rsid w:val="58E77090"/>
    <w:rsid w:val="58F7F96F"/>
    <w:rsid w:val="59275961"/>
    <w:rsid w:val="59412DE1"/>
    <w:rsid w:val="59461221"/>
    <w:rsid w:val="599E2E37"/>
    <w:rsid w:val="59A65848"/>
    <w:rsid w:val="59B520CD"/>
    <w:rsid w:val="5A3D7F5A"/>
    <w:rsid w:val="5A8C7682"/>
    <w:rsid w:val="5A9E2D45"/>
    <w:rsid w:val="5B15744D"/>
    <w:rsid w:val="5B81163A"/>
    <w:rsid w:val="5B920779"/>
    <w:rsid w:val="5B9C5154"/>
    <w:rsid w:val="5BB728E6"/>
    <w:rsid w:val="5BE16D47"/>
    <w:rsid w:val="5C4A7E5E"/>
    <w:rsid w:val="5D3A69D3"/>
    <w:rsid w:val="5D755C5D"/>
    <w:rsid w:val="5DB74FEB"/>
    <w:rsid w:val="5E295461"/>
    <w:rsid w:val="5E4E693A"/>
    <w:rsid w:val="5E55596E"/>
    <w:rsid w:val="5E587A58"/>
    <w:rsid w:val="5E6443B5"/>
    <w:rsid w:val="5ECE7D1A"/>
    <w:rsid w:val="5F8E327C"/>
    <w:rsid w:val="5F9C39F1"/>
    <w:rsid w:val="60024BA1"/>
    <w:rsid w:val="60150352"/>
    <w:rsid w:val="607D4083"/>
    <w:rsid w:val="608E7761"/>
    <w:rsid w:val="61330309"/>
    <w:rsid w:val="613C40F3"/>
    <w:rsid w:val="615F10FE"/>
    <w:rsid w:val="61786D68"/>
    <w:rsid w:val="619E6B26"/>
    <w:rsid w:val="61A3613F"/>
    <w:rsid w:val="61F5073C"/>
    <w:rsid w:val="62061579"/>
    <w:rsid w:val="620A1069"/>
    <w:rsid w:val="62685D90"/>
    <w:rsid w:val="628837D1"/>
    <w:rsid w:val="62975F54"/>
    <w:rsid w:val="62AF7E63"/>
    <w:rsid w:val="62BE5969"/>
    <w:rsid w:val="62D13935"/>
    <w:rsid w:val="62D3168C"/>
    <w:rsid w:val="63350368"/>
    <w:rsid w:val="635F53E5"/>
    <w:rsid w:val="639A354F"/>
    <w:rsid w:val="64090851"/>
    <w:rsid w:val="640E6778"/>
    <w:rsid w:val="641000A9"/>
    <w:rsid w:val="642F61B8"/>
    <w:rsid w:val="645E26FD"/>
    <w:rsid w:val="64654B65"/>
    <w:rsid w:val="64F27563"/>
    <w:rsid w:val="65297C01"/>
    <w:rsid w:val="65680BE6"/>
    <w:rsid w:val="65B31A18"/>
    <w:rsid w:val="66263817"/>
    <w:rsid w:val="66823770"/>
    <w:rsid w:val="66A55F62"/>
    <w:rsid w:val="66A576EF"/>
    <w:rsid w:val="66C13CC1"/>
    <w:rsid w:val="66E225B5"/>
    <w:rsid w:val="66EA3218"/>
    <w:rsid w:val="6759500B"/>
    <w:rsid w:val="6780592A"/>
    <w:rsid w:val="679B09B6"/>
    <w:rsid w:val="67AE3122"/>
    <w:rsid w:val="67C7309F"/>
    <w:rsid w:val="67D068B1"/>
    <w:rsid w:val="683F1F5E"/>
    <w:rsid w:val="68C379AA"/>
    <w:rsid w:val="68FC5484"/>
    <w:rsid w:val="694D2AE8"/>
    <w:rsid w:val="69674FF3"/>
    <w:rsid w:val="697C2BBA"/>
    <w:rsid w:val="69C02083"/>
    <w:rsid w:val="6A7E0847"/>
    <w:rsid w:val="6A8D2838"/>
    <w:rsid w:val="6A9E2C97"/>
    <w:rsid w:val="6AC82FF8"/>
    <w:rsid w:val="6B0D5727"/>
    <w:rsid w:val="6B3A165E"/>
    <w:rsid w:val="6B5E5D06"/>
    <w:rsid w:val="6BA918F3"/>
    <w:rsid w:val="6BAE515B"/>
    <w:rsid w:val="6BBF4746"/>
    <w:rsid w:val="6C9F6852"/>
    <w:rsid w:val="6CCE3F39"/>
    <w:rsid w:val="6DA5433C"/>
    <w:rsid w:val="6DA73067"/>
    <w:rsid w:val="6DB35745"/>
    <w:rsid w:val="6DD7186B"/>
    <w:rsid w:val="6E9F2B3A"/>
    <w:rsid w:val="6EDC1FE0"/>
    <w:rsid w:val="6EE53D51"/>
    <w:rsid w:val="6F520FE7"/>
    <w:rsid w:val="6F6C30F7"/>
    <w:rsid w:val="70D43EF5"/>
    <w:rsid w:val="70F463AF"/>
    <w:rsid w:val="70FB3751"/>
    <w:rsid w:val="714125CE"/>
    <w:rsid w:val="715D01A9"/>
    <w:rsid w:val="716E7255"/>
    <w:rsid w:val="71794BBE"/>
    <w:rsid w:val="7220748C"/>
    <w:rsid w:val="722717C4"/>
    <w:rsid w:val="72454484"/>
    <w:rsid w:val="724C122A"/>
    <w:rsid w:val="72CA214F"/>
    <w:rsid w:val="731117A1"/>
    <w:rsid w:val="733A1C6D"/>
    <w:rsid w:val="73A232F3"/>
    <w:rsid w:val="73C3551C"/>
    <w:rsid w:val="749173F7"/>
    <w:rsid w:val="74D379E1"/>
    <w:rsid w:val="754322AA"/>
    <w:rsid w:val="75BB7F12"/>
    <w:rsid w:val="75D03F20"/>
    <w:rsid w:val="761A3813"/>
    <w:rsid w:val="764D22F5"/>
    <w:rsid w:val="76B04176"/>
    <w:rsid w:val="76DF08BF"/>
    <w:rsid w:val="76EC4D8A"/>
    <w:rsid w:val="7704554E"/>
    <w:rsid w:val="776BD466"/>
    <w:rsid w:val="77938881"/>
    <w:rsid w:val="77BA4E88"/>
    <w:rsid w:val="77C530E4"/>
    <w:rsid w:val="77D575CC"/>
    <w:rsid w:val="77FFB9A8"/>
    <w:rsid w:val="780600CD"/>
    <w:rsid w:val="781B5927"/>
    <w:rsid w:val="78342545"/>
    <w:rsid w:val="78347044"/>
    <w:rsid w:val="7845162D"/>
    <w:rsid w:val="78B10039"/>
    <w:rsid w:val="78C87131"/>
    <w:rsid w:val="78F10436"/>
    <w:rsid w:val="79294073"/>
    <w:rsid w:val="798219D5"/>
    <w:rsid w:val="79E32474"/>
    <w:rsid w:val="79EE027B"/>
    <w:rsid w:val="7A48387A"/>
    <w:rsid w:val="7A5213A8"/>
    <w:rsid w:val="7A8552D9"/>
    <w:rsid w:val="7A960FFF"/>
    <w:rsid w:val="7AD734A6"/>
    <w:rsid w:val="7B095807"/>
    <w:rsid w:val="7B0D2885"/>
    <w:rsid w:val="7B136D89"/>
    <w:rsid w:val="7B1407E6"/>
    <w:rsid w:val="7B17114F"/>
    <w:rsid w:val="7B18473D"/>
    <w:rsid w:val="7B1B641F"/>
    <w:rsid w:val="7B650E4E"/>
    <w:rsid w:val="7BC1326E"/>
    <w:rsid w:val="7BF40809"/>
    <w:rsid w:val="7C0B180E"/>
    <w:rsid w:val="7C15672E"/>
    <w:rsid w:val="7C315D0E"/>
    <w:rsid w:val="7C3925EF"/>
    <w:rsid w:val="7C3E7E36"/>
    <w:rsid w:val="7C5E2986"/>
    <w:rsid w:val="7CC421F3"/>
    <w:rsid w:val="7CF63249"/>
    <w:rsid w:val="7D0270B5"/>
    <w:rsid w:val="7D3F20B7"/>
    <w:rsid w:val="7D8C033F"/>
    <w:rsid w:val="7DA41F1A"/>
    <w:rsid w:val="7DC94B4F"/>
    <w:rsid w:val="7DFF8966"/>
    <w:rsid w:val="7E173F7D"/>
    <w:rsid w:val="7E3F60E7"/>
    <w:rsid w:val="7E456BA8"/>
    <w:rsid w:val="7E5558E9"/>
    <w:rsid w:val="7E5E6C2D"/>
    <w:rsid w:val="7F6776A3"/>
    <w:rsid w:val="7F7FD813"/>
    <w:rsid w:val="7F82470C"/>
    <w:rsid w:val="7FBBBFB6"/>
    <w:rsid w:val="7FD14B1D"/>
    <w:rsid w:val="7FD91C23"/>
    <w:rsid w:val="7FDE764C"/>
    <w:rsid w:val="7FFD24C4"/>
    <w:rsid w:val="8F6F66FF"/>
    <w:rsid w:val="A85D1C81"/>
    <w:rsid w:val="CB7DBE4F"/>
    <w:rsid w:val="CF6B5361"/>
    <w:rsid w:val="CFFB75EE"/>
    <w:rsid w:val="D277F3C4"/>
    <w:rsid w:val="D4E7AB06"/>
    <w:rsid w:val="DAF3CD38"/>
    <w:rsid w:val="DDBD4760"/>
    <w:rsid w:val="DE90EAEC"/>
    <w:rsid w:val="EBFE3B55"/>
    <w:rsid w:val="F76E1C34"/>
    <w:rsid w:val="F8FE02EE"/>
    <w:rsid w:val="FE7ADBAD"/>
    <w:rsid w:val="FF7EF9B1"/>
    <w:rsid w:val="FFEA1AD8"/>
    <w:rsid w:val="FFFF7C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1"/>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5">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3"/>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7">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9">
    <w:name w:val="heading 8"/>
    <w:basedOn w:val="1"/>
    <w:next w:val="1"/>
    <w:link w:val="6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List Number 2"/>
    <w:basedOn w:val="1"/>
    <w:semiHidden/>
    <w:unhideWhenUsed/>
    <w:qFormat/>
    <w:uiPriority w:val="99"/>
    <w:pPr>
      <w:numPr>
        <w:ilvl w:val="0"/>
        <w:numId w:val="1"/>
      </w:numPr>
      <w:tabs>
        <w:tab w:val="left" w:pos="360"/>
        <w:tab w:val="clear" w:pos="780"/>
      </w:tabs>
      <w:ind w:left="0" w:firstLine="0"/>
    </w:pPr>
  </w:style>
  <w:style w:type="paragraph" w:styleId="13">
    <w:name w:val="List Number"/>
    <w:basedOn w:val="1"/>
    <w:link w:val="68"/>
    <w:qFormat/>
    <w:uiPriority w:val="0"/>
    <w:pPr>
      <w:tabs>
        <w:tab w:val="left" w:pos="360"/>
      </w:tabs>
      <w:spacing w:line="360" w:lineRule="auto"/>
      <w:ind w:left="360" w:hanging="360" w:hangingChars="200"/>
    </w:pPr>
    <w:rPr>
      <w:rFonts w:eastAsia="楷体_GB2312"/>
      <w:sz w:val="24"/>
    </w:rPr>
  </w:style>
  <w:style w:type="paragraph" w:styleId="14">
    <w:name w:val="Normal Indent"/>
    <w:basedOn w:val="1"/>
    <w:next w:val="1"/>
    <w:link w:val="69"/>
    <w:qFormat/>
    <w:uiPriority w:val="0"/>
    <w:pPr>
      <w:ind w:firstLine="420" w:firstLineChars="200"/>
    </w:pPr>
  </w:style>
  <w:style w:type="paragraph" w:styleId="15">
    <w:name w:val="caption"/>
    <w:basedOn w:val="1"/>
    <w:next w:val="1"/>
    <w:link w:val="70"/>
    <w:qFormat/>
    <w:uiPriority w:val="0"/>
    <w:pPr>
      <w:spacing w:before="152" w:after="160"/>
    </w:pPr>
    <w:rPr>
      <w:rFonts w:ascii="Arial" w:hAnsi="Arial" w:eastAsia="黑体" w:cs="Arial"/>
      <w:sz w:val="20"/>
      <w:szCs w:val="20"/>
    </w:rPr>
  </w:style>
  <w:style w:type="paragraph" w:styleId="16">
    <w:name w:val="Document Map"/>
    <w:basedOn w:val="1"/>
    <w:link w:val="71"/>
    <w:qFormat/>
    <w:uiPriority w:val="0"/>
    <w:rPr>
      <w:rFonts w:ascii="宋体" w:hAnsi="Calibri" w:eastAsiaTheme="minorEastAsia" w:cstheme="minorBidi"/>
      <w:sz w:val="18"/>
      <w:szCs w:val="18"/>
    </w:rPr>
  </w:style>
  <w:style w:type="paragraph" w:styleId="17">
    <w:name w:val="annotation text"/>
    <w:basedOn w:val="1"/>
    <w:link w:val="72"/>
    <w:qFormat/>
    <w:uiPriority w:val="0"/>
    <w:pPr>
      <w:jc w:val="left"/>
    </w:pPr>
    <w:rPr>
      <w:rFonts w:cs="Lucida Sans" w:asciiTheme="minorHAnsi" w:hAnsiTheme="minorHAnsi"/>
      <w:szCs w:val="22"/>
    </w:rPr>
  </w:style>
  <w:style w:type="paragraph" w:styleId="18">
    <w:name w:val="Body Text 3"/>
    <w:basedOn w:val="1"/>
    <w:link w:val="73"/>
    <w:qFormat/>
    <w:uiPriority w:val="0"/>
    <w:pPr>
      <w:spacing w:after="120"/>
    </w:pPr>
    <w:rPr>
      <w:rFonts w:asciiTheme="minorHAnsi" w:hAnsiTheme="minorHAnsi" w:eastAsiaTheme="minorEastAsia" w:cstheme="minorBidi"/>
      <w:sz w:val="16"/>
      <w:szCs w:val="16"/>
    </w:rPr>
  </w:style>
  <w:style w:type="paragraph" w:styleId="19">
    <w:name w:val="Body Text"/>
    <w:basedOn w:val="1"/>
    <w:next w:val="20"/>
    <w:link w:val="74"/>
    <w:unhideWhenUsed/>
    <w:qFormat/>
    <w:uiPriority w:val="99"/>
    <w:pPr>
      <w:spacing w:after="120"/>
    </w:pPr>
  </w:style>
  <w:style w:type="paragraph" w:styleId="20">
    <w:name w:val="Body Text First Indent"/>
    <w:basedOn w:val="19"/>
    <w:next w:val="1"/>
    <w:link w:val="90"/>
    <w:unhideWhenUsed/>
    <w:qFormat/>
    <w:uiPriority w:val="99"/>
    <w:pPr>
      <w:keepNext w:val="0"/>
      <w:keepLines w:val="0"/>
      <w:widowControl w:val="0"/>
      <w:suppressLineNumbers w:val="0"/>
      <w:spacing w:before="0" w:beforeAutospacing="0" w:after="0" w:afterAutospacing="0" w:line="360" w:lineRule="exact"/>
      <w:ind w:left="0" w:right="0" w:firstLine="420"/>
      <w:jc w:val="both"/>
    </w:pPr>
    <w:rPr>
      <w:rFonts w:hint="default" w:ascii="Times New Roman" w:hAnsi="Calibri" w:eastAsia="宋体" w:cs="Times New Roman"/>
      <w:kern w:val="2"/>
      <w:sz w:val="21"/>
      <w:szCs w:val="21"/>
      <w:lang w:val="en-US" w:eastAsia="zh-CN" w:bidi="ar"/>
    </w:rPr>
  </w:style>
  <w:style w:type="paragraph" w:styleId="21">
    <w:name w:val="Body Text Indent"/>
    <w:basedOn w:val="1"/>
    <w:link w:val="58"/>
    <w:qFormat/>
    <w:uiPriority w:val="0"/>
    <w:pPr>
      <w:spacing w:line="480" w:lineRule="atLeast"/>
      <w:ind w:firstLine="570"/>
    </w:pPr>
    <w:rPr>
      <w:rFonts w:ascii="??" w:hAnsi="??" w:eastAsia="??" w:cs="宋体"/>
      <w:sz w:val="28"/>
      <w:szCs w:val="28"/>
    </w:rPr>
  </w:style>
  <w:style w:type="paragraph" w:styleId="22">
    <w:name w:val="List 2"/>
    <w:basedOn w:val="1"/>
    <w:unhideWhenUsed/>
    <w:qFormat/>
    <w:uiPriority w:val="0"/>
    <w:pPr>
      <w:ind w:left="100" w:leftChars="200" w:hanging="200" w:hangingChars="200"/>
      <w:contextualSpacing/>
    </w:pPr>
  </w:style>
  <w:style w:type="paragraph" w:styleId="2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4">
    <w:name w:val="toc 5"/>
    <w:basedOn w:val="1"/>
    <w:next w:val="1"/>
    <w:qFormat/>
    <w:uiPriority w:val="0"/>
    <w:pPr>
      <w:ind w:left="840"/>
      <w:jc w:val="left"/>
    </w:pPr>
    <w:rPr>
      <w:rFonts w:ascii="Times New Roman" w:hAnsi="Times New Roman"/>
      <w:sz w:val="18"/>
      <w:szCs w:val="18"/>
    </w:rPr>
  </w:style>
  <w:style w:type="paragraph" w:styleId="25">
    <w:name w:val="toc 3"/>
    <w:basedOn w:val="1"/>
    <w:next w:val="1"/>
    <w:link w:val="75"/>
    <w:qFormat/>
    <w:uiPriority w:val="39"/>
    <w:pPr>
      <w:tabs>
        <w:tab w:val="left" w:pos="1440"/>
        <w:tab w:val="right" w:leader="dot" w:pos="8302"/>
      </w:tabs>
      <w:ind w:left="718" w:leftChars="342" w:firstLine="120" w:firstLineChars="60"/>
    </w:pPr>
    <w:rPr>
      <w:rFonts w:ascii="Arial" w:hAnsi="Arial"/>
      <w:smallCaps/>
      <w:sz w:val="20"/>
    </w:rPr>
  </w:style>
  <w:style w:type="paragraph" w:styleId="26">
    <w:name w:val="Plain Text"/>
    <w:basedOn w:val="1"/>
    <w:link w:val="77"/>
    <w:qFormat/>
    <w:uiPriority w:val="0"/>
    <w:rPr>
      <w:rFonts w:ascii="??" w:hAnsi="??" w:eastAsia="??" w:cs="宋体"/>
      <w:szCs w:val="21"/>
    </w:rPr>
  </w:style>
  <w:style w:type="paragraph" w:styleId="27">
    <w:name w:val="toc 8"/>
    <w:basedOn w:val="1"/>
    <w:next w:val="1"/>
    <w:unhideWhenUsed/>
    <w:qFormat/>
    <w:uiPriority w:val="39"/>
    <w:pPr>
      <w:ind w:left="2940" w:leftChars="1400"/>
    </w:pPr>
  </w:style>
  <w:style w:type="paragraph" w:styleId="28">
    <w:name w:val="Date"/>
    <w:basedOn w:val="1"/>
    <w:next w:val="1"/>
    <w:link w:val="76"/>
    <w:unhideWhenUsed/>
    <w:qFormat/>
    <w:uiPriority w:val="0"/>
    <w:pPr>
      <w:ind w:left="100" w:leftChars="2500"/>
    </w:pPr>
  </w:style>
  <w:style w:type="paragraph" w:styleId="29">
    <w:name w:val="Body Text Indent 2"/>
    <w:basedOn w:val="1"/>
    <w:link w:val="78"/>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0">
    <w:name w:val="Balloon Text"/>
    <w:basedOn w:val="1"/>
    <w:link w:val="79"/>
    <w:unhideWhenUsed/>
    <w:qFormat/>
    <w:uiPriority w:val="0"/>
    <w:rPr>
      <w:sz w:val="18"/>
      <w:szCs w:val="18"/>
    </w:rPr>
  </w:style>
  <w:style w:type="paragraph" w:styleId="31">
    <w:name w:val="footer"/>
    <w:basedOn w:val="1"/>
    <w:link w:val="80"/>
    <w:unhideWhenUsed/>
    <w:qFormat/>
    <w:uiPriority w:val="99"/>
    <w:pPr>
      <w:tabs>
        <w:tab w:val="center" w:pos="4153"/>
        <w:tab w:val="right" w:pos="8306"/>
      </w:tabs>
      <w:snapToGrid w:val="0"/>
      <w:jc w:val="left"/>
    </w:pPr>
    <w:rPr>
      <w:sz w:val="18"/>
      <w:szCs w:val="18"/>
    </w:rPr>
  </w:style>
  <w:style w:type="paragraph" w:styleId="3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4">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5">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rFonts w:ascii="Times New Roman" w:hAnsi="Times New Roman"/>
      <w:sz w:val="28"/>
    </w:rPr>
  </w:style>
  <w:style w:type="paragraph" w:styleId="37">
    <w:name w:val="footnote text"/>
    <w:basedOn w:val="1"/>
    <w:link w:val="83"/>
    <w:qFormat/>
    <w:uiPriority w:val="0"/>
    <w:pPr>
      <w:snapToGrid w:val="0"/>
      <w:jc w:val="left"/>
    </w:pPr>
    <w:rPr>
      <w:rFonts w:ascii="Times New Roman" w:hAnsi="Times New Roman" w:eastAsia="仿宋_GB2312"/>
      <w:sz w:val="18"/>
      <w:szCs w:val="20"/>
    </w:rPr>
  </w:style>
  <w:style w:type="paragraph" w:styleId="38">
    <w:name w:val="toc 6"/>
    <w:basedOn w:val="1"/>
    <w:next w:val="1"/>
    <w:unhideWhenUsed/>
    <w:qFormat/>
    <w:uiPriority w:val="39"/>
    <w:pPr>
      <w:ind w:left="2100" w:leftChars="1000"/>
    </w:pPr>
  </w:style>
  <w:style w:type="paragraph" w:styleId="39">
    <w:name w:val="Body Text Indent 3"/>
    <w:basedOn w:val="1"/>
    <w:link w:val="84"/>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5"/>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next w:val="40"/>
    <w:link w:val="87"/>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7"/>
    <w:next w:val="17"/>
    <w:link w:val="89"/>
    <w:qFormat/>
    <w:uiPriority w:val="0"/>
    <w:rPr>
      <w:rFonts w:ascii="Times New Roman" w:hAnsi="Times New Roman" w:cs="Times New Roman"/>
      <w:b/>
      <w:bCs/>
      <w:szCs w:val="24"/>
    </w:rPr>
  </w:style>
  <w:style w:type="paragraph" w:styleId="46">
    <w:name w:val="Body Text First Indent 2"/>
    <w:basedOn w:val="21"/>
    <w:next w:val="1"/>
    <w:link w:val="91"/>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正文文本缩进 Char"/>
    <w:basedOn w:val="49"/>
    <w:link w:val="21"/>
    <w:qFormat/>
    <w:uiPriority w:val="0"/>
    <w:rPr>
      <w:rFonts w:ascii="??" w:hAnsi="??" w:eastAsia="??" w:cs="宋体"/>
      <w:sz w:val="28"/>
      <w:szCs w:val="28"/>
    </w:rPr>
  </w:style>
  <w:style w:type="character" w:customStyle="1" w:styleId="59">
    <w:name w:val="标题 1 Char"/>
    <w:basedOn w:val="49"/>
    <w:link w:val="2"/>
    <w:qFormat/>
    <w:uiPriority w:val="0"/>
    <w:rPr>
      <w:rFonts w:ascii="等线" w:hAnsi="等线" w:eastAsia="宋体" w:cs="Times New Roman"/>
      <w:b/>
      <w:bCs/>
      <w:kern w:val="44"/>
      <w:sz w:val="44"/>
      <w:szCs w:val="44"/>
    </w:rPr>
  </w:style>
  <w:style w:type="character" w:customStyle="1" w:styleId="60">
    <w:name w:val="标题 2 Char"/>
    <w:basedOn w:val="49"/>
    <w:link w:val="3"/>
    <w:qFormat/>
    <w:uiPriority w:val="8"/>
    <w:rPr>
      <w:rFonts w:asciiTheme="majorHAnsi" w:hAnsiTheme="majorHAnsi" w:eastAsiaTheme="majorEastAsia" w:cstheme="majorBidi"/>
      <w:b/>
      <w:bCs/>
      <w:sz w:val="32"/>
      <w:szCs w:val="32"/>
    </w:rPr>
  </w:style>
  <w:style w:type="character" w:customStyle="1" w:styleId="61">
    <w:name w:val="标题 3 Char"/>
    <w:basedOn w:val="49"/>
    <w:link w:val="4"/>
    <w:qFormat/>
    <w:uiPriority w:val="0"/>
    <w:rPr>
      <w:rFonts w:ascii="Times New Roman" w:hAnsi="Times New Roman" w:eastAsia="??" w:cs="Times New Roman"/>
      <w:b/>
      <w:kern w:val="0"/>
      <w:sz w:val="32"/>
      <w:szCs w:val="28"/>
    </w:rPr>
  </w:style>
  <w:style w:type="character" w:customStyle="1" w:styleId="62">
    <w:name w:val="标题 4 Char"/>
    <w:basedOn w:val="49"/>
    <w:link w:val="5"/>
    <w:qFormat/>
    <w:uiPriority w:val="0"/>
    <w:rPr>
      <w:rFonts w:ascii="Cambria" w:hAnsi="Cambria" w:eastAsia="宋体" w:cs="Times New Roman"/>
      <w:b/>
      <w:bCs/>
      <w:sz w:val="28"/>
      <w:szCs w:val="28"/>
    </w:rPr>
  </w:style>
  <w:style w:type="character" w:customStyle="1" w:styleId="63">
    <w:name w:val="标题 5 Char"/>
    <w:basedOn w:val="49"/>
    <w:link w:val="6"/>
    <w:qFormat/>
    <w:uiPriority w:val="0"/>
    <w:rPr>
      <w:rFonts w:ascii="Times New Roman" w:hAnsi="Times New Roman" w:eastAsia="宋体" w:cs="Times New Roman"/>
      <w:b/>
      <w:bCs/>
      <w:kern w:val="0"/>
      <w:sz w:val="28"/>
      <w:szCs w:val="28"/>
    </w:rPr>
  </w:style>
  <w:style w:type="character" w:customStyle="1" w:styleId="64">
    <w:name w:val="标题 6 Char"/>
    <w:basedOn w:val="49"/>
    <w:link w:val="7"/>
    <w:qFormat/>
    <w:uiPriority w:val="0"/>
    <w:rPr>
      <w:rFonts w:ascii="Arial" w:hAnsi="Arial" w:eastAsia="黑体" w:cs="Times New Roman"/>
      <w:b/>
      <w:bCs/>
      <w:kern w:val="0"/>
      <w:sz w:val="24"/>
      <w:szCs w:val="24"/>
    </w:rPr>
  </w:style>
  <w:style w:type="character" w:customStyle="1" w:styleId="65">
    <w:name w:val="标题 7 Char"/>
    <w:basedOn w:val="49"/>
    <w:link w:val="8"/>
    <w:qFormat/>
    <w:uiPriority w:val="0"/>
    <w:rPr>
      <w:rFonts w:ascii="Times New Roman" w:hAnsi="Times New Roman" w:eastAsia="宋体" w:cs="Times New Roman"/>
      <w:b/>
      <w:bCs/>
      <w:kern w:val="0"/>
      <w:sz w:val="24"/>
      <w:szCs w:val="24"/>
    </w:rPr>
  </w:style>
  <w:style w:type="character" w:customStyle="1" w:styleId="66">
    <w:name w:val="标题 8 Char"/>
    <w:basedOn w:val="49"/>
    <w:link w:val="9"/>
    <w:qFormat/>
    <w:uiPriority w:val="0"/>
    <w:rPr>
      <w:rFonts w:ascii="Arial" w:hAnsi="Arial" w:eastAsia="黑体" w:cs="Times New Roman"/>
      <w:kern w:val="0"/>
      <w:sz w:val="24"/>
      <w:szCs w:val="24"/>
    </w:rPr>
  </w:style>
  <w:style w:type="character" w:customStyle="1" w:styleId="67">
    <w:name w:val="标题 9 Char"/>
    <w:basedOn w:val="49"/>
    <w:link w:val="10"/>
    <w:qFormat/>
    <w:uiPriority w:val="0"/>
    <w:rPr>
      <w:rFonts w:ascii="Arial" w:hAnsi="Arial" w:eastAsia="黑体" w:cs="Times New Roman"/>
      <w:kern w:val="0"/>
      <w:szCs w:val="21"/>
    </w:rPr>
  </w:style>
  <w:style w:type="character" w:customStyle="1" w:styleId="68">
    <w:name w:val="列表编号 Char"/>
    <w:link w:val="13"/>
    <w:qFormat/>
    <w:uiPriority w:val="0"/>
    <w:rPr>
      <w:rFonts w:ascii="等线" w:hAnsi="等线" w:eastAsia="楷体_GB2312" w:cs="Times New Roman"/>
      <w:sz w:val="24"/>
      <w:szCs w:val="24"/>
    </w:rPr>
  </w:style>
  <w:style w:type="character" w:customStyle="1" w:styleId="69">
    <w:name w:val="正文缩进 Char"/>
    <w:link w:val="14"/>
    <w:qFormat/>
    <w:uiPriority w:val="0"/>
    <w:rPr>
      <w:rFonts w:ascii="等线" w:hAnsi="等线" w:eastAsia="宋体" w:cs="Times New Roman"/>
      <w:szCs w:val="24"/>
    </w:rPr>
  </w:style>
  <w:style w:type="character" w:customStyle="1" w:styleId="70">
    <w:name w:val="题注 Char"/>
    <w:link w:val="15"/>
    <w:qFormat/>
    <w:uiPriority w:val="0"/>
    <w:rPr>
      <w:rFonts w:ascii="Arial" w:hAnsi="Arial" w:eastAsia="黑体" w:cs="Arial"/>
      <w:kern w:val="2"/>
    </w:rPr>
  </w:style>
  <w:style w:type="character" w:customStyle="1" w:styleId="71">
    <w:name w:val="文档结构图 Char2"/>
    <w:basedOn w:val="49"/>
    <w:link w:val="16"/>
    <w:qFormat/>
    <w:uiPriority w:val="0"/>
    <w:rPr>
      <w:rFonts w:ascii="宋体" w:hAnsi="Calibri"/>
      <w:sz w:val="18"/>
      <w:szCs w:val="18"/>
    </w:rPr>
  </w:style>
  <w:style w:type="character" w:customStyle="1" w:styleId="72">
    <w:name w:val="批注文字 Char"/>
    <w:basedOn w:val="49"/>
    <w:link w:val="17"/>
    <w:qFormat/>
    <w:uiPriority w:val="0"/>
    <w:rPr>
      <w:rFonts w:eastAsia="宋体" w:cs="Lucida Sans"/>
    </w:rPr>
  </w:style>
  <w:style w:type="character" w:customStyle="1" w:styleId="73">
    <w:name w:val="正文文本 3 Char1"/>
    <w:basedOn w:val="49"/>
    <w:link w:val="18"/>
    <w:qFormat/>
    <w:uiPriority w:val="0"/>
    <w:rPr>
      <w:sz w:val="16"/>
      <w:szCs w:val="16"/>
    </w:rPr>
  </w:style>
  <w:style w:type="character" w:customStyle="1" w:styleId="74">
    <w:name w:val="正文文本 Char"/>
    <w:basedOn w:val="49"/>
    <w:link w:val="19"/>
    <w:qFormat/>
    <w:uiPriority w:val="0"/>
    <w:rPr>
      <w:rFonts w:ascii="等线" w:hAnsi="等线" w:eastAsia="宋体" w:cs="Times New Roman"/>
      <w:szCs w:val="24"/>
    </w:rPr>
  </w:style>
  <w:style w:type="character" w:customStyle="1" w:styleId="75">
    <w:name w:val="目录 3 Char"/>
    <w:link w:val="25"/>
    <w:qFormat/>
    <w:uiPriority w:val="39"/>
    <w:rPr>
      <w:rFonts w:ascii="Arial" w:hAnsi="Arial" w:eastAsia="宋体" w:cs="Times New Roman"/>
      <w:smallCaps/>
      <w:kern w:val="2"/>
      <w:szCs w:val="24"/>
    </w:rPr>
  </w:style>
  <w:style w:type="character" w:customStyle="1" w:styleId="76">
    <w:name w:val="日期 Char"/>
    <w:basedOn w:val="49"/>
    <w:link w:val="28"/>
    <w:qFormat/>
    <w:uiPriority w:val="0"/>
    <w:rPr>
      <w:rFonts w:ascii="等线" w:hAnsi="等线" w:eastAsia="宋体" w:cs="Times New Roman"/>
      <w:szCs w:val="24"/>
    </w:rPr>
  </w:style>
  <w:style w:type="character" w:customStyle="1" w:styleId="77">
    <w:name w:val="纯文本 Char1"/>
    <w:link w:val="26"/>
    <w:qFormat/>
    <w:uiPriority w:val="0"/>
    <w:rPr>
      <w:rFonts w:ascii="??" w:hAnsi="??" w:eastAsia="??" w:cs="宋体"/>
      <w:szCs w:val="21"/>
    </w:rPr>
  </w:style>
  <w:style w:type="character" w:customStyle="1" w:styleId="78">
    <w:name w:val="正文文本缩进 2 Char1"/>
    <w:basedOn w:val="49"/>
    <w:link w:val="29"/>
    <w:qFormat/>
    <w:uiPriority w:val="0"/>
    <w:rPr>
      <w:rFonts w:ascii="宋体"/>
      <w:color w:val="000000"/>
      <w:kern w:val="0"/>
      <w:sz w:val="24"/>
      <w:szCs w:val="20"/>
    </w:rPr>
  </w:style>
  <w:style w:type="character" w:customStyle="1" w:styleId="79">
    <w:name w:val="批注框文本 Char"/>
    <w:basedOn w:val="49"/>
    <w:link w:val="30"/>
    <w:qFormat/>
    <w:uiPriority w:val="99"/>
    <w:rPr>
      <w:rFonts w:ascii="等线" w:hAnsi="等线" w:eastAsia="宋体" w:cs="Times New Roman"/>
      <w:sz w:val="18"/>
      <w:szCs w:val="18"/>
    </w:rPr>
  </w:style>
  <w:style w:type="character" w:customStyle="1" w:styleId="80">
    <w:name w:val="页脚 Char"/>
    <w:basedOn w:val="49"/>
    <w:link w:val="31"/>
    <w:qFormat/>
    <w:uiPriority w:val="0"/>
    <w:rPr>
      <w:sz w:val="18"/>
      <w:szCs w:val="18"/>
    </w:rPr>
  </w:style>
  <w:style w:type="character" w:customStyle="1" w:styleId="81">
    <w:name w:val="页眉 Char"/>
    <w:basedOn w:val="49"/>
    <w:link w:val="32"/>
    <w:qFormat/>
    <w:uiPriority w:val="0"/>
    <w:rPr>
      <w:sz w:val="18"/>
      <w:szCs w:val="18"/>
    </w:rPr>
  </w:style>
  <w:style w:type="character" w:customStyle="1" w:styleId="82">
    <w:name w:val="副标题 Char"/>
    <w:basedOn w:val="49"/>
    <w:link w:val="35"/>
    <w:qFormat/>
    <w:uiPriority w:val="0"/>
    <w:rPr>
      <w:rFonts w:ascii="Cambria" w:hAnsi="Cambria" w:eastAsia="宋体" w:cs="Times New Roman"/>
      <w:b/>
      <w:bCs/>
      <w:kern w:val="28"/>
      <w:sz w:val="32"/>
      <w:szCs w:val="32"/>
    </w:rPr>
  </w:style>
  <w:style w:type="character" w:customStyle="1" w:styleId="83">
    <w:name w:val="脚注文本 Char"/>
    <w:basedOn w:val="49"/>
    <w:link w:val="37"/>
    <w:qFormat/>
    <w:uiPriority w:val="0"/>
    <w:rPr>
      <w:rFonts w:ascii="Times New Roman" w:hAnsi="Times New Roman" w:eastAsia="仿宋_GB2312" w:cs="Times New Roman"/>
      <w:sz w:val="18"/>
      <w:szCs w:val="20"/>
    </w:rPr>
  </w:style>
  <w:style w:type="character" w:customStyle="1" w:styleId="84">
    <w:name w:val="正文文本缩进 3 Char1"/>
    <w:basedOn w:val="49"/>
    <w:link w:val="39"/>
    <w:qFormat/>
    <w:uiPriority w:val="0"/>
    <w:rPr>
      <w:rFonts w:ascii="宋体"/>
      <w:b/>
      <w:color w:val="000000"/>
      <w:kern w:val="0"/>
      <w:sz w:val="36"/>
      <w:szCs w:val="24"/>
    </w:rPr>
  </w:style>
  <w:style w:type="character" w:customStyle="1" w:styleId="85">
    <w:name w:val="正文文本 2 Char1"/>
    <w:basedOn w:val="49"/>
    <w:link w:val="41"/>
    <w:qFormat/>
    <w:uiPriority w:val="0"/>
    <w:rPr>
      <w:rFonts w:ascii="宋体"/>
      <w:color w:val="000000"/>
      <w:kern w:val="0"/>
      <w:sz w:val="24"/>
      <w:szCs w:val="24"/>
    </w:rPr>
  </w:style>
  <w:style w:type="character" w:customStyle="1" w:styleId="86">
    <w:name w:val="HTML 预设格式 Char"/>
    <w:basedOn w:val="49"/>
    <w:link w:val="42"/>
    <w:qFormat/>
    <w:uiPriority w:val="0"/>
    <w:rPr>
      <w:rFonts w:ascii="宋体" w:hAnsi="宋体" w:eastAsia="宋体" w:cs="宋体"/>
      <w:kern w:val="0"/>
      <w:sz w:val="24"/>
      <w:szCs w:val="24"/>
    </w:rPr>
  </w:style>
  <w:style w:type="character" w:customStyle="1" w:styleId="87">
    <w:name w:val="普通(网站) Char"/>
    <w:link w:val="43"/>
    <w:qFormat/>
    <w:uiPriority w:val="99"/>
    <w:rPr>
      <w:rFonts w:ascii="??" w:hAnsi="??" w:eastAsia="??" w:cs="宋体"/>
      <w:sz w:val="24"/>
      <w:szCs w:val="24"/>
    </w:rPr>
  </w:style>
  <w:style w:type="character" w:customStyle="1" w:styleId="88">
    <w:name w:val="标题 Char"/>
    <w:basedOn w:val="49"/>
    <w:qFormat/>
    <w:uiPriority w:val="10"/>
    <w:rPr>
      <w:rFonts w:eastAsia="宋体" w:asciiTheme="majorHAnsi" w:hAnsiTheme="majorHAnsi" w:cstheme="majorBidi"/>
      <w:b/>
      <w:bCs/>
      <w:sz w:val="36"/>
      <w:szCs w:val="32"/>
    </w:rPr>
  </w:style>
  <w:style w:type="character" w:customStyle="1" w:styleId="89">
    <w:name w:val="批注主题 Char"/>
    <w:basedOn w:val="72"/>
    <w:link w:val="45"/>
    <w:qFormat/>
    <w:uiPriority w:val="0"/>
    <w:rPr>
      <w:rFonts w:ascii="Times New Roman" w:hAnsi="Times New Roman" w:eastAsia="宋体" w:cs="Times New Roman"/>
      <w:b/>
      <w:bCs/>
      <w:szCs w:val="24"/>
    </w:rPr>
  </w:style>
  <w:style w:type="character" w:customStyle="1" w:styleId="90">
    <w:name w:val="正文首行缩进 Char"/>
    <w:basedOn w:val="74"/>
    <w:link w:val="20"/>
    <w:qFormat/>
    <w:uiPriority w:val="99"/>
    <w:rPr>
      <w:rFonts w:ascii="等线" w:hAnsi="等线" w:eastAsia="宋体" w:cs="Times New Roman"/>
      <w:szCs w:val="24"/>
    </w:rPr>
  </w:style>
  <w:style w:type="character" w:customStyle="1" w:styleId="91">
    <w:name w:val="正文首行缩进 2 Char"/>
    <w:basedOn w:val="58"/>
    <w:link w:val="46"/>
    <w:qFormat/>
    <w:uiPriority w:val="0"/>
    <w:rPr>
      <w:rFonts w:ascii="等线" w:hAnsi="等线" w:eastAsia="宋体" w:cs="Times New Roman"/>
      <w:sz w:val="28"/>
      <w:szCs w:val="24"/>
    </w:rPr>
  </w:style>
  <w:style w:type="character" w:customStyle="1" w:styleId="92">
    <w:name w:val="纯文本 Char"/>
    <w:basedOn w:val="49"/>
    <w:qFormat/>
    <w:uiPriority w:val="0"/>
    <w:rPr>
      <w:rFonts w:ascii="宋体" w:hAnsi="Courier New" w:eastAsia="宋体" w:cs="Courier New"/>
      <w:szCs w:val="21"/>
    </w:rPr>
  </w:style>
  <w:style w:type="character" w:customStyle="1" w:styleId="93">
    <w:name w:val="*正文 Char"/>
    <w:link w:val="94"/>
    <w:qFormat/>
    <w:uiPriority w:val="0"/>
    <w:rPr>
      <w:rFonts w:ascii="宋体" w:hAnsi="宋体"/>
      <w:sz w:val="22"/>
    </w:rPr>
  </w:style>
  <w:style w:type="paragraph" w:customStyle="1" w:styleId="94">
    <w:name w:val="*正文"/>
    <w:basedOn w:val="1"/>
    <w:link w:val="93"/>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5">
    <w:name w:val="表格用"/>
    <w:basedOn w:val="1"/>
    <w:qFormat/>
    <w:uiPriority w:val="0"/>
    <w:rPr>
      <w:kern w:val="0"/>
    </w:rPr>
  </w:style>
  <w:style w:type="character" w:customStyle="1" w:styleId="96">
    <w:name w:val="文档结构图 Char"/>
    <w:basedOn w:val="49"/>
    <w:qFormat/>
    <w:uiPriority w:val="0"/>
    <w:rPr>
      <w:rFonts w:ascii="宋体" w:hAnsi="等线" w:eastAsia="宋体" w:cs="Times New Roman"/>
      <w:sz w:val="18"/>
      <w:szCs w:val="18"/>
    </w:rPr>
  </w:style>
  <w:style w:type="character" w:customStyle="1" w:styleId="97">
    <w:name w:val="正文文本 3 Char"/>
    <w:basedOn w:val="49"/>
    <w:qFormat/>
    <w:uiPriority w:val="0"/>
    <w:rPr>
      <w:rFonts w:ascii="等线" w:hAnsi="等线" w:eastAsia="宋体" w:cs="Times New Roman"/>
      <w:sz w:val="16"/>
      <w:szCs w:val="16"/>
    </w:rPr>
  </w:style>
  <w:style w:type="character" w:customStyle="1" w:styleId="98">
    <w:name w:val="正文文本缩进 2 Char"/>
    <w:basedOn w:val="49"/>
    <w:qFormat/>
    <w:uiPriority w:val="0"/>
    <w:rPr>
      <w:rFonts w:ascii="等线" w:hAnsi="等线" w:eastAsia="宋体" w:cs="Times New Roman"/>
      <w:szCs w:val="24"/>
    </w:rPr>
  </w:style>
  <w:style w:type="character" w:customStyle="1" w:styleId="99">
    <w:name w:val="正文文本缩进 3 Char"/>
    <w:basedOn w:val="49"/>
    <w:qFormat/>
    <w:uiPriority w:val="0"/>
    <w:rPr>
      <w:rFonts w:ascii="等线" w:hAnsi="等线" w:eastAsia="宋体" w:cs="Times New Roman"/>
      <w:sz w:val="16"/>
      <w:szCs w:val="16"/>
    </w:rPr>
  </w:style>
  <w:style w:type="character" w:customStyle="1" w:styleId="100">
    <w:name w:val="正文文本 2 Char"/>
    <w:basedOn w:val="49"/>
    <w:qFormat/>
    <w:uiPriority w:val="0"/>
    <w:rPr>
      <w:rFonts w:ascii="等线" w:hAnsi="等线" w:eastAsia="宋体" w:cs="Times New Roman"/>
      <w:szCs w:val="24"/>
    </w:rPr>
  </w:style>
  <w:style w:type="paragraph" w:customStyle="1" w:styleId="10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2">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104">
    <w:name w:val="Default"/>
    <w:link w:val="10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5">
    <w:name w:val="Default Char"/>
    <w:link w:val="104"/>
    <w:qFormat/>
    <w:uiPriority w:val="0"/>
    <w:rPr>
      <w:rFonts w:ascii="宋体" w:hAnsi="Times New Roman" w:eastAsia="宋体" w:cs="宋体"/>
      <w:color w:val="000000"/>
      <w:sz w:val="24"/>
      <w:szCs w:val="24"/>
    </w:rPr>
  </w:style>
  <w:style w:type="character" w:customStyle="1" w:styleId="106">
    <w:name w:val="正文文本缩进 Char1"/>
    <w:basedOn w:val="49"/>
    <w:qFormat/>
    <w:uiPriority w:val="99"/>
    <w:rPr>
      <w:rFonts w:ascii="等线" w:hAnsi="等线" w:eastAsia="宋体" w:cs="Times New Roman"/>
      <w:szCs w:val="24"/>
    </w:rPr>
  </w:style>
  <w:style w:type="paragraph" w:customStyle="1" w:styleId="107">
    <w:name w:val="WPSOffice手动目录 1"/>
    <w:qFormat/>
    <w:uiPriority w:val="0"/>
    <w:rPr>
      <w:rFonts w:ascii="Times New Roman" w:hAnsi="Times New Roman" w:eastAsia="宋体" w:cs="Times New Roman"/>
      <w:lang w:val="en-US" w:eastAsia="zh-CN" w:bidi="ar-SA"/>
    </w:rPr>
  </w:style>
  <w:style w:type="character" w:customStyle="1" w:styleId="108">
    <w:name w:val="正文2 Char"/>
    <w:link w:val="109"/>
    <w:qFormat/>
    <w:locked/>
    <w:uiPriority w:val="0"/>
    <w:rPr>
      <w:rFonts w:eastAsia="??"/>
      <w:sz w:val="24"/>
      <w:szCs w:val="28"/>
    </w:rPr>
  </w:style>
  <w:style w:type="paragraph" w:customStyle="1" w:styleId="109">
    <w:name w:val="正文2"/>
    <w:basedOn w:val="1"/>
    <w:link w:val="108"/>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0">
    <w:name w:val="批注文字 Char1"/>
    <w:basedOn w:val="49"/>
    <w:semiHidden/>
    <w:qFormat/>
    <w:uiPriority w:val="99"/>
    <w:rPr>
      <w:rFonts w:ascii="等线" w:hAnsi="等线" w:eastAsia="宋体" w:cs="Times New Roman"/>
      <w:szCs w:val="24"/>
    </w:rPr>
  </w:style>
  <w:style w:type="paragraph" w:styleId="111">
    <w:name w:val="List Paragraph"/>
    <w:basedOn w:val="1"/>
    <w:link w:val="112"/>
    <w:qFormat/>
    <w:uiPriority w:val="34"/>
    <w:pPr>
      <w:widowControl/>
      <w:ind w:firstLine="200" w:firstLineChars="200"/>
      <w:jc w:val="left"/>
    </w:pPr>
    <w:rPr>
      <w:rFonts w:ascii="??" w:hAnsi="??" w:eastAsia="??" w:cs="??"/>
      <w:kern w:val="0"/>
      <w:sz w:val="24"/>
    </w:rPr>
  </w:style>
  <w:style w:type="character" w:customStyle="1" w:styleId="112">
    <w:name w:val="列出段落 Char"/>
    <w:link w:val="111"/>
    <w:qFormat/>
    <w:uiPriority w:val="34"/>
    <w:rPr>
      <w:rFonts w:ascii="??" w:hAnsi="??" w:eastAsia="??" w:cs="??"/>
      <w:kern w:val="0"/>
      <w:sz w:val="24"/>
      <w:szCs w:val="24"/>
    </w:rPr>
  </w:style>
  <w:style w:type="paragraph" w:customStyle="1" w:styleId="1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4"/>
    <w:qFormat/>
    <w:uiPriority w:val="0"/>
    <w:rPr>
      <w:rFonts w:ascii="Times New Roman" w:hAnsi="Times New Roman" w:eastAsia="宋体" w:cs="Times New Roman"/>
      <w:sz w:val="21"/>
      <w:szCs w:val="22"/>
      <w:lang w:val="en-US" w:eastAsia="zh-CN" w:bidi="ar-SA"/>
    </w:rPr>
  </w:style>
  <w:style w:type="paragraph" w:customStyle="1" w:styleId="1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纯文本_3"/>
    <w:basedOn w:val="121"/>
    <w:link w:val="123"/>
    <w:qFormat/>
    <w:uiPriority w:val="0"/>
    <w:pPr>
      <w:widowControl/>
      <w:jc w:val="left"/>
    </w:pPr>
    <w:rPr>
      <w:rFonts w:ascii="宋体" w:hAnsi="Courier New" w:eastAsiaTheme="minorEastAsia" w:cstheme="minorBidi"/>
      <w:szCs w:val="21"/>
    </w:rPr>
  </w:style>
  <w:style w:type="character" w:customStyle="1" w:styleId="123">
    <w:name w:val="纯文本 Char_3"/>
    <w:link w:val="122"/>
    <w:qFormat/>
    <w:uiPriority w:val="0"/>
    <w:rPr>
      <w:rFonts w:ascii="宋体" w:hAnsi="Courier New"/>
      <w:szCs w:val="21"/>
    </w:rPr>
  </w:style>
  <w:style w:type="paragraph" w:customStyle="1" w:styleId="124">
    <w:name w:val="纯文本_0_1"/>
    <w:basedOn w:val="1"/>
    <w:link w:val="125"/>
    <w:qFormat/>
    <w:uiPriority w:val="0"/>
    <w:pPr>
      <w:widowControl/>
      <w:jc w:val="left"/>
    </w:pPr>
    <w:rPr>
      <w:rFonts w:ascii="宋体" w:hAnsi="Courier New" w:eastAsiaTheme="minorEastAsia" w:cstheme="minorBidi"/>
      <w:szCs w:val="21"/>
    </w:rPr>
  </w:style>
  <w:style w:type="character" w:customStyle="1" w:styleId="125">
    <w:name w:val="纯文本 Char_1_0"/>
    <w:link w:val="124"/>
    <w:qFormat/>
    <w:uiPriority w:val="0"/>
    <w:rPr>
      <w:rFonts w:ascii="宋体" w:hAnsi="Courier New"/>
      <w:szCs w:val="21"/>
    </w:rPr>
  </w:style>
  <w:style w:type="paragraph" w:customStyle="1" w:styleId="12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纯文本 Char_1"/>
    <w:link w:val="130"/>
    <w:qFormat/>
    <w:uiPriority w:val="0"/>
    <w:rPr>
      <w:rFonts w:ascii="宋体" w:hAnsi="Courier New"/>
      <w:szCs w:val="21"/>
    </w:rPr>
  </w:style>
  <w:style w:type="paragraph" w:customStyle="1" w:styleId="130">
    <w:name w:val="纯文本_1"/>
    <w:basedOn w:val="1"/>
    <w:link w:val="129"/>
    <w:qFormat/>
    <w:uiPriority w:val="0"/>
    <w:pPr>
      <w:widowControl/>
      <w:jc w:val="left"/>
    </w:pPr>
    <w:rPr>
      <w:rFonts w:ascii="宋体" w:hAnsi="Courier New" w:eastAsiaTheme="minorEastAsia" w:cstheme="minorBidi"/>
      <w:szCs w:val="21"/>
    </w:rPr>
  </w:style>
  <w:style w:type="paragraph" w:customStyle="1" w:styleId="131">
    <w:name w:val="纯文本1"/>
    <w:basedOn w:val="132"/>
    <w:qFormat/>
    <w:uiPriority w:val="0"/>
    <w:pPr>
      <w:widowControl/>
      <w:jc w:val="left"/>
    </w:pPr>
    <w:rPr>
      <w:rFonts w:ascii="宋体" w:hAnsi="Courier New"/>
    </w:rPr>
  </w:style>
  <w:style w:type="paragraph" w:customStyle="1" w:styleId="13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3">
    <w:name w:val="p0"/>
    <w:basedOn w:val="1"/>
    <w:qFormat/>
    <w:uiPriority w:val="0"/>
    <w:pPr>
      <w:widowControl/>
    </w:pPr>
    <w:rPr>
      <w:rFonts w:ascii="宋体" w:hAnsi="宋体" w:cs="宋体"/>
      <w:kern w:val="0"/>
      <w:szCs w:val="21"/>
    </w:rPr>
  </w:style>
  <w:style w:type="paragraph" w:customStyle="1" w:styleId="134">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135">
    <w:name w:val="内容文本 Char"/>
    <w:link w:val="136"/>
    <w:qFormat/>
    <w:uiPriority w:val="0"/>
    <w:rPr>
      <w:rFonts w:ascii="宋体" w:hAnsi="宋体"/>
      <w:sz w:val="24"/>
      <w:szCs w:val="24"/>
      <w:lang w:eastAsia="en-US" w:bidi="en-US"/>
    </w:rPr>
  </w:style>
  <w:style w:type="paragraph" w:customStyle="1" w:styleId="136">
    <w:name w:val="内容文本"/>
    <w:basedOn w:val="1"/>
    <w:link w:val="135"/>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7">
    <w:name w:val="样式1 Char_1"/>
    <w:link w:val="138"/>
    <w:qFormat/>
    <w:uiPriority w:val="0"/>
    <w:rPr>
      <w:rFonts w:ascii="宋体" w:hAnsi="Arial"/>
      <w:b/>
      <w:sz w:val="32"/>
    </w:rPr>
  </w:style>
  <w:style w:type="paragraph" w:customStyle="1" w:styleId="138">
    <w:name w:val="样式1_1"/>
    <w:basedOn w:val="1"/>
    <w:link w:val="137"/>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39">
    <w:name w:val="列出段落 Char1"/>
    <w:basedOn w:val="49"/>
    <w:qFormat/>
    <w:uiPriority w:val="34"/>
  </w:style>
  <w:style w:type="character" w:customStyle="1" w:styleId="140">
    <w:name w:val="标题 4 Char1"/>
    <w:qFormat/>
    <w:uiPriority w:val="0"/>
    <w:rPr>
      <w:rFonts w:ascii="Cambria" w:hAnsi="Cambria" w:eastAsia="宋体" w:cs="Times New Roman"/>
      <w:b/>
      <w:bCs/>
      <w:sz w:val="28"/>
      <w:szCs w:val="28"/>
    </w:rPr>
  </w:style>
  <w:style w:type="character" w:customStyle="1" w:styleId="141">
    <w:name w:val="p141"/>
    <w:qFormat/>
    <w:uiPriority w:val="0"/>
    <w:rPr>
      <w:sz w:val="21"/>
      <w:szCs w:val="21"/>
    </w:rPr>
  </w:style>
  <w:style w:type="character" w:customStyle="1" w:styleId="142">
    <w:name w:val="样式5 Char"/>
    <w:link w:val="143"/>
    <w:qFormat/>
    <w:uiPriority w:val="0"/>
    <w:rPr>
      <w:rFonts w:ascii="方正书宋简体" w:hAnsi="Calibri" w:eastAsia="方正书宋简体" w:cs="黑体"/>
    </w:rPr>
  </w:style>
  <w:style w:type="paragraph" w:customStyle="1" w:styleId="143">
    <w:name w:val="样式5"/>
    <w:basedOn w:val="1"/>
    <w:link w:val="142"/>
    <w:qFormat/>
    <w:uiPriority w:val="0"/>
    <w:pPr>
      <w:spacing w:line="340" w:lineRule="exact"/>
      <w:ind w:firstLine="420" w:firstLineChars="200"/>
    </w:pPr>
    <w:rPr>
      <w:rFonts w:ascii="方正书宋简体" w:hAnsi="Calibri" w:eastAsia="方正书宋简体" w:cs="黑体"/>
      <w:szCs w:val="22"/>
    </w:rPr>
  </w:style>
  <w:style w:type="character" w:customStyle="1" w:styleId="144">
    <w:name w:val="正文文本 Char1"/>
    <w:qFormat/>
    <w:uiPriority w:val="99"/>
    <w:rPr>
      <w:rFonts w:eastAsia="Times New Roman"/>
      <w:kern w:val="2"/>
      <w:sz w:val="24"/>
      <w:szCs w:val="24"/>
    </w:rPr>
  </w:style>
  <w:style w:type="character" w:customStyle="1" w:styleId="145">
    <w:name w:val="日期 Char1"/>
    <w:qFormat/>
    <w:uiPriority w:val="99"/>
    <w:rPr>
      <w:rFonts w:ascii="Calibri" w:hAnsi="Calibri" w:eastAsia="楷体_GB2312"/>
      <w:kern w:val="2"/>
      <w:sz w:val="32"/>
      <w:szCs w:val="22"/>
    </w:rPr>
  </w:style>
  <w:style w:type="character" w:customStyle="1" w:styleId="146">
    <w:name w:val="标题 Char1"/>
    <w:qFormat/>
    <w:uiPriority w:val="10"/>
    <w:rPr>
      <w:rFonts w:ascii="Cambria" w:hAnsi="Cambria" w:eastAsia="Times New Roman"/>
      <w:b/>
      <w:bCs/>
      <w:kern w:val="2"/>
      <w:sz w:val="32"/>
      <w:szCs w:val="32"/>
    </w:rPr>
  </w:style>
  <w:style w:type="character" w:customStyle="1" w:styleId="147">
    <w:name w:val="标题 3 Char1"/>
    <w:qFormat/>
    <w:uiPriority w:val="9"/>
    <w:rPr>
      <w:b/>
      <w:bCs/>
      <w:sz w:val="32"/>
      <w:szCs w:val="32"/>
    </w:rPr>
  </w:style>
  <w:style w:type="paragraph" w:customStyle="1" w:styleId="148">
    <w:name w:val="正文首行缩进1"/>
    <w:basedOn w:val="19"/>
    <w:next w:val="1"/>
    <w:qFormat/>
    <w:uiPriority w:val="0"/>
    <w:pPr>
      <w:widowControl/>
      <w:ind w:firstLine="420" w:firstLineChars="100"/>
      <w:jc w:val="left"/>
    </w:pPr>
    <w:rPr>
      <w:rFonts w:ascii="Calibri" w:hAnsi="Calibri" w:eastAsia="Times New Roman" w:cs="黑体"/>
      <w:szCs w:val="22"/>
    </w:rPr>
  </w:style>
  <w:style w:type="character" w:customStyle="1" w:styleId="149">
    <w:name w:val="样式1 Char"/>
    <w:link w:val="150"/>
    <w:qFormat/>
    <w:uiPriority w:val="0"/>
    <w:rPr>
      <w:rFonts w:ascii="宋体" w:hAnsi="Arial"/>
      <w:b/>
      <w:sz w:val="32"/>
    </w:rPr>
  </w:style>
  <w:style w:type="paragraph" w:customStyle="1" w:styleId="150">
    <w:name w:val="样式1_0"/>
    <w:basedOn w:val="1"/>
    <w:link w:val="149"/>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1">
    <w:name w:val="样式44 Char"/>
    <w:basedOn w:val="62"/>
    <w:link w:val="152"/>
    <w:qFormat/>
    <w:uiPriority w:val="0"/>
    <w:rPr>
      <w:rFonts w:ascii="Cambria" w:hAnsi="Cambria" w:eastAsia="宋体" w:cs="Times New Roman"/>
      <w:sz w:val="28"/>
      <w:szCs w:val="28"/>
    </w:rPr>
  </w:style>
  <w:style w:type="paragraph" w:customStyle="1" w:styleId="152">
    <w:name w:val="样式44"/>
    <w:basedOn w:val="5"/>
    <w:link w:val="151"/>
    <w:qFormat/>
    <w:uiPriority w:val="0"/>
  </w:style>
  <w:style w:type="character" w:customStyle="1" w:styleId="153">
    <w:name w:val="apple-converted-space"/>
    <w:basedOn w:val="49"/>
    <w:qFormat/>
    <w:uiPriority w:val="0"/>
  </w:style>
  <w:style w:type="character" w:customStyle="1" w:styleId="154">
    <w:name w:val="纯文本 Char_0_0"/>
    <w:link w:val="155"/>
    <w:qFormat/>
    <w:locked/>
    <w:uiPriority w:val="0"/>
    <w:rPr>
      <w:rFonts w:ascii="宋体" w:hAnsi="Courier New"/>
      <w:szCs w:val="21"/>
    </w:rPr>
  </w:style>
  <w:style w:type="paragraph" w:customStyle="1" w:styleId="155">
    <w:name w:val="纯文本_0"/>
    <w:basedOn w:val="1"/>
    <w:link w:val="154"/>
    <w:unhideWhenUsed/>
    <w:qFormat/>
    <w:uiPriority w:val="0"/>
    <w:pPr>
      <w:widowControl/>
      <w:jc w:val="left"/>
    </w:pPr>
    <w:rPr>
      <w:rFonts w:ascii="宋体" w:hAnsi="Courier New" w:eastAsiaTheme="minorEastAsia" w:cstheme="minorBidi"/>
      <w:szCs w:val="21"/>
    </w:rPr>
  </w:style>
  <w:style w:type="character" w:customStyle="1" w:styleId="156">
    <w:name w:val="文档结构图 Char1"/>
    <w:qFormat/>
    <w:uiPriority w:val="99"/>
    <w:rPr>
      <w:rFonts w:ascii="宋体" w:hAnsi="Calibri"/>
      <w:kern w:val="2"/>
      <w:sz w:val="18"/>
      <w:szCs w:val="18"/>
    </w:rPr>
  </w:style>
  <w:style w:type="character" w:styleId="157">
    <w:name w:val="Placeholder Text"/>
    <w:semiHidden/>
    <w:qFormat/>
    <w:uiPriority w:val="99"/>
    <w:rPr>
      <w:color w:val="808080"/>
    </w:rPr>
  </w:style>
  <w:style w:type="character" w:customStyle="1" w:styleId="158">
    <w:name w:val="日期 Char2"/>
    <w:basedOn w:val="49"/>
    <w:semiHidden/>
    <w:qFormat/>
    <w:uiPriority w:val="99"/>
    <w:rPr>
      <w:kern w:val="2"/>
      <w:sz w:val="21"/>
    </w:rPr>
  </w:style>
  <w:style w:type="character" w:customStyle="1" w:styleId="159">
    <w:name w:val="批注文字 Char2"/>
    <w:basedOn w:val="49"/>
    <w:qFormat/>
    <w:uiPriority w:val="0"/>
    <w:rPr>
      <w:kern w:val="2"/>
      <w:sz w:val="21"/>
    </w:rPr>
  </w:style>
  <w:style w:type="character" w:customStyle="1" w:styleId="160">
    <w:name w:val="批注主题 Char1"/>
    <w:basedOn w:val="159"/>
    <w:semiHidden/>
    <w:qFormat/>
    <w:uiPriority w:val="99"/>
    <w:rPr>
      <w:b/>
      <w:bCs/>
      <w:kern w:val="2"/>
      <w:sz w:val="21"/>
    </w:rPr>
  </w:style>
  <w:style w:type="character" w:customStyle="1" w:styleId="161">
    <w:name w:val="正文文本缩进 Char2"/>
    <w:basedOn w:val="49"/>
    <w:qFormat/>
    <w:uiPriority w:val="0"/>
    <w:rPr>
      <w:kern w:val="2"/>
      <w:sz w:val="21"/>
    </w:rPr>
  </w:style>
  <w:style w:type="character" w:customStyle="1" w:styleId="162">
    <w:name w:val="正文首行缩进 2 Char1"/>
    <w:basedOn w:val="58"/>
    <w:qFormat/>
    <w:uiPriority w:val="0"/>
    <w:rPr>
      <w:rFonts w:ascii="??" w:hAnsi="??" w:eastAsia="??" w:cs="宋体"/>
      <w:kern w:val="2"/>
      <w:sz w:val="21"/>
      <w:szCs w:val="28"/>
    </w:rPr>
  </w:style>
  <w:style w:type="character" w:customStyle="1" w:styleId="163">
    <w:name w:val="页脚 Char1"/>
    <w:basedOn w:val="49"/>
    <w:semiHidden/>
    <w:qFormat/>
    <w:uiPriority w:val="99"/>
    <w:rPr>
      <w:kern w:val="2"/>
      <w:sz w:val="18"/>
      <w:szCs w:val="18"/>
    </w:rPr>
  </w:style>
  <w:style w:type="character" w:customStyle="1" w:styleId="164">
    <w:name w:val="正文首行缩进 Char1"/>
    <w:basedOn w:val="74"/>
    <w:qFormat/>
    <w:uiPriority w:val="99"/>
    <w:rPr>
      <w:rFonts w:ascii="等线" w:hAnsi="等线" w:eastAsia="宋体" w:cs="Times New Roman"/>
      <w:kern w:val="2"/>
      <w:sz w:val="21"/>
      <w:szCs w:val="24"/>
    </w:rPr>
  </w:style>
  <w:style w:type="character" w:customStyle="1" w:styleId="165">
    <w:name w:val="页眉 Char1"/>
    <w:basedOn w:val="49"/>
    <w:qFormat/>
    <w:uiPriority w:val="0"/>
    <w:rPr>
      <w:kern w:val="2"/>
      <w:sz w:val="18"/>
      <w:szCs w:val="18"/>
    </w:rPr>
  </w:style>
  <w:style w:type="character" w:customStyle="1" w:styleId="166">
    <w:name w:val="标题 Char2"/>
    <w:basedOn w:val="49"/>
    <w:qFormat/>
    <w:uiPriority w:val="10"/>
    <w:rPr>
      <w:rFonts w:asciiTheme="majorHAnsi" w:hAnsiTheme="majorHAnsi" w:cstheme="majorBidi"/>
      <w:b/>
      <w:bCs/>
      <w:kern w:val="2"/>
      <w:sz w:val="32"/>
      <w:szCs w:val="32"/>
    </w:rPr>
  </w:style>
  <w:style w:type="character" w:customStyle="1" w:styleId="167">
    <w:name w:val="批注框文本 Char1"/>
    <w:basedOn w:val="49"/>
    <w:semiHidden/>
    <w:qFormat/>
    <w:uiPriority w:val="99"/>
    <w:rPr>
      <w:kern w:val="2"/>
      <w:sz w:val="18"/>
      <w:szCs w:val="18"/>
    </w:rPr>
  </w:style>
  <w:style w:type="character" w:customStyle="1" w:styleId="168">
    <w:name w:val="纯文本 Char2"/>
    <w:basedOn w:val="49"/>
    <w:semiHidden/>
    <w:qFormat/>
    <w:uiPriority w:val="99"/>
    <w:rPr>
      <w:rFonts w:ascii="宋体" w:hAnsi="Courier New" w:cs="Courier New"/>
      <w:kern w:val="2"/>
      <w:sz w:val="21"/>
      <w:szCs w:val="21"/>
    </w:rPr>
  </w:style>
  <w:style w:type="paragraph" w:customStyle="1" w:styleId="1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2">
    <w:name w:val="1"/>
    <w:basedOn w:val="1"/>
    <w:next w:val="26"/>
    <w:qFormat/>
    <w:uiPriority w:val="0"/>
    <w:rPr>
      <w:rFonts w:ascii="宋体" w:hAnsi="Courier New"/>
      <w:szCs w:val="22"/>
    </w:rPr>
  </w:style>
  <w:style w:type="paragraph" w:customStyle="1" w:styleId="17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
    <w:basedOn w:val="1"/>
    <w:qFormat/>
    <w:uiPriority w:val="99"/>
    <w:pPr>
      <w:spacing w:beforeLines="50" w:afterLines="50"/>
      <w:ind w:firstLine="200" w:firstLineChars="200"/>
    </w:pPr>
    <w:rPr>
      <w:rFonts w:ascii="Calibri" w:hAnsi="Calibri"/>
      <w:szCs w:val="22"/>
    </w:rPr>
  </w:style>
  <w:style w:type="paragraph" w:customStyle="1" w:styleId="175">
    <w:name w:val="列出段落3"/>
    <w:basedOn w:val="1"/>
    <w:qFormat/>
    <w:uiPriority w:val="99"/>
    <w:pPr>
      <w:ind w:firstLine="420" w:firstLineChars="200"/>
    </w:pPr>
    <w:rPr>
      <w:rFonts w:ascii="Calibri" w:hAnsi="Calibri"/>
      <w:szCs w:val="22"/>
    </w:rPr>
  </w:style>
  <w:style w:type="paragraph" w:customStyle="1" w:styleId="176">
    <w:name w:val="_Style 22"/>
    <w:basedOn w:val="1"/>
    <w:qFormat/>
    <w:uiPriority w:val="0"/>
    <w:rPr>
      <w:rFonts w:ascii="Times New Roman" w:hAnsi="Times New Roman"/>
    </w:rPr>
  </w:style>
  <w:style w:type="paragraph" w:customStyle="1" w:styleId="177">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8">
    <w:name w:val="DAS正文"/>
    <w:basedOn w:val="1"/>
    <w:qFormat/>
    <w:uiPriority w:val="0"/>
    <w:pPr>
      <w:spacing w:line="360" w:lineRule="auto"/>
      <w:ind w:right="181" w:firstLine="480" w:firstLineChars="200"/>
    </w:pPr>
    <w:rPr>
      <w:rFonts w:ascii="Verdana" w:hAnsi="Verdana"/>
      <w:sz w:val="24"/>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Char1"/>
    <w:basedOn w:val="1"/>
    <w:qFormat/>
    <w:uiPriority w:val="0"/>
    <w:rPr>
      <w:rFonts w:ascii="Tahoma" w:hAnsi="Tahoma"/>
      <w:sz w:val="24"/>
      <w:szCs w:val="20"/>
    </w:rPr>
  </w:style>
  <w:style w:type="paragraph" w:customStyle="1" w:styleId="181">
    <w:name w:val="列出段落11"/>
    <w:basedOn w:val="1"/>
    <w:qFormat/>
    <w:uiPriority w:val="0"/>
    <w:pPr>
      <w:ind w:firstLine="200" w:firstLineChars="200"/>
    </w:pPr>
    <w:rPr>
      <w:rFonts w:ascii="Calibri" w:hAnsi="Calibri"/>
    </w:rPr>
  </w:style>
  <w:style w:type="paragraph" w:customStyle="1" w:styleId="182">
    <w:name w:val="Char"/>
    <w:basedOn w:val="1"/>
    <w:qFormat/>
    <w:uiPriority w:val="0"/>
    <w:rPr>
      <w:rFonts w:ascii="Times New Roman" w:hAnsi="Times New Roman"/>
    </w:rPr>
  </w:style>
  <w:style w:type="paragraph" w:customStyle="1" w:styleId="183">
    <w:name w:val="WW-正文文字缩进 2"/>
    <w:basedOn w:val="1"/>
    <w:qFormat/>
    <w:uiPriority w:val="0"/>
    <w:pPr>
      <w:suppressAutoHyphens/>
      <w:ind w:firstLine="420"/>
    </w:pPr>
    <w:rPr>
      <w:rFonts w:ascii="Times New Roman" w:hAnsi="Times New Roman"/>
      <w:kern w:val="1"/>
      <w:szCs w:val="20"/>
    </w:rPr>
  </w:style>
  <w:style w:type="paragraph" w:customStyle="1" w:styleId="184">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85">
    <w:name w:val="此正文"/>
    <w:basedOn w:val="1"/>
    <w:qFormat/>
    <w:uiPriority w:val="99"/>
    <w:pPr>
      <w:spacing w:line="360" w:lineRule="auto"/>
      <w:ind w:firstLine="200" w:firstLineChars="200"/>
    </w:pPr>
    <w:rPr>
      <w:rFonts w:ascii="Times New Roman" w:hAnsi="Times New Roman"/>
      <w:sz w:val="24"/>
    </w:rPr>
  </w:style>
  <w:style w:type="paragraph" w:customStyle="1" w:styleId="186">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7">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8">
    <w:name w:val="列出段落61"/>
    <w:basedOn w:val="1"/>
    <w:unhideWhenUsed/>
    <w:qFormat/>
    <w:uiPriority w:val="0"/>
    <w:pPr>
      <w:ind w:firstLine="420" w:firstLineChars="200"/>
    </w:pPr>
    <w:rPr>
      <w:rFonts w:ascii="Calibri" w:hAnsi="Calibri" w:cs="黑体"/>
      <w:szCs w:val="22"/>
    </w:rPr>
  </w:style>
  <w:style w:type="table" w:customStyle="1" w:styleId="189">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0">
    <w:name w:val="font11"/>
    <w:qFormat/>
    <w:uiPriority w:val="0"/>
    <w:rPr>
      <w:rFonts w:hint="eastAsia" w:ascii="宋体" w:hAnsi="宋体" w:eastAsia="宋体" w:cs="宋体"/>
      <w:color w:val="000000"/>
      <w:sz w:val="24"/>
      <w:szCs w:val="24"/>
      <w:u w:val="none"/>
    </w:rPr>
  </w:style>
  <w:style w:type="character" w:customStyle="1" w:styleId="191">
    <w:name w:val="无间隔 Char"/>
    <w:link w:val="192"/>
    <w:qFormat/>
    <w:uiPriority w:val="1"/>
  </w:style>
  <w:style w:type="paragraph" w:styleId="192">
    <w:name w:val="No Spacing"/>
    <w:link w:val="191"/>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表格文字"/>
    <w:basedOn w:val="26"/>
    <w:next w:val="19"/>
    <w:qFormat/>
    <w:uiPriority w:val="0"/>
    <w:pPr>
      <w:adjustRightInd w:val="0"/>
      <w:spacing w:line="420" w:lineRule="atLeast"/>
      <w:jc w:val="left"/>
      <w:textAlignment w:val="baseline"/>
    </w:pPr>
    <w:rPr>
      <w:rFonts w:ascii="Times New Roman" w:hAnsi="Times New Roman"/>
      <w:kern w:val="0"/>
      <w:szCs w:val="20"/>
    </w:rPr>
  </w:style>
  <w:style w:type="paragraph" w:customStyle="1" w:styleId="195">
    <w:name w:val="￥正文"/>
    <w:basedOn w:val="1"/>
    <w:qFormat/>
    <w:uiPriority w:val="0"/>
    <w:pPr>
      <w:spacing w:line="360" w:lineRule="auto"/>
      <w:ind w:firstLine="200" w:firstLineChars="200"/>
    </w:pPr>
    <w:rPr>
      <w:rFonts w:ascii="Calibri" w:hAnsi="Calibri"/>
    </w:rPr>
  </w:style>
  <w:style w:type="paragraph" w:customStyle="1" w:styleId="196">
    <w:name w:val="正文空格"/>
    <w:basedOn w:val="1"/>
    <w:next w:val="1"/>
    <w:qFormat/>
    <w:uiPriority w:val="0"/>
    <w:pPr>
      <w:spacing w:line="400" w:lineRule="exact"/>
      <w:ind w:firstLine="200" w:firstLineChars="200"/>
    </w:pPr>
    <w:rPr>
      <w:sz w:val="24"/>
      <w:szCs w:val="22"/>
    </w:rPr>
  </w:style>
  <w:style w:type="paragraph" w:customStyle="1" w:styleId="197">
    <w:name w:val="_Style 116"/>
    <w:qFormat/>
    <w:uiPriority w:val="99"/>
    <w:rPr>
      <w:rFonts w:ascii="Times New Roman" w:hAnsi="Times New Roman" w:eastAsia="宋体" w:cs="Times New Roman"/>
      <w:sz w:val="24"/>
      <w:szCs w:val="22"/>
      <w:lang w:val="en-US" w:eastAsia="zh-CN" w:bidi="ar-SA"/>
    </w:rPr>
  </w:style>
  <w:style w:type="paragraph" w:customStyle="1" w:styleId="198">
    <w:name w:val="样式 首行缩进:  0 字符"/>
    <w:basedOn w:val="1"/>
    <w:link w:val="199"/>
    <w:qFormat/>
    <w:uiPriority w:val="0"/>
    <w:rPr>
      <w:rFonts w:ascii="Times New Roman" w:hAnsi="Times New Roman"/>
    </w:rPr>
  </w:style>
  <w:style w:type="character" w:customStyle="1" w:styleId="199">
    <w:name w:val="样式 首行缩进:  0 字符 Char"/>
    <w:link w:val="198"/>
    <w:qFormat/>
    <w:uiPriority w:val="0"/>
    <w:rPr>
      <w:rFonts w:ascii="Times New Roman" w:hAnsi="Times New Roman" w:eastAsia="宋体" w:cs="Times New Roman"/>
      <w:kern w:val="2"/>
      <w:sz w:val="21"/>
      <w:szCs w:val="24"/>
    </w:rPr>
  </w:style>
  <w:style w:type="paragraph" w:customStyle="1" w:styleId="200">
    <w:name w:val="表格内正文"/>
    <w:basedOn w:val="19"/>
    <w:qFormat/>
    <w:uiPriority w:val="0"/>
    <w:rPr>
      <w:rFonts w:ascii="Times New Roman" w:hAnsi="Times New Roman"/>
    </w:rPr>
  </w:style>
  <w:style w:type="paragraph" w:customStyle="1" w:styleId="201">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2">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3">
    <w:name w:val="明显引用 Char"/>
    <w:qFormat/>
    <w:uiPriority w:val="0"/>
    <w:rPr>
      <w:b/>
      <w:bCs/>
      <w:i/>
      <w:iCs/>
      <w:color w:val="4F81BD"/>
      <w:kern w:val="2"/>
      <w:sz w:val="21"/>
      <w:szCs w:val="22"/>
    </w:rPr>
  </w:style>
  <w:style w:type="paragraph" w:styleId="204">
    <w:name w:val="Intense Quote"/>
    <w:basedOn w:val="1"/>
    <w:next w:val="1"/>
    <w:link w:val="20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5">
    <w:name w:val="明显引用 Char1"/>
    <w:basedOn w:val="49"/>
    <w:link w:val="204"/>
    <w:qFormat/>
    <w:uiPriority w:val="30"/>
    <w:rPr>
      <w:rFonts w:ascii="Calibri" w:hAnsi="Calibri" w:eastAsia="宋体" w:cs="Times New Roman"/>
      <w:b/>
      <w:bCs/>
      <w:i/>
      <w:iCs/>
      <w:color w:val="4F81BD"/>
    </w:rPr>
  </w:style>
  <w:style w:type="character" w:customStyle="1" w:styleId="206">
    <w:name w:val="标题5 Char Char"/>
    <w:link w:val="207"/>
    <w:qFormat/>
    <w:uiPriority w:val="0"/>
    <w:rPr>
      <w:rFonts w:ascii="Arial" w:hAnsi="Arial"/>
      <w:b/>
      <w:bCs/>
      <w:sz w:val="24"/>
      <w:szCs w:val="32"/>
    </w:rPr>
  </w:style>
  <w:style w:type="paragraph" w:customStyle="1" w:styleId="207">
    <w:name w:val="标题5"/>
    <w:basedOn w:val="4"/>
    <w:link w:val="206"/>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8">
    <w:name w:val="普通文字 Char1"/>
    <w:basedOn w:val="49"/>
    <w:qFormat/>
    <w:uiPriority w:val="0"/>
    <w:rPr>
      <w:rFonts w:ascii="宋体" w:hAnsi="Courier New" w:eastAsia="宋体"/>
      <w:kern w:val="2"/>
      <w:sz w:val="21"/>
      <w:szCs w:val="24"/>
      <w:lang w:val="en-US" w:eastAsia="zh-CN" w:bidi="ar-SA"/>
    </w:rPr>
  </w:style>
  <w:style w:type="character" w:customStyle="1" w:styleId="209">
    <w:name w:val="二 Char1"/>
    <w:qFormat/>
    <w:uiPriority w:val="0"/>
    <w:rPr>
      <w:rFonts w:eastAsia="宋体"/>
      <w:kern w:val="2"/>
      <w:sz w:val="21"/>
      <w:szCs w:val="24"/>
      <w:lang w:val="en-US" w:eastAsia="zh-CN" w:bidi="ar-SA"/>
    </w:rPr>
  </w:style>
  <w:style w:type="character" w:customStyle="1" w:styleId="210">
    <w:name w:val="二 Char11"/>
    <w:qFormat/>
    <w:uiPriority w:val="0"/>
    <w:rPr>
      <w:rFonts w:eastAsia="宋体"/>
      <w:kern w:val="2"/>
      <w:sz w:val="21"/>
      <w:szCs w:val="24"/>
      <w:lang w:val="en-US" w:eastAsia="zh-CN" w:bidi="ar-SA"/>
    </w:rPr>
  </w:style>
  <w:style w:type="character" w:customStyle="1" w:styleId="211">
    <w:name w:val="Char Char1"/>
    <w:basedOn w:val="49"/>
    <w:qFormat/>
    <w:uiPriority w:val="0"/>
    <w:rPr>
      <w:rFonts w:ascii="Arial" w:hAnsi="Arial" w:eastAsia="黑体"/>
      <w:b/>
      <w:bCs/>
      <w:kern w:val="2"/>
      <w:sz w:val="32"/>
      <w:szCs w:val="32"/>
      <w:lang w:val="en-US" w:eastAsia="zh-CN" w:bidi="ar-SA"/>
    </w:rPr>
  </w:style>
  <w:style w:type="character" w:customStyle="1" w:styleId="212">
    <w:name w:val="引用 Char"/>
    <w:qFormat/>
    <w:uiPriority w:val="0"/>
    <w:rPr>
      <w:i/>
      <w:iCs/>
      <w:color w:val="000000"/>
      <w:kern w:val="2"/>
      <w:sz w:val="21"/>
      <w:szCs w:val="22"/>
    </w:rPr>
  </w:style>
  <w:style w:type="paragraph" w:styleId="213">
    <w:name w:val="Quote"/>
    <w:basedOn w:val="1"/>
    <w:next w:val="1"/>
    <w:link w:val="214"/>
    <w:qFormat/>
    <w:uiPriority w:val="0"/>
    <w:rPr>
      <w:rFonts w:ascii="Calibri" w:hAnsi="Calibri"/>
      <w:i/>
      <w:iCs/>
      <w:color w:val="000000"/>
      <w:szCs w:val="22"/>
    </w:rPr>
  </w:style>
  <w:style w:type="character" w:customStyle="1" w:styleId="214">
    <w:name w:val="引用 Char1"/>
    <w:basedOn w:val="49"/>
    <w:link w:val="213"/>
    <w:qFormat/>
    <w:uiPriority w:val="29"/>
    <w:rPr>
      <w:rFonts w:ascii="Calibri" w:hAnsi="Calibri" w:eastAsia="宋体" w:cs="Times New Roman"/>
      <w:i/>
      <w:iCs/>
      <w:color w:val="000000"/>
    </w:rPr>
  </w:style>
  <w:style w:type="character" w:customStyle="1" w:styleId="215">
    <w:name w:val="font161"/>
    <w:basedOn w:val="49"/>
    <w:qFormat/>
    <w:uiPriority w:val="0"/>
    <w:rPr>
      <w:b/>
      <w:bCs/>
      <w:sz w:val="32"/>
      <w:szCs w:val="32"/>
    </w:rPr>
  </w:style>
  <w:style w:type="character" w:customStyle="1" w:styleId="216">
    <w:name w:val="fx_label"/>
    <w:basedOn w:val="49"/>
    <w:qFormat/>
    <w:uiPriority w:val="0"/>
  </w:style>
  <w:style w:type="character" w:customStyle="1" w:styleId="217">
    <w:name w:val="正文文字4 Char Char"/>
    <w:qFormat/>
    <w:uiPriority w:val="0"/>
    <w:rPr>
      <w:rFonts w:eastAsia="宋体"/>
      <w:kern w:val="2"/>
      <w:sz w:val="21"/>
      <w:szCs w:val="24"/>
      <w:lang w:val="en-US" w:eastAsia="zh-CN" w:bidi="ar-SA"/>
    </w:rPr>
  </w:style>
  <w:style w:type="character" w:customStyle="1" w:styleId="218">
    <w:name w:val="htd01"/>
    <w:basedOn w:val="49"/>
    <w:qFormat/>
    <w:uiPriority w:val="0"/>
  </w:style>
  <w:style w:type="character" w:customStyle="1" w:styleId="219">
    <w:name w:val="标题4 Char Char"/>
    <w:link w:val="220"/>
    <w:qFormat/>
    <w:uiPriority w:val="0"/>
    <w:rPr>
      <w:rFonts w:eastAsia="仿宋_GB2312"/>
      <w:sz w:val="32"/>
    </w:rPr>
  </w:style>
  <w:style w:type="paragraph" w:customStyle="1" w:styleId="220">
    <w:name w:val="标题4"/>
    <w:basedOn w:val="1"/>
    <w:link w:val="219"/>
    <w:qFormat/>
    <w:uiPriority w:val="0"/>
    <w:rPr>
      <w:rFonts w:eastAsia="仿宋_GB2312" w:asciiTheme="minorHAnsi" w:hAnsiTheme="minorHAnsi" w:cstheme="minorBidi"/>
      <w:sz w:val="32"/>
      <w:szCs w:val="22"/>
    </w:rPr>
  </w:style>
  <w:style w:type="character" w:customStyle="1" w:styleId="221">
    <w:name w:val="副标题 Char1"/>
    <w:basedOn w:val="49"/>
    <w:qFormat/>
    <w:uiPriority w:val="11"/>
    <w:rPr>
      <w:rFonts w:ascii="Cambria" w:hAnsi="Cambria" w:eastAsia="宋体" w:cs="Times New Roman"/>
      <w:b/>
      <w:bCs/>
      <w:kern w:val="28"/>
      <w:sz w:val="32"/>
      <w:szCs w:val="32"/>
    </w:rPr>
  </w:style>
  <w:style w:type="character" w:customStyle="1" w:styleId="222">
    <w:name w:val="Char Char28"/>
    <w:qFormat/>
    <w:uiPriority w:val="0"/>
    <w:rPr>
      <w:rFonts w:ascii="Arial" w:hAnsi="Arial" w:eastAsia="黑体"/>
      <w:b/>
      <w:bCs/>
      <w:sz w:val="32"/>
      <w:szCs w:val="32"/>
      <w:lang w:val="en-US" w:eastAsia="zh-CN" w:bidi="ar-SA"/>
    </w:rPr>
  </w:style>
  <w:style w:type="paragraph" w:customStyle="1" w:styleId="223">
    <w:name w:val="正文 + 宋体"/>
    <w:basedOn w:val="1"/>
    <w:qFormat/>
    <w:uiPriority w:val="0"/>
    <w:pPr>
      <w:spacing w:line="360" w:lineRule="auto"/>
    </w:pPr>
    <w:rPr>
      <w:rFonts w:ascii="宋体" w:hAnsi="宋体"/>
      <w:kern w:val="0"/>
      <w:sz w:val="28"/>
      <w:szCs w:val="28"/>
    </w:rPr>
  </w:style>
  <w:style w:type="paragraph" w:customStyle="1" w:styleId="224">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6">
    <w:name w:val="样式 标题 3 + 段前: 7.8 磅"/>
    <w:basedOn w:val="4"/>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2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0">
    <w:name w:val="样式 标题 3 + Arial"/>
    <w:basedOn w:val="4"/>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1">
    <w:name w:val="样式 标题 3 + (中文) 黑体 小四 非加粗 段前: 7.8 磅 段后: 0 磅 行距: 固定值 20 磅"/>
    <w:basedOn w:val="4"/>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3">
    <w:name w:val="表格"/>
    <w:basedOn w:val="1"/>
    <w:qFormat/>
    <w:uiPriority w:val="0"/>
    <w:pPr>
      <w:jc w:val="center"/>
      <w:textAlignment w:val="center"/>
    </w:pPr>
    <w:rPr>
      <w:rFonts w:ascii="华文细黑" w:hAnsi="华文细黑"/>
      <w:kern w:val="0"/>
      <w:szCs w:val="20"/>
    </w:rPr>
  </w:style>
  <w:style w:type="paragraph" w:customStyle="1" w:styleId="234">
    <w:name w:val="样式 样式 样式1 + 首行缩进:  2 字符 + 左侧:  0.74 厘米"/>
    <w:basedOn w:val="225"/>
    <w:qFormat/>
    <w:uiPriority w:val="0"/>
    <w:pPr>
      <w:ind w:firstLine="200"/>
    </w:pPr>
  </w:style>
  <w:style w:type="paragraph" w:customStyle="1" w:styleId="23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7">
    <w:name w:val="Char2"/>
    <w:basedOn w:val="1"/>
    <w:qFormat/>
    <w:uiPriority w:val="0"/>
    <w:rPr>
      <w:rFonts w:ascii="仿宋_GB2312" w:hAnsi="Times New Roman" w:eastAsia="仿宋_GB2312"/>
      <w:b/>
      <w:sz w:val="32"/>
      <w:szCs w:val="32"/>
    </w:rPr>
  </w:style>
  <w:style w:type="paragraph" w:customStyle="1" w:styleId="238">
    <w:name w:val="列出段落4"/>
    <w:basedOn w:val="1"/>
    <w:qFormat/>
    <w:uiPriority w:val="99"/>
    <w:pPr>
      <w:ind w:firstLine="420" w:firstLineChars="200"/>
    </w:pPr>
    <w:rPr>
      <w:rFonts w:ascii="Times New Roman" w:hAnsi="Times New Roman"/>
    </w:rPr>
  </w:style>
  <w:style w:type="character" w:customStyle="1" w:styleId="239">
    <w:name w:val="font31"/>
    <w:basedOn w:val="49"/>
    <w:qFormat/>
    <w:uiPriority w:val="0"/>
    <w:rPr>
      <w:rFonts w:hint="eastAsia" w:ascii="宋体" w:hAnsi="宋体" w:eastAsia="宋体" w:cs="宋体"/>
      <w:color w:val="000000"/>
      <w:sz w:val="20"/>
      <w:szCs w:val="20"/>
      <w:u w:val="none"/>
    </w:rPr>
  </w:style>
  <w:style w:type="character" w:customStyle="1" w:styleId="240">
    <w:name w:val="font41"/>
    <w:basedOn w:val="49"/>
    <w:qFormat/>
    <w:uiPriority w:val="0"/>
    <w:rPr>
      <w:rFonts w:ascii="宋体" w:hAnsi="宋体" w:eastAsia="宋体" w:cs="宋体"/>
      <w:color w:val="000000"/>
      <w:sz w:val="20"/>
      <w:szCs w:val="20"/>
      <w:u w:val="none"/>
    </w:rPr>
  </w:style>
  <w:style w:type="character" w:customStyle="1" w:styleId="241">
    <w:name w:val="font51"/>
    <w:basedOn w:val="49"/>
    <w:qFormat/>
    <w:uiPriority w:val="0"/>
    <w:rPr>
      <w:rFonts w:hint="default" w:ascii="Times New Roman" w:hAnsi="Times New Roman" w:cs="Times New Roman"/>
      <w:color w:val="000000"/>
      <w:sz w:val="21"/>
      <w:szCs w:val="21"/>
      <w:u w:val="none"/>
    </w:rPr>
  </w:style>
  <w:style w:type="character" w:customStyle="1" w:styleId="242">
    <w:name w:val="font71"/>
    <w:basedOn w:val="49"/>
    <w:qFormat/>
    <w:uiPriority w:val="0"/>
    <w:rPr>
      <w:rFonts w:ascii="宋体" w:hAnsi="宋体" w:eastAsia="宋体" w:cs="宋体"/>
      <w:color w:val="000000"/>
      <w:sz w:val="21"/>
      <w:szCs w:val="21"/>
      <w:u w:val="none"/>
    </w:rPr>
  </w:style>
  <w:style w:type="character" w:customStyle="1" w:styleId="243">
    <w:name w:val="font61"/>
    <w:basedOn w:val="49"/>
    <w:qFormat/>
    <w:uiPriority w:val="0"/>
    <w:rPr>
      <w:rFonts w:ascii="宋体" w:hAnsi="宋体" w:eastAsia="宋体" w:cs="宋体"/>
      <w:color w:val="000000"/>
      <w:sz w:val="20"/>
      <w:szCs w:val="20"/>
      <w:u w:val="none"/>
    </w:rPr>
  </w:style>
  <w:style w:type="character" w:customStyle="1" w:styleId="244">
    <w:name w:val="font21"/>
    <w:basedOn w:val="49"/>
    <w:qFormat/>
    <w:uiPriority w:val="0"/>
    <w:rPr>
      <w:rFonts w:hint="default" w:ascii="Times New Roman" w:hAnsi="Times New Roman" w:cs="Times New Roman"/>
      <w:color w:val="000000"/>
      <w:sz w:val="21"/>
      <w:szCs w:val="21"/>
      <w:u w:val="none"/>
    </w:rPr>
  </w:style>
  <w:style w:type="character" w:customStyle="1" w:styleId="245">
    <w:name w:val="NormalCharacter"/>
    <w:qFormat/>
    <w:uiPriority w:val="0"/>
    <w:rPr>
      <w:rFonts w:ascii="Calibri" w:hAnsi="Calibri" w:eastAsia="宋体" w:cs="Times New Roman"/>
      <w:kern w:val="2"/>
      <w:sz w:val="21"/>
      <w:szCs w:val="24"/>
      <w:lang w:val="en-US" w:eastAsia="zh-CN" w:bidi="ar-SA"/>
    </w:rPr>
  </w:style>
  <w:style w:type="paragraph" w:customStyle="1" w:styleId="246">
    <w:name w:val="Table Paragraph"/>
    <w:basedOn w:val="1"/>
    <w:qFormat/>
    <w:uiPriority w:val="1"/>
    <w:rPr>
      <w:rFonts w:ascii="Times New Roman" w:hAnsi="Times New Roman"/>
      <w:szCs w:val="21"/>
    </w:rPr>
  </w:style>
  <w:style w:type="paragraph" w:customStyle="1" w:styleId="247">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8">
    <w:name w:val="Page Number1"/>
    <w:qFormat/>
    <w:uiPriority w:val="99"/>
    <w:rPr>
      <w:rFonts w:ascii="仿宋_GB2312" w:cs="Times New Roman"/>
      <w:b/>
      <w:kern w:val="0"/>
      <w:sz w:val="32"/>
      <w:szCs w:val="32"/>
    </w:rPr>
  </w:style>
  <w:style w:type="paragraph" w:customStyle="1" w:styleId="249">
    <w:name w:val="Char Char Char Char Char Char Char"/>
    <w:basedOn w:val="1"/>
    <w:qFormat/>
    <w:uiPriority w:val="0"/>
    <w:rPr>
      <w:szCs w:val="20"/>
    </w:rPr>
  </w:style>
  <w:style w:type="character" w:customStyle="1" w:styleId="250">
    <w:name w:val="正文文本缩进 2 字符"/>
    <w:qFormat/>
    <w:uiPriority w:val="0"/>
    <w:rPr>
      <w:rFonts w:ascii="宋体"/>
      <w:sz w:val="24"/>
    </w:rPr>
  </w:style>
  <w:style w:type="character" w:customStyle="1" w:styleId="251">
    <w:name w:val="列表段落 字符2"/>
    <w:link w:val="252"/>
    <w:qFormat/>
    <w:uiPriority w:val="34"/>
    <w:rPr>
      <w:szCs w:val="24"/>
    </w:rPr>
  </w:style>
  <w:style w:type="paragraph" w:customStyle="1" w:styleId="252">
    <w:name w:val="_Style 240"/>
    <w:basedOn w:val="1"/>
    <w:next w:val="111"/>
    <w:link w:val="251"/>
    <w:qFormat/>
    <w:uiPriority w:val="34"/>
    <w:pPr>
      <w:ind w:firstLine="420" w:firstLineChars="200"/>
    </w:pPr>
    <w:rPr>
      <w:rFonts w:asciiTheme="minorHAnsi" w:hAnsiTheme="minorHAnsi" w:eastAsiaTheme="minorEastAsia" w:cstheme="minorBidi"/>
    </w:rPr>
  </w:style>
  <w:style w:type="paragraph" w:customStyle="1" w:styleId="253">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4">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5">
    <w:name w:val="Char Char11"/>
    <w:basedOn w:val="1"/>
    <w:qFormat/>
    <w:uiPriority w:val="0"/>
    <w:rPr>
      <w:rFonts w:ascii="Tahoma" w:hAnsi="Tahoma"/>
      <w:kern w:val="0"/>
      <w:sz w:val="24"/>
      <w:szCs w:val="20"/>
    </w:rPr>
  </w:style>
  <w:style w:type="paragraph" w:customStyle="1" w:styleId="256">
    <w:name w:val="纯文本2"/>
    <w:basedOn w:val="1"/>
    <w:qFormat/>
    <w:uiPriority w:val="0"/>
    <w:pPr>
      <w:adjustRightInd w:val="0"/>
      <w:spacing w:line="360" w:lineRule="atLeast"/>
      <w:jc w:val="left"/>
    </w:pPr>
    <w:rPr>
      <w:rFonts w:ascii="宋体" w:hAnsi="Courier New"/>
      <w:kern w:val="0"/>
      <w:szCs w:val="21"/>
    </w:rPr>
  </w:style>
  <w:style w:type="paragraph" w:customStyle="1" w:styleId="257">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8">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59">
    <w:name w:val="font01"/>
    <w:basedOn w:val="49"/>
    <w:qFormat/>
    <w:uiPriority w:val="0"/>
    <w:rPr>
      <w:rFonts w:hint="eastAsia" w:ascii="宋体" w:hAnsi="宋体" w:eastAsia="宋体" w:cs="宋体"/>
      <w:color w:val="FF0000"/>
      <w:sz w:val="20"/>
      <w:szCs w:val="20"/>
      <w:u w:val="none"/>
    </w:rPr>
  </w:style>
  <w:style w:type="paragraph" w:customStyle="1" w:styleId="260">
    <w:name w:val="正文首行缩进 21"/>
    <w:qFormat/>
    <w:uiPriority w:val="0"/>
    <w:pPr>
      <w:ind w:firstLine="420"/>
    </w:pPr>
    <w:rPr>
      <w:rFonts w:ascii="Times New Roman" w:hAnsi="Times New Roman" w:eastAsia="Times New Roman" w:cs="Times New Roman"/>
      <w:sz w:val="21"/>
      <w:szCs w:val="22"/>
      <w:lang w:val="en-US" w:eastAsia="zh-CN" w:bidi="ar-SA"/>
    </w:rPr>
  </w:style>
  <w:style w:type="character" w:customStyle="1" w:styleId="261">
    <w:name w:val="页眉 字符1"/>
    <w:qFormat/>
    <w:uiPriority w:val="0"/>
    <w:rPr>
      <w:kern w:val="2"/>
      <w:sz w:val="18"/>
      <w:szCs w:val="18"/>
    </w:rPr>
  </w:style>
  <w:style w:type="character" w:customStyle="1" w:styleId="262">
    <w:name w:val="标题 字符1"/>
    <w:qFormat/>
    <w:uiPriority w:val="0"/>
    <w:rPr>
      <w:rFonts w:ascii="Cambria" w:hAnsi="Cambria"/>
      <w:b/>
      <w:bCs/>
      <w:kern w:val="2"/>
      <w:sz w:val="32"/>
      <w:szCs w:val="32"/>
    </w:rPr>
  </w:style>
  <w:style w:type="character" w:customStyle="1" w:styleId="263">
    <w:name w:val="标题 2 字符1"/>
    <w:link w:val="264"/>
    <w:qFormat/>
    <w:uiPriority w:val="0"/>
    <w:rPr>
      <w:rFonts w:ascii="Arial" w:hAnsi="Arial" w:eastAsia="黑体"/>
      <w:bCs/>
      <w:kern w:val="2"/>
      <w:sz w:val="36"/>
      <w:szCs w:val="36"/>
    </w:rPr>
  </w:style>
  <w:style w:type="paragraph" w:customStyle="1" w:styleId="264">
    <w:name w:val="标题 21"/>
    <w:basedOn w:val="1"/>
    <w:next w:val="1"/>
    <w:link w:val="263"/>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5">
    <w:name w:val="编号，小四"/>
    <w:basedOn w:val="266"/>
    <w:qFormat/>
    <w:uiPriority w:val="0"/>
    <w:pPr>
      <w:numPr>
        <w:ilvl w:val="0"/>
        <w:numId w:val="3"/>
      </w:numPr>
      <w:ind w:firstLine="0" w:firstLineChars="0"/>
    </w:pPr>
    <w:rPr>
      <w:sz w:val="24"/>
    </w:rPr>
  </w:style>
  <w:style w:type="paragraph" w:customStyle="1" w:styleId="266">
    <w:name w:val="正文四号"/>
    <w:basedOn w:val="1"/>
    <w:link w:val="267"/>
    <w:qFormat/>
    <w:uiPriority w:val="0"/>
    <w:pPr>
      <w:spacing w:line="360" w:lineRule="auto"/>
      <w:ind w:firstLine="200" w:firstLineChars="200"/>
    </w:pPr>
    <w:rPr>
      <w:rFonts w:ascii="Times New Roman" w:hAnsi="Times New Roman" w:cs="宋体"/>
      <w:sz w:val="28"/>
      <w:szCs w:val="20"/>
    </w:rPr>
  </w:style>
  <w:style w:type="character" w:customStyle="1" w:styleId="267">
    <w:name w:val="正文四号 Char"/>
    <w:link w:val="266"/>
    <w:qFormat/>
    <w:locked/>
    <w:uiPriority w:val="0"/>
    <w:rPr>
      <w:rFonts w:ascii="Times New Roman" w:hAnsi="Times New Roman" w:eastAsia="宋体" w:cs="宋体"/>
      <w:kern w:val="2"/>
      <w:sz w:val="28"/>
    </w:rPr>
  </w:style>
  <w:style w:type="paragraph" w:customStyle="1" w:styleId="268">
    <w:name w:val="编号，四号"/>
    <w:basedOn w:val="265"/>
    <w:qFormat/>
    <w:uiPriority w:val="0"/>
    <w:pPr>
      <w:numPr>
        <w:ilvl w:val="0"/>
        <w:numId w:val="4"/>
      </w:numPr>
    </w:pPr>
    <w:rPr>
      <w:sz w:val="28"/>
    </w:rPr>
  </w:style>
  <w:style w:type="paragraph" w:customStyle="1" w:styleId="269">
    <w:name w:val="表格表头"/>
    <w:basedOn w:val="1"/>
    <w:qFormat/>
    <w:uiPriority w:val="0"/>
    <w:pPr>
      <w:spacing w:line="360" w:lineRule="auto"/>
      <w:jc w:val="center"/>
    </w:pPr>
    <w:rPr>
      <w:rFonts w:ascii="宋体" w:hAnsi="宋体" w:eastAsia="黑体"/>
      <w:sz w:val="24"/>
      <w:szCs w:val="21"/>
    </w:rPr>
  </w:style>
  <w:style w:type="paragraph" w:customStyle="1" w:styleId="270">
    <w:name w:val="表格正文"/>
    <w:basedOn w:val="1"/>
    <w:link w:val="271"/>
    <w:qFormat/>
    <w:uiPriority w:val="0"/>
    <w:pPr>
      <w:spacing w:line="360" w:lineRule="auto"/>
      <w:ind w:firstLine="200" w:firstLineChars="200"/>
      <w:jc w:val="left"/>
    </w:pPr>
    <w:rPr>
      <w:rFonts w:ascii="Times New Roman" w:hAnsi="Times New Roman"/>
    </w:rPr>
  </w:style>
  <w:style w:type="character" w:customStyle="1" w:styleId="271">
    <w:name w:val="表格正文 Char"/>
    <w:link w:val="270"/>
    <w:qFormat/>
    <w:uiPriority w:val="0"/>
    <w:rPr>
      <w:rFonts w:ascii="Times New Roman" w:hAnsi="Times New Roman" w:eastAsia="宋体" w:cs="Times New Roman"/>
      <w:kern w:val="2"/>
      <w:sz w:val="21"/>
      <w:szCs w:val="24"/>
    </w:rPr>
  </w:style>
  <w:style w:type="paragraph" w:customStyle="1" w:styleId="272">
    <w:name w:val="表1"/>
    <w:basedOn w:val="1"/>
    <w:qFormat/>
    <w:uiPriority w:val="0"/>
    <w:pPr>
      <w:numPr>
        <w:ilvl w:val="0"/>
        <w:numId w:val="5"/>
      </w:numPr>
      <w:spacing w:line="360" w:lineRule="auto"/>
      <w:jc w:val="center"/>
    </w:pPr>
    <w:rPr>
      <w:rFonts w:ascii="Times New Roman" w:hAnsi="Times New Roman"/>
    </w:rPr>
  </w:style>
  <w:style w:type="paragraph" w:customStyle="1" w:styleId="273">
    <w:name w:val="CM51"/>
    <w:basedOn w:val="104"/>
    <w:next w:val="104"/>
    <w:qFormat/>
    <w:uiPriority w:val="0"/>
    <w:pPr>
      <w:spacing w:after="103"/>
    </w:pPr>
    <w:rPr>
      <w:rFonts w:ascii="黑体" w:hAnsi="Calibri" w:eastAsia="黑体" w:cs="Times New Roman"/>
      <w:color w:val="auto"/>
    </w:rPr>
  </w:style>
  <w:style w:type="character" w:customStyle="1" w:styleId="274">
    <w:name w:val="*正文 Char Char"/>
    <w:qFormat/>
    <w:uiPriority w:val="0"/>
    <w:rPr>
      <w:rFonts w:ascii="仿宋_GB2312" w:eastAsia="仿宋_GB2312"/>
      <w:kern w:val="2"/>
      <w:sz w:val="24"/>
      <w:szCs w:val="28"/>
    </w:rPr>
  </w:style>
  <w:style w:type="paragraph" w:customStyle="1" w:styleId="275">
    <w:name w:val="paragraph1"/>
    <w:basedOn w:val="1"/>
    <w:link w:val="276"/>
    <w:qFormat/>
    <w:uiPriority w:val="0"/>
    <w:pPr>
      <w:spacing w:afterLines="30" w:line="360" w:lineRule="auto"/>
      <w:ind w:firstLine="480" w:firstLineChars="200"/>
    </w:pPr>
    <w:rPr>
      <w:rFonts w:ascii="Verdana" w:hAnsi="Verdana"/>
      <w:sz w:val="24"/>
      <w:lang w:eastAsia="en-US"/>
    </w:rPr>
  </w:style>
  <w:style w:type="character" w:customStyle="1" w:styleId="276">
    <w:name w:val="paragraph1 Char"/>
    <w:link w:val="275"/>
    <w:qFormat/>
    <w:uiPriority w:val="0"/>
    <w:rPr>
      <w:rFonts w:ascii="Verdana" w:hAnsi="Verdana" w:eastAsia="宋体" w:cs="Times New Roman"/>
      <w:kern w:val="2"/>
      <w:sz w:val="24"/>
      <w:szCs w:val="24"/>
      <w:lang w:eastAsia="en-US"/>
    </w:rPr>
  </w:style>
  <w:style w:type="paragraph" w:customStyle="1" w:styleId="277">
    <w:name w:val="number1"/>
    <w:basedOn w:val="1"/>
    <w:link w:val="278"/>
    <w:qFormat/>
    <w:uiPriority w:val="0"/>
    <w:pPr>
      <w:tabs>
        <w:tab w:val="left" w:pos="840"/>
      </w:tabs>
      <w:spacing w:afterLines="30" w:line="360" w:lineRule="auto"/>
      <w:ind w:left="840" w:hanging="420"/>
    </w:pPr>
    <w:rPr>
      <w:rFonts w:ascii="Verdana" w:hAnsi="Verdana"/>
      <w:sz w:val="24"/>
      <w:lang w:eastAsia="en-US"/>
    </w:rPr>
  </w:style>
  <w:style w:type="character" w:customStyle="1" w:styleId="278">
    <w:name w:val="number1 Char"/>
    <w:link w:val="277"/>
    <w:qFormat/>
    <w:uiPriority w:val="0"/>
    <w:rPr>
      <w:rFonts w:ascii="Verdana" w:hAnsi="Verdana" w:eastAsia="宋体" w:cs="Times New Roman"/>
      <w:kern w:val="2"/>
      <w:sz w:val="24"/>
      <w:szCs w:val="24"/>
      <w:lang w:eastAsia="en-US"/>
    </w:rPr>
  </w:style>
  <w:style w:type="paragraph" w:customStyle="1" w:styleId="279">
    <w:name w:val="number"/>
    <w:basedOn w:val="1"/>
    <w:qFormat/>
    <w:uiPriority w:val="99"/>
    <w:pPr>
      <w:tabs>
        <w:tab w:val="left" w:pos="360"/>
      </w:tabs>
      <w:spacing w:beforeLines="20" w:afterLines="30" w:line="360" w:lineRule="auto"/>
    </w:pPr>
    <w:rPr>
      <w:rFonts w:ascii="Arial" w:hAnsi="Arial"/>
      <w:sz w:val="24"/>
    </w:rPr>
  </w:style>
  <w:style w:type="paragraph" w:customStyle="1" w:styleId="280">
    <w:name w:val="样式 number1 + (符号) 宋体"/>
    <w:basedOn w:val="277"/>
    <w:link w:val="281"/>
    <w:qFormat/>
    <w:uiPriority w:val="0"/>
    <w:pPr>
      <w:tabs>
        <w:tab w:val="left" w:pos="902"/>
        <w:tab w:val="clear" w:pos="840"/>
      </w:tabs>
      <w:spacing w:after="30"/>
      <w:ind w:left="400" w:leftChars="200" w:hanging="200" w:hangingChars="200"/>
    </w:pPr>
    <w:rPr>
      <w:rFonts w:cs="Arial"/>
    </w:rPr>
  </w:style>
  <w:style w:type="character" w:customStyle="1" w:styleId="281">
    <w:name w:val="样式 number1 + (符号) 宋体 Char"/>
    <w:link w:val="280"/>
    <w:qFormat/>
    <w:uiPriority w:val="0"/>
    <w:rPr>
      <w:rFonts w:ascii="Verdana" w:hAnsi="Verdana" w:eastAsia="宋体" w:cs="Arial"/>
      <w:kern w:val="2"/>
      <w:sz w:val="24"/>
      <w:szCs w:val="24"/>
      <w:lang w:eastAsia="en-US"/>
    </w:rPr>
  </w:style>
  <w:style w:type="paragraph" w:customStyle="1" w:styleId="282">
    <w:name w:val="正文22"/>
    <w:basedOn w:val="1"/>
    <w:link w:val="283"/>
    <w:qFormat/>
    <w:uiPriority w:val="0"/>
    <w:pPr>
      <w:spacing w:line="360" w:lineRule="auto"/>
      <w:ind w:firstLine="200" w:firstLineChars="200"/>
      <w:jc w:val="left"/>
    </w:pPr>
    <w:rPr>
      <w:rFonts w:ascii="宋体" w:hAnsi="宋体"/>
      <w:sz w:val="24"/>
    </w:rPr>
  </w:style>
  <w:style w:type="character" w:customStyle="1" w:styleId="283">
    <w:name w:val="正文22 字符"/>
    <w:link w:val="282"/>
    <w:qFormat/>
    <w:uiPriority w:val="0"/>
    <w:rPr>
      <w:rFonts w:ascii="宋体" w:hAnsi="宋体" w:eastAsia="宋体" w:cs="Times New Roman"/>
      <w:kern w:val="2"/>
      <w:sz w:val="24"/>
      <w:szCs w:val="24"/>
    </w:rPr>
  </w:style>
  <w:style w:type="paragraph" w:customStyle="1" w:styleId="284">
    <w:name w:val="正文00"/>
    <w:basedOn w:val="25"/>
    <w:link w:val="285"/>
    <w:qFormat/>
    <w:uiPriority w:val="0"/>
    <w:pPr>
      <w:tabs>
        <w:tab w:val="clear" w:pos="1440"/>
      </w:tabs>
      <w:ind w:left="0" w:leftChars="0" w:firstLine="0" w:firstLineChars="0"/>
      <w:jc w:val="left"/>
    </w:pPr>
    <w:rPr>
      <w:rFonts w:ascii="宋体" w:hAnsi="宋体"/>
      <w:smallCaps w:val="0"/>
      <w:sz w:val="24"/>
      <w:szCs w:val="32"/>
    </w:rPr>
  </w:style>
  <w:style w:type="character" w:customStyle="1" w:styleId="285">
    <w:name w:val="正文00 字符"/>
    <w:link w:val="284"/>
    <w:qFormat/>
    <w:uiPriority w:val="0"/>
    <w:rPr>
      <w:rFonts w:ascii="宋体" w:hAnsi="宋体" w:eastAsia="宋体" w:cs="Times New Roman"/>
      <w:kern w:val="2"/>
      <w:sz w:val="24"/>
      <w:szCs w:val="32"/>
      <w:lang w:val="en-US" w:eastAsia="zh-CN"/>
    </w:rPr>
  </w:style>
  <w:style w:type="character" w:customStyle="1" w:styleId="286">
    <w:name w:val="fontstyle01"/>
    <w:qFormat/>
    <w:uiPriority w:val="0"/>
    <w:rPr>
      <w:rFonts w:hint="default" w:ascii="仿宋" w:hAnsi="仿宋" w:eastAsia="宋体"/>
      <w:color w:val="000000"/>
      <w:sz w:val="24"/>
      <w:szCs w:val="24"/>
      <w:lang w:val="en-US" w:eastAsia="en-US" w:bidi="ar-SA"/>
    </w:rPr>
  </w:style>
  <w:style w:type="paragraph" w:customStyle="1" w:styleId="287">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8">
    <w:name w:val="样式 标题 7PIM 7（1）L71.1.1.1.1.1.1标题 7H7Legal Level 1.1.lette..."/>
    <w:basedOn w:val="8"/>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89">
    <w:name w:val="正文文本 31"/>
    <w:basedOn w:val="1"/>
    <w:next w:val="18"/>
    <w:link w:val="290"/>
    <w:qFormat/>
    <w:uiPriority w:val="0"/>
    <w:pPr>
      <w:spacing w:after="120"/>
    </w:pPr>
    <w:rPr>
      <w:rFonts w:ascii="Verdana" w:hAnsi="Verdana"/>
      <w:kern w:val="0"/>
      <w:sz w:val="16"/>
      <w:szCs w:val="16"/>
      <w:lang w:eastAsia="en-US"/>
    </w:rPr>
  </w:style>
  <w:style w:type="character" w:customStyle="1" w:styleId="290">
    <w:name w:val="正文文本 3 字符"/>
    <w:link w:val="289"/>
    <w:qFormat/>
    <w:uiPriority w:val="0"/>
    <w:rPr>
      <w:rFonts w:ascii="Verdana" w:hAnsi="Verdana" w:eastAsia="宋体" w:cs="Times New Roman"/>
      <w:sz w:val="16"/>
      <w:szCs w:val="16"/>
      <w:lang w:eastAsia="en-US"/>
    </w:rPr>
  </w:style>
  <w:style w:type="paragraph" w:customStyle="1" w:styleId="291">
    <w:name w:val="日期1"/>
    <w:basedOn w:val="1"/>
    <w:next w:val="1"/>
    <w:link w:val="292"/>
    <w:qFormat/>
    <w:uiPriority w:val="0"/>
    <w:pPr>
      <w:ind w:left="2500" w:leftChars="2500"/>
    </w:pPr>
    <w:rPr>
      <w:rFonts w:ascii="Verdana" w:hAnsi="Verdana" w:eastAsia="楷体_GB2312"/>
      <w:kern w:val="0"/>
      <w:sz w:val="32"/>
      <w:szCs w:val="28"/>
      <w:lang w:eastAsia="en-US"/>
    </w:rPr>
  </w:style>
  <w:style w:type="character" w:customStyle="1" w:styleId="292">
    <w:name w:val="日期 字符"/>
    <w:link w:val="291"/>
    <w:qFormat/>
    <w:uiPriority w:val="0"/>
    <w:rPr>
      <w:rFonts w:ascii="Verdana" w:hAnsi="Verdana" w:eastAsia="楷体_GB2312" w:cs="Times New Roman"/>
      <w:sz w:val="32"/>
      <w:szCs w:val="28"/>
      <w:lang w:eastAsia="en-US"/>
    </w:rPr>
  </w:style>
  <w:style w:type="paragraph" w:customStyle="1" w:styleId="293">
    <w:name w:val="正文文本缩进 21"/>
    <w:basedOn w:val="1"/>
    <w:next w:val="29"/>
    <w:link w:val="294"/>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4">
    <w:name w:val="正文文本缩进 2 字符1"/>
    <w:link w:val="293"/>
    <w:qFormat/>
    <w:uiPriority w:val="0"/>
    <w:rPr>
      <w:rFonts w:ascii="宋体" w:hAnsi="Verdana" w:eastAsia="宋体" w:cs="Times New Roman"/>
      <w:color w:val="000000"/>
      <w:sz w:val="24"/>
      <w:lang w:eastAsia="en-US"/>
    </w:rPr>
  </w:style>
  <w:style w:type="paragraph" w:customStyle="1" w:styleId="295">
    <w:name w:val="TOC 标题2"/>
    <w:basedOn w:val="2"/>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6">
    <w:name w:val="正文文本缩进 31"/>
    <w:basedOn w:val="1"/>
    <w:next w:val="39"/>
    <w:link w:val="297"/>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7">
    <w:name w:val="正文文本缩进 3 字符"/>
    <w:link w:val="296"/>
    <w:qFormat/>
    <w:uiPriority w:val="0"/>
    <w:rPr>
      <w:rFonts w:ascii="宋体" w:hAnsi="Verdana" w:eastAsia="宋体" w:cs="Times New Roman"/>
      <w:b/>
      <w:color w:val="000000"/>
      <w:sz w:val="36"/>
      <w:szCs w:val="24"/>
      <w:lang w:eastAsia="en-US"/>
    </w:rPr>
  </w:style>
  <w:style w:type="paragraph" w:customStyle="1" w:styleId="298">
    <w:name w:val="正文文本 21"/>
    <w:basedOn w:val="1"/>
    <w:next w:val="41"/>
    <w:link w:val="299"/>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299">
    <w:name w:val="正文文本 2 字符"/>
    <w:link w:val="298"/>
    <w:qFormat/>
    <w:uiPriority w:val="0"/>
    <w:rPr>
      <w:rFonts w:ascii="宋体" w:hAnsi="Verdana" w:eastAsia="宋体" w:cs="Times New Roman"/>
      <w:color w:val="000000"/>
      <w:sz w:val="24"/>
      <w:szCs w:val="24"/>
      <w:lang w:eastAsia="en-US"/>
    </w:rPr>
  </w:style>
  <w:style w:type="character" w:customStyle="1" w:styleId="300">
    <w:name w:val="访问过的超链接1"/>
    <w:qFormat/>
    <w:uiPriority w:val="0"/>
    <w:rPr>
      <w:rFonts w:ascii="Verdana" w:hAnsi="Verdana" w:eastAsia="宋体"/>
      <w:color w:val="800080"/>
      <w:sz w:val="28"/>
      <w:szCs w:val="28"/>
      <w:u w:val="single"/>
      <w:lang w:val="en-US" w:eastAsia="en-US" w:bidi="ar-SA"/>
    </w:rPr>
  </w:style>
  <w:style w:type="character" w:customStyle="1" w:styleId="301">
    <w:name w:val="标题 2 字符"/>
    <w:qFormat/>
    <w:uiPriority w:val="0"/>
    <w:rPr>
      <w:rFonts w:ascii="Cambria" w:hAnsi="Cambria" w:eastAsia="宋体" w:cs="Times New Roman"/>
      <w:b/>
      <w:bCs/>
      <w:sz w:val="32"/>
      <w:szCs w:val="32"/>
      <w:lang w:val="en-US" w:eastAsia="en-US" w:bidi="ar-SA"/>
    </w:rPr>
  </w:style>
  <w:style w:type="character" w:customStyle="1" w:styleId="302">
    <w:name w:val="标题 4 字符"/>
    <w:qFormat/>
    <w:uiPriority w:val="0"/>
    <w:rPr>
      <w:rFonts w:ascii="Cambria" w:hAnsi="Cambria" w:eastAsia="宋体" w:cs="Times New Roman"/>
      <w:b/>
      <w:bCs/>
      <w:sz w:val="28"/>
      <w:szCs w:val="28"/>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
    <w:next w:val="192"/>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link w:val="44"/>
    <w:qFormat/>
    <w:uiPriority w:val="10"/>
    <w:rPr>
      <w:rFonts w:ascii="等线 Light" w:hAnsi="等线 Light" w:cs="Times New Roman"/>
      <w:b/>
      <w:bCs/>
      <w:kern w:val="2"/>
      <w:sz w:val="32"/>
      <w:szCs w:val="32"/>
    </w:rPr>
  </w:style>
  <w:style w:type="paragraph" w:customStyle="1" w:styleId="319">
    <w:name w:val="模板普通正文"/>
    <w:basedOn w:val="21"/>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4"/>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line="360" w:lineRule="auto"/>
      <w:jc w:val="center"/>
      <w:outlineLvl w:val="0"/>
    </w:pPr>
    <w:rPr>
      <w:rFonts w:ascii="Calibri" w:hAnsi="Calibri" w:eastAsia="黑体" w:cs="Times New Roman"/>
      <w:b/>
      <w:kern w:val="44"/>
      <w:sz w:val="36"/>
      <w:szCs w:val="20"/>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62993</Words>
  <Characters>68956</Characters>
  <Lines>1</Lines>
  <Paragraphs>1</Paragraphs>
  <TotalTime>4</TotalTime>
  <ScaleCrop>false</ScaleCrop>
  <LinksUpToDate>false</LinksUpToDate>
  <CharactersWithSpaces>70339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2024-04-02T21:23:00Z</dcterms:created>
  <dc:creator>戴艳燕</dc:creator>
  <cp:lastModifiedBy>陈金泉</cp:lastModifiedBy>
  <cp:lastPrinted>2023-03-16T06:19:00Z</cp:lastPrinted>
  <dcterms:modified xsi:type="dcterms:W3CDTF">2024-09-18T08:11:49Z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B06A04946D3C41208B4CBE0C8B7BEAAC</vt:lpwstr>
  </property>
</Properties>
</file>