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7BD02E8">
      <w:pPr>
        <w:spacing w:after="120" w:line="360" w:lineRule="auto"/>
        <w:jc w:val="center"/>
        <w:rPr>
          <w:rFonts w:ascii="宋体" w:hAnsi="宋体"/>
          <w:b/>
          <w:color w:val="000000" w:themeColor="text1"/>
          <w:sz w:val="52"/>
          <w:highlight w:val="none"/>
          <w14:textFill>
            <w14:solidFill>
              <w14:schemeClr w14:val="tx1"/>
            </w14:solidFill>
          </w14:textFill>
        </w:rPr>
      </w:pPr>
    </w:p>
    <w:p w14:paraId="38994BCA">
      <w:pPr>
        <w:spacing w:after="120" w:line="360" w:lineRule="auto"/>
        <w:jc w:val="center"/>
        <w:rPr>
          <w:rFonts w:ascii="宋体" w:hAnsi="宋体"/>
          <w:b/>
          <w:color w:val="000000" w:themeColor="text1"/>
          <w:sz w:val="48"/>
          <w:highlight w:val="none"/>
          <w14:textFill>
            <w14:solidFill>
              <w14:schemeClr w14:val="tx1"/>
            </w14:solidFill>
          </w14:textFill>
        </w:rPr>
      </w:pPr>
      <w:r>
        <w:rPr>
          <w:rFonts w:hint="eastAsia" w:ascii="宋体" w:hAnsi="宋体"/>
          <w:b/>
          <w:color w:val="000000" w:themeColor="text1"/>
          <w:sz w:val="48"/>
          <w:highlight w:val="none"/>
          <w14:textFill>
            <w14:solidFill>
              <w14:schemeClr w14:val="tx1"/>
            </w14:solidFill>
          </w14:textFill>
        </w:rPr>
        <w:t>政府采购项目</w:t>
      </w:r>
    </w:p>
    <w:p w14:paraId="3570A7B7">
      <w:pPr>
        <w:spacing w:after="120" w:line="360" w:lineRule="auto"/>
        <w:jc w:val="center"/>
        <w:rPr>
          <w:rFonts w:ascii="宋体" w:hAnsi="宋体"/>
          <w:b/>
          <w:color w:val="000000" w:themeColor="text1"/>
          <w:sz w:val="72"/>
          <w:highlight w:val="none"/>
          <w14:textFill>
            <w14:solidFill>
              <w14:schemeClr w14:val="tx1"/>
            </w14:solidFill>
          </w14:textFill>
        </w:rPr>
      </w:pPr>
      <w:r>
        <w:rPr>
          <w:rFonts w:hint="eastAsia" w:ascii="宋体" w:hAnsi="宋体"/>
          <w:b/>
          <w:color w:val="000000" w:themeColor="text1"/>
          <w:sz w:val="72"/>
          <w:highlight w:val="none"/>
          <w14:textFill>
            <w14:solidFill>
              <w14:schemeClr w14:val="tx1"/>
            </w14:solidFill>
          </w14:textFill>
        </w:rPr>
        <w:t>公开招标招标文件</w:t>
      </w:r>
    </w:p>
    <w:p w14:paraId="1D0E76FA">
      <w:pPr>
        <w:spacing w:line="360" w:lineRule="auto"/>
        <w:jc w:val="center"/>
        <w:rPr>
          <w:rFonts w:ascii="宋体" w:hAnsi="宋体"/>
          <w:b/>
          <w:color w:val="000000" w:themeColor="text1"/>
          <w:sz w:val="40"/>
          <w:highlight w:val="none"/>
          <w14:textFill>
            <w14:solidFill>
              <w14:schemeClr w14:val="tx1"/>
            </w14:solidFill>
          </w14:textFill>
        </w:rPr>
      </w:pPr>
      <w:r>
        <w:rPr>
          <w:rFonts w:hint="eastAsia" w:ascii="宋体" w:hAnsi="宋体"/>
          <w:b/>
          <w:color w:val="000000" w:themeColor="text1"/>
          <w:sz w:val="40"/>
          <w:highlight w:val="none"/>
          <w14:textFill>
            <w14:solidFill>
              <w14:schemeClr w14:val="tx1"/>
            </w14:solidFill>
          </w14:textFill>
        </w:rPr>
        <w:t>(服务类)</w:t>
      </w:r>
    </w:p>
    <w:p w14:paraId="4A7C4F2F">
      <w:pPr>
        <w:spacing w:line="360" w:lineRule="auto"/>
        <w:rPr>
          <w:rFonts w:ascii="宋体" w:hAnsi="宋体"/>
          <w:b/>
          <w:color w:val="000000" w:themeColor="text1"/>
          <w:highlight w:val="none"/>
          <w14:textFill>
            <w14:solidFill>
              <w14:schemeClr w14:val="tx1"/>
            </w14:solidFill>
          </w14:textFill>
        </w:rPr>
      </w:pPr>
    </w:p>
    <w:p w14:paraId="46B7720D">
      <w:pPr>
        <w:spacing w:line="360" w:lineRule="auto"/>
        <w:rPr>
          <w:rFonts w:ascii="宋体" w:hAnsi="宋体"/>
          <w:b/>
          <w:color w:val="000000" w:themeColor="text1"/>
          <w:highlight w:val="none"/>
          <w14:textFill>
            <w14:solidFill>
              <w14:schemeClr w14:val="tx1"/>
            </w14:solidFill>
          </w14:textFill>
        </w:rPr>
      </w:pPr>
    </w:p>
    <w:p w14:paraId="6E842C9A">
      <w:pPr>
        <w:spacing w:line="360" w:lineRule="auto"/>
        <w:ind w:firstLine="529" w:firstLineChars="147"/>
        <w:rPr>
          <w:rFonts w:ascii="宋体" w:hAnsi="宋体"/>
          <w:b/>
          <w:color w:val="000000" w:themeColor="text1"/>
          <w:sz w:val="36"/>
          <w:szCs w:val="36"/>
          <w:highlight w:val="none"/>
          <w14:textFill>
            <w14:solidFill>
              <w14:schemeClr w14:val="tx1"/>
            </w14:solidFill>
          </w14:textFill>
        </w:rPr>
      </w:pPr>
    </w:p>
    <w:p w14:paraId="493044CE">
      <w:pPr>
        <w:spacing w:line="360" w:lineRule="auto"/>
        <w:ind w:firstLine="529" w:firstLineChars="147"/>
        <w:rPr>
          <w:rFonts w:hint="eastAsia" w:ascii="宋体" w:hAnsi="宋体" w:eastAsia="宋体"/>
          <w:b/>
          <w:color w:val="000000" w:themeColor="text1"/>
          <w:sz w:val="36"/>
          <w:szCs w:val="36"/>
          <w:highlight w:val="none"/>
          <w:u w:val="single"/>
          <w:lang w:eastAsia="zh-CN"/>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招标编号：</w:t>
      </w:r>
      <w:r>
        <w:rPr>
          <w:rFonts w:hint="eastAsia" w:ascii="宋体" w:hAnsi="宋体"/>
          <w:b/>
          <w:color w:val="000000" w:themeColor="text1"/>
          <w:sz w:val="36"/>
          <w:szCs w:val="36"/>
          <w:highlight w:val="none"/>
          <w:u w:val="single"/>
          <w:lang w:eastAsia="zh-CN"/>
          <w14:textFill>
            <w14:solidFill>
              <w14:schemeClr w14:val="tx1"/>
            </w14:solidFill>
          </w14:textFill>
        </w:rPr>
        <w:t>NBGODOZB224175G-1</w:t>
      </w:r>
    </w:p>
    <w:p w14:paraId="714ACDBD">
      <w:pPr>
        <w:spacing w:line="360" w:lineRule="auto"/>
        <w:rPr>
          <w:rFonts w:ascii="宋体" w:hAnsi="宋体"/>
          <w:b/>
          <w:color w:val="000000" w:themeColor="text1"/>
          <w:sz w:val="36"/>
          <w:szCs w:val="36"/>
          <w:highlight w:val="none"/>
          <w14:textFill>
            <w14:solidFill>
              <w14:schemeClr w14:val="tx1"/>
            </w14:solidFill>
          </w14:textFill>
        </w:rPr>
      </w:pPr>
    </w:p>
    <w:p w14:paraId="6A2DA90D">
      <w:pPr>
        <w:spacing w:line="360" w:lineRule="auto"/>
        <w:rPr>
          <w:rFonts w:ascii="宋体" w:hAnsi="宋体"/>
          <w:b/>
          <w:color w:val="000000" w:themeColor="text1"/>
          <w:sz w:val="36"/>
          <w:szCs w:val="36"/>
          <w:highlight w:val="none"/>
          <w14:textFill>
            <w14:solidFill>
              <w14:schemeClr w14:val="tx1"/>
            </w14:solidFill>
          </w14:textFill>
        </w:rPr>
      </w:pPr>
    </w:p>
    <w:p w14:paraId="154F6C77">
      <w:pPr>
        <w:tabs>
          <w:tab w:val="left" w:pos="0"/>
        </w:tabs>
        <w:spacing w:line="360" w:lineRule="auto"/>
        <w:ind w:left="2299" w:leftChars="238" w:hanging="1800" w:hangingChars="500"/>
        <w:rPr>
          <w:rFonts w:hint="eastAsia" w:ascii="宋体" w:hAnsi="宋体" w:eastAsia="宋体"/>
          <w:b/>
          <w:color w:val="000000" w:themeColor="text1"/>
          <w:sz w:val="36"/>
          <w:szCs w:val="36"/>
          <w:highlight w:val="none"/>
          <w:u w:val="single"/>
          <w:lang w:eastAsia="zh-CN"/>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项目名称：</w:t>
      </w:r>
      <w:r>
        <w:rPr>
          <w:rFonts w:hint="eastAsia" w:ascii="宋体" w:hAnsi="宋体"/>
          <w:b/>
          <w:color w:val="000000" w:themeColor="text1"/>
          <w:sz w:val="36"/>
          <w:szCs w:val="36"/>
          <w:highlight w:val="none"/>
          <w:u w:val="single"/>
          <w:lang w:eastAsia="zh-CN"/>
          <w14:textFill>
            <w14:solidFill>
              <w14:schemeClr w14:val="tx1"/>
            </w14:solidFill>
          </w14:textFill>
        </w:rPr>
        <w:t>安全生产和消防安全第三方服务采购项目（梅林街道）（重发）</w:t>
      </w:r>
    </w:p>
    <w:p w14:paraId="76D969A4">
      <w:pPr>
        <w:spacing w:line="360" w:lineRule="auto"/>
        <w:ind w:firstLine="360" w:firstLineChars="100"/>
        <w:rPr>
          <w:rFonts w:ascii="宋体" w:hAnsi="宋体"/>
          <w:b/>
          <w:color w:val="000000" w:themeColor="text1"/>
          <w:sz w:val="36"/>
          <w:szCs w:val="36"/>
          <w:highlight w:val="none"/>
          <w14:textFill>
            <w14:solidFill>
              <w14:schemeClr w14:val="tx1"/>
            </w14:solidFill>
          </w14:textFill>
        </w:rPr>
      </w:pPr>
    </w:p>
    <w:p w14:paraId="305DA145">
      <w:pPr>
        <w:spacing w:line="360" w:lineRule="auto"/>
        <w:ind w:left="452" w:leftChars="200" w:hanging="32" w:hangingChars="9"/>
        <w:rPr>
          <w:rFonts w:hint="eastAsia" w:ascii="宋体" w:hAnsi="宋体"/>
          <w:b/>
          <w:color w:val="000000" w:themeColor="text1"/>
          <w:sz w:val="36"/>
          <w:szCs w:val="36"/>
          <w:highlight w:val="none"/>
          <w14:textFill>
            <w14:solidFill>
              <w14:schemeClr w14:val="tx1"/>
            </w14:solidFill>
          </w14:textFill>
        </w:rPr>
      </w:pPr>
    </w:p>
    <w:p w14:paraId="469BD79A">
      <w:pPr>
        <w:spacing w:line="360" w:lineRule="auto"/>
        <w:ind w:left="452" w:leftChars="200" w:hanging="32" w:hangingChars="9"/>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采 购 人：</w:t>
      </w:r>
      <w:r>
        <w:rPr>
          <w:rFonts w:hint="eastAsia" w:ascii="宋体" w:hAnsi="宋体"/>
          <w:b/>
          <w:color w:val="000000" w:themeColor="text1"/>
          <w:sz w:val="36"/>
          <w:szCs w:val="36"/>
          <w:highlight w:val="none"/>
          <w:u w:val="single"/>
          <w14:textFill>
            <w14:solidFill>
              <w14:schemeClr w14:val="tx1"/>
            </w14:solidFill>
          </w14:textFill>
        </w:rPr>
        <w:t>宁海县人民政府梅林街道办事处</w:t>
      </w:r>
    </w:p>
    <w:p w14:paraId="665D887E">
      <w:pPr>
        <w:spacing w:line="360" w:lineRule="auto"/>
        <w:ind w:left="452" w:leftChars="200" w:hanging="32" w:hangingChars="9"/>
        <w:rPr>
          <w:rFonts w:hint="eastAsia" w:ascii="宋体" w:hAnsi="宋体"/>
          <w:b/>
          <w:color w:val="000000" w:themeColor="text1"/>
          <w:sz w:val="36"/>
          <w:szCs w:val="36"/>
          <w:highlight w:val="none"/>
          <w14:textFill>
            <w14:solidFill>
              <w14:schemeClr w14:val="tx1"/>
            </w14:solidFill>
          </w14:textFill>
        </w:rPr>
      </w:pPr>
    </w:p>
    <w:p w14:paraId="56747762">
      <w:pPr>
        <w:spacing w:line="360" w:lineRule="auto"/>
        <w:ind w:left="452" w:leftChars="200" w:hanging="32" w:hangingChars="9"/>
        <w:rPr>
          <w:rFonts w:hint="eastAsia" w:ascii="宋体" w:hAnsi="宋体"/>
          <w:b/>
          <w:color w:val="000000" w:themeColor="text1"/>
          <w:sz w:val="36"/>
          <w:szCs w:val="36"/>
          <w:highlight w:val="none"/>
          <w14:textFill>
            <w14:solidFill>
              <w14:schemeClr w14:val="tx1"/>
            </w14:solidFill>
          </w14:textFill>
        </w:rPr>
      </w:pPr>
    </w:p>
    <w:p w14:paraId="61D080E5">
      <w:pPr>
        <w:spacing w:line="360" w:lineRule="auto"/>
        <w:ind w:left="452" w:leftChars="200" w:hanging="32" w:hangingChars="9"/>
        <w:rPr>
          <w:rFonts w:hint="eastAsia" w:ascii="宋体" w:hAnsi="宋体"/>
          <w:b/>
          <w:color w:val="000000" w:themeColor="text1"/>
          <w:sz w:val="36"/>
          <w:szCs w:val="36"/>
          <w:highlight w:val="none"/>
          <w14:textFill>
            <w14:solidFill>
              <w14:schemeClr w14:val="tx1"/>
            </w14:solidFill>
          </w14:textFill>
        </w:rPr>
      </w:pPr>
    </w:p>
    <w:p w14:paraId="1C34B231">
      <w:pPr>
        <w:spacing w:line="360" w:lineRule="auto"/>
        <w:ind w:left="452" w:leftChars="200" w:hanging="32" w:hangingChars="9"/>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采购代理机构：</w:t>
      </w:r>
      <w:r>
        <w:rPr>
          <w:rFonts w:hint="eastAsia" w:ascii="宋体" w:hAnsi="宋体"/>
          <w:b/>
          <w:color w:val="000000" w:themeColor="text1"/>
          <w:sz w:val="36"/>
          <w:szCs w:val="36"/>
          <w:highlight w:val="none"/>
          <w:u w:val="single"/>
          <w14:textFill>
            <w14:solidFill>
              <w14:schemeClr w14:val="tx1"/>
            </w14:solidFill>
          </w14:textFill>
        </w:rPr>
        <w:t>宁波国际投资咨询有限公司</w:t>
      </w:r>
    </w:p>
    <w:p w14:paraId="385B0E4E">
      <w:pPr>
        <w:spacing w:line="360" w:lineRule="auto"/>
        <w:jc w:val="center"/>
        <w:rPr>
          <w:rFonts w:hint="eastAsia" w:ascii="宋体" w:hAnsi="宋体"/>
          <w:b/>
          <w:color w:val="000000" w:themeColor="text1"/>
          <w:sz w:val="36"/>
          <w:szCs w:val="36"/>
          <w:highlight w:val="none"/>
          <w14:textFill>
            <w14:solidFill>
              <w14:schemeClr w14:val="tx1"/>
            </w14:solidFill>
          </w14:textFill>
        </w:rPr>
      </w:pPr>
    </w:p>
    <w:p w14:paraId="5446ABC0">
      <w:pPr>
        <w:spacing w:line="360" w:lineRule="auto"/>
        <w:jc w:val="center"/>
        <w:rPr>
          <w:rFonts w:hint="eastAsia" w:ascii="宋体" w:hAnsi="宋体"/>
          <w:b/>
          <w:color w:val="000000" w:themeColor="text1"/>
          <w:sz w:val="36"/>
          <w:szCs w:val="36"/>
          <w:highlight w:val="none"/>
          <w14:textFill>
            <w14:solidFill>
              <w14:schemeClr w14:val="tx1"/>
            </w14:solidFill>
          </w14:textFill>
        </w:rPr>
      </w:pPr>
    </w:p>
    <w:p w14:paraId="4C16F91F">
      <w:pPr>
        <w:spacing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2024年</w:t>
      </w:r>
      <w:r>
        <w:rPr>
          <w:rFonts w:hint="eastAsia" w:ascii="宋体" w:hAnsi="宋体"/>
          <w:b/>
          <w:color w:val="000000" w:themeColor="text1"/>
          <w:sz w:val="36"/>
          <w:szCs w:val="36"/>
          <w:highlight w:val="none"/>
          <w:lang w:val="en-US" w:eastAsia="zh-CN"/>
          <w14:textFill>
            <w14:solidFill>
              <w14:schemeClr w14:val="tx1"/>
            </w14:solidFill>
          </w14:textFill>
        </w:rPr>
        <w:t>10</w:t>
      </w:r>
      <w:r>
        <w:rPr>
          <w:rFonts w:hint="eastAsia" w:ascii="宋体" w:hAnsi="宋体"/>
          <w:b/>
          <w:color w:val="000000" w:themeColor="text1"/>
          <w:sz w:val="36"/>
          <w:szCs w:val="36"/>
          <w:highlight w:val="none"/>
          <w14:textFill>
            <w14:solidFill>
              <w14:schemeClr w14:val="tx1"/>
            </w14:solidFill>
          </w14:textFill>
        </w:rPr>
        <w:t>月</w:t>
      </w:r>
    </w:p>
    <w:p w14:paraId="28B1F673">
      <w:pPr>
        <w:spacing w:line="360" w:lineRule="auto"/>
        <w:jc w:val="center"/>
        <w:rPr>
          <w:rFonts w:ascii="宋体" w:hAnsi="宋体"/>
          <w:b/>
          <w:color w:val="000000" w:themeColor="text1"/>
          <w:sz w:val="36"/>
          <w:highlight w:val="none"/>
          <w14:textFill>
            <w14:solidFill>
              <w14:schemeClr w14:val="tx1"/>
            </w14:solidFill>
          </w14:textFill>
        </w:rPr>
      </w:pPr>
    </w:p>
    <w:p w14:paraId="455FEDBD">
      <w:pPr>
        <w:spacing w:line="360" w:lineRule="auto"/>
        <w:jc w:val="center"/>
        <w:rPr>
          <w:rFonts w:ascii="宋体" w:hAnsi="宋体"/>
          <w:b/>
          <w:color w:val="000000" w:themeColor="text1"/>
          <w:sz w:val="36"/>
          <w:highlight w:val="none"/>
          <w14:textFill>
            <w14:solidFill>
              <w14:schemeClr w14:val="tx1"/>
            </w14:solidFill>
          </w14:textFill>
        </w:rPr>
      </w:pPr>
    </w:p>
    <w:p w14:paraId="1999CD68">
      <w:pPr>
        <w:spacing w:line="360" w:lineRule="auto"/>
        <w:jc w:val="center"/>
        <w:rPr>
          <w:rFonts w:ascii="宋体" w:hAnsi="宋体"/>
          <w:b/>
          <w:color w:val="000000" w:themeColor="text1"/>
          <w:sz w:val="36"/>
          <w:highlight w:val="none"/>
          <w14:textFill>
            <w14:solidFill>
              <w14:schemeClr w14:val="tx1"/>
            </w14:solidFill>
          </w14:textFill>
        </w:rPr>
      </w:pPr>
    </w:p>
    <w:p w14:paraId="4F269AA7">
      <w:pPr>
        <w:spacing w:line="360" w:lineRule="auto"/>
        <w:jc w:val="center"/>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目    录</w:t>
      </w:r>
    </w:p>
    <w:p w14:paraId="382DF1EF">
      <w:pPr>
        <w:spacing w:line="360" w:lineRule="auto"/>
        <w:jc w:val="center"/>
        <w:rPr>
          <w:rFonts w:ascii="宋体" w:hAnsi="宋体"/>
          <w:b/>
          <w:color w:val="000000" w:themeColor="text1"/>
          <w:sz w:val="36"/>
          <w:highlight w:val="none"/>
          <w14:textFill>
            <w14:solidFill>
              <w14:schemeClr w14:val="tx1"/>
            </w14:solidFill>
          </w14:textFill>
        </w:rPr>
      </w:pPr>
    </w:p>
    <w:p w14:paraId="4B581269">
      <w:pPr>
        <w:pStyle w:val="25"/>
        <w:tabs>
          <w:tab w:val="right" w:leader="dot" w:pos="8930"/>
        </w:tabs>
        <w:rPr>
          <w:b/>
          <w:bCs/>
          <w:color w:val="000000" w:themeColor="text1"/>
          <w:sz w:val="28"/>
          <w:szCs w:val="28"/>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fldChar w:fldCharType="begin"/>
      </w:r>
      <w:r>
        <w:rPr>
          <w:rFonts w:ascii="宋体" w:hAnsi="宋体"/>
          <w:b/>
          <w:color w:val="000000" w:themeColor="text1"/>
          <w:highlight w:val="none"/>
          <w14:textFill>
            <w14:solidFill>
              <w14:schemeClr w14:val="tx1"/>
            </w14:solidFill>
          </w14:textFill>
        </w:rPr>
        <w:instrText xml:space="preserve"> TOC \o "1-3" \h \z \u </w:instrText>
      </w:r>
      <w:r>
        <w:rPr>
          <w:rFonts w:ascii="宋体" w:hAnsi="宋体"/>
          <w:b/>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"_Toc17296" </w:instrText>
      </w:r>
      <w:r>
        <w:rPr>
          <w:color w:val="000000" w:themeColor="text1"/>
          <w:highlight w:val="none"/>
          <w14:textFill>
            <w14:solidFill>
              <w14:schemeClr w14:val="tx1"/>
            </w14:solidFill>
          </w14:textFill>
        </w:rPr>
        <w:fldChar w:fldCharType="separate"/>
      </w:r>
      <w:r>
        <w:rPr>
          <w:rFonts w:hint="eastAsia" w:ascii="宋体" w:hAnsi="宋体"/>
          <w:b/>
          <w:bCs/>
          <w:color w:val="000000" w:themeColor="text1"/>
          <w:sz w:val="28"/>
          <w:szCs w:val="28"/>
          <w:highlight w:val="none"/>
          <w14:textFill>
            <w14:solidFill>
              <w14:schemeClr w14:val="tx1"/>
            </w14:solidFill>
          </w14:textFill>
        </w:rPr>
        <w:t>第一部分  采购公告</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_Toc17296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1</w:t>
      </w:r>
      <w:r>
        <w:rPr>
          <w:b/>
          <w:bCs/>
          <w:color w:val="000000" w:themeColor="text1"/>
          <w:sz w:val="28"/>
          <w:szCs w:val="28"/>
          <w:highlight w:val="none"/>
          <w14:textFill>
            <w14:solidFill>
              <w14:schemeClr w14:val="tx1"/>
            </w14:solidFill>
          </w14:textFill>
        </w:rPr>
        <w:fldChar w:fldCharType="end"/>
      </w:r>
      <w:r>
        <w:rPr>
          <w:b/>
          <w:bCs/>
          <w:color w:val="000000" w:themeColor="text1"/>
          <w:sz w:val="28"/>
          <w:szCs w:val="28"/>
          <w:highlight w:val="none"/>
          <w14:textFill>
            <w14:solidFill>
              <w14:schemeClr w14:val="tx1"/>
            </w14:solidFill>
          </w14:textFill>
        </w:rPr>
        <w:fldChar w:fldCharType="end"/>
      </w:r>
    </w:p>
    <w:p w14:paraId="6B4BBE78">
      <w:pPr>
        <w:pStyle w:val="25"/>
        <w:tabs>
          <w:tab w:val="right" w:leader="dot" w:pos="8930"/>
        </w:tabs>
        <w:rPr>
          <w:b/>
          <w:bC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"_Toc6697" </w:instrText>
      </w:r>
      <w:r>
        <w:rPr>
          <w:color w:val="000000" w:themeColor="text1"/>
          <w:highlight w:val="none"/>
          <w14:textFill>
            <w14:solidFill>
              <w14:schemeClr w14:val="tx1"/>
            </w14:solidFill>
          </w14:textFill>
        </w:rPr>
        <w:fldChar w:fldCharType="separate"/>
      </w:r>
      <w:r>
        <w:rPr>
          <w:rFonts w:hint="eastAsia" w:ascii="宋体" w:hAnsi="宋体"/>
          <w:b/>
          <w:bCs/>
          <w:color w:val="000000" w:themeColor="text1"/>
          <w:sz w:val="28"/>
          <w:szCs w:val="28"/>
          <w:highlight w:val="none"/>
          <w14:textFill>
            <w14:solidFill>
              <w14:schemeClr w14:val="tx1"/>
            </w14:solidFill>
          </w14:textFill>
        </w:rPr>
        <w:t>第二部分  招标项目需求</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_Toc6697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5</w:t>
      </w:r>
      <w:r>
        <w:rPr>
          <w:b/>
          <w:bCs/>
          <w:color w:val="000000" w:themeColor="text1"/>
          <w:sz w:val="28"/>
          <w:szCs w:val="28"/>
          <w:highlight w:val="none"/>
          <w14:textFill>
            <w14:solidFill>
              <w14:schemeClr w14:val="tx1"/>
            </w14:solidFill>
          </w14:textFill>
        </w:rPr>
        <w:fldChar w:fldCharType="end"/>
      </w:r>
      <w:r>
        <w:rPr>
          <w:b/>
          <w:bCs/>
          <w:color w:val="000000" w:themeColor="text1"/>
          <w:sz w:val="28"/>
          <w:szCs w:val="28"/>
          <w:highlight w:val="none"/>
          <w14:textFill>
            <w14:solidFill>
              <w14:schemeClr w14:val="tx1"/>
            </w14:solidFill>
          </w14:textFill>
        </w:rPr>
        <w:fldChar w:fldCharType="end"/>
      </w:r>
    </w:p>
    <w:p w14:paraId="2AD5A8B1">
      <w:pPr>
        <w:pStyle w:val="25"/>
        <w:tabs>
          <w:tab w:val="right" w:leader="dot" w:pos="8930"/>
        </w:tabs>
        <w:rPr>
          <w:b/>
          <w:bC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"_Toc14705" </w:instrText>
      </w:r>
      <w:r>
        <w:rPr>
          <w:color w:val="000000" w:themeColor="text1"/>
          <w:highlight w:val="none"/>
          <w14:textFill>
            <w14:solidFill>
              <w14:schemeClr w14:val="tx1"/>
            </w14:solidFill>
          </w14:textFill>
        </w:rPr>
        <w:fldChar w:fldCharType="separate"/>
      </w:r>
      <w:r>
        <w:rPr>
          <w:rFonts w:hint="eastAsia" w:ascii="宋体" w:hAnsi="宋体"/>
          <w:b/>
          <w:bCs/>
          <w:color w:val="000000" w:themeColor="text1"/>
          <w:sz w:val="28"/>
          <w:szCs w:val="28"/>
          <w:highlight w:val="none"/>
          <w14:textFill>
            <w14:solidFill>
              <w14:schemeClr w14:val="tx1"/>
            </w14:solidFill>
          </w14:textFill>
        </w:rPr>
        <w:t>第三部分  投标资料表</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_Toc14705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7</w:t>
      </w:r>
      <w:r>
        <w:rPr>
          <w:b/>
          <w:bCs/>
          <w:color w:val="000000" w:themeColor="text1"/>
          <w:sz w:val="28"/>
          <w:szCs w:val="28"/>
          <w:highlight w:val="none"/>
          <w14:textFill>
            <w14:solidFill>
              <w14:schemeClr w14:val="tx1"/>
            </w14:solidFill>
          </w14:textFill>
        </w:rPr>
        <w:fldChar w:fldCharType="end"/>
      </w:r>
      <w:r>
        <w:rPr>
          <w:b/>
          <w:bCs/>
          <w:color w:val="000000" w:themeColor="text1"/>
          <w:sz w:val="28"/>
          <w:szCs w:val="28"/>
          <w:highlight w:val="none"/>
          <w14:textFill>
            <w14:solidFill>
              <w14:schemeClr w14:val="tx1"/>
            </w14:solidFill>
          </w14:textFill>
        </w:rPr>
        <w:fldChar w:fldCharType="end"/>
      </w:r>
    </w:p>
    <w:p w14:paraId="40A8D74D">
      <w:pPr>
        <w:pStyle w:val="25"/>
        <w:tabs>
          <w:tab w:val="right" w:leader="dot" w:pos="8930"/>
        </w:tabs>
        <w:rPr>
          <w:b/>
          <w:bC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"_Toc22855" </w:instrText>
      </w:r>
      <w:r>
        <w:rPr>
          <w:color w:val="000000" w:themeColor="text1"/>
          <w:highlight w:val="none"/>
          <w14:textFill>
            <w14:solidFill>
              <w14:schemeClr w14:val="tx1"/>
            </w14:solidFill>
          </w14:textFill>
        </w:rPr>
        <w:fldChar w:fldCharType="separate"/>
      </w:r>
      <w:r>
        <w:rPr>
          <w:rFonts w:hint="eastAsia"/>
          <w:b/>
          <w:bCs/>
          <w:color w:val="000000" w:themeColor="text1"/>
          <w:sz w:val="28"/>
          <w:szCs w:val="28"/>
          <w:highlight w:val="none"/>
          <w14:textFill>
            <w14:solidFill>
              <w14:schemeClr w14:val="tx1"/>
            </w14:solidFill>
          </w14:textFill>
        </w:rPr>
        <w:t>第四部分  投标人须知</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_Toc22855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15</w:t>
      </w:r>
      <w:r>
        <w:rPr>
          <w:b/>
          <w:bCs/>
          <w:color w:val="000000" w:themeColor="text1"/>
          <w:sz w:val="28"/>
          <w:szCs w:val="28"/>
          <w:highlight w:val="none"/>
          <w14:textFill>
            <w14:solidFill>
              <w14:schemeClr w14:val="tx1"/>
            </w14:solidFill>
          </w14:textFill>
        </w:rPr>
        <w:fldChar w:fldCharType="end"/>
      </w:r>
      <w:r>
        <w:rPr>
          <w:b/>
          <w:bCs/>
          <w:color w:val="000000" w:themeColor="text1"/>
          <w:sz w:val="28"/>
          <w:szCs w:val="28"/>
          <w:highlight w:val="none"/>
          <w14:textFill>
            <w14:solidFill>
              <w14:schemeClr w14:val="tx1"/>
            </w14:solidFill>
          </w14:textFill>
        </w:rPr>
        <w:fldChar w:fldCharType="end"/>
      </w:r>
    </w:p>
    <w:p w14:paraId="4B594CA9">
      <w:pPr>
        <w:pStyle w:val="25"/>
        <w:tabs>
          <w:tab w:val="right" w:leader="dot" w:pos="8930"/>
        </w:tabs>
        <w:rPr>
          <w:b/>
          <w:bC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"_Toc26275" </w:instrText>
      </w:r>
      <w:r>
        <w:rPr>
          <w:color w:val="000000" w:themeColor="text1"/>
          <w:highlight w:val="none"/>
          <w14:textFill>
            <w14:solidFill>
              <w14:schemeClr w14:val="tx1"/>
            </w14:solidFill>
          </w14:textFill>
        </w:rPr>
        <w:fldChar w:fldCharType="separate"/>
      </w:r>
      <w:r>
        <w:rPr>
          <w:rFonts w:hint="eastAsia" w:ascii="宋体" w:hAnsi="宋体"/>
          <w:b/>
          <w:bCs/>
          <w:color w:val="000000" w:themeColor="text1"/>
          <w:sz w:val="28"/>
          <w:szCs w:val="28"/>
          <w:highlight w:val="none"/>
          <w14:textFill>
            <w14:solidFill>
              <w14:schemeClr w14:val="tx1"/>
            </w14:solidFill>
          </w14:textFill>
        </w:rPr>
        <w:t>第五部分  评标办法</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_Toc26275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30</w:t>
      </w:r>
      <w:r>
        <w:rPr>
          <w:b/>
          <w:bCs/>
          <w:color w:val="000000" w:themeColor="text1"/>
          <w:sz w:val="28"/>
          <w:szCs w:val="28"/>
          <w:highlight w:val="none"/>
          <w14:textFill>
            <w14:solidFill>
              <w14:schemeClr w14:val="tx1"/>
            </w14:solidFill>
          </w14:textFill>
        </w:rPr>
        <w:fldChar w:fldCharType="end"/>
      </w:r>
      <w:r>
        <w:rPr>
          <w:b/>
          <w:bCs/>
          <w:color w:val="000000" w:themeColor="text1"/>
          <w:sz w:val="28"/>
          <w:szCs w:val="28"/>
          <w:highlight w:val="none"/>
          <w14:textFill>
            <w14:solidFill>
              <w14:schemeClr w14:val="tx1"/>
            </w14:solidFill>
          </w14:textFill>
        </w:rPr>
        <w:fldChar w:fldCharType="end"/>
      </w:r>
    </w:p>
    <w:p w14:paraId="385B79DB">
      <w:pPr>
        <w:pStyle w:val="25"/>
        <w:tabs>
          <w:tab w:val="right" w:leader="dot" w:pos="8930"/>
        </w:tabs>
        <w:rPr>
          <w:b/>
          <w:bC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"_Toc21993" </w:instrText>
      </w:r>
      <w:r>
        <w:rPr>
          <w:color w:val="000000" w:themeColor="text1"/>
          <w:highlight w:val="none"/>
          <w14:textFill>
            <w14:solidFill>
              <w14:schemeClr w14:val="tx1"/>
            </w14:solidFill>
          </w14:textFill>
        </w:rPr>
        <w:fldChar w:fldCharType="separate"/>
      </w:r>
      <w:r>
        <w:rPr>
          <w:rFonts w:hint="eastAsia" w:ascii="宋体" w:hAnsi="宋体"/>
          <w:b/>
          <w:bCs/>
          <w:color w:val="000000" w:themeColor="text1"/>
          <w:sz w:val="28"/>
          <w:szCs w:val="28"/>
          <w:highlight w:val="none"/>
          <w14:textFill>
            <w14:solidFill>
              <w14:schemeClr w14:val="tx1"/>
            </w14:solidFill>
          </w14:textFill>
        </w:rPr>
        <w:t>第六部分  合同格式</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_Toc21993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37</w:t>
      </w:r>
      <w:r>
        <w:rPr>
          <w:b/>
          <w:bCs/>
          <w:color w:val="000000" w:themeColor="text1"/>
          <w:sz w:val="28"/>
          <w:szCs w:val="28"/>
          <w:highlight w:val="none"/>
          <w14:textFill>
            <w14:solidFill>
              <w14:schemeClr w14:val="tx1"/>
            </w14:solidFill>
          </w14:textFill>
        </w:rPr>
        <w:fldChar w:fldCharType="end"/>
      </w:r>
      <w:r>
        <w:rPr>
          <w:b/>
          <w:bCs/>
          <w:color w:val="000000" w:themeColor="text1"/>
          <w:sz w:val="28"/>
          <w:szCs w:val="28"/>
          <w:highlight w:val="none"/>
          <w14:textFill>
            <w14:solidFill>
              <w14:schemeClr w14:val="tx1"/>
            </w14:solidFill>
          </w14:textFill>
        </w:rPr>
        <w:fldChar w:fldCharType="end"/>
      </w:r>
    </w:p>
    <w:p w14:paraId="7AB1FE71">
      <w:pPr>
        <w:pStyle w:val="25"/>
        <w:tabs>
          <w:tab w:val="right" w:leader="dot" w:pos="8930"/>
        </w:tabs>
        <w:rPr>
          <w:b/>
          <w:bC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"_Toc12950" </w:instrText>
      </w:r>
      <w:r>
        <w:rPr>
          <w:color w:val="000000" w:themeColor="text1"/>
          <w:highlight w:val="none"/>
          <w14:textFill>
            <w14:solidFill>
              <w14:schemeClr w14:val="tx1"/>
            </w14:solidFill>
          </w14:textFill>
        </w:rPr>
        <w:fldChar w:fldCharType="separate"/>
      </w:r>
      <w:r>
        <w:rPr>
          <w:rFonts w:hint="eastAsia" w:ascii="宋体" w:hAnsi="宋体"/>
          <w:b/>
          <w:bCs/>
          <w:color w:val="000000" w:themeColor="text1"/>
          <w:sz w:val="28"/>
          <w:szCs w:val="28"/>
          <w:highlight w:val="none"/>
          <w14:textFill>
            <w14:solidFill>
              <w14:schemeClr w14:val="tx1"/>
            </w14:solidFill>
          </w14:textFill>
        </w:rPr>
        <w:t>第七部分  投标文件格式</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_Toc12950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45</w:t>
      </w:r>
      <w:r>
        <w:rPr>
          <w:b/>
          <w:bCs/>
          <w:color w:val="000000" w:themeColor="text1"/>
          <w:sz w:val="28"/>
          <w:szCs w:val="28"/>
          <w:highlight w:val="none"/>
          <w14:textFill>
            <w14:solidFill>
              <w14:schemeClr w14:val="tx1"/>
            </w14:solidFill>
          </w14:textFill>
        </w:rPr>
        <w:fldChar w:fldCharType="end"/>
      </w:r>
      <w:r>
        <w:rPr>
          <w:b/>
          <w:bCs/>
          <w:color w:val="000000" w:themeColor="text1"/>
          <w:sz w:val="28"/>
          <w:szCs w:val="28"/>
          <w:highlight w:val="none"/>
          <w14:textFill>
            <w14:solidFill>
              <w14:schemeClr w14:val="tx1"/>
            </w14:solidFill>
          </w14:textFill>
        </w:rPr>
        <w:fldChar w:fldCharType="end"/>
      </w:r>
    </w:p>
    <w:p w14:paraId="783551C7">
      <w:pPr>
        <w:pStyle w:val="27"/>
        <w:tabs>
          <w:tab w:val="right" w:leader="dot" w:pos="8930"/>
        </w:tabs>
        <w:rPr>
          <w:color w:val="000000" w:themeColor="text1"/>
          <w:highlight w:val="none"/>
          <w14:textFill>
            <w14:solidFill>
              <w14:schemeClr w14:val="tx1"/>
            </w14:solidFill>
          </w14:textFill>
        </w:rPr>
      </w:pPr>
    </w:p>
    <w:p w14:paraId="097C5B34">
      <w:pPr>
        <w:spacing w:line="360" w:lineRule="auto"/>
        <w:rPr>
          <w:rFonts w:ascii="宋体" w:hAnsi="宋体"/>
          <w:b/>
          <w:color w:val="000000" w:themeColor="text1"/>
          <w:sz w:val="36"/>
          <w:highlight w:val="none"/>
          <w14:textFill>
            <w14:solidFill>
              <w14:schemeClr w14:val="tx1"/>
            </w14:solidFill>
          </w14:textFill>
        </w:rPr>
        <w:sectPr>
          <w:headerReference r:id="rId5" w:type="first"/>
          <w:headerReference r:id="rId3" w:type="default"/>
          <w:footerReference r:id="rId6" w:type="default"/>
          <w:headerReference r:id="rId4" w:type="even"/>
          <w:pgSz w:w="11907" w:h="16840"/>
          <w:pgMar w:top="1276" w:right="1417" w:bottom="1276" w:left="1560" w:header="720" w:footer="720" w:gutter="0"/>
          <w:pgNumType w:start="1"/>
          <w:cols w:space="720" w:num="1"/>
          <w:docGrid w:type="linesAndChars" w:linePitch="285" w:charSpace="0"/>
        </w:sectPr>
      </w:pPr>
      <w:r>
        <w:rPr>
          <w:rFonts w:ascii="宋体" w:hAnsi="宋体"/>
          <w:color w:val="000000" w:themeColor="text1"/>
          <w:highlight w:val="none"/>
          <w14:textFill>
            <w14:solidFill>
              <w14:schemeClr w14:val="tx1"/>
            </w14:solidFill>
          </w14:textFill>
        </w:rPr>
        <w:fldChar w:fldCharType="end"/>
      </w:r>
    </w:p>
    <w:p w14:paraId="1118BB1D">
      <w:pPr>
        <w:spacing w:line="360" w:lineRule="auto"/>
        <w:jc w:val="center"/>
        <w:rPr>
          <w:rFonts w:ascii="宋体" w:hAnsi="宋体"/>
          <w:b/>
          <w:color w:val="000000" w:themeColor="text1"/>
          <w:sz w:val="36"/>
          <w:highlight w:val="none"/>
          <w14:textFill>
            <w14:solidFill>
              <w14:schemeClr w14:val="tx1"/>
            </w14:solidFill>
          </w14:textFill>
        </w:rPr>
      </w:pPr>
    </w:p>
    <w:p w14:paraId="4373E96D">
      <w:pPr>
        <w:pStyle w:val="2"/>
        <w:spacing w:beforeLines="0" w:afterLines="0" w:line="360" w:lineRule="auto"/>
        <w:rPr>
          <w:rFonts w:ascii="宋体" w:hAnsi="宋体"/>
          <w:color w:val="000000" w:themeColor="text1"/>
          <w:sz w:val="32"/>
          <w:szCs w:val="32"/>
          <w:highlight w:val="none"/>
          <w14:textFill>
            <w14:solidFill>
              <w14:schemeClr w14:val="tx1"/>
            </w14:solidFill>
          </w14:textFill>
        </w:rPr>
      </w:pPr>
      <w:bookmarkStart w:id="0" w:name="_Toc298230957"/>
      <w:r>
        <w:rPr>
          <w:rFonts w:ascii="宋体" w:hAnsi="宋体"/>
          <w:color w:val="000000" w:themeColor="text1"/>
          <w:sz w:val="32"/>
          <w:szCs w:val="32"/>
          <w:highlight w:val="none"/>
          <w14:textFill>
            <w14:solidFill>
              <w14:schemeClr w14:val="tx1"/>
            </w14:solidFill>
          </w14:textFill>
        </w:rPr>
        <w:br w:type="page"/>
      </w:r>
    </w:p>
    <w:p w14:paraId="576BF8CF">
      <w:pPr>
        <w:pStyle w:val="2"/>
        <w:spacing w:beforeLines="0" w:afterLines="0" w:line="360" w:lineRule="auto"/>
        <w:rPr>
          <w:rFonts w:ascii="宋体" w:hAnsi="宋体"/>
          <w:color w:val="000000" w:themeColor="text1"/>
          <w:sz w:val="32"/>
          <w:szCs w:val="32"/>
          <w:highlight w:val="none"/>
          <w14:textFill>
            <w14:solidFill>
              <w14:schemeClr w14:val="tx1"/>
            </w14:solidFill>
          </w14:textFill>
        </w:rPr>
      </w:pPr>
      <w:bookmarkStart w:id="1" w:name="_Toc17296"/>
      <w:r>
        <w:rPr>
          <w:rFonts w:hint="eastAsia" w:ascii="宋体" w:hAnsi="宋体"/>
          <w:color w:val="000000" w:themeColor="text1"/>
          <w:sz w:val="32"/>
          <w:szCs w:val="32"/>
          <w:highlight w:val="none"/>
          <w14:textFill>
            <w14:solidFill>
              <w14:schemeClr w14:val="tx1"/>
            </w14:solidFill>
          </w14:textFill>
        </w:rPr>
        <w:t>第一部分</w:t>
      </w:r>
      <w:bookmarkEnd w:id="0"/>
      <w:r>
        <w:rPr>
          <w:rFonts w:hint="eastAsia" w:ascii="宋体" w:hAnsi="宋体"/>
          <w:color w:val="000000" w:themeColor="text1"/>
          <w:sz w:val="32"/>
          <w:szCs w:val="32"/>
          <w:highlight w:val="none"/>
          <w14:textFill>
            <w14:solidFill>
              <w14:schemeClr w14:val="tx1"/>
            </w14:solidFill>
          </w14:textFill>
        </w:rPr>
        <w:t xml:space="preserve">  采购公告</w:t>
      </w:r>
      <w:bookmarkEnd w:id="1"/>
    </w:p>
    <w:p w14:paraId="3C1C7E70">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项目概况</w:t>
      </w:r>
    </w:p>
    <w:p w14:paraId="57FEA2F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招标项目的潜在投标人应在</w:t>
      </w:r>
      <w:r>
        <w:rPr>
          <w:rFonts w:hint="eastAsia" w:ascii="宋体" w:hAnsi="宋体"/>
          <w:color w:val="000000" w:themeColor="text1"/>
          <w:highlight w:val="none"/>
          <w:u w:val="single"/>
          <w14:textFill>
            <w14:solidFill>
              <w14:schemeClr w14:val="tx1"/>
            </w14:solidFill>
          </w14:textFill>
        </w:rPr>
        <w:t>政府采购云平台（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"http://www.zcygov.cn）获取（下载）招标文件，并于2020年" </w:instrText>
      </w:r>
      <w:r>
        <w:rPr>
          <w:color w:val="000000" w:themeColor="text1"/>
          <w:highlight w:val="none"/>
          <w14:textFill>
            <w14:solidFill>
              <w14:schemeClr w14:val="tx1"/>
            </w14:solidFill>
          </w14:textFill>
        </w:rPr>
        <w:fldChar w:fldCharType="separate"/>
      </w:r>
      <w:r>
        <w:rPr>
          <w:rStyle w:val="41"/>
          <w:rFonts w:hint="eastAsia" w:ascii="宋体" w:hAnsi="宋体"/>
          <w:color w:val="000000" w:themeColor="text1"/>
          <w:highlight w:val="none"/>
          <w14:textFill>
            <w14:solidFill>
              <w14:schemeClr w14:val="tx1"/>
            </w14:solidFill>
          </w14:textFill>
        </w:rPr>
        <w:t>www.zcygov.cn）获取（下载）招标文件，并于2024</w:t>
      </w:r>
      <w:r>
        <w:rPr>
          <w:rStyle w:val="41"/>
          <w:rFonts w:hint="eastAsia" w:ascii="宋体" w:hAnsi="宋体"/>
          <w:bCs/>
          <w:color w:val="000000" w:themeColor="text1"/>
          <w:highlight w:val="none"/>
          <w14:textFill>
            <w14:solidFill>
              <w14:schemeClr w14:val="tx1"/>
            </w14:solidFill>
          </w14:textFill>
        </w:rPr>
        <w:t>年</w:t>
      </w:r>
      <w:r>
        <w:rPr>
          <w:rStyle w:val="41"/>
          <w:rFonts w:hint="eastAsia" w:ascii="宋体" w:hAnsi="宋体"/>
          <w:bCs/>
          <w:color w:val="000000" w:themeColor="text1"/>
          <w:highlight w:val="none"/>
          <w14:textFill>
            <w14:solidFill>
              <w14:schemeClr w14:val="tx1"/>
            </w14:solidFill>
          </w14:textFill>
        </w:rPr>
        <w:fldChar w:fldCharType="end"/>
      </w:r>
      <w:r>
        <w:rPr>
          <w:rStyle w:val="41"/>
          <w:rFonts w:hint="eastAsia" w:ascii="宋体" w:hAnsi="宋体"/>
          <w:bCs/>
          <w:color w:val="000000" w:themeColor="text1"/>
          <w:highlight w:val="none"/>
          <w:lang w:val="en-US" w:eastAsia="zh-CN"/>
          <w14:textFill>
            <w14:solidFill>
              <w14:schemeClr w14:val="tx1"/>
            </w14:solidFill>
          </w14:textFill>
        </w:rPr>
        <w:t>11</w:t>
      </w:r>
      <w:r>
        <w:rPr>
          <w:rFonts w:hint="eastAsia" w:ascii="宋体" w:hAnsi="宋体"/>
          <w:bCs/>
          <w:color w:val="000000" w:themeColor="text1"/>
          <w:highlight w:val="none"/>
          <w:u w:val="single"/>
          <w14:textFill>
            <w14:solidFill>
              <w14:schemeClr w14:val="tx1"/>
            </w14:solidFill>
          </w14:textFill>
        </w:rPr>
        <w:t>月</w:t>
      </w:r>
      <w:r>
        <w:rPr>
          <w:rFonts w:hint="eastAsia" w:ascii="宋体" w:hAnsi="宋体"/>
          <w:bCs/>
          <w:color w:val="000000" w:themeColor="text1"/>
          <w:highlight w:val="none"/>
          <w:u w:val="single"/>
          <w:lang w:val="en-US" w:eastAsia="zh-CN"/>
          <w14:textFill>
            <w14:solidFill>
              <w14:schemeClr w14:val="tx1"/>
            </w14:solidFill>
          </w14:textFill>
        </w:rPr>
        <w:t>6</w:t>
      </w:r>
      <w:r>
        <w:rPr>
          <w:rFonts w:hint="eastAsia" w:ascii="宋体" w:hAnsi="宋体"/>
          <w:bCs/>
          <w:color w:val="000000" w:themeColor="text1"/>
          <w:highlight w:val="none"/>
          <w:u w:val="single"/>
          <w14:textFill>
            <w14:solidFill>
              <w14:schemeClr w14:val="tx1"/>
            </w14:solidFill>
          </w14:textFill>
        </w:rPr>
        <w:t>日1</w:t>
      </w:r>
      <w:r>
        <w:rPr>
          <w:rFonts w:hint="eastAsia" w:ascii="宋体" w:hAnsi="宋体"/>
          <w:bCs/>
          <w:color w:val="000000" w:themeColor="text1"/>
          <w:highlight w:val="none"/>
          <w:u w:val="single"/>
          <w:lang w:val="en-US" w:eastAsia="zh-CN"/>
          <w14:textFill>
            <w14:solidFill>
              <w14:schemeClr w14:val="tx1"/>
            </w14:solidFill>
          </w14:textFill>
        </w:rPr>
        <w:t>3</w:t>
      </w:r>
      <w:r>
        <w:rPr>
          <w:rFonts w:hint="eastAsia" w:ascii="宋体" w:hAnsi="宋体"/>
          <w:bCs/>
          <w:color w:val="000000" w:themeColor="text1"/>
          <w:highlight w:val="none"/>
          <w:u w:val="single"/>
          <w14:textFill>
            <w14:solidFill>
              <w14:schemeClr w14:val="tx1"/>
            </w14:solidFill>
          </w14:textFill>
        </w:rPr>
        <w:t>点</w:t>
      </w:r>
      <w:r>
        <w:rPr>
          <w:rFonts w:hint="eastAsia" w:ascii="宋体" w:hAnsi="宋体"/>
          <w:bCs/>
          <w:color w:val="000000" w:themeColor="text1"/>
          <w:highlight w:val="none"/>
          <w:u w:val="single"/>
          <w:lang w:val="en-US" w:eastAsia="zh-CN"/>
          <w14:textFill>
            <w14:solidFill>
              <w14:schemeClr w14:val="tx1"/>
            </w14:solidFill>
          </w14:textFill>
        </w:rPr>
        <w:t>30</w:t>
      </w:r>
      <w:r>
        <w:rPr>
          <w:rFonts w:hint="eastAsia" w:ascii="宋体" w:hAnsi="宋体"/>
          <w:bCs/>
          <w:color w:val="000000" w:themeColor="text1"/>
          <w:highlight w:val="none"/>
          <w:u w:val="single"/>
          <w14:textFill>
            <w14:solidFill>
              <w14:schemeClr w14:val="tx1"/>
            </w14:solidFill>
          </w14:textFill>
        </w:rPr>
        <w:t>分（</w:t>
      </w:r>
      <w:r>
        <w:rPr>
          <w:rFonts w:hint="eastAsia" w:ascii="宋体" w:hAnsi="宋体"/>
          <w:bCs/>
          <w:color w:val="000000" w:themeColor="text1"/>
          <w:highlight w:val="none"/>
          <w14:textFill>
            <w14:solidFill>
              <w14:schemeClr w14:val="tx1"/>
            </w14:solidFill>
          </w14:textFill>
        </w:rPr>
        <w:t>北京时间）前递交投标文件</w:t>
      </w:r>
      <w:r>
        <w:rPr>
          <w:rFonts w:hint="eastAsia" w:ascii="宋体" w:hAnsi="宋体"/>
          <w:color w:val="000000" w:themeColor="text1"/>
          <w:highlight w:val="none"/>
          <w14:textFill>
            <w14:solidFill>
              <w14:schemeClr w14:val="tx1"/>
            </w14:solidFill>
          </w14:textFill>
        </w:rPr>
        <w:t>。</w:t>
      </w:r>
    </w:p>
    <w:p w14:paraId="2C25BDFC">
      <w:pPr>
        <w:ind w:firstLine="200"/>
        <w:rPr>
          <w:rFonts w:ascii="宋体" w:hAnsi="宋体"/>
          <w:color w:val="000000" w:themeColor="text1"/>
          <w:highlight w:val="none"/>
          <w14:textFill>
            <w14:solidFill>
              <w14:schemeClr w14:val="tx1"/>
            </w14:solidFill>
          </w14:textFill>
        </w:rPr>
      </w:pPr>
    </w:p>
    <w:p w14:paraId="158A946E">
      <w:pPr>
        <w:pStyle w:val="3"/>
        <w:spacing w:line="360" w:lineRule="auto"/>
        <w:jc w:val="both"/>
        <w:rPr>
          <w:rFonts w:ascii="宋体" w:hAnsi="宋体" w:cs="宋体"/>
          <w:color w:val="000000" w:themeColor="text1"/>
          <w:sz w:val="21"/>
          <w:szCs w:val="21"/>
          <w:highlight w:val="none"/>
          <w14:textFill>
            <w14:solidFill>
              <w14:schemeClr w14:val="tx1"/>
            </w14:solidFill>
          </w14:textFill>
        </w:rPr>
      </w:pPr>
      <w:bookmarkStart w:id="2" w:name="_Toc136017621"/>
      <w:bookmarkStart w:id="3" w:name="_Toc28359079"/>
      <w:bookmarkStart w:id="4" w:name="_Toc28359002"/>
      <w:bookmarkStart w:id="5" w:name="_Toc136345083"/>
      <w:bookmarkStart w:id="6" w:name="_Toc35393621"/>
      <w:bookmarkStart w:id="7" w:name="_Toc35393790"/>
      <w:bookmarkStart w:id="8" w:name="_Toc15838"/>
      <w:bookmarkStart w:id="9" w:name="_Hlk24379207"/>
      <w:r>
        <w:rPr>
          <w:rFonts w:hint="eastAsia" w:ascii="宋体" w:hAnsi="宋体" w:cs="宋体"/>
          <w:color w:val="000000" w:themeColor="text1"/>
          <w:sz w:val="21"/>
          <w:szCs w:val="21"/>
          <w:highlight w:val="none"/>
          <w14:textFill>
            <w14:solidFill>
              <w14:schemeClr w14:val="tx1"/>
            </w14:solidFill>
          </w14:textFill>
        </w:rPr>
        <w:t>一、项目基本情况</w:t>
      </w:r>
      <w:bookmarkEnd w:id="2"/>
      <w:bookmarkEnd w:id="3"/>
      <w:bookmarkEnd w:id="4"/>
      <w:bookmarkEnd w:id="5"/>
      <w:bookmarkEnd w:id="6"/>
      <w:bookmarkEnd w:id="7"/>
      <w:bookmarkEnd w:id="8"/>
    </w:p>
    <w:bookmarkEnd w:id="9"/>
    <w:p w14:paraId="68759398">
      <w:pPr>
        <w:spacing w:line="360" w:lineRule="auto"/>
        <w:ind w:firstLine="420" w:firstLineChars="200"/>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项目编号：</w:t>
      </w:r>
      <w:r>
        <w:rPr>
          <w:rFonts w:hint="eastAsia" w:ascii="宋体" w:hAnsi="宋体"/>
          <w:color w:val="000000" w:themeColor="text1"/>
          <w:highlight w:val="none"/>
          <w:lang w:eastAsia="zh-CN"/>
          <w14:textFill>
            <w14:solidFill>
              <w14:schemeClr w14:val="tx1"/>
            </w14:solidFill>
          </w14:textFill>
        </w:rPr>
        <w:t>NBGODOZB224175G-1</w:t>
      </w:r>
    </w:p>
    <w:p w14:paraId="72E2BA9D">
      <w:pPr>
        <w:spacing w:line="360" w:lineRule="auto"/>
        <w:ind w:firstLine="420" w:firstLineChars="200"/>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项目名称：</w:t>
      </w:r>
      <w:r>
        <w:rPr>
          <w:rFonts w:hint="eastAsia" w:ascii="宋体" w:hAnsi="宋体"/>
          <w:color w:val="000000" w:themeColor="text1"/>
          <w:highlight w:val="none"/>
          <w:lang w:eastAsia="zh-CN"/>
          <w14:textFill>
            <w14:solidFill>
              <w14:schemeClr w14:val="tx1"/>
            </w14:solidFill>
          </w14:textFill>
        </w:rPr>
        <w:t>安全生产和消防安全第三方服务采购项目（梅林街道）（重发）</w:t>
      </w:r>
    </w:p>
    <w:p w14:paraId="41C8B465">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预算金额（元）：1453198.15元/年，三年共计4359594.45元 </w:t>
      </w:r>
    </w:p>
    <w:p w14:paraId="3E5302FA">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最高限价（元）：1453198.15元/年，三年共计4359594.45元  </w:t>
      </w:r>
    </w:p>
    <w:p w14:paraId="1F17C2FE">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采购需求：</w:t>
      </w:r>
    </w:p>
    <w:p w14:paraId="73C2D620">
      <w:pPr>
        <w:spacing w:line="360" w:lineRule="auto"/>
        <w:ind w:firstLine="420" w:firstLineChars="200"/>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标项名称：</w:t>
      </w:r>
      <w:r>
        <w:rPr>
          <w:rFonts w:hint="eastAsia" w:ascii="宋体" w:hAnsi="宋体"/>
          <w:color w:val="000000" w:themeColor="text1"/>
          <w:highlight w:val="none"/>
          <w:lang w:eastAsia="zh-CN"/>
          <w14:textFill>
            <w14:solidFill>
              <w14:schemeClr w14:val="tx1"/>
            </w14:solidFill>
          </w14:textFill>
        </w:rPr>
        <w:t>安全生产和消防安全第三方服务采购项目（梅林街道）（重发）</w:t>
      </w:r>
    </w:p>
    <w:p w14:paraId="5694CD21">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数量：1项</w:t>
      </w:r>
    </w:p>
    <w:p w14:paraId="15168664">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预算金额（元）：1453198.15元/年，三年共计4359594.45元  </w:t>
      </w:r>
    </w:p>
    <w:p w14:paraId="08564C61">
      <w:pPr>
        <w:spacing w:line="360" w:lineRule="auto"/>
        <w:ind w:firstLine="420" w:firstLineChars="200"/>
        <w:rPr>
          <w:rFonts w:ascii="宋体" w:hAnsi="宋体" w:cs="仿宋_GB2312"/>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简要规格描述或项目基本概况介绍、用途：采购人提供专业技术指导和支撑，完成安全生产、消防安全相关基本工作任务，参与应急救援和值班值守，有效防范安全生产和消防安全事故的发生（具体详见采购需求）</w:t>
      </w:r>
      <w:r>
        <w:rPr>
          <w:rFonts w:hint="eastAsia"/>
          <w:color w:val="000000" w:themeColor="text1"/>
          <w:highlight w:val="none"/>
          <w14:textFill>
            <w14:solidFill>
              <w14:schemeClr w14:val="tx1"/>
            </w14:solidFill>
          </w14:textFill>
        </w:rPr>
        <w:t>。</w:t>
      </w:r>
    </w:p>
    <w:p w14:paraId="590B34A8">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备注：</w:t>
      </w:r>
    </w:p>
    <w:p w14:paraId="0EC6E79E">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合同履行期限：</w:t>
      </w:r>
      <w:r>
        <w:rPr>
          <w:rFonts w:hint="eastAsia" w:ascii="宋体" w:hAnsi="宋体" w:cs="宋体"/>
          <w:bCs/>
          <w:color w:val="000000" w:themeColor="text1"/>
          <w:kern w:val="0"/>
          <w:szCs w:val="21"/>
          <w:highlight w:val="none"/>
          <w14:textFill>
            <w14:solidFill>
              <w14:schemeClr w14:val="tx1"/>
            </w14:solidFill>
          </w14:textFill>
        </w:rPr>
        <w:t>本服务期限暂定三年，合同必须为一年一签。</w:t>
      </w:r>
    </w:p>
    <w:p w14:paraId="49EA46A7">
      <w:pPr>
        <w:spacing w:line="360" w:lineRule="auto"/>
        <w:ind w:firstLine="420" w:firstLineChars="200"/>
        <w:rPr>
          <w:rFonts w:ascii="宋体" w:hAnsi="宋体"/>
          <w:color w:val="000000" w:themeColor="text1"/>
          <w:highlight w:val="none"/>
          <w14:textFill>
            <w14:solidFill>
              <w14:schemeClr w14:val="tx1"/>
            </w14:solidFill>
          </w14:textFill>
        </w:rPr>
      </w:pPr>
      <w:bookmarkStart w:id="10" w:name="_Toc35393791"/>
      <w:bookmarkStart w:id="11" w:name="_Toc28359080"/>
      <w:bookmarkStart w:id="12" w:name="_Toc28359003"/>
      <w:bookmarkStart w:id="13" w:name="_Toc35393622"/>
      <w:r>
        <w:rPr>
          <w:rFonts w:hint="eastAsia" w:ascii="宋体" w:hAnsi="宋体"/>
          <w:color w:val="000000" w:themeColor="text1"/>
          <w:highlight w:val="none"/>
          <w14:textFill>
            <w14:solidFill>
              <w14:schemeClr w14:val="tx1"/>
            </w14:solidFill>
          </w14:textFill>
        </w:rPr>
        <w:t>本项目（</w:t>
      </w:r>
      <w:r>
        <w:rPr>
          <w:rFonts w:hint="eastAsia" w:ascii="宋体" w:hAnsi="宋体"/>
          <w:color w:val="000000" w:themeColor="text1"/>
          <w:highlight w:val="none"/>
          <w:lang w:val="en-US" w:eastAsia="zh-CN"/>
          <w14:textFill>
            <w14:solidFill>
              <w14:schemeClr w14:val="tx1"/>
            </w14:solidFill>
          </w14:textFill>
        </w:rPr>
        <w:t>否</w:t>
      </w:r>
      <w:r>
        <w:rPr>
          <w:rFonts w:hint="eastAsia" w:ascii="宋体" w:hAnsi="宋体"/>
          <w:color w:val="000000" w:themeColor="text1"/>
          <w:highlight w:val="none"/>
          <w14:textFill>
            <w14:solidFill>
              <w14:schemeClr w14:val="tx1"/>
            </w14:solidFill>
          </w14:textFill>
        </w:rPr>
        <w:t>）接受联合体投标。</w:t>
      </w:r>
    </w:p>
    <w:p w14:paraId="39D8615F">
      <w:pPr>
        <w:pStyle w:val="3"/>
        <w:spacing w:line="360" w:lineRule="auto"/>
        <w:jc w:val="both"/>
        <w:rPr>
          <w:rFonts w:ascii="宋体" w:hAnsi="宋体" w:cs="宋体"/>
          <w:color w:val="000000" w:themeColor="text1"/>
          <w:sz w:val="21"/>
          <w:szCs w:val="21"/>
          <w:highlight w:val="none"/>
          <w14:textFill>
            <w14:solidFill>
              <w14:schemeClr w14:val="tx1"/>
            </w14:solidFill>
          </w14:textFill>
        </w:rPr>
      </w:pPr>
      <w:bookmarkStart w:id="14" w:name="_Toc136017622"/>
      <w:bookmarkStart w:id="15" w:name="_Toc136345084"/>
      <w:bookmarkStart w:id="16" w:name="_Toc24273"/>
      <w:r>
        <w:rPr>
          <w:rFonts w:hint="eastAsia" w:ascii="宋体" w:hAnsi="宋体" w:cs="宋体"/>
          <w:color w:val="000000" w:themeColor="text1"/>
          <w:sz w:val="21"/>
          <w:szCs w:val="21"/>
          <w:highlight w:val="none"/>
          <w14:textFill>
            <w14:solidFill>
              <w14:schemeClr w14:val="tx1"/>
            </w14:solidFill>
          </w14:textFill>
        </w:rPr>
        <w:t>二、申请人的资格要求：</w:t>
      </w:r>
      <w:bookmarkEnd w:id="10"/>
      <w:bookmarkEnd w:id="11"/>
      <w:bookmarkEnd w:id="12"/>
      <w:bookmarkEnd w:id="13"/>
      <w:bookmarkEnd w:id="14"/>
      <w:bookmarkEnd w:id="15"/>
      <w:bookmarkEnd w:id="16"/>
    </w:p>
    <w:p w14:paraId="19DF7A47">
      <w:pPr>
        <w:spacing w:line="360" w:lineRule="auto"/>
        <w:ind w:firstLine="420" w:firstLineChars="200"/>
        <w:rPr>
          <w:rFonts w:ascii="宋体" w:hAnsi="宋体"/>
          <w:color w:val="000000" w:themeColor="text1"/>
          <w:highlight w:val="none"/>
          <w14:textFill>
            <w14:solidFill>
              <w14:schemeClr w14:val="tx1"/>
            </w14:solidFill>
          </w14:textFill>
        </w:rPr>
      </w:pPr>
      <w:bookmarkStart w:id="17" w:name="_Toc28359081"/>
      <w:bookmarkStart w:id="18" w:name="_Toc28359004"/>
      <w:r>
        <w:rPr>
          <w:rFonts w:hint="eastAsia" w:ascii="宋体" w:hAnsi="宋体"/>
          <w:color w:val="000000" w:themeColor="text1"/>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523AEDB7">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2.落实政府采购政策需满足的资格要求：</w:t>
      </w:r>
      <w:r>
        <w:rPr>
          <w:rFonts w:hint="eastAsia" w:ascii="宋体" w:hAnsi="宋体" w:cs="宋体"/>
          <w:bCs/>
          <w:color w:val="000000" w:themeColor="text1"/>
          <w:highlight w:val="none"/>
          <w14:textFill>
            <w14:solidFill>
              <w14:schemeClr w14:val="tx1"/>
            </w14:solidFill>
          </w14:textFill>
        </w:rPr>
        <w:t>依据《政府采购促进中小企业发展管理办法》(财库〔2020〕46号和镇采购办[2022] 1号文，本项目为专门面向中小微企业采购，提供的服务属于“其他未列明行业”的中型、小型、微型企业(须提供中小微企业声明书)，监狱企业、残疾人福利性单位视同中型、小型、微型企业(提供相关证明材料)方可参与本项目。中小微企业划型标准详见[2011]300号文。</w:t>
      </w:r>
    </w:p>
    <w:p w14:paraId="23E0AEA9">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3.本项目的特定资格要求：无；</w:t>
      </w:r>
    </w:p>
    <w:p w14:paraId="1B12879F">
      <w:pPr>
        <w:pStyle w:val="3"/>
        <w:spacing w:line="360" w:lineRule="auto"/>
        <w:jc w:val="both"/>
        <w:rPr>
          <w:rFonts w:ascii="宋体" w:hAnsi="宋体" w:cs="宋体"/>
          <w:color w:val="000000" w:themeColor="text1"/>
          <w:sz w:val="21"/>
          <w:szCs w:val="21"/>
          <w:highlight w:val="none"/>
          <w14:textFill>
            <w14:solidFill>
              <w14:schemeClr w14:val="tx1"/>
            </w14:solidFill>
          </w14:textFill>
        </w:rPr>
      </w:pPr>
      <w:bookmarkStart w:id="19" w:name="_Toc35393623"/>
      <w:bookmarkStart w:id="20" w:name="_Toc136017623"/>
      <w:bookmarkStart w:id="21" w:name="_Toc136345085"/>
      <w:bookmarkStart w:id="22" w:name="_Toc10828"/>
      <w:bookmarkStart w:id="23" w:name="_Toc35393792"/>
      <w:r>
        <w:rPr>
          <w:rFonts w:hint="eastAsia" w:ascii="宋体" w:hAnsi="宋体" w:cs="宋体"/>
          <w:color w:val="000000" w:themeColor="text1"/>
          <w:sz w:val="21"/>
          <w:szCs w:val="21"/>
          <w:highlight w:val="none"/>
          <w14:textFill>
            <w14:solidFill>
              <w14:schemeClr w14:val="tx1"/>
            </w14:solidFill>
          </w14:textFill>
        </w:rPr>
        <w:t>三、获取招标文件</w:t>
      </w:r>
      <w:bookmarkEnd w:id="17"/>
      <w:bookmarkEnd w:id="18"/>
      <w:bookmarkEnd w:id="19"/>
      <w:bookmarkEnd w:id="20"/>
      <w:bookmarkEnd w:id="21"/>
      <w:bookmarkEnd w:id="22"/>
      <w:bookmarkEnd w:id="23"/>
    </w:p>
    <w:p w14:paraId="1DBB4F2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时间：</w:t>
      </w:r>
      <w:r>
        <w:rPr>
          <w:rFonts w:hint="eastAsia" w:ascii="宋体" w:hAnsi="宋体"/>
          <w:color w:val="000000" w:themeColor="text1"/>
          <w:highlight w:val="none"/>
          <w:u w:val="single"/>
          <w14:textFill>
            <w14:solidFill>
              <w14:schemeClr w14:val="tx1"/>
            </w14:solidFill>
          </w14:textFill>
        </w:rPr>
        <w:t>2024</w:t>
      </w:r>
      <w:r>
        <w:rPr>
          <w:rFonts w:hint="eastAsia" w:ascii="宋体" w:hAnsi="宋体"/>
          <w:bCs/>
          <w:color w:val="000000" w:themeColor="text1"/>
          <w:highlight w:val="none"/>
          <w:u w:val="single"/>
          <w14:textFill>
            <w14:solidFill>
              <w14:schemeClr w14:val="tx1"/>
            </w14:solidFill>
          </w14:textFill>
        </w:rPr>
        <w:t>年</w:t>
      </w:r>
      <w:r>
        <w:rPr>
          <w:rFonts w:hint="eastAsia" w:ascii="宋体" w:hAnsi="宋体"/>
          <w:bCs/>
          <w:color w:val="000000" w:themeColor="text1"/>
          <w:highlight w:val="none"/>
          <w:u w:val="single"/>
          <w:lang w:val="en-US" w:eastAsia="zh-CN"/>
          <w14:textFill>
            <w14:solidFill>
              <w14:schemeClr w14:val="tx1"/>
            </w14:solidFill>
          </w14:textFill>
        </w:rPr>
        <w:t>10</w:t>
      </w:r>
      <w:r>
        <w:rPr>
          <w:rFonts w:hint="eastAsia" w:ascii="宋体" w:hAnsi="宋体"/>
          <w:bCs/>
          <w:color w:val="000000" w:themeColor="text1"/>
          <w:highlight w:val="none"/>
          <w:u w:val="single"/>
          <w14:textFill>
            <w14:solidFill>
              <w14:schemeClr w14:val="tx1"/>
            </w14:solidFill>
          </w14:textFill>
        </w:rPr>
        <w:t>月</w:t>
      </w:r>
      <w:r>
        <w:rPr>
          <w:rFonts w:hint="eastAsia" w:ascii="宋体" w:hAnsi="宋体"/>
          <w:bCs/>
          <w:color w:val="000000" w:themeColor="text1"/>
          <w:highlight w:val="none"/>
          <w:u w:val="single"/>
          <w:lang w:val="en-US" w:eastAsia="zh-CN"/>
          <w14:textFill>
            <w14:solidFill>
              <w14:schemeClr w14:val="tx1"/>
            </w14:solidFill>
          </w14:textFill>
        </w:rPr>
        <w:t>15</w:t>
      </w:r>
      <w:r>
        <w:rPr>
          <w:rFonts w:hint="eastAsia" w:ascii="宋体" w:hAnsi="宋体"/>
          <w:bCs/>
          <w:color w:val="000000" w:themeColor="text1"/>
          <w:highlight w:val="none"/>
          <w:u w:val="single"/>
          <w14:textFill>
            <w14:solidFill>
              <w14:schemeClr w14:val="tx1"/>
            </w14:solidFill>
          </w14:textFill>
        </w:rPr>
        <w:t>日</w:t>
      </w:r>
      <w:r>
        <w:rPr>
          <w:rFonts w:hint="eastAsia" w:ascii="宋体" w:hAnsi="宋体"/>
          <w:color w:val="000000" w:themeColor="text1"/>
          <w:highlight w:val="none"/>
          <w14:textFill>
            <w14:solidFill>
              <w14:schemeClr w14:val="tx1"/>
            </w14:solidFill>
          </w14:textFill>
        </w:rPr>
        <w:t>至</w:t>
      </w:r>
      <w:r>
        <w:rPr>
          <w:rFonts w:hint="eastAsia" w:ascii="宋体" w:hAnsi="宋体"/>
          <w:color w:val="000000" w:themeColor="text1"/>
          <w:highlight w:val="none"/>
          <w:u w:val="single"/>
          <w14:textFill>
            <w14:solidFill>
              <w14:schemeClr w14:val="tx1"/>
            </w14:solidFill>
          </w14:textFill>
        </w:rPr>
        <w:t>2024</w:t>
      </w:r>
      <w:r>
        <w:rPr>
          <w:rFonts w:hint="eastAsia" w:ascii="宋体" w:hAnsi="宋体"/>
          <w:bCs/>
          <w:color w:val="000000" w:themeColor="text1"/>
          <w:highlight w:val="none"/>
          <w:u w:val="single"/>
          <w14:textFill>
            <w14:solidFill>
              <w14:schemeClr w14:val="tx1"/>
            </w14:solidFill>
          </w14:textFill>
        </w:rPr>
        <w:t>年</w:t>
      </w:r>
      <w:r>
        <w:rPr>
          <w:rFonts w:hint="eastAsia" w:ascii="宋体" w:hAnsi="宋体"/>
          <w:bCs/>
          <w:color w:val="000000" w:themeColor="text1"/>
          <w:highlight w:val="none"/>
          <w:u w:val="single"/>
          <w:lang w:val="en-US" w:eastAsia="zh-CN"/>
          <w14:textFill>
            <w14:solidFill>
              <w14:schemeClr w14:val="tx1"/>
            </w14:solidFill>
          </w14:textFill>
        </w:rPr>
        <w:t>10</w:t>
      </w:r>
      <w:r>
        <w:rPr>
          <w:rFonts w:hint="eastAsia" w:ascii="宋体" w:hAnsi="宋体"/>
          <w:bCs/>
          <w:color w:val="000000" w:themeColor="text1"/>
          <w:highlight w:val="none"/>
          <w:u w:val="single"/>
          <w14:textFill>
            <w14:solidFill>
              <w14:schemeClr w14:val="tx1"/>
            </w14:solidFill>
          </w14:textFill>
        </w:rPr>
        <w:t>月</w:t>
      </w:r>
      <w:r>
        <w:rPr>
          <w:rFonts w:hint="eastAsia" w:ascii="宋体" w:hAnsi="宋体"/>
          <w:bCs/>
          <w:color w:val="000000" w:themeColor="text1"/>
          <w:highlight w:val="none"/>
          <w:u w:val="single"/>
          <w:lang w:val="en-US" w:eastAsia="zh-CN"/>
          <w14:textFill>
            <w14:solidFill>
              <w14:schemeClr w14:val="tx1"/>
            </w14:solidFill>
          </w14:textFill>
        </w:rPr>
        <w:t>22</w:t>
      </w:r>
      <w:r>
        <w:rPr>
          <w:rFonts w:hint="eastAsia" w:ascii="宋体" w:hAnsi="宋体"/>
          <w:bCs/>
          <w:color w:val="000000" w:themeColor="text1"/>
          <w:highlight w:val="none"/>
          <w:u w:val="single"/>
          <w14:textFill>
            <w14:solidFill>
              <w14:schemeClr w14:val="tx1"/>
            </w14:solidFill>
          </w14:textFill>
        </w:rPr>
        <w:t>日</w:t>
      </w:r>
      <w:r>
        <w:rPr>
          <w:rFonts w:hint="eastAsia" w:ascii="宋体" w:hAnsi="宋体" w:cs="宋体"/>
          <w:color w:val="000000" w:themeColor="text1"/>
          <w:highlight w:val="none"/>
          <w14:textFill>
            <w14:solidFill>
              <w14:schemeClr w14:val="tx1"/>
            </w14:solidFill>
          </w14:textFill>
        </w:rPr>
        <w:t>，每天上午</w:t>
      </w:r>
      <w:r>
        <w:rPr>
          <w:rFonts w:hint="eastAsia" w:ascii="宋体" w:hAnsi="宋体" w:cs="宋体"/>
          <w:color w:val="000000" w:themeColor="text1"/>
          <w:highlight w:val="none"/>
          <w:u w:val="single"/>
          <w14:textFill>
            <w14:solidFill>
              <w14:schemeClr w14:val="tx1"/>
            </w14:solidFill>
          </w14:textFill>
        </w:rPr>
        <w:t>00:00</w:t>
      </w:r>
      <w:r>
        <w:rPr>
          <w:rFonts w:hint="eastAsia" w:ascii="宋体" w:hAnsi="宋体" w:cs="宋体"/>
          <w:color w:val="000000" w:themeColor="text1"/>
          <w:highlight w:val="none"/>
          <w14:textFill>
            <w14:solidFill>
              <w14:schemeClr w14:val="tx1"/>
            </w14:solidFill>
          </w14:textFill>
        </w:rPr>
        <w:t>至</w:t>
      </w:r>
      <w:r>
        <w:rPr>
          <w:rFonts w:hint="eastAsia" w:ascii="宋体" w:hAnsi="宋体" w:cs="宋体"/>
          <w:color w:val="000000" w:themeColor="text1"/>
          <w:highlight w:val="none"/>
          <w:u w:val="single"/>
          <w14:textFill>
            <w14:solidFill>
              <w14:schemeClr w14:val="tx1"/>
            </w14:solidFill>
          </w14:textFill>
        </w:rPr>
        <w:t>12:00</w:t>
      </w:r>
      <w:r>
        <w:rPr>
          <w:rFonts w:hint="eastAsia" w:ascii="宋体" w:hAnsi="宋体" w:cs="宋体"/>
          <w:color w:val="000000" w:themeColor="text1"/>
          <w:highlight w:val="none"/>
          <w14:textFill>
            <w14:solidFill>
              <w14:schemeClr w14:val="tx1"/>
            </w14:solidFill>
          </w14:textFill>
        </w:rPr>
        <w:t>，下午</w:t>
      </w:r>
      <w:r>
        <w:rPr>
          <w:rFonts w:hint="eastAsia" w:ascii="宋体" w:hAnsi="宋体" w:cs="宋体"/>
          <w:color w:val="000000" w:themeColor="text1"/>
          <w:highlight w:val="none"/>
          <w:u w:val="single"/>
          <w14:textFill>
            <w14:solidFill>
              <w14:schemeClr w14:val="tx1"/>
            </w14:solidFill>
          </w14:textFill>
        </w:rPr>
        <w:t>12:00</w:t>
      </w:r>
      <w:r>
        <w:rPr>
          <w:rFonts w:hint="eastAsia" w:ascii="宋体" w:hAnsi="宋体" w:cs="宋体"/>
          <w:color w:val="000000" w:themeColor="text1"/>
          <w:highlight w:val="none"/>
          <w14:textFill>
            <w14:solidFill>
              <w14:schemeClr w14:val="tx1"/>
            </w14:solidFill>
          </w14:textFill>
        </w:rPr>
        <w:t>至</w:t>
      </w:r>
      <w:r>
        <w:rPr>
          <w:rFonts w:hint="eastAsia" w:ascii="宋体" w:hAnsi="宋体" w:cs="宋体"/>
          <w:color w:val="000000" w:themeColor="text1"/>
          <w:highlight w:val="none"/>
          <w:u w:val="single"/>
          <w14:textFill>
            <w14:solidFill>
              <w14:schemeClr w14:val="tx1"/>
            </w14:solidFill>
          </w14:textFill>
        </w:rPr>
        <w:t>23:59</w:t>
      </w:r>
      <w:r>
        <w:rPr>
          <w:rFonts w:hint="eastAsia" w:ascii="宋体" w:hAnsi="宋体" w:cs="宋体"/>
          <w:color w:val="000000" w:themeColor="text1"/>
          <w:highlight w:val="none"/>
          <w14:textFill>
            <w14:solidFill>
              <w14:schemeClr w14:val="tx1"/>
            </w14:solidFill>
          </w14:textFill>
        </w:rPr>
        <w:t>（北京时间，线上获取法定节假日均可，线下获取文件法定节假日除外）</w:t>
      </w:r>
    </w:p>
    <w:p w14:paraId="1593ADA7">
      <w:pPr>
        <w:spacing w:line="360" w:lineRule="auto"/>
        <w:ind w:firstLine="42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地点（网址）：</w:t>
      </w:r>
      <w:r>
        <w:rPr>
          <w:rFonts w:hint="eastAsia" w:ascii="宋体" w:hAnsi="宋体"/>
          <w:color w:val="000000" w:themeColor="text1"/>
          <w:highlight w:val="none"/>
          <w14:textFill>
            <w14:solidFill>
              <w14:schemeClr w14:val="tx1"/>
            </w14:solidFill>
          </w14:textFill>
        </w:rPr>
        <w:t>政府采购云平台（http://www.zcygov.cn/）。</w:t>
      </w:r>
    </w:p>
    <w:p w14:paraId="1E846DDD">
      <w:pPr>
        <w:snapToGrid w:val="0"/>
        <w:spacing w:line="400" w:lineRule="exact"/>
        <w:ind w:firstLine="411" w:firstLineChars="196"/>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方式：（1）本项目招标文件实行“政府采购云平台”在线获取，不提供招标文件纸质版。投标人获取招标文件前应先完成“政府采购云平台”的账号注册； </w:t>
      </w:r>
    </w:p>
    <w:p w14:paraId="79039251">
      <w:pPr>
        <w:snapToGrid w:val="0"/>
        <w:spacing w:line="400" w:lineRule="exact"/>
        <w:ind w:firstLine="411" w:firstLineChars="196"/>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潜在供应商登陆政采云平台，在线申请获取招标文件（进入“项目采购”应用，在获取招标文件菜单中选择项目，申请获取招标文件；仅需浏览招标文件的投标人可点击“游客，浏览招标文件”直接下载招标文件浏览）； </w:t>
      </w:r>
    </w:p>
    <w:p w14:paraId="3413B384">
      <w:pPr>
        <w:snapToGrid w:val="0"/>
        <w:spacing w:line="400" w:lineRule="exact"/>
        <w:ind w:firstLine="411" w:firstLineChars="196"/>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招标公告附件内的招标文件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r>
        <w:rPr>
          <w:rFonts w:hint="eastAsia" w:cs="Arial" w:asciiTheme="minorEastAsia" w:hAnsiTheme="minorEastAsia" w:eastAsiaTheme="minorEastAsia"/>
          <w:color w:val="000000" w:themeColor="text1"/>
          <w:szCs w:val="21"/>
          <w:highlight w:val="none"/>
          <w14:textFill>
            <w14:solidFill>
              <w14:schemeClr w14:val="tx1"/>
            </w14:solidFill>
          </w14:textFill>
        </w:rPr>
        <w:t>未按照招标文件规定程序依法获取招标文件的潜在投标人，对招标文件提起质疑的，按照无效质疑处理。采购代理机构拒绝接收未依法获取本项目招标</w:t>
      </w:r>
      <w:r>
        <w:rPr>
          <w:rFonts w:cs="Arial" w:asciiTheme="minorEastAsia" w:hAnsiTheme="minorEastAsia" w:eastAsiaTheme="minorEastAsia"/>
          <w:color w:val="000000" w:themeColor="text1"/>
          <w:szCs w:val="21"/>
          <w:highlight w:val="none"/>
          <w14:textFill>
            <w14:solidFill>
              <w14:schemeClr w14:val="tx1"/>
            </w14:solidFill>
          </w14:textFill>
        </w:rPr>
        <w:t>文件</w:t>
      </w:r>
      <w:r>
        <w:rPr>
          <w:rFonts w:hint="eastAsia" w:cs="Arial" w:asciiTheme="minorEastAsia" w:hAnsiTheme="minorEastAsia" w:eastAsiaTheme="minorEastAsia"/>
          <w:color w:val="000000" w:themeColor="text1"/>
          <w:szCs w:val="21"/>
          <w:highlight w:val="none"/>
          <w14:textFill>
            <w14:solidFill>
              <w14:schemeClr w14:val="tx1"/>
            </w14:solidFill>
          </w14:textFill>
        </w:rPr>
        <w:t>的投标人提交的投标文件。</w:t>
      </w:r>
    </w:p>
    <w:p w14:paraId="6C84F236">
      <w:pPr>
        <w:snapToGrid w:val="0"/>
        <w:spacing w:line="400" w:lineRule="exact"/>
        <w:ind w:firstLine="411" w:firstLineChars="196"/>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注：请投标人按上述要求获取招标文件，如未在“政采云”系统内完成相关流程，引起的投标无效责任自负。  </w:t>
      </w:r>
    </w:p>
    <w:p w14:paraId="0DE7ED97">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售价：0元。</w:t>
      </w:r>
    </w:p>
    <w:p w14:paraId="37918AAE">
      <w:pPr>
        <w:spacing w:line="360" w:lineRule="auto"/>
        <w:ind w:firstLine="420" w:firstLineChars="200"/>
        <w:rPr>
          <w:rFonts w:ascii="宋体" w:hAnsi="宋体" w:cs="宋体"/>
          <w:color w:val="000000" w:themeColor="text1"/>
          <w:highlight w:val="none"/>
          <w14:textFill>
            <w14:solidFill>
              <w14:schemeClr w14:val="tx1"/>
            </w14:solidFill>
          </w14:textFill>
        </w:rPr>
      </w:pPr>
    </w:p>
    <w:p w14:paraId="4AF7D33C">
      <w:pPr>
        <w:pStyle w:val="3"/>
        <w:spacing w:line="360" w:lineRule="auto"/>
        <w:jc w:val="both"/>
        <w:rPr>
          <w:rFonts w:ascii="宋体" w:hAnsi="宋体" w:cs="宋体"/>
          <w:color w:val="000000" w:themeColor="text1"/>
          <w:sz w:val="21"/>
          <w:szCs w:val="21"/>
          <w:highlight w:val="none"/>
          <w14:textFill>
            <w14:solidFill>
              <w14:schemeClr w14:val="tx1"/>
            </w14:solidFill>
          </w14:textFill>
        </w:rPr>
      </w:pPr>
      <w:bookmarkStart w:id="24" w:name="_Toc28359082"/>
      <w:bookmarkStart w:id="25" w:name="_Toc28359005"/>
      <w:bookmarkStart w:id="26" w:name="_Toc35393624"/>
      <w:bookmarkStart w:id="27" w:name="_Toc136345086"/>
      <w:bookmarkStart w:id="28" w:name="_Toc25361"/>
      <w:bookmarkStart w:id="29" w:name="_Toc35393793"/>
      <w:bookmarkStart w:id="30" w:name="_Toc136017624"/>
      <w:r>
        <w:rPr>
          <w:rFonts w:hint="eastAsia" w:ascii="宋体" w:hAnsi="宋体" w:cs="宋体"/>
          <w:color w:val="000000" w:themeColor="text1"/>
          <w:sz w:val="21"/>
          <w:szCs w:val="21"/>
          <w:highlight w:val="none"/>
          <w14:textFill>
            <w14:solidFill>
              <w14:schemeClr w14:val="tx1"/>
            </w14:solidFill>
          </w14:textFill>
        </w:rPr>
        <w:t>四、提交投标文件</w:t>
      </w:r>
      <w:bookmarkEnd w:id="24"/>
      <w:bookmarkEnd w:id="25"/>
      <w:r>
        <w:rPr>
          <w:rFonts w:hint="eastAsia" w:ascii="宋体" w:hAnsi="宋体" w:cs="宋体"/>
          <w:color w:val="000000" w:themeColor="text1"/>
          <w:sz w:val="21"/>
          <w:szCs w:val="21"/>
          <w:highlight w:val="none"/>
          <w14:textFill>
            <w14:solidFill>
              <w14:schemeClr w14:val="tx1"/>
            </w14:solidFill>
          </w14:textFill>
        </w:rPr>
        <w:t>截止时间、开标时间和地点</w:t>
      </w:r>
      <w:bookmarkEnd w:id="26"/>
      <w:bookmarkEnd w:id="27"/>
      <w:bookmarkEnd w:id="28"/>
      <w:bookmarkEnd w:id="29"/>
      <w:bookmarkEnd w:id="30"/>
    </w:p>
    <w:p w14:paraId="7F53DC3B">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提交投标文件截止时间：</w:t>
      </w:r>
      <w:r>
        <w:rPr>
          <w:rFonts w:hint="eastAsia" w:ascii="宋体" w:hAnsi="宋体"/>
          <w:color w:val="000000" w:themeColor="text1"/>
          <w:highlight w:val="none"/>
          <w:u w:val="single"/>
          <w14:textFill>
            <w14:solidFill>
              <w14:schemeClr w14:val="tx1"/>
            </w14:solidFill>
          </w14:textFill>
        </w:rPr>
        <w:t>2024</w:t>
      </w:r>
      <w:r>
        <w:rPr>
          <w:rFonts w:hint="eastAsia" w:ascii="宋体" w:hAnsi="宋体"/>
          <w:bCs/>
          <w:color w:val="000000" w:themeColor="text1"/>
          <w:highlight w:val="none"/>
          <w:u w:val="single"/>
          <w14:textFill>
            <w14:solidFill>
              <w14:schemeClr w14:val="tx1"/>
            </w14:solidFill>
          </w14:textFill>
        </w:rPr>
        <w:t>年</w:t>
      </w:r>
      <w:r>
        <w:rPr>
          <w:rFonts w:hint="eastAsia" w:ascii="宋体" w:hAnsi="宋体"/>
          <w:bCs/>
          <w:color w:val="000000" w:themeColor="text1"/>
          <w:highlight w:val="none"/>
          <w:u w:val="single"/>
          <w:lang w:val="en-US" w:eastAsia="zh-CN"/>
          <w14:textFill>
            <w14:solidFill>
              <w14:schemeClr w14:val="tx1"/>
            </w14:solidFill>
          </w14:textFill>
        </w:rPr>
        <w:t>11</w:t>
      </w:r>
      <w:r>
        <w:rPr>
          <w:rFonts w:hint="eastAsia" w:ascii="宋体" w:hAnsi="宋体"/>
          <w:bCs/>
          <w:color w:val="000000" w:themeColor="text1"/>
          <w:highlight w:val="none"/>
          <w:u w:val="single"/>
          <w14:textFill>
            <w14:solidFill>
              <w14:schemeClr w14:val="tx1"/>
            </w14:solidFill>
          </w14:textFill>
        </w:rPr>
        <w:t>月</w:t>
      </w:r>
      <w:r>
        <w:rPr>
          <w:rFonts w:hint="eastAsia" w:ascii="宋体" w:hAnsi="宋体"/>
          <w:bCs/>
          <w:color w:val="000000" w:themeColor="text1"/>
          <w:highlight w:val="none"/>
          <w:u w:val="single"/>
          <w:lang w:val="en-US" w:eastAsia="zh-CN"/>
          <w14:textFill>
            <w14:solidFill>
              <w14:schemeClr w14:val="tx1"/>
            </w14:solidFill>
          </w14:textFill>
        </w:rPr>
        <w:t>6</w:t>
      </w:r>
      <w:r>
        <w:rPr>
          <w:rFonts w:hint="eastAsia" w:ascii="宋体" w:hAnsi="宋体"/>
          <w:bCs/>
          <w:color w:val="000000" w:themeColor="text1"/>
          <w:highlight w:val="none"/>
          <w:u w:val="single"/>
          <w14:textFill>
            <w14:solidFill>
              <w14:schemeClr w14:val="tx1"/>
            </w14:solidFill>
          </w14:textFill>
        </w:rPr>
        <w:t>日</w:t>
      </w:r>
      <w:r>
        <w:rPr>
          <w:rFonts w:hint="eastAsia" w:ascii="宋体" w:hAnsi="宋体"/>
          <w:bCs/>
          <w:color w:val="000000" w:themeColor="text1"/>
          <w:highlight w:val="none"/>
          <w:u w:val="single"/>
          <w:lang w:val="en-US" w:eastAsia="zh-CN"/>
          <w14:textFill>
            <w14:solidFill>
              <w14:schemeClr w14:val="tx1"/>
            </w14:solidFill>
          </w14:textFill>
        </w:rPr>
        <w:t>13</w:t>
      </w:r>
      <w:r>
        <w:rPr>
          <w:rFonts w:hint="eastAsia" w:ascii="宋体" w:hAnsi="宋体"/>
          <w:bCs/>
          <w:color w:val="000000" w:themeColor="text1"/>
          <w:highlight w:val="none"/>
          <w:u w:val="single"/>
          <w14:textFill>
            <w14:solidFill>
              <w14:schemeClr w14:val="tx1"/>
            </w14:solidFill>
          </w14:textFill>
        </w:rPr>
        <w:t>点30分</w:t>
      </w:r>
      <w:r>
        <w:rPr>
          <w:rFonts w:hint="eastAsia" w:ascii="宋体" w:hAnsi="宋体"/>
          <w:bCs/>
          <w:color w:val="000000" w:themeColor="text1"/>
          <w:highlight w:val="none"/>
          <w14:textFill>
            <w14:solidFill>
              <w14:schemeClr w14:val="tx1"/>
            </w14:solidFill>
          </w14:textFill>
        </w:rPr>
        <w:t>（北京时间）。</w:t>
      </w:r>
    </w:p>
    <w:p w14:paraId="5F2B89AC">
      <w:pPr>
        <w:spacing w:line="360" w:lineRule="auto"/>
        <w:ind w:firstLine="420" w:firstLineChars="20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投标地点（网址）：</w:t>
      </w:r>
      <w:r>
        <w:rPr>
          <w:rFonts w:ascii="宋体" w:hAnsi="宋体"/>
          <w:color w:val="000000" w:themeColor="text1"/>
          <w:szCs w:val="21"/>
          <w:highlight w:val="none"/>
          <w:u w:val="single"/>
          <w14:textFill>
            <w14:solidFill>
              <w14:schemeClr w14:val="tx1"/>
            </w14:solidFill>
          </w14:textFill>
        </w:rPr>
        <w:t>宁海县桃源街道金水东路5号五楼开标室</w:t>
      </w:r>
      <w:r>
        <w:rPr>
          <w:rFonts w:hint="eastAsia" w:ascii="宋体" w:hAnsi="宋体"/>
          <w:color w:val="000000" w:themeColor="text1"/>
          <w:szCs w:val="21"/>
          <w:highlight w:val="none"/>
          <w:u w:val="single"/>
          <w14:textFill>
            <w14:solidFill>
              <w14:schemeClr w14:val="tx1"/>
            </w14:solidFill>
          </w14:textFill>
        </w:rPr>
        <w:t>详见五楼大厅公告</w:t>
      </w:r>
      <w:r>
        <w:rPr>
          <w:rFonts w:hint="eastAsia" w:ascii="宋体" w:hAnsi="宋体"/>
          <w:color w:val="000000" w:themeColor="text1"/>
          <w:szCs w:val="21"/>
          <w:highlight w:val="none"/>
          <w:u w:val="single"/>
          <w:lang w:val="en-US" w:eastAsia="zh-CN"/>
          <w14:textFill>
            <w14:solidFill>
              <w14:schemeClr w14:val="tx1"/>
            </w14:solidFill>
          </w14:textFill>
        </w:rPr>
        <w:t>和</w:t>
      </w:r>
      <w:r>
        <w:rPr>
          <w:rFonts w:hint="eastAsia" w:ascii="宋体" w:hAnsi="宋体" w:cs="Arial"/>
          <w:color w:val="000000" w:themeColor="text1"/>
          <w:szCs w:val="21"/>
          <w:highlight w:val="none"/>
          <w:u w:val="single"/>
          <w14:textFill>
            <w14:solidFill>
              <w14:schemeClr w14:val="tx1"/>
            </w14:solidFill>
          </w14:textFill>
        </w:rPr>
        <w:t>政采云平台（www.zcygov.cn）（线上）</w:t>
      </w:r>
    </w:p>
    <w:p w14:paraId="08AB6712">
      <w:pPr>
        <w:spacing w:line="360" w:lineRule="auto"/>
        <w:ind w:firstLine="420" w:firstLineChars="20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开标时间：</w:t>
      </w:r>
      <w:r>
        <w:rPr>
          <w:rFonts w:hint="eastAsia" w:ascii="宋体" w:hAnsi="宋体" w:cs="Arial"/>
          <w:color w:val="000000" w:themeColor="text1"/>
          <w:szCs w:val="21"/>
          <w:highlight w:val="none"/>
          <w:u w:val="single"/>
          <w14:textFill>
            <w14:solidFill>
              <w14:schemeClr w14:val="tx1"/>
            </w14:solidFill>
          </w14:textFill>
        </w:rPr>
        <w:t>2024年</w:t>
      </w:r>
      <w:r>
        <w:rPr>
          <w:rFonts w:hint="eastAsia" w:ascii="宋体" w:hAnsi="宋体" w:cs="Arial"/>
          <w:color w:val="000000" w:themeColor="text1"/>
          <w:szCs w:val="21"/>
          <w:highlight w:val="none"/>
          <w:u w:val="single"/>
          <w:lang w:val="en-US" w:eastAsia="zh-CN"/>
          <w14:textFill>
            <w14:solidFill>
              <w14:schemeClr w14:val="tx1"/>
            </w14:solidFill>
          </w14:textFill>
        </w:rPr>
        <w:t>11</w:t>
      </w:r>
      <w:r>
        <w:rPr>
          <w:rFonts w:hint="eastAsia" w:ascii="宋体" w:hAnsi="宋体" w:cs="Arial"/>
          <w:color w:val="000000" w:themeColor="text1"/>
          <w:szCs w:val="21"/>
          <w:highlight w:val="none"/>
          <w:u w:val="single"/>
          <w14:textFill>
            <w14:solidFill>
              <w14:schemeClr w14:val="tx1"/>
            </w14:solidFill>
          </w14:textFill>
        </w:rPr>
        <w:t>月</w:t>
      </w:r>
      <w:r>
        <w:rPr>
          <w:rFonts w:hint="eastAsia" w:ascii="宋体" w:hAnsi="宋体" w:cs="Arial"/>
          <w:color w:val="000000" w:themeColor="text1"/>
          <w:szCs w:val="21"/>
          <w:highlight w:val="none"/>
          <w:u w:val="single"/>
          <w:lang w:val="en-US" w:eastAsia="zh-CN"/>
          <w14:textFill>
            <w14:solidFill>
              <w14:schemeClr w14:val="tx1"/>
            </w14:solidFill>
          </w14:textFill>
        </w:rPr>
        <w:t>6</w:t>
      </w:r>
      <w:r>
        <w:rPr>
          <w:rFonts w:hint="eastAsia" w:ascii="宋体" w:hAnsi="宋体" w:cs="Arial"/>
          <w:color w:val="000000" w:themeColor="text1"/>
          <w:szCs w:val="21"/>
          <w:highlight w:val="none"/>
          <w:u w:val="single"/>
          <w14:textFill>
            <w14:solidFill>
              <w14:schemeClr w14:val="tx1"/>
            </w14:solidFill>
          </w14:textFill>
        </w:rPr>
        <w:t>日1</w:t>
      </w:r>
      <w:r>
        <w:rPr>
          <w:rFonts w:hint="eastAsia" w:ascii="宋体" w:hAnsi="宋体" w:cs="Arial"/>
          <w:color w:val="000000" w:themeColor="text1"/>
          <w:szCs w:val="21"/>
          <w:highlight w:val="none"/>
          <w:u w:val="single"/>
          <w:lang w:val="en-US" w:eastAsia="zh-CN"/>
          <w14:textFill>
            <w14:solidFill>
              <w14:schemeClr w14:val="tx1"/>
            </w14:solidFill>
          </w14:textFill>
        </w:rPr>
        <w:t>3</w:t>
      </w:r>
      <w:r>
        <w:rPr>
          <w:rFonts w:hint="eastAsia" w:ascii="宋体" w:hAnsi="宋体" w:cs="Arial"/>
          <w:color w:val="000000" w:themeColor="text1"/>
          <w:szCs w:val="21"/>
          <w:highlight w:val="none"/>
          <w:u w:val="single"/>
          <w14:textFill>
            <w14:solidFill>
              <w14:schemeClr w14:val="tx1"/>
            </w14:solidFill>
          </w14:textFill>
        </w:rPr>
        <w:t xml:space="preserve"> :30</w:t>
      </w:r>
      <w:r>
        <w:rPr>
          <w:rFonts w:hint="eastAsia" w:ascii="宋体" w:hAnsi="宋体" w:cs="Arial"/>
          <w:color w:val="000000" w:themeColor="text1"/>
          <w:szCs w:val="21"/>
          <w:highlight w:val="none"/>
          <w14:textFill>
            <w14:solidFill>
              <w14:schemeClr w14:val="tx1"/>
            </w14:solidFill>
          </w14:textFill>
        </w:rPr>
        <w:t xml:space="preserve"> （北京时间）</w:t>
      </w:r>
    </w:p>
    <w:p w14:paraId="577EE7CE">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开标地点（网址）：</w:t>
      </w:r>
      <w:r>
        <w:rPr>
          <w:rFonts w:ascii="宋体" w:hAnsi="宋体"/>
          <w:color w:val="000000" w:themeColor="text1"/>
          <w:szCs w:val="21"/>
          <w:highlight w:val="none"/>
          <w:u w:val="single"/>
          <w14:textFill>
            <w14:solidFill>
              <w14:schemeClr w14:val="tx1"/>
            </w14:solidFill>
          </w14:textFill>
        </w:rPr>
        <w:t>宁海县桃源街道金水东路5号五楼开标室</w:t>
      </w:r>
      <w:r>
        <w:rPr>
          <w:rFonts w:hint="eastAsia" w:ascii="宋体" w:hAnsi="宋体"/>
          <w:color w:val="000000" w:themeColor="text1"/>
          <w:szCs w:val="21"/>
          <w:highlight w:val="none"/>
          <w:u w:val="single"/>
          <w14:textFill>
            <w14:solidFill>
              <w14:schemeClr w14:val="tx1"/>
            </w14:solidFill>
          </w14:textFill>
        </w:rPr>
        <w:t>详见五楼大厅公告</w:t>
      </w:r>
      <w:r>
        <w:rPr>
          <w:rFonts w:hint="eastAsia" w:ascii="宋体" w:hAnsi="宋体"/>
          <w:color w:val="000000" w:themeColor="text1"/>
          <w:szCs w:val="21"/>
          <w:highlight w:val="none"/>
          <w:u w:val="single"/>
          <w:lang w:val="en-US" w:eastAsia="zh-CN"/>
          <w14:textFill>
            <w14:solidFill>
              <w14:schemeClr w14:val="tx1"/>
            </w14:solidFill>
          </w14:textFill>
        </w:rPr>
        <w:t>和</w:t>
      </w:r>
      <w:r>
        <w:rPr>
          <w:rFonts w:hint="eastAsia" w:ascii="宋体" w:hAnsi="宋体" w:cs="Arial"/>
          <w:color w:val="000000" w:themeColor="text1"/>
          <w:szCs w:val="21"/>
          <w:highlight w:val="none"/>
          <w:u w:val="single"/>
          <w14:textFill>
            <w14:solidFill>
              <w14:schemeClr w14:val="tx1"/>
            </w14:solidFill>
          </w14:textFill>
        </w:rPr>
        <w:t>政采云平台（www.zcygov.cn）（线上）</w:t>
      </w:r>
    </w:p>
    <w:p w14:paraId="2702736B">
      <w:pPr>
        <w:spacing w:line="360" w:lineRule="auto"/>
        <w:ind w:firstLine="420" w:firstLineChars="200"/>
        <w:rPr>
          <w:rFonts w:ascii="宋体" w:hAnsi="宋体"/>
          <w:bCs/>
          <w:color w:val="000000" w:themeColor="text1"/>
          <w:highlight w:val="none"/>
          <w:u w:val="single"/>
          <w14:textFill>
            <w14:solidFill>
              <w14:schemeClr w14:val="tx1"/>
            </w14:solidFill>
          </w14:textFill>
        </w:rPr>
      </w:pPr>
    </w:p>
    <w:p w14:paraId="1C1A6260">
      <w:pPr>
        <w:pStyle w:val="3"/>
        <w:spacing w:line="360" w:lineRule="auto"/>
        <w:jc w:val="both"/>
        <w:rPr>
          <w:rFonts w:ascii="宋体" w:hAnsi="宋体" w:cs="宋体"/>
          <w:color w:val="000000" w:themeColor="text1"/>
          <w:sz w:val="21"/>
          <w:szCs w:val="21"/>
          <w:highlight w:val="none"/>
          <w14:textFill>
            <w14:solidFill>
              <w14:schemeClr w14:val="tx1"/>
            </w14:solidFill>
          </w14:textFill>
        </w:rPr>
      </w:pPr>
      <w:bookmarkStart w:id="31" w:name="_Toc136345087"/>
      <w:bookmarkStart w:id="32" w:name="_Toc13461"/>
      <w:bookmarkStart w:id="33" w:name="_Toc136017625"/>
      <w:bookmarkStart w:id="34" w:name="_Toc28359084"/>
      <w:bookmarkStart w:id="35" w:name="_Toc35393625"/>
      <w:bookmarkStart w:id="36" w:name="_Toc35393794"/>
      <w:bookmarkStart w:id="37" w:name="_Toc28359007"/>
      <w:r>
        <w:rPr>
          <w:rFonts w:hint="eastAsia" w:ascii="宋体" w:hAnsi="宋体" w:cs="宋体"/>
          <w:color w:val="000000" w:themeColor="text1"/>
          <w:sz w:val="21"/>
          <w:szCs w:val="21"/>
          <w:highlight w:val="none"/>
          <w14:textFill>
            <w14:solidFill>
              <w14:schemeClr w14:val="tx1"/>
            </w14:solidFill>
          </w14:textFill>
        </w:rPr>
        <w:t>五、公告期限</w:t>
      </w:r>
      <w:bookmarkEnd w:id="31"/>
      <w:bookmarkEnd w:id="32"/>
      <w:bookmarkEnd w:id="33"/>
      <w:bookmarkEnd w:id="34"/>
      <w:bookmarkEnd w:id="35"/>
      <w:bookmarkEnd w:id="36"/>
      <w:bookmarkEnd w:id="37"/>
    </w:p>
    <w:p w14:paraId="7F3774C4">
      <w:pPr>
        <w:spacing w:line="360" w:lineRule="auto"/>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自本公告发布之日起5个工作日。</w:t>
      </w:r>
    </w:p>
    <w:p w14:paraId="56B51C0D">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p w14:paraId="53394BD6">
      <w:pPr>
        <w:pStyle w:val="3"/>
        <w:spacing w:line="360" w:lineRule="auto"/>
        <w:jc w:val="both"/>
        <w:rPr>
          <w:rFonts w:ascii="宋体" w:hAnsi="宋体" w:cs="宋体"/>
          <w:color w:val="000000" w:themeColor="text1"/>
          <w:sz w:val="21"/>
          <w:szCs w:val="21"/>
          <w:highlight w:val="none"/>
          <w14:textFill>
            <w14:solidFill>
              <w14:schemeClr w14:val="tx1"/>
            </w14:solidFill>
          </w14:textFill>
        </w:rPr>
      </w:pPr>
      <w:bookmarkStart w:id="38" w:name="_Toc136345088"/>
      <w:bookmarkStart w:id="39" w:name="_Toc9281"/>
      <w:bookmarkStart w:id="40" w:name="_Toc35393626"/>
      <w:bookmarkStart w:id="41" w:name="_Toc35393795"/>
      <w:bookmarkStart w:id="42" w:name="_Toc136017626"/>
      <w:r>
        <w:rPr>
          <w:rFonts w:hint="eastAsia" w:ascii="宋体" w:hAnsi="宋体" w:cs="宋体"/>
          <w:color w:val="000000" w:themeColor="text1"/>
          <w:sz w:val="21"/>
          <w:szCs w:val="21"/>
          <w:highlight w:val="none"/>
          <w14:textFill>
            <w14:solidFill>
              <w14:schemeClr w14:val="tx1"/>
            </w14:solidFill>
          </w14:textFill>
        </w:rPr>
        <w:t>六、其他补充事宜</w:t>
      </w:r>
      <w:bookmarkEnd w:id="38"/>
      <w:bookmarkEnd w:id="39"/>
      <w:bookmarkEnd w:id="40"/>
      <w:bookmarkEnd w:id="41"/>
      <w:bookmarkEnd w:id="42"/>
    </w:p>
    <w:p w14:paraId="3789A20F">
      <w:pPr>
        <w:spacing w:line="360" w:lineRule="auto"/>
        <w:ind w:firstLine="420" w:firstLineChars="200"/>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1.投标人认为招标文件使自己的权益受到损害的，可以自获取招标文件之日或者招标文件公告期限届满之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9AE97F">
      <w:pPr>
        <w:spacing w:line="360" w:lineRule="auto"/>
        <w:ind w:firstLine="420" w:firstLineChars="200"/>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2.其他事项：</w:t>
      </w:r>
    </w:p>
    <w:p w14:paraId="6FF38D08">
      <w:pPr>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2.1落实政策：</w:t>
      </w:r>
      <w:r>
        <w:rPr>
          <w:rFonts w:hint="eastAsia" w:hAnsi="宋体" w:cs="宋体"/>
          <w:color w:val="000000" w:themeColor="text1"/>
          <w:highlight w:val="none"/>
          <w14:textFill>
            <w14:solidFill>
              <w14:schemeClr w14:val="tx1"/>
            </w14:solidFill>
          </w14:textFill>
        </w:rPr>
        <w:t>政府采购促进中小企业发展；政府采购支持监狱企业发展；政府采购促进残疾人就业。</w:t>
      </w:r>
    </w:p>
    <w:p w14:paraId="4F0BE2DB">
      <w:pPr>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2.2</w:t>
      </w:r>
      <w:r>
        <w:rPr>
          <w:rFonts w:hint="eastAsia" w:ascii="宋体" w:hAnsi="宋体" w:cs="宋体"/>
          <w:color w:val="000000" w:themeColor="text1"/>
          <w:szCs w:val="21"/>
          <w:highlight w:val="none"/>
          <w14:textFill>
            <w14:solidFill>
              <w14:schemeClr w14:val="tx1"/>
            </w14:solidFill>
          </w14:textFill>
        </w:rPr>
        <w:t>①单位负责人为同一人或者存在直接控股、管理关系的不同供应商，不得同时参加同一合同项下的政府采购活动；②为采购项目提供整体设计、规范编制或者项目管理、监理、检测等服务后不得再参加该采购项目的其他采购活动；③公益一类事业单位、使用事业编制且由财政拨款保障的群团组织不属于政府购买服务的承接主体，不得参与承接购买服务。</w:t>
      </w:r>
    </w:p>
    <w:p w14:paraId="3BF74363">
      <w:pPr>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2.3各投标人应在开标前确保成为浙江省政府采购网正式注册入库投标人，并完成CA数字证书办理。因未注册入库、未办理CA数字证书等原因造成无法投标或投标失败等后果由投标人自行承担。（具体操作详见投标人CA申领操作指南https://help.zcygov.cn/web/site_2/2018/11-29/2452.html）。 </w:t>
      </w:r>
    </w:p>
    <w:p w14:paraId="082912AB">
      <w:pPr>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2.4本次政府采购活动有关信息在“浙江政府采购网（http://zfcg.czt.zj.gov.cn/）”、“宁波市政府采购网（www.nbzfcg.cn）”网站上公布，公布信息视同送达所有潜在投标人。</w:t>
      </w:r>
    </w:p>
    <w:p w14:paraId="6BE55147">
      <w:pPr>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2.5特别提醒事项（投标人提交电子备份投标文件方式）： </w:t>
      </w:r>
    </w:p>
    <w:p w14:paraId="67328589">
      <w:pPr>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2.5.1采用邮寄方式提交电子备份投标文件，需按以下要求递交： </w:t>
      </w:r>
    </w:p>
    <w:p w14:paraId="7F82C3A9">
      <w:pPr>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投标人须在开标日期前一天</w:t>
      </w:r>
      <w:r>
        <w:rPr>
          <w:rFonts w:cs="宋体" w:asciiTheme="minorEastAsia" w:hAnsiTheme="minorEastAsia" w:eastAsiaTheme="minorEastAsia"/>
          <w:color w:val="000000" w:themeColor="text1"/>
          <w:szCs w:val="21"/>
          <w:highlight w:val="none"/>
          <w14:textFill>
            <w14:solidFill>
              <w14:schemeClr w14:val="tx1"/>
            </w14:solidFill>
          </w14:textFill>
        </w:rPr>
        <w:t>17</w:t>
      </w:r>
      <w:r>
        <w:rPr>
          <w:rFonts w:hint="eastAsia" w:cs="宋体" w:asciiTheme="minorEastAsia" w:hAnsiTheme="minorEastAsia" w:eastAsiaTheme="minorEastAsia"/>
          <w:color w:val="000000" w:themeColor="text1"/>
          <w:szCs w:val="21"/>
          <w:highlight w:val="none"/>
          <w14:textFill>
            <w14:solidFill>
              <w14:schemeClr w14:val="tx1"/>
            </w14:solidFill>
          </w14:textFill>
        </w:rPr>
        <w:t>:00（北京时间）前将电子备份投标文件邮寄至规定地点，由采购代理机构工作人员进行签收。各投标人自行考虑邮寄在途时间，邮寄过程中无论何种因素导致电子备份投标文件未按时递交的后果，均由投标人自行负责。电子备份投标文件递交时间以招标代理实际收到电子备份投标文件的时间为准。迟到的电子备份投标文件将被拒收。请各投标人确保密封包装在邮寄过程密封包装完好，并在邮寄包裹上注明项目名称，因邮寄过程的密封破损造成不符合开标要求的，本招标代理及采购人概不负责。</w:t>
      </w:r>
    </w:p>
    <w:p w14:paraId="0B533855">
      <w:pPr>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2.5.2采用现场递交方式递交电子备份投标文件：递交人员需在投标截止时间前递交至规定地点。若投标人因未按上述要求办理而导致无法准时进入开标现场的，由投标人自行负责。</w:t>
      </w:r>
    </w:p>
    <w:p w14:paraId="5683A1C5">
      <w:pPr>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电子备份投标文件邮寄/现场递交地址为：宁波市鄞州区世纪大道北段555号名汇东方19楼1921室</w:t>
      </w:r>
    </w:p>
    <w:p w14:paraId="68A61331">
      <w:pPr>
        <w:snapToGrid w:val="0"/>
        <w:spacing w:line="400" w:lineRule="exact"/>
        <w:ind w:firstLine="411" w:firstLineChars="196"/>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收件人：袁航 联系方式：0574-55717459</w:t>
      </w:r>
    </w:p>
    <w:p w14:paraId="041D27C0">
      <w:pPr>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2.6中标通知书领取方式：根据投标人要求采用邮寄或采购代理机构现场领取。</w:t>
      </w:r>
    </w:p>
    <w:p w14:paraId="6E0FD679">
      <w:pPr>
        <w:pStyle w:val="3"/>
        <w:spacing w:line="360" w:lineRule="auto"/>
        <w:jc w:val="both"/>
        <w:rPr>
          <w:rFonts w:ascii="宋体" w:hAnsi="宋体" w:cs="宋体"/>
          <w:color w:val="000000" w:themeColor="text1"/>
          <w:sz w:val="21"/>
          <w:szCs w:val="21"/>
          <w:highlight w:val="none"/>
          <w14:textFill>
            <w14:solidFill>
              <w14:schemeClr w14:val="tx1"/>
            </w14:solidFill>
          </w14:textFill>
        </w:rPr>
      </w:pPr>
      <w:bookmarkStart w:id="43" w:name="_Toc28359085"/>
      <w:bookmarkStart w:id="44" w:name="_Toc35393627"/>
      <w:bookmarkStart w:id="45" w:name="_Toc28359008"/>
      <w:bookmarkStart w:id="46" w:name="_Toc35393796"/>
      <w:bookmarkStart w:id="47" w:name="_Toc136017627"/>
      <w:bookmarkStart w:id="48" w:name="_Toc136345089"/>
      <w:bookmarkStart w:id="49" w:name="_Toc24960"/>
      <w:r>
        <w:rPr>
          <w:rFonts w:hint="eastAsia" w:ascii="宋体" w:hAnsi="宋体" w:cs="宋体"/>
          <w:color w:val="000000" w:themeColor="text1"/>
          <w:sz w:val="21"/>
          <w:szCs w:val="21"/>
          <w:highlight w:val="none"/>
          <w14:textFill>
            <w14:solidFill>
              <w14:schemeClr w14:val="tx1"/>
            </w14:solidFill>
          </w14:textFill>
        </w:rPr>
        <w:t>七、</w:t>
      </w:r>
      <w:bookmarkEnd w:id="43"/>
      <w:bookmarkEnd w:id="44"/>
      <w:bookmarkEnd w:id="45"/>
      <w:bookmarkEnd w:id="46"/>
      <w:r>
        <w:rPr>
          <w:rFonts w:hint="eastAsia" w:ascii="宋体" w:hAnsi="宋体" w:cs="宋体"/>
          <w:color w:val="000000" w:themeColor="text1"/>
          <w:sz w:val="21"/>
          <w:szCs w:val="21"/>
          <w:highlight w:val="none"/>
          <w14:textFill>
            <w14:solidFill>
              <w14:schemeClr w14:val="tx1"/>
            </w14:solidFill>
          </w14:textFill>
        </w:rPr>
        <w:t>对本次招标提出询问、质疑、投诉，请按以下方式联系。</w:t>
      </w:r>
      <w:bookmarkEnd w:id="47"/>
      <w:bookmarkEnd w:id="48"/>
      <w:bookmarkEnd w:id="49"/>
    </w:p>
    <w:p w14:paraId="06594300">
      <w:pPr>
        <w:widowControl/>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1.采购人信息</w:t>
      </w:r>
    </w:p>
    <w:p w14:paraId="3D71D107">
      <w:pPr>
        <w:widowControl/>
        <w:spacing w:line="360" w:lineRule="auto"/>
        <w:ind w:firstLine="420" w:firstLine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    称：</w:t>
      </w:r>
      <w:r>
        <w:rPr>
          <w:rFonts w:hint="eastAsia" w:ascii="宋体" w:hAnsi="宋体" w:cs="宋体"/>
          <w:color w:val="000000" w:themeColor="text1"/>
          <w:highlight w:val="none"/>
          <w:u w:val="single"/>
          <w:lang w:eastAsia="zh-CN"/>
          <w14:textFill>
            <w14:solidFill>
              <w14:schemeClr w14:val="tx1"/>
            </w14:solidFill>
          </w14:textFill>
        </w:rPr>
        <w:t>宁海县人民政府梅林街道办事处</w:t>
      </w:r>
    </w:p>
    <w:p w14:paraId="59ECB2E0">
      <w:pPr>
        <w:widowControl/>
        <w:spacing w:line="360" w:lineRule="auto"/>
        <w:ind w:firstLine="420" w:firstLineChars="2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    址：</w:t>
      </w:r>
      <w:r>
        <w:rPr>
          <w:rFonts w:hint="eastAsia" w:ascii="宋体" w:hAnsi="宋体" w:cs="宋体"/>
          <w:color w:val="000000" w:themeColor="text1"/>
          <w:highlight w:val="none"/>
          <w:u w:val="single"/>
          <w14:textFill>
            <w14:solidFill>
              <w14:schemeClr w14:val="tx1"/>
            </w14:solidFill>
          </w14:textFill>
        </w:rPr>
        <w:t>宁波市宁海县振兴南路158号</w:t>
      </w:r>
    </w:p>
    <w:p w14:paraId="5833774F">
      <w:pPr>
        <w:widowControl/>
        <w:spacing w:line="360" w:lineRule="auto"/>
        <w:ind w:firstLine="420" w:firstLineChars="200"/>
        <w:jc w:val="left"/>
        <w:rPr>
          <w:rFonts w:hint="default" w:ascii="宋体" w:hAnsi="宋体" w:eastAsia="宋体" w:cs="宋体"/>
          <w:color w:val="000000" w:themeColor="text1"/>
          <w:highlight w:val="none"/>
          <w:u w:val="singl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项目联系人（询问）：</w:t>
      </w:r>
      <w:r>
        <w:rPr>
          <w:rFonts w:hint="eastAsia" w:ascii="宋体" w:hAnsi="宋体" w:cs="宋体"/>
          <w:color w:val="000000" w:themeColor="text1"/>
          <w:highlight w:val="none"/>
          <w:u w:val="single"/>
          <w:lang w:val="en-US" w:eastAsia="zh-CN"/>
          <w14:textFill>
            <w14:solidFill>
              <w14:schemeClr w14:val="tx1"/>
            </w14:solidFill>
          </w14:textFill>
        </w:rPr>
        <w:t>李老师</w:t>
      </w:r>
    </w:p>
    <w:p w14:paraId="3FCD7310">
      <w:pPr>
        <w:widowControl/>
        <w:spacing w:line="360" w:lineRule="auto"/>
        <w:ind w:firstLine="420" w:firstLineChars="200"/>
        <w:jc w:val="left"/>
        <w:rPr>
          <w:rFonts w:hint="default" w:ascii="宋体" w:hAnsi="宋体" w:eastAsia="宋体" w:cs="宋体"/>
          <w:color w:val="000000" w:themeColor="text1"/>
          <w:highlight w:val="none"/>
          <w:u w:val="singl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项目联系方式（询问）：</w:t>
      </w:r>
      <w:r>
        <w:rPr>
          <w:rFonts w:hint="eastAsia" w:ascii="宋体" w:hAnsi="宋体" w:cs="宋体"/>
          <w:color w:val="000000" w:themeColor="text1"/>
          <w:highlight w:val="none"/>
          <w:u w:val="single"/>
          <w:lang w:val="en-US" w:eastAsia="zh-CN"/>
          <w14:textFill>
            <w14:solidFill>
              <w14:schemeClr w14:val="tx1"/>
            </w14:solidFill>
          </w14:textFill>
        </w:rPr>
        <w:t>0574-59956239</w:t>
      </w:r>
    </w:p>
    <w:p w14:paraId="46EB4F51">
      <w:pPr>
        <w:widowControl/>
        <w:spacing w:line="360" w:lineRule="auto"/>
        <w:ind w:firstLine="420" w:firstLineChars="200"/>
        <w:jc w:val="left"/>
        <w:rPr>
          <w:rFonts w:hint="default" w:ascii="宋体" w:hAnsi="宋体" w:eastAsia="宋体" w:cs="宋体"/>
          <w:color w:val="000000" w:themeColor="text1"/>
          <w:highlight w:val="none"/>
          <w:u w:val="singl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质疑联系人：</w:t>
      </w:r>
      <w:r>
        <w:rPr>
          <w:rFonts w:hint="eastAsia" w:ascii="宋体" w:hAnsi="宋体" w:cs="宋体"/>
          <w:color w:val="000000" w:themeColor="text1"/>
          <w:highlight w:val="none"/>
          <w:u w:val="single"/>
          <w:lang w:val="en-US" w:eastAsia="zh-CN"/>
          <w14:textFill>
            <w14:solidFill>
              <w14:schemeClr w14:val="tx1"/>
            </w14:solidFill>
          </w14:textFill>
        </w:rPr>
        <w:t>李老师</w:t>
      </w:r>
    </w:p>
    <w:p w14:paraId="022C822F">
      <w:pPr>
        <w:widowControl/>
        <w:spacing w:line="360" w:lineRule="auto"/>
        <w:ind w:firstLine="420" w:firstLineChars="200"/>
        <w:jc w:val="left"/>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质疑联系方式：</w:t>
      </w:r>
      <w:r>
        <w:rPr>
          <w:rFonts w:hint="eastAsia" w:ascii="宋体" w:hAnsi="宋体" w:cs="宋体"/>
          <w:color w:val="000000" w:themeColor="text1"/>
          <w:highlight w:val="none"/>
          <w:u w:val="single"/>
          <w:lang w:val="en-US" w:eastAsia="zh-CN"/>
          <w14:textFill>
            <w14:solidFill>
              <w14:schemeClr w14:val="tx1"/>
            </w14:solidFill>
          </w14:textFill>
        </w:rPr>
        <w:t>0574-59956239</w:t>
      </w:r>
    </w:p>
    <w:p w14:paraId="6AA377D1">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p>
    <w:p w14:paraId="6583C400">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2.采购代理机构信息</w:t>
      </w:r>
    </w:p>
    <w:p w14:paraId="5EDB2FA3">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    称：  宁波国际投资咨询有限公司</w:t>
      </w:r>
    </w:p>
    <w:p w14:paraId="3FEDAA10">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地    址：  </w:t>
      </w:r>
      <w:r>
        <w:rPr>
          <w:rFonts w:hint="eastAsia" w:ascii="宋体" w:hAnsi="宋体" w:cs="Arial"/>
          <w:color w:val="000000" w:themeColor="text1"/>
          <w:szCs w:val="21"/>
          <w:highlight w:val="none"/>
          <w14:textFill>
            <w14:solidFill>
              <w14:schemeClr w14:val="tx1"/>
            </w14:solidFill>
          </w14:textFill>
        </w:rPr>
        <w:t>宁波市世纪大道北段555号名汇东方大厦19楼1920室</w:t>
      </w:r>
    </w:p>
    <w:p w14:paraId="689EDB29">
      <w:pPr>
        <w:widowControl/>
        <w:spacing w:line="360" w:lineRule="auto"/>
        <w:ind w:firstLine="420" w:firstLineChars="2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项目联系人（询问）：</w:t>
      </w:r>
      <w:r>
        <w:rPr>
          <w:rFonts w:hint="eastAsia" w:ascii="宋体" w:hAnsi="宋体" w:cs="宋体"/>
          <w:color w:val="000000" w:themeColor="text1"/>
          <w:highlight w:val="none"/>
          <w:u w:val="single"/>
          <w14:textFill>
            <w14:solidFill>
              <w14:schemeClr w14:val="tx1"/>
            </w14:solidFill>
          </w14:textFill>
        </w:rPr>
        <w:t>袁航、邱晔</w:t>
      </w:r>
    </w:p>
    <w:p w14:paraId="212C7D5D">
      <w:pPr>
        <w:widowControl/>
        <w:spacing w:line="360" w:lineRule="auto"/>
        <w:ind w:firstLine="420" w:firstLineChars="2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项目联系方式（询问）：</w:t>
      </w:r>
      <w:r>
        <w:rPr>
          <w:rFonts w:ascii="宋体" w:hAnsi="宋体" w:cs="宋体"/>
          <w:color w:val="000000" w:themeColor="text1"/>
          <w:highlight w:val="none"/>
          <w:u w:val="single"/>
          <w14:textFill>
            <w14:solidFill>
              <w14:schemeClr w14:val="tx1"/>
            </w14:solidFill>
          </w14:textFill>
        </w:rPr>
        <w:t>0574-</w:t>
      </w:r>
      <w:r>
        <w:rPr>
          <w:rFonts w:hint="eastAsia" w:ascii="宋体" w:hAnsi="宋体" w:cs="宋体"/>
          <w:color w:val="000000" w:themeColor="text1"/>
          <w:highlight w:val="none"/>
          <w:u w:val="single"/>
          <w14:textFill>
            <w14:solidFill>
              <w14:schemeClr w14:val="tx1"/>
            </w14:solidFill>
          </w14:textFill>
        </w:rPr>
        <w:t>55717459</w:t>
      </w:r>
    </w:p>
    <w:p w14:paraId="56AE30F5">
      <w:pPr>
        <w:widowControl/>
        <w:spacing w:line="360" w:lineRule="auto"/>
        <w:ind w:firstLine="420" w:firstLineChars="200"/>
        <w:jc w:val="left"/>
        <w:rPr>
          <w:rFonts w:hint="eastAsia"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质疑联系人：</w:t>
      </w:r>
      <w:r>
        <w:rPr>
          <w:rFonts w:hint="eastAsia" w:ascii="宋体" w:hAnsi="宋体" w:cs="宋体"/>
          <w:color w:val="000000" w:themeColor="text1"/>
          <w:highlight w:val="none"/>
          <w:u w:val="single"/>
          <w:lang w:val="en-US" w:eastAsia="zh-CN"/>
          <w14:textFill>
            <w14:solidFill>
              <w14:schemeClr w14:val="tx1"/>
            </w14:solidFill>
          </w14:textFill>
        </w:rPr>
        <w:t>陈琦阳</w:t>
      </w:r>
    </w:p>
    <w:p w14:paraId="76884AC4">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质疑联系方式：</w:t>
      </w:r>
      <w:r>
        <w:rPr>
          <w:rFonts w:hint="eastAsia" w:ascii="宋体" w:hAnsi="宋体" w:cs="宋体"/>
          <w:color w:val="000000" w:themeColor="text1"/>
          <w:highlight w:val="none"/>
          <w:u w:val="single"/>
          <w14:textFill>
            <w14:solidFill>
              <w14:schemeClr w14:val="tx1"/>
            </w14:solidFill>
          </w14:textFill>
        </w:rPr>
        <w:t>0574-55717419</w:t>
      </w:r>
    </w:p>
    <w:p w14:paraId="20D93441">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电子邮箱： </w:t>
      </w:r>
      <w:r>
        <w:rPr>
          <w:rFonts w:hint="eastAsia" w:ascii="宋体" w:hAnsi="宋体" w:cs="宋体"/>
          <w:color w:val="000000" w:themeColor="text1"/>
          <w:highlight w:val="none"/>
          <w:u w:val="single"/>
          <w14:textFill>
            <w14:solidFill>
              <w14:schemeClr w14:val="tx1"/>
            </w14:solidFill>
          </w14:textFill>
        </w:rPr>
        <w:t>287950116@qq.com</w:t>
      </w:r>
    </w:p>
    <w:p w14:paraId="3650B869">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p>
    <w:p w14:paraId="4E77CE29">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名称：</w:t>
      </w:r>
      <w:r>
        <w:rPr>
          <w:rFonts w:hint="eastAsia" w:ascii="宋体" w:hAnsi="宋体"/>
          <w:color w:val="000000" w:themeColor="text1"/>
          <w:szCs w:val="21"/>
          <w:highlight w:val="none"/>
          <w:u w:val="single"/>
          <w14:textFill>
            <w14:solidFill>
              <w14:schemeClr w14:val="tx1"/>
            </w14:solidFill>
          </w14:textFill>
        </w:rPr>
        <w:t>宁海县政府采购管理办公室</w:t>
      </w:r>
    </w:p>
    <w:p w14:paraId="4CC0FDCB">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地址：</w:t>
      </w:r>
      <w:r>
        <w:rPr>
          <w:rFonts w:hint="eastAsia" w:ascii="宋体" w:hAnsi="宋体"/>
          <w:color w:val="000000" w:themeColor="text1"/>
          <w:szCs w:val="21"/>
          <w:highlight w:val="none"/>
          <w:u w:val="single"/>
          <w14:textFill>
            <w14:solidFill>
              <w14:schemeClr w14:val="tx1"/>
            </w14:solidFill>
          </w14:textFill>
        </w:rPr>
        <w:t>宁海县跃龙街道桃源中路218号</w:t>
      </w:r>
      <w:r>
        <w:rPr>
          <w:rFonts w:ascii="宋体" w:hAnsi="宋体"/>
          <w:color w:val="000000" w:themeColor="text1"/>
          <w:szCs w:val="21"/>
          <w:highlight w:val="none"/>
          <w14:textFill>
            <w14:solidFill>
              <w14:schemeClr w14:val="tx1"/>
            </w14:solidFill>
          </w14:textFill>
        </w:rPr>
        <w:t>　</w:t>
      </w:r>
    </w:p>
    <w:p w14:paraId="7C688583">
      <w:pPr>
        <w:spacing w:line="400" w:lineRule="exact"/>
        <w:ind w:firstLine="420" w:firstLineChars="200"/>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传真：</w:t>
      </w:r>
      <w:r>
        <w:rPr>
          <w:rFonts w:ascii="宋体" w:hAnsi="宋体"/>
          <w:color w:val="000000" w:themeColor="text1"/>
          <w:szCs w:val="21"/>
          <w:highlight w:val="none"/>
          <w:u w:val="single"/>
          <w14:textFill>
            <w14:solidFill>
              <w14:schemeClr w14:val="tx1"/>
            </w14:solidFill>
          </w14:textFill>
        </w:rPr>
        <w:t>0574-65265612</w:t>
      </w:r>
    </w:p>
    <w:p w14:paraId="53911E4D">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联系人：</w:t>
      </w:r>
      <w:r>
        <w:rPr>
          <w:rFonts w:ascii="宋体" w:hAnsi="宋体"/>
          <w:color w:val="000000" w:themeColor="text1"/>
          <w:szCs w:val="21"/>
          <w:highlight w:val="none"/>
          <w:u w:val="single"/>
          <w14:textFill>
            <w14:solidFill>
              <w14:schemeClr w14:val="tx1"/>
            </w14:solidFill>
          </w14:textFill>
        </w:rPr>
        <w:t>王欢永</w:t>
      </w:r>
    </w:p>
    <w:p w14:paraId="37C05F3A">
      <w:pPr>
        <w:widowControl/>
        <w:spacing w:line="360" w:lineRule="auto"/>
        <w:ind w:firstLine="420" w:firstLineChars="200"/>
        <w:jc w:val="left"/>
        <w:rPr>
          <w:rFonts w:ascii="宋体" w:hAns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监督投诉电话：</w:t>
      </w:r>
      <w:r>
        <w:rPr>
          <w:rFonts w:ascii="宋体" w:hAnsi="宋体"/>
          <w:color w:val="000000" w:themeColor="text1"/>
          <w:szCs w:val="21"/>
          <w:highlight w:val="none"/>
          <w:u w:val="single"/>
          <w14:textFill>
            <w14:solidFill>
              <w14:schemeClr w14:val="tx1"/>
            </w14:solidFill>
          </w14:textFill>
        </w:rPr>
        <w:t>0574-65265668</w:t>
      </w:r>
    </w:p>
    <w:p w14:paraId="4AC1119E">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4AA876A8">
      <w:pPr>
        <w:spacing w:line="360" w:lineRule="auto"/>
        <w:rPr>
          <w:rFonts w:ascii="宋体" w:hAnsi="宋体"/>
          <w:color w:val="000000" w:themeColor="text1"/>
          <w:szCs w:val="21"/>
          <w:highlight w:val="none"/>
          <w14:textFill>
            <w14:solidFill>
              <w14:schemeClr w14:val="tx1"/>
            </w14:solidFill>
          </w14:textFill>
        </w:rPr>
        <w:sectPr>
          <w:headerReference r:id="rId7" w:type="default"/>
          <w:footerReference r:id="rId8" w:type="default"/>
          <w:type w:val="continuous"/>
          <w:pgSz w:w="11907" w:h="16840"/>
          <w:pgMar w:top="1276" w:right="1701" w:bottom="1276" w:left="1701" w:header="720" w:footer="720" w:gutter="0"/>
          <w:pgNumType w:start="0"/>
          <w:cols w:space="720" w:num="1"/>
          <w:docGrid w:type="linesAndChars" w:linePitch="285" w:charSpace="0"/>
        </w:sectPr>
      </w:pPr>
      <w:r>
        <w:rPr>
          <w:rFonts w:hint="eastAsia" w:ascii="宋体" w:hAnsi="宋体"/>
          <w:color w:val="000000" w:themeColor="text1"/>
          <w:szCs w:val="21"/>
          <w:highlight w:val="none"/>
          <w14:textFill>
            <w14:solidFill>
              <w14:schemeClr w14:val="tx1"/>
            </w14:solidFill>
          </w14:textFill>
        </w:rPr>
        <w:t>CA问题联系电话（人工）：汇信CA 400-888-4636；天谷CA 400-087-8198。</w:t>
      </w:r>
    </w:p>
    <w:p w14:paraId="44C9DF47">
      <w:pPr>
        <w:pStyle w:val="2"/>
        <w:spacing w:beforeLines="0" w:afterLines="0" w:line="360" w:lineRule="auto"/>
        <w:rPr>
          <w:rFonts w:ascii="宋体" w:hAnsi="宋体"/>
          <w:color w:val="000000" w:themeColor="text1"/>
          <w:sz w:val="32"/>
          <w:szCs w:val="32"/>
          <w:highlight w:val="none"/>
          <w14:textFill>
            <w14:solidFill>
              <w14:schemeClr w14:val="tx1"/>
            </w14:solidFill>
          </w14:textFill>
        </w:rPr>
      </w:pPr>
      <w:bookmarkStart w:id="50" w:name="_Toc6697"/>
      <w:r>
        <w:rPr>
          <w:rFonts w:hint="eastAsia" w:ascii="宋体" w:hAnsi="宋体"/>
          <w:color w:val="000000" w:themeColor="text1"/>
          <w:sz w:val="32"/>
          <w:szCs w:val="32"/>
          <w:highlight w:val="none"/>
          <w14:textFill>
            <w14:solidFill>
              <w14:schemeClr w14:val="tx1"/>
            </w14:solidFill>
          </w14:textFill>
        </w:rPr>
        <w:t>第二部分 招标项目需求</w:t>
      </w:r>
      <w:bookmarkEnd w:id="50"/>
    </w:p>
    <w:p w14:paraId="7FE8E0FD">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项目需求前附表</w:t>
      </w:r>
    </w:p>
    <w:tbl>
      <w:tblPr>
        <w:tblStyle w:val="34"/>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82"/>
        <w:gridCol w:w="5332"/>
      </w:tblGrid>
      <w:tr w14:paraId="050A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698E3BF7">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2382" w:type="dxa"/>
            <w:vAlign w:val="center"/>
          </w:tcPr>
          <w:p w14:paraId="59BEDE1E">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项目</w:t>
            </w:r>
          </w:p>
        </w:tc>
        <w:tc>
          <w:tcPr>
            <w:tcW w:w="5332" w:type="dxa"/>
            <w:vAlign w:val="center"/>
          </w:tcPr>
          <w:p w14:paraId="50934986">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采购需求内容</w:t>
            </w:r>
          </w:p>
        </w:tc>
      </w:tr>
      <w:tr w14:paraId="0CCB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845FC76">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382" w:type="dxa"/>
            <w:vAlign w:val="center"/>
          </w:tcPr>
          <w:p w14:paraId="5AA7AA83">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采购内容</w:t>
            </w:r>
          </w:p>
        </w:tc>
        <w:tc>
          <w:tcPr>
            <w:tcW w:w="5332" w:type="dxa"/>
            <w:vAlign w:val="center"/>
          </w:tcPr>
          <w:p w14:paraId="23DC741B">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详见第一部分《采购公告》及本部分“技术要求表”</w:t>
            </w:r>
          </w:p>
        </w:tc>
      </w:tr>
      <w:tr w14:paraId="0558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03A2CE7">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2382" w:type="dxa"/>
            <w:vAlign w:val="center"/>
          </w:tcPr>
          <w:p w14:paraId="79C6AF28">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单位及数量</w:t>
            </w:r>
          </w:p>
        </w:tc>
        <w:tc>
          <w:tcPr>
            <w:tcW w:w="5332" w:type="dxa"/>
            <w:vAlign w:val="center"/>
          </w:tcPr>
          <w:p w14:paraId="408865DA">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详见第一部分《采购公告》及本部分“技术要求表”</w:t>
            </w:r>
          </w:p>
        </w:tc>
      </w:tr>
      <w:tr w14:paraId="5F6E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2784572">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2382" w:type="dxa"/>
            <w:vAlign w:val="center"/>
          </w:tcPr>
          <w:p w14:paraId="4ACD23DB">
            <w:pPr>
              <w:spacing w:line="360" w:lineRule="auto"/>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交付或者实施的时间和地点</w:t>
            </w:r>
          </w:p>
        </w:tc>
        <w:tc>
          <w:tcPr>
            <w:tcW w:w="5332" w:type="dxa"/>
            <w:vAlign w:val="center"/>
          </w:tcPr>
          <w:p w14:paraId="3C3671A4">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详见商务要求表</w:t>
            </w:r>
          </w:p>
        </w:tc>
      </w:tr>
      <w:tr w14:paraId="5B04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5FDD00D">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2382" w:type="dxa"/>
            <w:vAlign w:val="center"/>
          </w:tcPr>
          <w:p w14:paraId="330C689F">
            <w:pPr>
              <w:spacing w:line="360" w:lineRule="auto"/>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需实现的功能或者目标</w:t>
            </w:r>
          </w:p>
        </w:tc>
        <w:tc>
          <w:tcPr>
            <w:tcW w:w="5332" w:type="dxa"/>
            <w:vAlign w:val="center"/>
          </w:tcPr>
          <w:p w14:paraId="43A5D01D">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详见技术要求</w:t>
            </w:r>
          </w:p>
        </w:tc>
      </w:tr>
      <w:tr w14:paraId="17BF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FC5E683">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2382" w:type="dxa"/>
            <w:vAlign w:val="center"/>
          </w:tcPr>
          <w:p w14:paraId="34867D84">
            <w:pPr>
              <w:spacing w:line="360" w:lineRule="auto"/>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采购标的需执行的标准</w:t>
            </w:r>
          </w:p>
        </w:tc>
        <w:tc>
          <w:tcPr>
            <w:tcW w:w="5332" w:type="dxa"/>
            <w:vAlign w:val="center"/>
          </w:tcPr>
          <w:p w14:paraId="2639ABB3">
            <w:pPr>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执行国家、地方、有关机构所有相关的技术规范与标准，且确保所采用的技术规范、标准必须是国家或有关机构发布的最新版本，无论此版本在此有无提及。</w:t>
            </w:r>
          </w:p>
        </w:tc>
      </w:tr>
      <w:tr w14:paraId="658F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252B2A1">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2382" w:type="dxa"/>
            <w:vAlign w:val="center"/>
          </w:tcPr>
          <w:p w14:paraId="401A9406">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技术规格要求</w:t>
            </w:r>
          </w:p>
        </w:tc>
        <w:tc>
          <w:tcPr>
            <w:tcW w:w="5332" w:type="dxa"/>
            <w:vAlign w:val="center"/>
          </w:tcPr>
          <w:p w14:paraId="62A7DF79">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r>
      <w:tr w14:paraId="34DF8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D623D99">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2382" w:type="dxa"/>
            <w:vAlign w:val="center"/>
          </w:tcPr>
          <w:p w14:paraId="47E0A94C">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物理特性要求</w:t>
            </w:r>
          </w:p>
        </w:tc>
        <w:tc>
          <w:tcPr>
            <w:tcW w:w="5332" w:type="dxa"/>
            <w:vAlign w:val="center"/>
          </w:tcPr>
          <w:p w14:paraId="48EBFBA4">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r>
      <w:tr w14:paraId="4BD3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40262A1">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2382" w:type="dxa"/>
            <w:vAlign w:val="center"/>
          </w:tcPr>
          <w:p w14:paraId="04D2FA91">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质量、安全要求</w:t>
            </w:r>
          </w:p>
        </w:tc>
        <w:tc>
          <w:tcPr>
            <w:tcW w:w="5332" w:type="dxa"/>
            <w:vAlign w:val="center"/>
          </w:tcPr>
          <w:p w14:paraId="1327E645">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r>
      <w:tr w14:paraId="0742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098FFBD">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2382" w:type="dxa"/>
            <w:vAlign w:val="center"/>
          </w:tcPr>
          <w:p w14:paraId="5D2A0D72">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服务标准、期限、效率(培训等）</w:t>
            </w:r>
          </w:p>
        </w:tc>
        <w:tc>
          <w:tcPr>
            <w:tcW w:w="5332" w:type="dxa"/>
            <w:vAlign w:val="center"/>
          </w:tcPr>
          <w:p w14:paraId="5AD1E733">
            <w:pPr>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详见本部分内容</w:t>
            </w:r>
          </w:p>
        </w:tc>
      </w:tr>
      <w:tr w14:paraId="29A5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AE181AF">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2382" w:type="dxa"/>
            <w:vAlign w:val="center"/>
          </w:tcPr>
          <w:p w14:paraId="4638EC00">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验收标准</w:t>
            </w:r>
          </w:p>
        </w:tc>
        <w:tc>
          <w:tcPr>
            <w:tcW w:w="5332" w:type="dxa"/>
            <w:vAlign w:val="center"/>
          </w:tcPr>
          <w:p w14:paraId="223C0CB8">
            <w:pPr>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通过采购人组织的专家评审。</w:t>
            </w:r>
          </w:p>
        </w:tc>
      </w:tr>
      <w:tr w14:paraId="689C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A94166A">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2382" w:type="dxa"/>
            <w:vAlign w:val="center"/>
          </w:tcPr>
          <w:p w14:paraId="0FABD7F5">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现场踏勘</w:t>
            </w:r>
          </w:p>
        </w:tc>
        <w:tc>
          <w:tcPr>
            <w:tcW w:w="5332" w:type="dxa"/>
            <w:vAlign w:val="center"/>
          </w:tcPr>
          <w:p w14:paraId="7B158383">
            <w:pPr>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不统一组织现场勘察，投标人可自行对本项目现场和周围环境进行勘察。勘察现场所发生的费用由投标人自己承担。不论何种原因所造成，在勘察过程中，投标人自行对由此次踏勘现场而造成的死亡、人身伤害、财产损失、损害以及任何其它损失、损害和引起的费用和开支承担责任。</w:t>
            </w:r>
          </w:p>
        </w:tc>
      </w:tr>
      <w:tr w14:paraId="06B6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3C60CD3">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2382" w:type="dxa"/>
            <w:vAlign w:val="center"/>
          </w:tcPr>
          <w:p w14:paraId="69D4D708">
            <w:pPr>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演示时间及地点</w:t>
            </w:r>
          </w:p>
        </w:tc>
        <w:tc>
          <w:tcPr>
            <w:tcW w:w="5332" w:type="dxa"/>
            <w:vAlign w:val="center"/>
          </w:tcPr>
          <w:p w14:paraId="23C47711">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w:t>
            </w:r>
          </w:p>
        </w:tc>
      </w:tr>
    </w:tbl>
    <w:p w14:paraId="19B580CA">
      <w:pPr>
        <w:spacing w:line="360" w:lineRule="auto"/>
        <w:rPr>
          <w:rFonts w:ascii="宋体" w:hAnsi="宋体" w:cs="宋体"/>
          <w:color w:val="000000" w:themeColor="text1"/>
          <w:sz w:val="24"/>
          <w:szCs w:val="24"/>
          <w:highlight w:val="none"/>
          <w14:textFill>
            <w14:solidFill>
              <w14:schemeClr w14:val="tx1"/>
            </w14:solidFill>
          </w14:textFill>
        </w:rPr>
      </w:pPr>
    </w:p>
    <w:p w14:paraId="624AB432">
      <w:pPr>
        <w:widowControl/>
        <w:jc w:val="lef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br w:type="page"/>
      </w:r>
    </w:p>
    <w:p w14:paraId="326F8FCD">
      <w:pPr>
        <w:spacing w:line="360" w:lineRule="auto"/>
        <w:rPr>
          <w:rFonts w:ascii="宋体" w:hAnsi="宋体" w:cs="宋体"/>
          <w:color w:val="000000" w:themeColor="text1"/>
          <w:sz w:val="24"/>
          <w:szCs w:val="24"/>
          <w:highlight w:val="none"/>
          <w14:textFill>
            <w14:solidFill>
              <w14:schemeClr w14:val="tx1"/>
            </w14:solidFill>
          </w14:textFill>
        </w:rPr>
      </w:pPr>
    </w:p>
    <w:p w14:paraId="1C229640">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一、商务要求：</w:t>
      </w:r>
    </w:p>
    <w:tbl>
      <w:tblPr>
        <w:tblStyle w:val="34"/>
        <w:tblW w:w="8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6326"/>
      </w:tblGrid>
      <w:tr w14:paraId="19D23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4F8385A0">
            <w:pPr>
              <w:spacing w:line="264"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项目</w:t>
            </w:r>
          </w:p>
        </w:tc>
        <w:tc>
          <w:tcPr>
            <w:tcW w:w="6326" w:type="dxa"/>
            <w:tcBorders>
              <w:top w:val="single" w:color="auto" w:sz="4" w:space="0"/>
              <w:left w:val="single" w:color="auto" w:sz="4" w:space="0"/>
              <w:bottom w:val="single" w:color="auto" w:sz="4" w:space="0"/>
              <w:right w:val="single" w:color="auto" w:sz="4" w:space="0"/>
            </w:tcBorders>
            <w:vAlign w:val="center"/>
          </w:tcPr>
          <w:p w14:paraId="44FC6AA5">
            <w:pPr>
              <w:spacing w:line="264"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要 求</w:t>
            </w:r>
          </w:p>
        </w:tc>
      </w:tr>
      <w:tr w14:paraId="36C9A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763C6F79">
            <w:pPr>
              <w:spacing w:line="264"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★1、服务期</w:t>
            </w:r>
          </w:p>
        </w:tc>
        <w:tc>
          <w:tcPr>
            <w:tcW w:w="6326" w:type="dxa"/>
            <w:tcBorders>
              <w:top w:val="single" w:color="auto" w:sz="4" w:space="0"/>
              <w:left w:val="single" w:color="auto" w:sz="4" w:space="0"/>
              <w:bottom w:val="single" w:color="auto" w:sz="4" w:space="0"/>
              <w:right w:val="single" w:color="auto" w:sz="4" w:space="0"/>
            </w:tcBorders>
            <w:vAlign w:val="center"/>
          </w:tcPr>
          <w:p w14:paraId="1C433C01">
            <w:pPr>
              <w:spacing w:line="264"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本服务期限为三年，合同必须为一年一签。合同应符合采购预算安排要求，申报采购计划，经批准并经招标人考核验收，双方同意后，方可续签下一年度的合同。</w:t>
            </w:r>
          </w:p>
        </w:tc>
      </w:tr>
      <w:tr w14:paraId="544EA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7B10103A">
            <w:pPr>
              <w:spacing w:line="264"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2、服务地点</w:t>
            </w:r>
          </w:p>
        </w:tc>
        <w:tc>
          <w:tcPr>
            <w:tcW w:w="6326" w:type="dxa"/>
            <w:tcBorders>
              <w:top w:val="single" w:color="auto" w:sz="4" w:space="0"/>
              <w:left w:val="single" w:color="auto" w:sz="4" w:space="0"/>
              <w:bottom w:val="single" w:color="auto" w:sz="4" w:space="0"/>
              <w:right w:val="single" w:color="auto" w:sz="4" w:space="0"/>
            </w:tcBorders>
            <w:vAlign w:val="center"/>
          </w:tcPr>
          <w:p w14:paraId="16F5FD4D">
            <w:pPr>
              <w:spacing w:line="264"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位于宁海县</w:t>
            </w:r>
            <w:r>
              <w:rPr>
                <w:rFonts w:hint="eastAsia" w:ascii="宋体" w:hAnsi="宋体" w:cs="宋体"/>
                <w:color w:val="000000" w:themeColor="text1"/>
                <w:szCs w:val="21"/>
                <w:highlight w:val="none"/>
                <w:lang w:val="en-US" w:eastAsia="zh-CN"/>
                <w14:textFill>
                  <w14:solidFill>
                    <w14:schemeClr w14:val="tx1"/>
                  </w14:solidFill>
                </w14:textFill>
              </w:rPr>
              <w:t>梅林</w:t>
            </w:r>
            <w:r>
              <w:rPr>
                <w:rFonts w:hint="eastAsia" w:ascii="宋体" w:hAnsi="宋体" w:cs="宋体"/>
                <w:color w:val="000000" w:themeColor="text1"/>
                <w:szCs w:val="21"/>
                <w:highlight w:val="none"/>
                <w14:textFill>
                  <w14:solidFill>
                    <w14:schemeClr w14:val="tx1"/>
                  </w14:solidFill>
                </w14:textFill>
              </w:rPr>
              <w:t>街道辖区内，具体以采购人指定地点为准。</w:t>
            </w:r>
          </w:p>
        </w:tc>
      </w:tr>
      <w:tr w14:paraId="1B95F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735E26E7">
            <w:pPr>
              <w:spacing w:line="264"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★3、付款条件</w:t>
            </w:r>
          </w:p>
        </w:tc>
        <w:tc>
          <w:tcPr>
            <w:tcW w:w="6326" w:type="dxa"/>
            <w:tcBorders>
              <w:top w:val="single" w:color="auto" w:sz="4" w:space="0"/>
              <w:left w:val="single" w:color="auto" w:sz="4" w:space="0"/>
              <w:bottom w:val="single" w:color="auto" w:sz="4" w:space="0"/>
              <w:right w:val="single" w:color="auto" w:sz="4" w:space="0"/>
            </w:tcBorders>
            <w:vAlign w:val="center"/>
          </w:tcPr>
          <w:p w14:paraId="77A65DAE">
            <w:pPr>
              <w:spacing w:line="264"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（1）预付款：合同签订后7个工作日内支付合同价款的40%；</w:t>
            </w:r>
          </w:p>
          <w:p w14:paraId="16C1748B">
            <w:pPr>
              <w:spacing w:line="264"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（2）先服务后付费，</w:t>
            </w:r>
            <w:r>
              <w:rPr>
                <w:rFonts w:hint="eastAsia" w:ascii="宋体" w:hAnsi="宋体" w:cs="宋体"/>
                <w:color w:val="000000" w:themeColor="text1"/>
                <w:szCs w:val="21"/>
                <w:highlight w:val="none"/>
                <w:lang w:val="en-US" w:eastAsia="zh-CN"/>
                <w14:textFill>
                  <w14:solidFill>
                    <w14:schemeClr w14:val="tx1"/>
                  </w14:solidFill>
                </w14:textFill>
              </w:rPr>
              <w:t>每个季度结束前10日内</w:t>
            </w:r>
            <w:r>
              <w:rPr>
                <w:rFonts w:hint="eastAsia" w:ascii="宋体" w:hAnsi="宋体" w:eastAsia="宋体" w:cs="宋体"/>
                <w:color w:val="000000" w:themeColor="text1"/>
                <w:szCs w:val="21"/>
                <w:highlight w:val="none"/>
                <w:lang w:val="en-US" w:eastAsia="zh-CN"/>
                <w14:textFill>
                  <w14:solidFill>
                    <w14:schemeClr w14:val="tx1"/>
                  </w14:solidFill>
                </w14:textFill>
              </w:rPr>
              <w:t>支付一次</w:t>
            </w:r>
            <w:r>
              <w:rPr>
                <w:rFonts w:hint="eastAsia" w:ascii="宋体" w:hAnsi="宋体" w:cs="宋体"/>
                <w:color w:val="000000" w:themeColor="text1"/>
                <w:szCs w:val="21"/>
                <w:highlight w:val="none"/>
                <w:lang w:val="en-US" w:eastAsia="zh-CN"/>
                <w14:textFill>
                  <w14:solidFill>
                    <w14:schemeClr w14:val="tx1"/>
                  </w14:solidFill>
                </w14:textFill>
              </w:rPr>
              <w:t>合同总价的10%</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4870616F">
            <w:pPr>
              <w:spacing w:line="264"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（3）根据考核结果，按照本合同约定考核标准结算的最终服务总价扣除已经支付的合同服务费后剩余款项15天内一次性付清(不计息)。</w:t>
            </w:r>
          </w:p>
          <w:p w14:paraId="2371E0FF">
            <w:pPr>
              <w:spacing w:line="264" w:lineRule="auto"/>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（4）中标供应商在提取款项时，须提供相应的增值税专用发票。</w:t>
            </w:r>
          </w:p>
        </w:tc>
      </w:tr>
      <w:tr w14:paraId="703AB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2DADDF41">
            <w:pPr>
              <w:spacing w:line="264"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4、履约保证金</w:t>
            </w:r>
          </w:p>
        </w:tc>
        <w:tc>
          <w:tcPr>
            <w:tcW w:w="6326" w:type="dxa"/>
            <w:tcBorders>
              <w:top w:val="single" w:color="auto" w:sz="4" w:space="0"/>
              <w:left w:val="single" w:color="auto" w:sz="4" w:space="0"/>
              <w:bottom w:val="single" w:color="auto" w:sz="4" w:space="0"/>
              <w:right w:val="single" w:color="auto" w:sz="4" w:space="0"/>
            </w:tcBorders>
            <w:vAlign w:val="center"/>
          </w:tcPr>
          <w:p w14:paraId="4D524AA2">
            <w:pPr>
              <w:spacing w:line="264"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履约保证金金额：履约保证金为合同价的1%；</w:t>
            </w:r>
          </w:p>
          <w:p w14:paraId="61FF7C30">
            <w:pPr>
              <w:spacing w:line="264"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履约保证金形式：现金、银行汇票（电汇）、银行保函、保险保单或支票（仅限于使用宁波大市区范围内的银行开具的支票）等形式；</w:t>
            </w:r>
          </w:p>
          <w:p w14:paraId="6CF73C12">
            <w:pPr>
              <w:spacing w:line="264"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履约保证金提交时间：在签订合同之前递交。</w:t>
            </w:r>
          </w:p>
          <w:p w14:paraId="1C41CE1C">
            <w:pPr>
              <w:spacing w:line="264" w:lineRule="auto"/>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履约保证金的退取：履约保证金在中标供应商完成合同履约后无息退还（但如中标供应商未能履行合同规定的任何义务，采购人有权从履约保证金中得到补偿）。</w:t>
            </w:r>
          </w:p>
        </w:tc>
      </w:tr>
      <w:tr w14:paraId="5F007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6BDF0243">
            <w:pPr>
              <w:spacing w:line="264" w:lineRule="auto"/>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5、考核</w:t>
            </w:r>
          </w:p>
        </w:tc>
        <w:tc>
          <w:tcPr>
            <w:tcW w:w="6326" w:type="dxa"/>
            <w:tcBorders>
              <w:top w:val="single" w:color="auto" w:sz="4" w:space="0"/>
              <w:left w:val="single" w:color="auto" w:sz="4" w:space="0"/>
              <w:bottom w:val="single" w:color="auto" w:sz="4" w:space="0"/>
              <w:right w:val="single" w:color="auto" w:sz="4" w:space="0"/>
            </w:tcBorders>
            <w:vAlign w:val="center"/>
          </w:tcPr>
          <w:p w14:paraId="51193A7C">
            <w:pPr>
              <w:spacing w:line="264"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1.考核以年度为单位，每年度考核一次。</w:t>
            </w:r>
          </w:p>
          <w:p w14:paraId="42FB2C62">
            <w:pPr>
              <w:spacing w:line="264"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 考核结果与服务费用相挂钩，相应得分与总体扣分项加减，如高于100分，超分部分按年服务总额乘超分比例奖励。考核分在90分（含）以上，100分（含）以下的，按合同服务总价的100%支付服务费用；如低于90分，按减分比例乘年服务费总额扣除。考核分在80分（不含）以下的，为不合格，采购人有权不与中标供应商签订下一年度合同，同时没收中标供应商履约保证金，并由中标供应商赔偿由此造成的经济损失。</w:t>
            </w:r>
          </w:p>
          <w:p w14:paraId="6C43F668">
            <w:pPr>
              <w:spacing w:line="264"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中标供应商存在考核细则中合计扣除40分情形的，采购人有权随时解除合同，没收中标供应商履约保证金，且中标供应商须按合同服务总价的20%支付违约金给采购人，违约金不足以赔偿采购人损失的，继续承担赔偿责任。</w:t>
            </w:r>
          </w:p>
          <w:p w14:paraId="14AA956C">
            <w:pPr>
              <w:spacing w:line="264"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4.中标供应商因违约合同被解除的，5年内不得再次参与本辖区内安全生产社会化服务采购项目。</w:t>
            </w:r>
          </w:p>
        </w:tc>
      </w:tr>
    </w:tbl>
    <w:p w14:paraId="26742B15">
      <w:pPr>
        <w:widowControl/>
        <w:jc w:val="left"/>
        <w:rPr>
          <w:rFonts w:cs="仿宋" w:asciiTheme="minorEastAsia" w:hAnsiTheme="minorEastAsia" w:eastAsiaTheme="minorEastAsia"/>
          <w:color w:val="000000" w:themeColor="text1"/>
          <w:sz w:val="24"/>
          <w:szCs w:val="28"/>
          <w:highlight w:val="none"/>
          <w14:textFill>
            <w14:solidFill>
              <w14:schemeClr w14:val="tx1"/>
            </w14:solidFill>
          </w14:textFill>
        </w:rPr>
      </w:pPr>
      <w:r>
        <w:rPr>
          <w:rFonts w:cs="仿宋" w:asciiTheme="minorEastAsia" w:hAnsiTheme="minorEastAsia" w:eastAsiaTheme="minorEastAsia"/>
          <w:color w:val="000000" w:themeColor="text1"/>
          <w:sz w:val="24"/>
          <w:szCs w:val="28"/>
          <w:highlight w:val="none"/>
          <w14:textFill>
            <w14:solidFill>
              <w14:schemeClr w14:val="tx1"/>
            </w14:solidFill>
          </w14:textFill>
        </w:rPr>
        <w:br w:type="page"/>
      </w:r>
    </w:p>
    <w:p w14:paraId="1A23AB8C">
      <w:pPr>
        <w:spacing w:line="360" w:lineRule="auto"/>
        <w:jc w:val="left"/>
        <w:outlineLvl w:val="2"/>
        <w:rPr>
          <w:rFonts w:hint="eastAsia" w:ascii="宋体" w:hAnsi="宋体"/>
          <w:b/>
          <w:bCs/>
          <w:color w:val="000000" w:themeColor="text1"/>
          <w:sz w:val="32"/>
          <w:szCs w:val="32"/>
          <w:highlight w:val="none"/>
          <w14:textFill>
            <w14:solidFill>
              <w14:schemeClr w14:val="tx1"/>
            </w14:solidFill>
          </w14:textFill>
        </w:rPr>
      </w:pPr>
      <w:bookmarkStart w:id="51" w:name="_Toc8046"/>
      <w:bookmarkStart w:id="52" w:name="_Toc136345091"/>
      <w:bookmarkStart w:id="53" w:name="_Toc136017643"/>
      <w:r>
        <w:rPr>
          <w:rFonts w:hint="eastAsia" w:cs="仿宋" w:asciiTheme="minorEastAsia" w:hAnsiTheme="minorEastAsia" w:eastAsiaTheme="minorEastAsia"/>
          <w:b/>
          <w:bCs/>
          <w:color w:val="000000" w:themeColor="text1"/>
          <w:sz w:val="24"/>
          <w:szCs w:val="28"/>
          <w:highlight w:val="none"/>
          <w14:textFill>
            <w14:solidFill>
              <w14:schemeClr w14:val="tx1"/>
            </w14:solidFill>
          </w14:textFill>
        </w:rPr>
        <w:t>二、技术要求</w:t>
      </w:r>
      <w:bookmarkEnd w:id="51"/>
      <w:bookmarkEnd w:id="52"/>
      <w:bookmarkEnd w:id="53"/>
      <w:bookmarkStart w:id="54" w:name="_Toc14705"/>
      <w:bookmarkStart w:id="55" w:name="_Toc298230958"/>
    </w:p>
    <w:p w14:paraId="0C49D3AA">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本项目购买服务内容主要包括为采购人提供专业技术指导和支撑，完成安全生产、消防安全相关基本工作任务，参与应急救援和值班值守，有效防范安全生产和消防安全事故的发生，主要包括：</w:t>
      </w:r>
    </w:p>
    <w:p w14:paraId="76C178C3">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（一）安全生产工作</w:t>
      </w:r>
    </w:p>
    <w:p w14:paraId="10AEBD1A">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1.协助采购人完成辖区工业企业的常普常新工作；</w:t>
      </w:r>
    </w:p>
    <w:p w14:paraId="32191842">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2.协助采购人督促辖区工业企业完成每月自查和隐患闭环整改；</w:t>
      </w:r>
    </w:p>
    <w:p w14:paraId="56C1ECD4">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3.协助采购人完成辖区工业企业的监督检查全覆盖（每90天一轮，其中重点企业一月一查）和隐患问题闭环整改验收，包括但不限于为采购人提供专业指导、参与现场检查、</w:t>
      </w:r>
      <w:r>
        <w:rPr>
          <w:rFonts w:hint="eastAsia" w:ascii="宋体" w:hAnsi="宋体"/>
          <w:color w:val="000000" w:themeColor="text1"/>
          <w:szCs w:val="21"/>
          <w:highlight w:val="none"/>
          <w:lang w:eastAsia="zh-CN"/>
          <w14:textFill>
            <w14:solidFill>
              <w14:schemeClr w14:val="tx1"/>
            </w14:solidFill>
          </w14:textFill>
        </w:rPr>
        <w:t>安全生产相关系统录入</w:t>
      </w:r>
      <w:r>
        <w:rPr>
          <w:rFonts w:hint="eastAsia" w:ascii="宋体" w:hAnsi="宋体"/>
          <w:color w:val="000000" w:themeColor="text1"/>
          <w:szCs w:val="21"/>
          <w:highlight w:val="none"/>
          <w14:textFill>
            <w14:solidFill>
              <w14:schemeClr w14:val="tx1"/>
            </w14:solidFill>
          </w14:textFill>
        </w:rPr>
        <w:t>等具体工作；</w:t>
      </w:r>
    </w:p>
    <w:p w14:paraId="15A8905C">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4.上述1-3条款的工业企业基数以省工业企业在线系统数据为准，重点企业主要包括涉危、铝加工（深井铸造）、粉尘涉爆、有限空间作业以及采购人需要排查的其他重点行业企业，具体由采购人根据实际确定。</w:t>
      </w:r>
    </w:p>
    <w:p w14:paraId="2E77D61A">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5.完成其他专项检查任务。</w:t>
      </w:r>
    </w:p>
    <w:p w14:paraId="42688335">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（二）消防安全工作</w:t>
      </w:r>
    </w:p>
    <w:p w14:paraId="171582F8">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1.以宁好租系统数据为基础，中标供应商协助采购人开展出租房消防安全隐患的督查整改和闭环整改验收；</w:t>
      </w:r>
    </w:p>
    <w:p w14:paraId="558D0A2B">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2.中标供应商协助采购人开展沿街商铺</w:t>
      </w:r>
      <w:r>
        <w:rPr>
          <w:rFonts w:hint="eastAsia" w:ascii="宋体" w:hAnsi="宋体"/>
          <w:color w:val="000000" w:themeColor="text1"/>
          <w:szCs w:val="21"/>
          <w:highlight w:val="none"/>
          <w:lang w:eastAsia="zh-CN"/>
          <w14:textFill>
            <w14:solidFill>
              <w14:schemeClr w14:val="tx1"/>
            </w14:solidFill>
          </w14:textFill>
        </w:rPr>
        <w:t>和九小场所的</w:t>
      </w:r>
      <w:r>
        <w:rPr>
          <w:rFonts w:hint="eastAsia" w:ascii="宋体" w:hAnsi="宋体"/>
          <w:color w:val="000000" w:themeColor="text1"/>
          <w:szCs w:val="21"/>
          <w:highlight w:val="none"/>
          <w14:textFill>
            <w14:solidFill>
              <w14:schemeClr w14:val="tx1"/>
            </w14:solidFill>
          </w14:textFill>
        </w:rPr>
        <w:t>督查检查和闭环整改验收。</w:t>
      </w:r>
    </w:p>
    <w:p w14:paraId="24ACA008">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（三）应急救援</w:t>
      </w:r>
    </w:p>
    <w:p w14:paraId="775979EB">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服从采购人统一指挥协调，提供事件的应急处置和救援工作服务。</w:t>
      </w:r>
    </w:p>
    <w:p w14:paraId="6FB85460">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（四）值班值守</w:t>
      </w:r>
    </w:p>
    <w:p w14:paraId="4FD12F60">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根据采购人的统一安排，参与采购人的值班值守工作。</w:t>
      </w:r>
    </w:p>
    <w:p w14:paraId="44F0F0E9">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★（五）项目服务人员及设施设备配置要求</w:t>
      </w:r>
    </w:p>
    <w:p w14:paraId="4C83F293">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（1）须配备不少于</w:t>
      </w:r>
      <w:r>
        <w:rPr>
          <w:rFonts w:hint="eastAsia" w:ascii="宋体" w:hAnsi="宋体"/>
          <w:color w:val="000000" w:themeColor="text1"/>
          <w:szCs w:val="21"/>
          <w:highlight w:val="none"/>
          <w:lang w:val="en-US" w:eastAsia="zh-CN"/>
          <w14:textFill>
            <w14:solidFill>
              <w14:schemeClr w14:val="tx1"/>
            </w14:solidFill>
          </w14:textFill>
        </w:rPr>
        <w:t>14</w:t>
      </w:r>
      <w:r>
        <w:rPr>
          <w:rFonts w:hint="eastAsia" w:ascii="宋体" w:hAnsi="宋体"/>
          <w:color w:val="000000" w:themeColor="text1"/>
          <w:szCs w:val="21"/>
          <w:highlight w:val="none"/>
          <w14:textFill>
            <w14:solidFill>
              <w14:schemeClr w14:val="tx1"/>
            </w14:solidFill>
          </w14:textFill>
        </w:rPr>
        <w:t xml:space="preserve">名的专职服务人员并驻点在服务辖区内； </w:t>
      </w:r>
    </w:p>
    <w:p w14:paraId="68C7FD85">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（2）所有专职服务人员应当具备高中以上学历，其中具备大专以上学历的不少于50%；注：</w:t>
      </w:r>
      <w:r>
        <w:rPr>
          <w:rFonts w:hint="eastAsia" w:ascii="宋体" w:hAnsi="宋体"/>
          <w:color w:val="000000" w:themeColor="text1"/>
          <w:szCs w:val="21"/>
          <w:highlight w:val="none"/>
          <w14:textFill>
            <w14:solidFill>
              <w14:schemeClr w14:val="tx1"/>
            </w14:solidFill>
          </w14:textFill>
        </w:rPr>
        <w:fldChar w:fldCharType="begin"/>
      </w:r>
      <w:r>
        <w:rPr>
          <w:rFonts w:hint="eastAsia" w:ascii="宋体" w:hAnsi="宋体"/>
          <w:color w:val="000000" w:themeColor="text1"/>
          <w:szCs w:val="21"/>
          <w:highlight w:val="none"/>
          <w14:textFill>
            <w14:solidFill>
              <w14:schemeClr w14:val="tx1"/>
            </w14:solidFill>
          </w14:textFill>
        </w:rPr>
        <w:instrText xml:space="preserve"> = 1 \* GB3 \* MERGEFORMAT </w:instrText>
      </w:r>
      <w:r>
        <w:rPr>
          <w:rFonts w:hint="eastAsia" w:ascii="宋体" w:hAnsi="宋体"/>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①</w:t>
      </w:r>
      <w:r>
        <w:rPr>
          <w:rFonts w:hint="eastAsia" w:ascii="宋体" w:hAnsi="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提供上述人员的学历证书复印件加盖公章。</w:t>
      </w:r>
    </w:p>
    <w:p w14:paraId="4921767A">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（3）专职服务人员年龄在45周岁以下</w:t>
      </w:r>
      <w:r>
        <w:rPr>
          <w:rFonts w:hint="eastAsia" w:ascii="宋体" w:hAnsi="宋体"/>
          <w:color w:val="000000" w:themeColor="text1"/>
          <w:szCs w:val="21"/>
          <w:highlight w:val="none"/>
          <w:lang w:eastAsia="zh-CN"/>
          <w14:textFill>
            <w14:solidFill>
              <w14:schemeClr w14:val="tx1"/>
            </w14:solidFill>
          </w14:textFill>
        </w:rPr>
        <w:t>的不少于</w:t>
      </w:r>
      <w:r>
        <w:rPr>
          <w:rFonts w:hint="eastAsia" w:ascii="宋体" w:hAnsi="宋体"/>
          <w:color w:val="000000" w:themeColor="text1"/>
          <w:szCs w:val="21"/>
          <w:highlight w:val="none"/>
          <w:lang w:val="en-US" w:eastAsia="zh-CN"/>
          <w14:textFill>
            <w14:solidFill>
              <w14:schemeClr w14:val="tx1"/>
            </w14:solidFill>
          </w14:textFill>
        </w:rPr>
        <w:t>80%</w:t>
      </w:r>
      <w:r>
        <w:rPr>
          <w:rFonts w:hint="eastAsia" w:ascii="宋体" w:hAnsi="宋体"/>
          <w:color w:val="000000" w:themeColor="text1"/>
          <w:szCs w:val="21"/>
          <w:highlight w:val="none"/>
          <w14:textFill>
            <w14:solidFill>
              <w14:schemeClr w14:val="tx1"/>
            </w14:solidFill>
          </w14:textFill>
        </w:rPr>
        <w:t>；注：</w:t>
      </w:r>
      <w:r>
        <w:rPr>
          <w:rFonts w:hint="eastAsia" w:ascii="宋体" w:hAnsi="宋体"/>
          <w:color w:val="000000" w:themeColor="text1"/>
          <w:szCs w:val="21"/>
          <w:highlight w:val="none"/>
          <w14:textFill>
            <w14:solidFill>
              <w14:schemeClr w14:val="tx1"/>
            </w14:solidFill>
          </w14:textFill>
        </w:rPr>
        <w:fldChar w:fldCharType="begin"/>
      </w:r>
      <w:r>
        <w:rPr>
          <w:rFonts w:hint="eastAsia" w:ascii="宋体" w:hAnsi="宋体"/>
          <w:color w:val="000000" w:themeColor="text1"/>
          <w:szCs w:val="21"/>
          <w:highlight w:val="none"/>
          <w14:textFill>
            <w14:solidFill>
              <w14:schemeClr w14:val="tx1"/>
            </w14:solidFill>
          </w14:textFill>
        </w:rPr>
        <w:instrText xml:space="preserve"> = 1 \* GB3 \* MERGEFORMAT </w:instrText>
      </w:r>
      <w:r>
        <w:rPr>
          <w:rFonts w:hint="eastAsia" w:ascii="宋体" w:hAnsi="宋体"/>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①</w:t>
      </w:r>
      <w:r>
        <w:rPr>
          <w:rFonts w:hint="eastAsia" w:ascii="宋体" w:hAnsi="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提供上述人员的身份证复印件加盖公章。</w:t>
      </w:r>
    </w:p>
    <w:p w14:paraId="2F2ED018">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（4）须与专职服务人员签订劳动合同，中标后须提供相关资料向采购人备案。</w:t>
      </w:r>
    </w:p>
    <w:p w14:paraId="76C4CECB">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（5）自备工作装备，至少配备</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辆工作车辆，其中包括一辆救援车辆（根据属地实际情况，调整工作车辆需求），并统一着装。注：①自有的提供有效的车辆行驶证正反面复印件；②租用车辆的须提供：车辆租赁协议复印件（其租赁期应能满足本项目服务期要求）、评标委员会足以信服的租金有效付款凭证复印件、车辆出租单位有效的车辆行驶证正反面复印件，前述三项资料缺一不可。</w:t>
      </w:r>
    </w:p>
    <w:p w14:paraId="4900F63D">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（六）其他要求</w:t>
      </w:r>
    </w:p>
    <w:p w14:paraId="6D08AA11">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中标供应商或中标供应商关联公司不得在宁海县辖区内为企业或其他市场经营主体提供安全生产、消防安全服务，不得为企业或其他市场经营主体推荐、介绍关于安全生产、消防安全服务；但为其他政府部门、开发区和国有企业提供服务除外。</w:t>
      </w:r>
    </w:p>
    <w:p w14:paraId="526EA0DF">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.采购人有权统筹安排、指导中标供应商为本合同提供的服务。</w:t>
      </w:r>
    </w:p>
    <w:p w14:paraId="6869ED59">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（七）注意事项</w:t>
      </w:r>
    </w:p>
    <w:p w14:paraId="4B43C7A3">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1.中标供应商不得将项目非法分包或整体转包给任何单位和个人。否则，采购人有权即刻终止合同，并要求中标供应商赔偿相应损失。</w:t>
      </w:r>
    </w:p>
    <w:p w14:paraId="148DF205">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2.投标人使用的标准必须是国际公认或国家、或地方政府颁布的同等或更高的标准，如投标人使用的标准低于上述标准,评标委员会将有权不予接受，投标人必须列表将明显的差异详细说明。</w:t>
      </w:r>
    </w:p>
    <w:p w14:paraId="676C0F31">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sectPr>
          <w:headerReference r:id="rId9" w:type="default"/>
          <w:footerReference r:id="rId11" w:type="default"/>
          <w:headerReference r:id="rId10" w:type="even"/>
          <w:pgSz w:w="11907" w:h="16840"/>
          <w:pgMar w:top="1276" w:right="1701" w:bottom="1560" w:left="1701" w:header="720" w:footer="720" w:gutter="0"/>
          <w:cols w:space="720" w:num="1"/>
          <w:docGrid w:type="linesAndChars" w:linePitch="286" w:charSpace="0"/>
        </w:sectPr>
      </w:pPr>
      <w:r>
        <w:rPr>
          <w:rFonts w:hint="eastAsia" w:ascii="宋体" w:hAnsi="宋体" w:eastAsia="宋体" w:cs="Times New Roman"/>
          <w:color w:val="000000" w:themeColor="text1"/>
          <w:szCs w:val="21"/>
          <w:highlight w:val="none"/>
          <w14:textFill>
            <w14:solidFill>
              <w14:schemeClr w14:val="tx1"/>
            </w14:solidFill>
          </w14:textFill>
        </w:rPr>
        <w:t>3. 对于安全中介机构违反国家咨询服务相关规定，特别是弄虚作假，出具虚假检查报告、证明和服务人员不到现场等行为，一经查实，将严肃处理，并报有关部门按《安全生产法》第八十九条进行处理。</w:t>
      </w:r>
    </w:p>
    <w:p w14:paraId="29B287C2">
      <w:pPr>
        <w:spacing w:line="600" w:lineRule="exact"/>
        <w:ind w:firstLine="420" w:firstLineChars="200"/>
        <w:rPr>
          <w:rFonts w:ascii="宋体" w:hAnsi="宋体"/>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附件：</w:t>
      </w:r>
      <w:r>
        <w:rPr>
          <w:rFonts w:hint="eastAsia" w:ascii="宋体" w:hAnsi="宋体"/>
          <w:color w:val="000000" w:themeColor="text1"/>
          <w:szCs w:val="21"/>
          <w:highlight w:val="none"/>
          <w14:textFill>
            <w14:solidFill>
              <w14:schemeClr w14:val="tx1"/>
            </w14:solidFill>
          </w14:textFill>
        </w:rPr>
        <w:t>根据服务内容细化制定以下考核细则，并实行考核结果与合同费用支付相挂钩。</w:t>
      </w:r>
    </w:p>
    <w:p w14:paraId="22C79F21">
      <w:pPr>
        <w:spacing w:line="600" w:lineRule="exact"/>
        <w:ind w:firstLine="420"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（一）考核细则</w:t>
      </w:r>
    </w:p>
    <w:tbl>
      <w:tblPr>
        <w:tblStyle w:val="3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2823"/>
        <w:gridCol w:w="4961"/>
      </w:tblGrid>
      <w:tr w14:paraId="6567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3"/>
            <w:noWrap/>
          </w:tcPr>
          <w:p w14:paraId="537AFB2C">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考核细则</w:t>
            </w:r>
          </w:p>
        </w:tc>
      </w:tr>
      <w:tr w14:paraId="2728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noWrap/>
          </w:tcPr>
          <w:p w14:paraId="23715B55">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服务项目</w:t>
            </w:r>
          </w:p>
        </w:tc>
        <w:tc>
          <w:tcPr>
            <w:tcW w:w="2823" w:type="dxa"/>
            <w:noWrap/>
          </w:tcPr>
          <w:p w14:paraId="495EEFF7">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服务内容</w:t>
            </w:r>
          </w:p>
        </w:tc>
        <w:tc>
          <w:tcPr>
            <w:tcW w:w="4961" w:type="dxa"/>
            <w:noWrap/>
          </w:tcPr>
          <w:p w14:paraId="122C1390">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考核标准</w:t>
            </w:r>
          </w:p>
        </w:tc>
      </w:tr>
      <w:tr w14:paraId="6832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396" w:type="dxa"/>
            <w:vMerge w:val="restart"/>
            <w:noWrap/>
            <w:vAlign w:val="center"/>
          </w:tcPr>
          <w:p w14:paraId="552DA4E8">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安</w:t>
            </w:r>
          </w:p>
          <w:p w14:paraId="3E4DB0C8">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全</w:t>
            </w:r>
          </w:p>
          <w:p w14:paraId="28B8F717">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生</w:t>
            </w:r>
          </w:p>
          <w:p w14:paraId="07DDBFE3">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产</w:t>
            </w:r>
          </w:p>
          <w:p w14:paraId="5A610030">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（40分）</w:t>
            </w:r>
          </w:p>
        </w:tc>
        <w:tc>
          <w:tcPr>
            <w:tcW w:w="2823" w:type="dxa"/>
            <w:noWrap/>
            <w:vAlign w:val="center"/>
          </w:tcPr>
          <w:p w14:paraId="76706F12">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协助完成常普常新工作</w:t>
            </w:r>
          </w:p>
          <w:p w14:paraId="60A1FB65">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（5分）</w:t>
            </w:r>
          </w:p>
        </w:tc>
        <w:tc>
          <w:tcPr>
            <w:tcW w:w="4961" w:type="dxa"/>
            <w:noWrap/>
            <w:vAlign w:val="center"/>
          </w:tcPr>
          <w:p w14:paraId="33986CE5">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未按时完成采购人安排的常普常新工作，在任一统计周期内（每90天一轮，其中重点企业一月一查）未达到常普常新100%的，每次扣0.25分</w:t>
            </w:r>
          </w:p>
        </w:tc>
      </w:tr>
      <w:tr w14:paraId="46EB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Merge w:val="continue"/>
            <w:noWrap/>
            <w:vAlign w:val="center"/>
          </w:tcPr>
          <w:p w14:paraId="536FAABA">
            <w:pPr>
              <w:rPr>
                <w:rFonts w:ascii="宋体" w:hAnsi="宋体"/>
                <w:color w:val="000000" w:themeColor="text1"/>
                <w:szCs w:val="21"/>
                <w:highlight w:val="none"/>
                <w14:textFill>
                  <w14:solidFill>
                    <w14:schemeClr w14:val="tx1"/>
                  </w14:solidFill>
                </w14:textFill>
              </w:rPr>
            </w:pPr>
          </w:p>
        </w:tc>
        <w:tc>
          <w:tcPr>
            <w:tcW w:w="2823" w:type="dxa"/>
            <w:noWrap/>
            <w:vAlign w:val="center"/>
          </w:tcPr>
          <w:p w14:paraId="0CF8A593">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协助督促工业企业完成自查和隐患闭环整改（10分）</w:t>
            </w:r>
          </w:p>
        </w:tc>
        <w:tc>
          <w:tcPr>
            <w:tcW w:w="4961" w:type="dxa"/>
            <w:noWrap/>
            <w:vAlign w:val="center"/>
          </w:tcPr>
          <w:p w14:paraId="6840E83A">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未按要求对相关企业进行督促，在任一统计周期内（1个月）企业自查或隐患闭环整改未达</w:t>
            </w:r>
            <w:r>
              <w:rPr>
                <w:rFonts w:hint="eastAsia" w:ascii="宋体" w:hAnsi="宋体"/>
                <w:color w:val="000000" w:themeColor="text1"/>
                <w:szCs w:val="21"/>
                <w:highlight w:val="none"/>
                <w:lang w:val="en-US" w:eastAsia="zh-CN"/>
                <w14:textFill>
                  <w14:solidFill>
                    <w14:schemeClr w14:val="tx1"/>
                  </w14:solidFill>
                </w14:textFill>
              </w:rPr>
              <w:t>90</w:t>
            </w:r>
            <w:r>
              <w:rPr>
                <w:rFonts w:hint="eastAsia" w:ascii="宋体" w:hAnsi="宋体"/>
                <w:color w:val="000000" w:themeColor="text1"/>
                <w:szCs w:val="21"/>
                <w:highlight w:val="none"/>
                <w14:textFill>
                  <w14:solidFill>
                    <w14:schemeClr w14:val="tx1"/>
                  </w14:solidFill>
                </w14:textFill>
              </w:rPr>
              <w:t>%的，每次扣0.25分</w:t>
            </w:r>
          </w:p>
        </w:tc>
      </w:tr>
      <w:tr w14:paraId="154F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Merge w:val="continue"/>
            <w:noWrap/>
            <w:vAlign w:val="center"/>
          </w:tcPr>
          <w:p w14:paraId="46E016D0">
            <w:pPr>
              <w:rPr>
                <w:rFonts w:ascii="宋体" w:hAnsi="宋体"/>
                <w:color w:val="000000" w:themeColor="text1"/>
                <w:szCs w:val="21"/>
                <w:highlight w:val="none"/>
                <w14:textFill>
                  <w14:solidFill>
                    <w14:schemeClr w14:val="tx1"/>
                  </w14:solidFill>
                </w14:textFill>
              </w:rPr>
            </w:pPr>
          </w:p>
        </w:tc>
        <w:tc>
          <w:tcPr>
            <w:tcW w:w="2823" w:type="dxa"/>
            <w:noWrap/>
            <w:vAlign w:val="center"/>
          </w:tcPr>
          <w:p w14:paraId="3CAA171E">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协助完成对工业企业的监督检查全覆盖和隐患问题闭环整改验收（15分）</w:t>
            </w:r>
          </w:p>
        </w:tc>
        <w:tc>
          <w:tcPr>
            <w:tcW w:w="4961" w:type="dxa"/>
            <w:noWrap/>
            <w:vAlign w:val="center"/>
          </w:tcPr>
          <w:p w14:paraId="3718B4A8">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未按要求完成监督检查，在任一统计周期（90天）内监督检查覆盖率未达到100%的，每次扣0.5分；未按要求对问题隐患整改情况进行督促和闭环验收，导致出现超期未整改的，每起扣0.5分</w:t>
            </w:r>
          </w:p>
        </w:tc>
      </w:tr>
      <w:tr w14:paraId="1220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Merge w:val="continue"/>
            <w:noWrap/>
            <w:vAlign w:val="center"/>
          </w:tcPr>
          <w:p w14:paraId="0B5ECB5A">
            <w:pPr>
              <w:rPr>
                <w:rFonts w:ascii="宋体" w:hAnsi="宋体"/>
                <w:color w:val="000000" w:themeColor="text1"/>
                <w:szCs w:val="21"/>
                <w:highlight w:val="none"/>
                <w14:textFill>
                  <w14:solidFill>
                    <w14:schemeClr w14:val="tx1"/>
                  </w14:solidFill>
                </w14:textFill>
              </w:rPr>
            </w:pPr>
          </w:p>
        </w:tc>
        <w:tc>
          <w:tcPr>
            <w:tcW w:w="2823" w:type="dxa"/>
            <w:noWrap/>
            <w:vAlign w:val="center"/>
          </w:tcPr>
          <w:p w14:paraId="38DCB897">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专项检查和工作质量（10分）</w:t>
            </w:r>
          </w:p>
        </w:tc>
        <w:tc>
          <w:tcPr>
            <w:tcW w:w="4961" w:type="dxa"/>
            <w:noWrap/>
            <w:vAlign w:val="center"/>
          </w:tcPr>
          <w:p w14:paraId="36C51490">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未积极配合采购人安排的专项检查任务，视情扣0.1-0.5分；对参与监督检查的工业企业，检查过程中未发现重大安全隐患但被上级检查发现并判定的，每个问题扣0.25分</w:t>
            </w:r>
          </w:p>
        </w:tc>
      </w:tr>
      <w:tr w14:paraId="008C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Merge w:val="restart"/>
            <w:noWrap/>
            <w:vAlign w:val="center"/>
          </w:tcPr>
          <w:p w14:paraId="4AE4224B">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消</w:t>
            </w:r>
          </w:p>
          <w:p w14:paraId="07E91CAA">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防</w:t>
            </w:r>
          </w:p>
          <w:p w14:paraId="1FD978B9">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安</w:t>
            </w:r>
          </w:p>
          <w:p w14:paraId="761BB972">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全</w:t>
            </w:r>
          </w:p>
          <w:p w14:paraId="21F608B1">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（40分）</w:t>
            </w:r>
          </w:p>
        </w:tc>
        <w:tc>
          <w:tcPr>
            <w:tcW w:w="2823" w:type="dxa"/>
            <w:noWrap/>
            <w:vAlign w:val="center"/>
          </w:tcPr>
          <w:p w14:paraId="50710B68">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协助开展出租房消防安全隐患的督查整改和闭环验收（20分）</w:t>
            </w:r>
          </w:p>
        </w:tc>
        <w:tc>
          <w:tcPr>
            <w:tcW w:w="4961" w:type="dxa"/>
            <w:noWrap/>
            <w:vAlign w:val="center"/>
          </w:tcPr>
          <w:p w14:paraId="57774EAB">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对宁好租平台中的出租房消防安全隐患未及时开展督促整改或闭环验收，导致出现整改超期的，每起扣0.25分</w:t>
            </w:r>
          </w:p>
        </w:tc>
      </w:tr>
      <w:tr w14:paraId="67C3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Merge w:val="continue"/>
            <w:noWrap/>
            <w:vAlign w:val="center"/>
          </w:tcPr>
          <w:p w14:paraId="7A4FB03E">
            <w:pPr>
              <w:rPr>
                <w:rFonts w:ascii="宋体" w:hAnsi="宋体"/>
                <w:color w:val="000000" w:themeColor="text1"/>
                <w:szCs w:val="21"/>
                <w:highlight w:val="none"/>
                <w14:textFill>
                  <w14:solidFill>
                    <w14:schemeClr w14:val="tx1"/>
                  </w14:solidFill>
                </w14:textFill>
              </w:rPr>
            </w:pPr>
          </w:p>
        </w:tc>
        <w:tc>
          <w:tcPr>
            <w:tcW w:w="2823" w:type="dxa"/>
            <w:noWrap/>
            <w:vAlign w:val="center"/>
          </w:tcPr>
          <w:p w14:paraId="076A5E49">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协助开展沿街商铺</w:t>
            </w:r>
            <w:r>
              <w:rPr>
                <w:rFonts w:hint="eastAsia" w:ascii="宋体" w:hAnsi="宋体"/>
                <w:color w:val="000000" w:themeColor="text1"/>
                <w:szCs w:val="21"/>
                <w:highlight w:val="none"/>
                <w:lang w:eastAsia="zh-CN"/>
                <w14:textFill>
                  <w14:solidFill>
                    <w14:schemeClr w14:val="tx1"/>
                  </w14:solidFill>
                </w14:textFill>
              </w:rPr>
              <w:t>和九小场所的</w:t>
            </w:r>
            <w:r>
              <w:rPr>
                <w:rFonts w:hint="eastAsia" w:ascii="宋体" w:hAnsi="宋体"/>
                <w:color w:val="000000" w:themeColor="text1"/>
                <w:szCs w:val="21"/>
                <w:highlight w:val="none"/>
                <w14:textFill>
                  <w14:solidFill>
                    <w14:schemeClr w14:val="tx1"/>
                  </w14:solidFill>
                </w14:textFill>
              </w:rPr>
              <w:t>督查检查和整改验收（20分）</w:t>
            </w:r>
          </w:p>
        </w:tc>
        <w:tc>
          <w:tcPr>
            <w:tcW w:w="4961" w:type="dxa"/>
            <w:noWrap/>
            <w:vAlign w:val="center"/>
          </w:tcPr>
          <w:p w14:paraId="6B957619">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未积极开展沿街商铺的消防安全督查检查，视情扣0.1-1.0分；对于问题隐患，未在交办期限内开展整改验收的，每起扣0.25分</w:t>
            </w:r>
          </w:p>
        </w:tc>
      </w:tr>
      <w:tr w14:paraId="7C90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noWrap/>
            <w:vAlign w:val="center"/>
          </w:tcPr>
          <w:p w14:paraId="71D21696">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应急</w:t>
            </w:r>
          </w:p>
          <w:p w14:paraId="374EC5BB">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救援</w:t>
            </w:r>
          </w:p>
          <w:p w14:paraId="3C70489B">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和</w:t>
            </w:r>
          </w:p>
          <w:p w14:paraId="4C157129">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值班</w:t>
            </w:r>
          </w:p>
          <w:p w14:paraId="69010E2C">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值守</w:t>
            </w:r>
          </w:p>
          <w:p w14:paraId="4B732777">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（20分）</w:t>
            </w:r>
          </w:p>
        </w:tc>
        <w:tc>
          <w:tcPr>
            <w:tcW w:w="2823" w:type="dxa"/>
            <w:noWrap/>
            <w:vAlign w:val="center"/>
          </w:tcPr>
          <w:p w14:paraId="2EF8338A">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服从招标方的统一协调指挥，积极参与突发事件的应急处置和救援，做好日常值班值守工作（20分）</w:t>
            </w:r>
          </w:p>
        </w:tc>
        <w:tc>
          <w:tcPr>
            <w:tcW w:w="4961" w:type="dxa"/>
            <w:noWrap/>
            <w:vAlign w:val="center"/>
          </w:tcPr>
          <w:p w14:paraId="36B132F1">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拒不参与采购人的应急救援工作，每次扣4.0分（上不封顶）；在参与应急救援过程中，不服从统一协调指挥，视情扣0.5-1.0分；对于采购人根据实际需要提出的力量调配、增援要求拒绝，或人员调配不足的，或拖延执行的，视情扣0.5-1.0分。专职服务人员不按要求参与日常值班值守的或不遵守招标方值班值守有关规定的，每起扣0.25分。</w:t>
            </w:r>
          </w:p>
        </w:tc>
      </w:tr>
      <w:tr w14:paraId="3C65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noWrap/>
            <w:vAlign w:val="center"/>
          </w:tcPr>
          <w:p w14:paraId="1068298F">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w:t>
            </w:r>
          </w:p>
          <w:p w14:paraId="775837E0">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他</w:t>
            </w:r>
          </w:p>
          <w:p w14:paraId="27ACB747">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扣</w:t>
            </w:r>
          </w:p>
          <w:p w14:paraId="670135BD">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w:t>
            </w:r>
          </w:p>
          <w:p w14:paraId="20990B81">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w:t>
            </w:r>
          </w:p>
        </w:tc>
        <w:tc>
          <w:tcPr>
            <w:tcW w:w="2823" w:type="dxa"/>
            <w:noWrap/>
            <w:vAlign w:val="center"/>
          </w:tcPr>
          <w:p w14:paraId="2638A1FD">
            <w:pPr>
              <w:spacing w:line="48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w:t>
            </w:r>
          </w:p>
          <w:p w14:paraId="7EE9B311">
            <w:pPr>
              <w:spacing w:line="48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政</w:t>
            </w:r>
          </w:p>
          <w:p w14:paraId="111153CE">
            <w:pPr>
              <w:spacing w:line="48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建</w:t>
            </w:r>
          </w:p>
          <w:p w14:paraId="625E59AE">
            <w:pPr>
              <w:spacing w:line="48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设</w:t>
            </w:r>
          </w:p>
        </w:tc>
        <w:tc>
          <w:tcPr>
            <w:tcW w:w="4961" w:type="dxa"/>
            <w:noWrap/>
            <w:vAlign w:val="center"/>
          </w:tcPr>
          <w:p w14:paraId="6B5A3AC1">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标供应商的服务人员利用协助采购人开展相关工作的机会，或以中标供应商名义向被监督检查对象介绍业务、推销产品、吃拿卡要等，每发现一起扣20分；经核实系中标供应商单位行为的，扣40分；合同期限内中标供应商或中标供应商关联公司在宁海县辖区内为企业或其他市场经营主体提供安全生产、消防安全服务，或者推荐、介绍关于安全生产、消防安全服务的，扣40分。</w:t>
            </w:r>
          </w:p>
        </w:tc>
      </w:tr>
      <w:tr w14:paraId="3835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Merge w:val="restart"/>
            <w:noWrap/>
            <w:vAlign w:val="center"/>
          </w:tcPr>
          <w:p w14:paraId="65CE96B9">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加</w:t>
            </w:r>
          </w:p>
          <w:p w14:paraId="5F879D75">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w:t>
            </w:r>
          </w:p>
          <w:p w14:paraId="72C6A558">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w:t>
            </w:r>
          </w:p>
        </w:tc>
        <w:tc>
          <w:tcPr>
            <w:tcW w:w="2823" w:type="dxa"/>
            <w:noWrap/>
            <w:vAlign w:val="center"/>
          </w:tcPr>
          <w:p w14:paraId="3B74FFBA">
            <w:pPr>
              <w:spacing w:line="480" w:lineRule="exact"/>
              <w:rPr>
                <w:rFonts w:ascii="宋体" w:hAnsi="宋体"/>
                <w:color w:val="000000" w:themeColor="text1"/>
                <w:szCs w:val="21"/>
                <w:highlight w:val="none"/>
                <w14:textFill>
                  <w14:solidFill>
                    <w14:schemeClr w14:val="tx1"/>
                  </w14:solidFill>
                </w14:textFill>
              </w:rPr>
            </w:pPr>
          </w:p>
        </w:tc>
        <w:tc>
          <w:tcPr>
            <w:tcW w:w="4961" w:type="dxa"/>
            <w:noWrap/>
            <w:vAlign w:val="center"/>
          </w:tcPr>
          <w:p w14:paraId="6DEA35DA">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相关人员在工作中（如应急救援等）表现突出，受到县级以上党委政府表彰的，按表彰单位（国家、省、市、县），分别加8分、6分、4分、2分（同项工作只给予一次加分）</w:t>
            </w:r>
          </w:p>
        </w:tc>
      </w:tr>
      <w:tr w14:paraId="1277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Merge w:val="continue"/>
            <w:noWrap/>
            <w:vAlign w:val="center"/>
          </w:tcPr>
          <w:p w14:paraId="69FBED69">
            <w:pPr>
              <w:keepNext/>
              <w:keepLines/>
              <w:spacing w:before="260" w:after="260" w:line="416" w:lineRule="auto"/>
              <w:jc w:val="center"/>
              <w:rPr>
                <w:rFonts w:ascii="宋体" w:hAnsi="宋体"/>
                <w:b w:val="0"/>
                <w:bCs w:val="0"/>
                <w:color w:val="000000" w:themeColor="text1"/>
                <w:sz w:val="21"/>
                <w:szCs w:val="21"/>
                <w:highlight w:val="none"/>
                <w:rPrChange w:id="0" w:author="微软用户" w:date="2023-05-22T10:11:00Z">
                  <w:rPr>
                    <w:rFonts w:ascii="宋体" w:hAnsi="宋体"/>
                    <w:b/>
                    <w:bCs/>
                    <w:color w:val="FF0000"/>
                    <w:sz w:val="32"/>
                    <w:szCs w:val="21"/>
                  </w:rPr>
                </w:rPrChange>
                <w14:textFill>
                  <w14:solidFill>
                    <w14:schemeClr w14:val="tx1"/>
                  </w14:solidFill>
                </w14:textFill>
              </w:rPr>
            </w:pPr>
          </w:p>
        </w:tc>
        <w:tc>
          <w:tcPr>
            <w:tcW w:w="2823" w:type="dxa"/>
            <w:noWrap/>
            <w:vAlign w:val="center"/>
          </w:tcPr>
          <w:p w14:paraId="1B2278DC">
            <w:pPr>
              <w:keepNext/>
              <w:keepLines/>
              <w:spacing w:before="260" w:after="260" w:line="480" w:lineRule="exact"/>
              <w:rPr>
                <w:rFonts w:ascii="宋体" w:hAnsi="宋体"/>
                <w:b w:val="0"/>
                <w:bCs w:val="0"/>
                <w:color w:val="000000" w:themeColor="text1"/>
                <w:sz w:val="21"/>
                <w:szCs w:val="21"/>
                <w:highlight w:val="none"/>
                <w:rPrChange w:id="1" w:author="微软用户" w:date="2023-05-22T10:11:00Z">
                  <w:rPr>
                    <w:rFonts w:ascii="宋体" w:hAnsi="宋体"/>
                    <w:b/>
                    <w:bCs/>
                    <w:color w:val="FF0000"/>
                    <w:sz w:val="32"/>
                    <w:szCs w:val="21"/>
                  </w:rPr>
                </w:rPrChange>
                <w14:textFill>
                  <w14:solidFill>
                    <w14:schemeClr w14:val="tx1"/>
                  </w14:solidFill>
                </w14:textFill>
              </w:rPr>
            </w:pPr>
          </w:p>
        </w:tc>
        <w:tc>
          <w:tcPr>
            <w:tcW w:w="4961" w:type="dxa"/>
            <w:noWrap/>
            <w:vAlign w:val="center"/>
          </w:tcPr>
          <w:p w14:paraId="389376B4">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安全生产事故数（企业总数比例）比前三年平均数总体下降</w:t>
            </w:r>
            <w:r>
              <w:rPr>
                <w:rFonts w:ascii="宋体" w:hAnsi="宋体"/>
                <w:color w:val="000000" w:themeColor="text1"/>
                <w:highlight w:val="none"/>
                <w14:textFill>
                  <w14:solidFill>
                    <w14:schemeClr w14:val="tx1"/>
                  </w14:solidFill>
                </w14:textFill>
              </w:rPr>
              <w:t>10%，加5分；下降20%，加10分；下降30%，加15分；下降40%，加20分。下降50%，加25分；下降60%，加30分；下降70%，加35分；下降80%，加40分（</w:t>
            </w:r>
            <w:r>
              <w:rPr>
                <w:rFonts w:hint="eastAsia" w:ascii="宋体" w:hAnsi="宋体"/>
                <w:color w:val="000000" w:themeColor="text1"/>
                <w:highlight w:val="none"/>
                <w14:textFill>
                  <w14:solidFill>
                    <w14:schemeClr w14:val="tx1"/>
                  </w14:solidFill>
                </w14:textFill>
              </w:rPr>
              <w:t>注：本项最多加40分）</w:t>
            </w:r>
          </w:p>
        </w:tc>
      </w:tr>
    </w:tbl>
    <w:p w14:paraId="40F68592">
      <w:pPr>
        <w:pStyle w:val="43"/>
        <w:rPr>
          <w:rFonts w:hint="default" w:eastAsia="宋体"/>
          <w:color w:val="000000" w:themeColor="text1"/>
          <w:highlight w:val="none"/>
          <w:lang w:val="en-US" w:eastAsia="zh-CN"/>
          <w14:textFill>
            <w14:solidFill>
              <w14:schemeClr w14:val="tx1"/>
            </w14:solidFill>
          </w14:textFill>
        </w:rPr>
        <w:sectPr>
          <w:pgSz w:w="11907" w:h="16840"/>
          <w:pgMar w:top="1276" w:right="1701" w:bottom="1560" w:left="1701" w:header="720" w:footer="720" w:gutter="0"/>
          <w:cols w:space="720" w:num="1"/>
          <w:docGrid w:type="linesAndChars" w:linePitch="286" w:charSpace="0"/>
        </w:sectPr>
      </w:pPr>
    </w:p>
    <w:p w14:paraId="08A0F05D">
      <w:pPr>
        <w:pStyle w:val="2"/>
        <w:spacing w:beforeLines="0" w:afterLines="0" w:line="360" w:lineRule="auto"/>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第三部分  投标资料表</w:t>
      </w:r>
      <w:bookmarkEnd w:id="54"/>
      <w:bookmarkEnd w:id="55"/>
    </w:p>
    <w:p w14:paraId="40032C4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本部分关于本次招标项目的具体要求是对 “投标人须知</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和</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合同格式</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的相关条款的补充和修改，如有矛盾，应以此为准。</w:t>
      </w:r>
    </w:p>
    <w:tbl>
      <w:tblPr>
        <w:tblStyle w:val="34"/>
        <w:tblW w:w="8613" w:type="dxa"/>
        <w:tblInd w:w="0" w:type="dxa"/>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7512"/>
      </w:tblGrid>
      <w:tr w14:paraId="1DD91F01">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0" w:hRule="atLeast"/>
          <w:tblHeader/>
        </w:trPr>
        <w:tc>
          <w:tcPr>
            <w:tcW w:w="1101" w:type="dxa"/>
            <w:vAlign w:val="center"/>
          </w:tcPr>
          <w:p w14:paraId="7CA17CE5">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条款号</w:t>
            </w:r>
          </w:p>
        </w:tc>
        <w:tc>
          <w:tcPr>
            <w:tcW w:w="7512" w:type="dxa"/>
            <w:vAlign w:val="center"/>
          </w:tcPr>
          <w:p w14:paraId="703FFCC9">
            <w:pPr>
              <w:spacing w:before="143" w:beforeLines="5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条款内容</w:t>
            </w:r>
          </w:p>
        </w:tc>
      </w:tr>
      <w:tr w14:paraId="6DB3B188">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Merge w:val="restart"/>
            <w:vAlign w:val="center"/>
          </w:tcPr>
          <w:p w14:paraId="1797CD1D">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7512" w:type="dxa"/>
            <w:vAlign w:val="center"/>
          </w:tcPr>
          <w:p w14:paraId="6FAE7BD0">
            <w:pPr>
              <w:spacing w:line="360" w:lineRule="auto"/>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采购人：</w:t>
            </w:r>
            <w:r>
              <w:rPr>
                <w:rFonts w:hint="eastAsia" w:ascii="宋体" w:hAnsi="宋体"/>
                <w:color w:val="000000" w:themeColor="text1"/>
                <w:highlight w:val="none"/>
                <w:lang w:eastAsia="zh-CN"/>
                <w14:textFill>
                  <w14:solidFill>
                    <w14:schemeClr w14:val="tx1"/>
                  </w14:solidFill>
                </w14:textFill>
              </w:rPr>
              <w:t>宁海县人民政府梅林街道办事处</w:t>
            </w:r>
          </w:p>
          <w:p w14:paraId="270BCDDE">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地  址：宁波市宁海县振兴南路158号</w:t>
            </w:r>
          </w:p>
          <w:p w14:paraId="4D570833">
            <w:pPr>
              <w:spacing w:line="360" w:lineRule="auto"/>
              <w:rPr>
                <w:rFonts w:hint="eastAsia" w:ascii="宋体" w:hAnsi="宋体" w:eastAsia="宋体" w:cs="Arial"/>
                <w:color w:val="000000" w:themeColor="text1"/>
                <w:szCs w:val="2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电</w:t>
            </w:r>
            <w:r>
              <w:rPr>
                <w:rFonts w:hint="eastAsia" w:ascii="宋体" w:hAnsi="宋体" w:cs="Arial"/>
                <w:color w:val="000000" w:themeColor="text1"/>
                <w:szCs w:val="21"/>
                <w:highlight w:val="none"/>
                <w14:textFill>
                  <w14:solidFill>
                    <w14:schemeClr w14:val="tx1"/>
                  </w14:solidFill>
                </w14:textFill>
              </w:rPr>
              <w:t xml:space="preserve">  话：</w:t>
            </w:r>
            <w:r>
              <w:rPr>
                <w:rFonts w:hint="eastAsia" w:ascii="宋体" w:hAnsi="宋体" w:cs="Arial"/>
                <w:color w:val="000000" w:themeColor="text1"/>
                <w:szCs w:val="21"/>
                <w:highlight w:val="none"/>
                <w:lang w:val="en-US" w:eastAsia="zh-CN"/>
                <w14:textFill>
                  <w14:solidFill>
                    <w14:schemeClr w14:val="tx1"/>
                  </w14:solidFill>
                </w14:textFill>
              </w:rPr>
              <w:t>李老师</w:t>
            </w:r>
          </w:p>
          <w:p w14:paraId="0DAE4061">
            <w:pPr>
              <w:spacing w:line="360" w:lineRule="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联系人：</w:t>
            </w:r>
            <w:r>
              <w:rPr>
                <w:rFonts w:hint="eastAsia" w:ascii="宋体" w:hAnsi="宋体" w:cs="Arial"/>
                <w:color w:val="000000" w:themeColor="text1"/>
                <w:szCs w:val="21"/>
                <w:highlight w:val="none"/>
                <w:lang w:val="en-US" w:eastAsia="zh-CN"/>
                <w14:textFill>
                  <w14:solidFill>
                    <w14:schemeClr w14:val="tx1"/>
                  </w14:solidFill>
                </w14:textFill>
              </w:rPr>
              <w:t>0574-59956239</w:t>
            </w:r>
          </w:p>
        </w:tc>
      </w:tr>
      <w:tr w14:paraId="46206BD9">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17" w:hRule="atLeast"/>
        </w:trPr>
        <w:tc>
          <w:tcPr>
            <w:tcW w:w="1101" w:type="dxa"/>
            <w:vMerge w:val="continue"/>
            <w:vAlign w:val="center"/>
          </w:tcPr>
          <w:p w14:paraId="77977E89">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p>
        </w:tc>
        <w:tc>
          <w:tcPr>
            <w:tcW w:w="7512" w:type="dxa"/>
            <w:vAlign w:val="center"/>
          </w:tcPr>
          <w:p w14:paraId="0FE4CB06">
            <w:pPr>
              <w:spacing w:line="360" w:lineRule="auto"/>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采购代理机构名称：宁波国际投资咨询有限公司</w:t>
            </w:r>
          </w:p>
          <w:p w14:paraId="57429780">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地    址：  </w:t>
            </w:r>
            <w:r>
              <w:rPr>
                <w:rFonts w:hint="eastAsia" w:ascii="宋体" w:hAnsi="宋体" w:cs="Arial"/>
                <w:color w:val="000000" w:themeColor="text1"/>
                <w:szCs w:val="21"/>
                <w:highlight w:val="none"/>
                <w14:textFill>
                  <w14:solidFill>
                    <w14:schemeClr w14:val="tx1"/>
                  </w14:solidFill>
                </w14:textFill>
              </w:rPr>
              <w:t>宁波市世纪大道北段555号名汇东方大厦19楼1921室</w:t>
            </w:r>
          </w:p>
          <w:p w14:paraId="0334ADB7">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    编：  315040</w:t>
            </w:r>
          </w:p>
          <w:p w14:paraId="2103B894">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电    话：  </w:t>
            </w:r>
            <w:r>
              <w:rPr>
                <w:rFonts w:hint="eastAsia" w:ascii="宋体" w:hAnsi="宋体" w:cs="宋体"/>
                <w:color w:val="000000" w:themeColor="text1"/>
                <w:szCs w:val="21"/>
                <w:highlight w:val="none"/>
                <w14:textFill>
                  <w14:solidFill>
                    <w14:schemeClr w14:val="tx1"/>
                  </w14:solidFill>
                </w14:textFill>
              </w:rPr>
              <w:t>0574－55717459</w:t>
            </w:r>
          </w:p>
          <w:p w14:paraId="47A90790">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电子邮件：  </w:t>
            </w:r>
            <w:r>
              <w:rPr>
                <w:rFonts w:hint="eastAsia" w:ascii="宋体" w:hAnsi="宋体" w:cs="宋体"/>
                <w:color w:val="000000" w:themeColor="text1"/>
                <w:highlight w:val="none"/>
                <w14:textFill>
                  <w14:solidFill>
                    <w14:schemeClr w14:val="tx1"/>
                  </w14:solidFill>
                </w14:textFill>
              </w:rPr>
              <w:t>287950116@qq.com</w:t>
            </w:r>
          </w:p>
          <w:p w14:paraId="798BE69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 系 人：  袁航、邱晔</w:t>
            </w:r>
          </w:p>
        </w:tc>
      </w:tr>
      <w:tr w14:paraId="4FA7AA8F">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6" w:hRule="atLeast"/>
        </w:trPr>
        <w:tc>
          <w:tcPr>
            <w:tcW w:w="1101" w:type="dxa"/>
            <w:vMerge w:val="continue"/>
            <w:vAlign w:val="center"/>
          </w:tcPr>
          <w:p w14:paraId="6F1F7C9D">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p>
        </w:tc>
        <w:tc>
          <w:tcPr>
            <w:tcW w:w="7512" w:type="dxa"/>
            <w:vAlign w:val="center"/>
          </w:tcPr>
          <w:p w14:paraId="451BC43F">
            <w:pPr>
              <w:adjustRightInd w:val="0"/>
              <w:snapToGrid w:val="0"/>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Theme="minorEastAsia" w:hAnsiTheme="minorEastAsia" w:eastAsiaTheme="minorEastAsia"/>
                <w:color w:val="000000" w:themeColor="text1"/>
                <w:szCs w:val="21"/>
                <w:highlight w:val="none"/>
                <w:u w:val="single"/>
                <w:lang w:eastAsia="zh-CN"/>
                <w14:textFill>
                  <w14:solidFill>
                    <w14:schemeClr w14:val="tx1"/>
                  </w14:solidFill>
                </w14:textFill>
              </w:rPr>
              <w:t>安全生产和消防安全第三方服务采购项目（梅林街道）（重发）</w:t>
            </w:r>
          </w:p>
        </w:tc>
      </w:tr>
      <w:tr w14:paraId="71EA6B0A">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544A2862">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w:t>
            </w:r>
          </w:p>
        </w:tc>
        <w:tc>
          <w:tcPr>
            <w:tcW w:w="7512" w:type="dxa"/>
            <w:vAlign w:val="center"/>
          </w:tcPr>
          <w:p w14:paraId="7E56B241">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招标范围：详见招标文件第二部分“招标项目需求”。</w:t>
            </w:r>
          </w:p>
        </w:tc>
      </w:tr>
      <w:tr w14:paraId="7CFCFDFA">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1EB55AA6">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w:t>
            </w:r>
          </w:p>
        </w:tc>
        <w:tc>
          <w:tcPr>
            <w:tcW w:w="7512" w:type="dxa"/>
            <w:vAlign w:val="center"/>
          </w:tcPr>
          <w:p w14:paraId="0DB8017C">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本项目不允许转包、分包。</w:t>
            </w:r>
          </w:p>
        </w:tc>
      </w:tr>
      <w:tr w14:paraId="682AA6B1">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7504C5EA">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4.1</w:t>
            </w:r>
          </w:p>
        </w:tc>
        <w:tc>
          <w:tcPr>
            <w:tcW w:w="7512" w:type="dxa"/>
            <w:vAlign w:val="center"/>
          </w:tcPr>
          <w:p w14:paraId="5E89559C">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合格投标人的资格要求（本项目采用资格后审）：详见采购公告“二、申请人的资格要求”                   </w:t>
            </w:r>
          </w:p>
        </w:tc>
      </w:tr>
      <w:tr w14:paraId="25E3C39F">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01B77861">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8.1</w:t>
            </w:r>
          </w:p>
        </w:tc>
        <w:tc>
          <w:tcPr>
            <w:tcW w:w="7512" w:type="dxa"/>
            <w:vAlign w:val="center"/>
          </w:tcPr>
          <w:p w14:paraId="6CB1C310">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现场考察：不组织</w:t>
            </w:r>
          </w:p>
          <w:p w14:paraId="64FD4784">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答疑会：</w:t>
            </w:r>
            <w:r>
              <w:rPr>
                <w:rFonts w:hint="eastAsia" w:ascii="宋体" w:hAnsi="宋体" w:cs="宋体"/>
                <w:color w:val="000000" w:themeColor="text1"/>
                <w:szCs w:val="21"/>
                <w:highlight w:val="none"/>
                <w14:textFill>
                  <w14:solidFill>
                    <w14:schemeClr w14:val="tx1"/>
                  </w14:solidFill>
                </w14:textFill>
              </w:rPr>
              <w:t>不组织</w:t>
            </w:r>
          </w:p>
        </w:tc>
      </w:tr>
      <w:tr w14:paraId="693A8749">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67D63AD4">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9.1</w:t>
            </w:r>
          </w:p>
        </w:tc>
        <w:tc>
          <w:tcPr>
            <w:tcW w:w="7512" w:type="dxa"/>
            <w:vAlign w:val="center"/>
          </w:tcPr>
          <w:p w14:paraId="623CA8D5">
            <w:pPr>
              <w:widowControl/>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投标文件组成：本项目实行网上投标，投标人应准备以下投标文件：</w:t>
            </w:r>
          </w:p>
          <w:p w14:paraId="01701CED">
            <w:pPr>
              <w:widowControl/>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9.1.1.资格文件</w:t>
            </w:r>
          </w:p>
          <w:p w14:paraId="7B102B56">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（1）符合参加政府采购活动应当具备的一般条件的承诺函；</w:t>
            </w:r>
          </w:p>
          <w:p w14:paraId="36DF5BCD">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（2）有效的企业法人营业执照（或事业法人登记证）、其他组织（个体工商户的营业执照或者民办非企业单位登记证书复印件。投标人如果有名称变更的，应提供由行政主管部门出具的变更证明文件；</w:t>
            </w:r>
          </w:p>
          <w:p w14:paraId="1808EF83">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（3）落实政府采购政策需满足的资格要求（如有）；</w:t>
            </w:r>
          </w:p>
          <w:p w14:paraId="62980FB6">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（4）投标人的特定条件的证明文件（如有）。</w:t>
            </w:r>
          </w:p>
          <w:p w14:paraId="3864823C">
            <w:pPr>
              <w:widowControl/>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9.1.2.商务技术文件</w:t>
            </w:r>
          </w:p>
          <w:p w14:paraId="519E9C0A">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（1）单位负责人的身份证明或单位负责人授权书（投标人的代表若不为单位负责人的，必须提交单位负责人授权书），并提供单位负责人和授权代表的身份证正反两面复印件；</w:t>
            </w:r>
          </w:p>
          <w:p w14:paraId="1E28BC0D">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（2）投标人基本情况表；</w:t>
            </w:r>
          </w:p>
          <w:p w14:paraId="08CEDA0F">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（3）联合协议（如有）；</w:t>
            </w:r>
          </w:p>
          <w:p w14:paraId="491BF0A8">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（4）分包意向协议（如有）；</w:t>
            </w:r>
          </w:p>
          <w:p w14:paraId="2FA38C2B">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（5）技术条款偏离表；</w:t>
            </w:r>
          </w:p>
          <w:p w14:paraId="42545C6C">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（6）商务条款偏离表；</w:t>
            </w:r>
          </w:p>
          <w:p w14:paraId="54A90FBD">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（7）第五部分“评标办法”中“评分标准”要求提供的资料（如有需提供）。</w:t>
            </w:r>
          </w:p>
          <w:p w14:paraId="3DBBCF9C">
            <w:pPr>
              <w:widowControl/>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9.1.3.报价文件</w:t>
            </w:r>
          </w:p>
          <w:p w14:paraId="4B5B79DE">
            <w:pPr>
              <w:tabs>
                <w:tab w:val="left" w:pos="1418"/>
              </w:tabs>
              <w:spacing w:line="360" w:lineRule="auto"/>
              <w:ind w:firstLine="42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（1）投标函；</w:t>
            </w:r>
          </w:p>
          <w:p w14:paraId="4AD3CAF1">
            <w:pPr>
              <w:tabs>
                <w:tab w:val="left" w:pos="1418"/>
              </w:tabs>
              <w:spacing w:line="360" w:lineRule="auto"/>
              <w:ind w:firstLine="42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（2）开标一览表；</w:t>
            </w:r>
          </w:p>
          <w:p w14:paraId="0667B544">
            <w:pPr>
              <w:tabs>
                <w:tab w:val="left" w:pos="1418"/>
              </w:tabs>
              <w:spacing w:line="360" w:lineRule="auto"/>
              <w:ind w:firstLine="42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（3）投标分项报价表；</w:t>
            </w:r>
          </w:p>
          <w:p w14:paraId="1EA15456">
            <w:pPr>
              <w:tabs>
                <w:tab w:val="left" w:pos="1418"/>
              </w:tabs>
              <w:spacing w:line="360" w:lineRule="auto"/>
              <w:ind w:firstLine="42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（4）享受政府采购价格优惠政策需提供的证明资料（如有）。</w:t>
            </w:r>
          </w:p>
          <w:p w14:paraId="0027C434">
            <w:pPr>
              <w:widowControl/>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附件1：中小企业声明函</w:t>
            </w:r>
          </w:p>
          <w:p w14:paraId="55DC080C">
            <w:pPr>
              <w:widowControl/>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附件2：残疾人福利性单位声明函</w:t>
            </w:r>
          </w:p>
          <w:p w14:paraId="3E9FA82F">
            <w:pPr>
              <w:widowControl/>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9.1.4.注意事项</w:t>
            </w:r>
          </w:p>
          <w:p w14:paraId="6146720C">
            <w:pPr>
              <w:widowControl/>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★（1）电子投标文件中所须加盖公章部分均采用 CA 签章。</w:t>
            </w:r>
          </w:p>
          <w:p w14:paraId="30BBDF25">
            <w:pPr>
              <w:numPr>
                <w:ilvl w:val="0"/>
                <w:numId w:val="1"/>
              </w:numPr>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上述组成投标文件的各项资料中本招标文件的有规定格式的，应统一按本招标文件的规定格式填写。未有规定格式的资料，投标人应自行编制，但至少要包含以上要求的内容。</w:t>
            </w:r>
          </w:p>
          <w:p w14:paraId="6238D2CD">
            <w:pPr>
              <w:numPr>
                <w:ilvl w:val="0"/>
                <w:numId w:val="1"/>
              </w:numPr>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中由委托代理人签字的，投标文件应附法定代表人签署的授权委托书。联合体投标的，投标文件除联合体协议书及招标文件要求须联合体双方盖章外，其余招标文件要求投标人盖章处只需联合体的牵头人盖章。</w:t>
            </w:r>
          </w:p>
        </w:tc>
      </w:tr>
      <w:tr w14:paraId="27D52E08">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3644B104">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10.1</w:t>
            </w:r>
          </w:p>
        </w:tc>
        <w:tc>
          <w:tcPr>
            <w:tcW w:w="7512" w:type="dxa"/>
            <w:vAlign w:val="center"/>
          </w:tcPr>
          <w:p w14:paraId="5340C26C">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本项目为固定总价方式</w:t>
            </w:r>
            <w:r>
              <w:rPr>
                <w:rFonts w:hint="eastAsia" w:ascii="宋体" w:hAnsi="宋体" w:cs="宋体"/>
                <w:b/>
                <w:bCs/>
                <w:iCs/>
                <w:color w:val="000000" w:themeColor="text1"/>
                <w:szCs w:val="21"/>
                <w:highlight w:val="none"/>
                <w14:textFill>
                  <w14:solidFill>
                    <w14:schemeClr w14:val="tx1"/>
                  </w14:solidFill>
                </w14:textFill>
              </w:rPr>
              <w:t>。</w:t>
            </w:r>
          </w:p>
          <w:p w14:paraId="2815C3A7">
            <w:pPr>
              <w:spacing w:line="360" w:lineRule="auto"/>
              <w:rPr>
                <w:rFonts w:ascii="宋体" w:hAnsi="宋体" w:cs="宋体"/>
                <w:iCs/>
                <w:color w:val="000000" w:themeColor="text1"/>
                <w:szCs w:val="21"/>
                <w:highlight w:val="none"/>
                <w14:textFill>
                  <w14:solidFill>
                    <w14:schemeClr w14:val="tx1"/>
                  </w14:solidFill>
                </w14:textFill>
              </w:rPr>
            </w:pPr>
            <w:r>
              <w:rPr>
                <w:rFonts w:hint="eastAsia" w:ascii="宋体" w:hAnsi="宋体" w:cs="宋体"/>
                <w:iCs/>
                <w:color w:val="000000" w:themeColor="text1"/>
                <w:szCs w:val="21"/>
                <w:highlight w:val="none"/>
                <w14:textFill>
                  <w14:solidFill>
                    <w14:schemeClr w14:val="tx1"/>
                  </w14:solidFill>
                </w14:textFill>
              </w:rPr>
              <w:t>投标报价应是招标文件确定的招标范围内的全部服务内容的价格体现，包含但不限于项目实施全过程的费用、</w:t>
            </w:r>
            <w:r>
              <w:rPr>
                <w:rFonts w:hint="eastAsia" w:ascii="宋体" w:hAnsi="宋体" w:cs="宋体"/>
                <w:iCs/>
                <w:color w:val="000000" w:themeColor="text1"/>
                <w:szCs w:val="21"/>
                <w:highlight w:val="none"/>
                <w:lang w:val="en-US" w:eastAsia="zh-CN"/>
                <w14:textFill>
                  <w14:solidFill>
                    <w14:schemeClr w14:val="tx1"/>
                  </w14:solidFill>
                </w14:textFill>
              </w:rPr>
              <w:t>人员工资（包含24小时值班费，绩效奖金，加班费、自缴部分的住房公积金））、其他费用（福利费、五险一金）、残保金、意外伤害保险、车辆费用、服装费用</w:t>
            </w:r>
            <w:r>
              <w:rPr>
                <w:rFonts w:hint="eastAsia" w:ascii="宋体" w:hAnsi="宋体" w:cs="宋体"/>
                <w:iCs/>
                <w:color w:val="000000" w:themeColor="text1"/>
                <w:szCs w:val="21"/>
                <w:highlight w:val="none"/>
                <w14:textFill>
                  <w14:solidFill>
                    <w14:schemeClr w14:val="tx1"/>
                  </w14:solidFill>
                </w14:textFill>
              </w:rPr>
              <w:t>以及管理费、利润</w:t>
            </w:r>
            <w:r>
              <w:rPr>
                <w:rFonts w:hint="eastAsia" w:ascii="宋体" w:hAnsi="宋体" w:cs="宋体"/>
                <w:iCs/>
                <w:color w:val="000000" w:themeColor="text1"/>
                <w:szCs w:val="21"/>
                <w:highlight w:val="none"/>
                <w:lang w:eastAsia="zh-CN"/>
                <w14:textFill>
                  <w14:solidFill>
                    <w14:schemeClr w14:val="tx1"/>
                  </w14:solidFill>
                </w14:textFill>
              </w:rPr>
              <w:t>、</w:t>
            </w:r>
            <w:r>
              <w:rPr>
                <w:rFonts w:hint="eastAsia" w:ascii="宋体" w:hAnsi="宋体" w:cs="宋体"/>
                <w:iCs/>
                <w:color w:val="000000" w:themeColor="text1"/>
                <w:szCs w:val="21"/>
                <w:highlight w:val="none"/>
                <w14:textFill>
                  <w14:solidFill>
                    <w14:schemeClr w14:val="tx1"/>
                  </w14:solidFill>
                </w14:textFill>
              </w:rPr>
              <w:t>税金等与此有关的一切费用。</w:t>
            </w:r>
          </w:p>
          <w:p w14:paraId="0F6A1304">
            <w:pPr>
              <w:spacing w:line="360" w:lineRule="auto"/>
              <w:rPr>
                <w:rFonts w:ascii="宋体" w:hAnsi="宋体" w:cs="宋体"/>
                <w:iCs/>
                <w:color w:val="000000" w:themeColor="text1"/>
                <w:szCs w:val="21"/>
                <w:highlight w:val="none"/>
                <w14:textFill>
                  <w14:solidFill>
                    <w14:schemeClr w14:val="tx1"/>
                  </w14:solidFill>
                </w14:textFill>
              </w:rPr>
            </w:pPr>
            <w:r>
              <w:rPr>
                <w:rFonts w:hint="eastAsia" w:ascii="宋体" w:hAnsi="宋体" w:cs="宋体"/>
                <w:iCs/>
                <w:color w:val="000000" w:themeColor="text1"/>
                <w:szCs w:val="21"/>
                <w:highlight w:val="none"/>
                <w14:textFill>
                  <w14:solidFill>
                    <w14:schemeClr w14:val="tx1"/>
                  </w14:solidFill>
                </w14:textFill>
              </w:rPr>
              <w:t>投标人应承担其参加本招标活动自身所发生的费用。</w:t>
            </w:r>
          </w:p>
          <w:p w14:paraId="5E0E53F5">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iCs/>
                <w:color w:val="000000" w:themeColor="text1"/>
                <w:szCs w:val="21"/>
                <w:highlight w:val="none"/>
                <w14:textFill>
                  <w14:solidFill>
                    <w14:schemeClr w14:val="tx1"/>
                  </w14:solidFill>
                </w14:textFill>
              </w:rPr>
              <w:t>项目实施过程中可能发生的风险和费用均由中标人承担。</w:t>
            </w:r>
          </w:p>
        </w:tc>
      </w:tr>
      <w:tr w14:paraId="2A9BEA48">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2DB8AD9C">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10.5</w:t>
            </w:r>
          </w:p>
        </w:tc>
        <w:tc>
          <w:tcPr>
            <w:tcW w:w="7512" w:type="dxa"/>
            <w:vAlign w:val="center"/>
          </w:tcPr>
          <w:p w14:paraId="08D40E40">
            <w:pPr>
              <w:spacing w:line="36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本项目采用最高投标限价，超过最高限价的投标将被判定为无效投标。</w:t>
            </w:r>
          </w:p>
          <w:p w14:paraId="53DA957F">
            <w:pPr>
              <w:spacing w:line="36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本项目最高限价为</w:t>
            </w:r>
            <w:r>
              <w:rPr>
                <w:rFonts w:hint="eastAsia" w:ascii="宋体" w:hAnsi="宋体" w:cs="宋体"/>
                <w:b/>
                <w:bCs/>
                <w:color w:val="000000" w:themeColor="text1"/>
                <w:szCs w:val="21"/>
                <w:highlight w:val="none"/>
                <w:u w:val="single"/>
                <w14:textFill>
                  <w14:solidFill>
                    <w14:schemeClr w14:val="tx1"/>
                  </w14:solidFill>
                </w14:textFill>
              </w:rPr>
              <w:t>1453198.15元/年，三年共计4359594.45元</w:t>
            </w:r>
            <w:r>
              <w:rPr>
                <w:rFonts w:hint="eastAsia" w:ascii="宋体" w:hAnsi="宋体" w:cs="宋体"/>
                <w:b/>
                <w:bCs/>
                <w:color w:val="000000" w:themeColor="text1"/>
                <w:szCs w:val="21"/>
                <w:highlight w:val="none"/>
                <w:u w:val="none"/>
                <w14:textFill>
                  <w14:solidFill>
                    <w14:schemeClr w14:val="tx1"/>
                  </w14:solidFill>
                </w14:textFill>
              </w:rPr>
              <w:t>。</w:t>
            </w:r>
          </w:p>
          <w:p w14:paraId="0816FB99">
            <w:pPr>
              <w:spacing w:line="360" w:lineRule="auto"/>
              <w:rPr>
                <w:rFonts w:hint="eastAsia"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其中：工资（包含24小时值班费，绩效奖金，加班费、自缴部分的住房公积金）最高限价为</w:t>
            </w:r>
            <w:r>
              <w:rPr>
                <w:rFonts w:hint="eastAsia" w:ascii="宋体" w:hAnsi="宋体" w:cs="宋体"/>
                <w:b/>
                <w:bCs/>
                <w:i w:val="0"/>
                <w:iCs w:val="0"/>
                <w:color w:val="000000" w:themeColor="text1"/>
                <w:szCs w:val="21"/>
                <w:highlight w:val="none"/>
                <w:u w:val="single"/>
                <w:lang w:val="en-US" w:eastAsia="zh-CN"/>
                <w14:textFill>
                  <w14:solidFill>
                    <w14:schemeClr w14:val="tx1"/>
                  </w14:solidFill>
                </w14:textFill>
              </w:rPr>
              <w:t>728000元/年</w:t>
            </w:r>
            <w:r>
              <w:rPr>
                <w:rFonts w:hint="eastAsia" w:ascii="宋体" w:hAnsi="宋体" w:cs="宋体"/>
                <w:b/>
                <w:bCs/>
                <w:color w:val="000000" w:themeColor="text1"/>
                <w:szCs w:val="21"/>
                <w:highlight w:val="none"/>
                <w:lang w:val="en-US" w:eastAsia="zh-CN"/>
                <w14:textFill>
                  <w14:solidFill>
                    <w14:schemeClr w14:val="tx1"/>
                  </w14:solidFill>
                </w14:textFill>
              </w:rPr>
              <w:t>；</w:t>
            </w:r>
          </w:p>
          <w:p w14:paraId="591746F8">
            <w:pPr>
              <w:spacing w:line="360" w:lineRule="auto"/>
              <w:rPr>
                <w:rFonts w:hint="eastAsia"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其他费用（福利费、五险一金）最高限价为</w:t>
            </w:r>
            <w:r>
              <w:rPr>
                <w:rFonts w:hint="eastAsia" w:ascii="宋体" w:hAnsi="宋体" w:cs="宋体"/>
                <w:b/>
                <w:bCs/>
                <w:i w:val="0"/>
                <w:iCs w:val="0"/>
                <w:color w:val="000000" w:themeColor="text1"/>
                <w:szCs w:val="21"/>
                <w:highlight w:val="none"/>
                <w:u w:val="single"/>
                <w:lang w:val="en-US" w:eastAsia="zh-CN"/>
                <w14:textFill>
                  <w14:solidFill>
                    <w14:schemeClr w14:val="tx1"/>
                  </w14:solidFill>
                </w14:textFill>
              </w:rPr>
              <w:t>457811.31元/年</w:t>
            </w:r>
            <w:r>
              <w:rPr>
                <w:rFonts w:hint="eastAsia" w:ascii="宋体" w:hAnsi="宋体" w:cs="宋体"/>
                <w:b/>
                <w:bCs/>
                <w:color w:val="000000" w:themeColor="text1"/>
                <w:szCs w:val="21"/>
                <w:highlight w:val="none"/>
                <w:lang w:val="en-US" w:eastAsia="zh-CN"/>
                <w14:textFill>
                  <w14:solidFill>
                    <w14:schemeClr w14:val="tx1"/>
                  </w14:solidFill>
                </w14:textFill>
              </w:rPr>
              <w:t>；</w:t>
            </w:r>
          </w:p>
          <w:p w14:paraId="6222C088">
            <w:pPr>
              <w:spacing w:line="360" w:lineRule="auto"/>
              <w:rPr>
                <w:rFonts w:hint="eastAsia"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残保金最高限价为：</w:t>
            </w:r>
            <w:r>
              <w:rPr>
                <w:rFonts w:hint="eastAsia" w:ascii="宋体" w:hAnsi="宋体" w:cs="宋体"/>
                <w:b/>
                <w:bCs/>
                <w:i w:val="0"/>
                <w:iCs w:val="0"/>
                <w:color w:val="000000" w:themeColor="text1"/>
                <w:szCs w:val="21"/>
                <w:highlight w:val="none"/>
                <w:u w:val="single"/>
                <w:lang w:val="en-US" w:eastAsia="zh-CN"/>
                <w14:textFill>
                  <w14:solidFill>
                    <w14:schemeClr w14:val="tx1"/>
                  </w14:solidFill>
                </w14:textFill>
              </w:rPr>
              <w:t>8400元/年</w:t>
            </w:r>
            <w:r>
              <w:rPr>
                <w:rFonts w:hint="eastAsia" w:ascii="宋体" w:hAnsi="宋体" w:cs="宋体"/>
                <w:b/>
                <w:bCs/>
                <w:color w:val="000000" w:themeColor="text1"/>
                <w:szCs w:val="21"/>
                <w:highlight w:val="none"/>
                <w:lang w:val="en-US" w:eastAsia="zh-CN"/>
                <w14:textFill>
                  <w14:solidFill>
                    <w14:schemeClr w14:val="tx1"/>
                  </w14:solidFill>
                </w14:textFill>
              </w:rPr>
              <w:t>；</w:t>
            </w:r>
          </w:p>
          <w:p w14:paraId="62C5FA05">
            <w:pPr>
              <w:spacing w:line="360" w:lineRule="auto"/>
              <w:rPr>
                <w:rFonts w:hint="eastAsia"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意外伤害保险最高限价为：</w:t>
            </w:r>
            <w:r>
              <w:rPr>
                <w:rFonts w:hint="eastAsia" w:ascii="宋体" w:hAnsi="宋体" w:cs="宋体"/>
                <w:b/>
                <w:bCs/>
                <w:i w:val="0"/>
                <w:iCs w:val="0"/>
                <w:color w:val="000000" w:themeColor="text1"/>
                <w:szCs w:val="21"/>
                <w:highlight w:val="none"/>
                <w:u w:val="single"/>
                <w:lang w:val="en-US" w:eastAsia="zh-CN"/>
                <w14:textFill>
                  <w14:solidFill>
                    <w14:schemeClr w14:val="tx1"/>
                  </w14:solidFill>
                </w14:textFill>
              </w:rPr>
              <w:t>2800元/年</w:t>
            </w:r>
            <w:r>
              <w:rPr>
                <w:rFonts w:hint="eastAsia" w:ascii="宋体" w:hAnsi="宋体" w:cs="宋体"/>
                <w:b/>
                <w:bCs/>
                <w:color w:val="000000" w:themeColor="text1"/>
                <w:szCs w:val="21"/>
                <w:highlight w:val="none"/>
                <w:lang w:val="en-US" w:eastAsia="zh-CN"/>
                <w14:textFill>
                  <w14:solidFill>
                    <w14:schemeClr w14:val="tx1"/>
                  </w14:solidFill>
                </w14:textFill>
              </w:rPr>
              <w:t>；</w:t>
            </w:r>
          </w:p>
          <w:p w14:paraId="77C60B17">
            <w:pPr>
              <w:spacing w:line="360" w:lineRule="auto"/>
              <w:rPr>
                <w:rFonts w:hint="eastAsia"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车辆最高限价为：</w:t>
            </w:r>
            <w:r>
              <w:rPr>
                <w:rFonts w:hint="eastAsia" w:ascii="宋体" w:hAnsi="宋体" w:cs="宋体"/>
                <w:b/>
                <w:bCs/>
                <w:i w:val="0"/>
                <w:iCs w:val="0"/>
                <w:color w:val="000000" w:themeColor="text1"/>
                <w:szCs w:val="21"/>
                <w:highlight w:val="none"/>
                <w:u w:val="single"/>
                <w:lang w:val="en-US" w:eastAsia="zh-CN"/>
                <w14:textFill>
                  <w14:solidFill>
                    <w14:schemeClr w14:val="tx1"/>
                  </w14:solidFill>
                </w14:textFill>
              </w:rPr>
              <w:t>120000元/年</w:t>
            </w:r>
            <w:r>
              <w:rPr>
                <w:rFonts w:hint="eastAsia" w:ascii="宋体" w:hAnsi="宋体" w:cs="宋体"/>
                <w:b/>
                <w:bCs/>
                <w:color w:val="000000" w:themeColor="text1"/>
                <w:szCs w:val="21"/>
                <w:highlight w:val="none"/>
                <w:lang w:val="en-US" w:eastAsia="zh-CN"/>
                <w14:textFill>
                  <w14:solidFill>
                    <w14:schemeClr w14:val="tx1"/>
                  </w14:solidFill>
                </w14:textFill>
              </w:rPr>
              <w:t>；</w:t>
            </w:r>
          </w:p>
          <w:p w14:paraId="0ED84327">
            <w:pPr>
              <w:spacing w:line="360" w:lineRule="auto"/>
              <w:rPr>
                <w:rFonts w:hint="default" w:ascii="宋体" w:hAnsi="宋体" w:cs="宋体"/>
                <w:b/>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服装最高限价为：</w:t>
            </w:r>
            <w:r>
              <w:rPr>
                <w:rFonts w:hint="eastAsia" w:ascii="宋体" w:hAnsi="宋体" w:cs="宋体"/>
                <w:b/>
                <w:bCs/>
                <w:i w:val="0"/>
                <w:iCs w:val="0"/>
                <w:color w:val="000000" w:themeColor="text1"/>
                <w:szCs w:val="21"/>
                <w:highlight w:val="none"/>
                <w:u w:val="single"/>
                <w:lang w:val="en-US" w:eastAsia="zh-CN"/>
                <w14:textFill>
                  <w14:solidFill>
                    <w14:schemeClr w14:val="tx1"/>
                  </w14:solidFill>
                </w14:textFill>
              </w:rPr>
              <w:t>14000元/年</w:t>
            </w:r>
            <w:r>
              <w:rPr>
                <w:rFonts w:hint="eastAsia" w:ascii="宋体" w:hAnsi="宋体" w:cs="宋体"/>
                <w:b/>
                <w:bCs/>
                <w:color w:val="000000" w:themeColor="text1"/>
                <w:szCs w:val="21"/>
                <w:highlight w:val="none"/>
                <w:lang w:val="en-US" w:eastAsia="zh-CN"/>
                <w14:textFill>
                  <w14:solidFill>
                    <w14:schemeClr w14:val="tx1"/>
                  </w14:solidFill>
                </w14:textFill>
              </w:rPr>
              <w:t>；</w:t>
            </w:r>
          </w:p>
        </w:tc>
      </w:tr>
      <w:tr w14:paraId="06438F34">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08B6AD69">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w:t>
            </w:r>
          </w:p>
        </w:tc>
        <w:tc>
          <w:tcPr>
            <w:tcW w:w="7512" w:type="dxa"/>
            <w:vAlign w:val="center"/>
          </w:tcPr>
          <w:p w14:paraId="4F658D8E">
            <w:pPr>
              <w:widowControl/>
              <w:spacing w:line="360" w:lineRule="auto"/>
              <w:rPr>
                <w:rFonts w:cs="宋体" w:asciiTheme="minorEastAsia" w:hAnsiTheme="minorEastAsia" w:eastAsiaTheme="minorEastAsia"/>
                <w:b/>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投标文件数量要求：</w:t>
            </w:r>
          </w:p>
          <w:p w14:paraId="6FBA101B">
            <w:pPr>
              <w:widowControl/>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1、上传到政府采购云平台的电子投标文件（含资格文件 1 份、商务技术文件 1 份、报价文件 1 份）。</w:t>
            </w:r>
          </w:p>
          <w:p w14:paraId="54FE7390">
            <w:pPr>
              <w:widowControl/>
              <w:spacing w:line="360" w:lineRule="auto"/>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2、以 U 盘形式存储的电子备份投标文件（含资格文件 1 份、商务技术文件 1 份、报价文件1 份）。</w:t>
            </w:r>
          </w:p>
          <w:p w14:paraId="6EE0ED27">
            <w:pPr>
              <w:widowControl/>
              <w:spacing w:line="360" w:lineRule="auto"/>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注：（1）电子备份投标文件不作实质性要求，是否提交由投标人自行决定。</w:t>
            </w:r>
          </w:p>
        </w:tc>
      </w:tr>
      <w:tr w14:paraId="0BD028D9">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365C5674">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w:t>
            </w:r>
          </w:p>
        </w:tc>
        <w:tc>
          <w:tcPr>
            <w:tcW w:w="7512" w:type="dxa"/>
            <w:vAlign w:val="center"/>
          </w:tcPr>
          <w:p w14:paraId="17FDA007">
            <w:pPr>
              <w:spacing w:before="143" w:beforeLines="5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投标有效期</w:t>
            </w:r>
            <w:r>
              <w:rPr>
                <w:rFonts w:hint="eastAsia" w:ascii="宋体" w:hAnsi="宋体" w:cs="宋体"/>
                <w:color w:val="000000" w:themeColor="text1"/>
                <w:szCs w:val="21"/>
                <w:highlight w:val="none"/>
                <w14:textFill>
                  <w14:solidFill>
                    <w14:schemeClr w14:val="tx1"/>
                  </w14:solidFill>
                </w14:textFill>
              </w:rPr>
              <w:t>： 90 天</w:t>
            </w:r>
          </w:p>
        </w:tc>
      </w:tr>
      <w:tr w14:paraId="632F1AAC">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6E0F3AD2">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w:t>
            </w:r>
          </w:p>
        </w:tc>
        <w:tc>
          <w:tcPr>
            <w:tcW w:w="7512" w:type="dxa"/>
            <w:vAlign w:val="center"/>
          </w:tcPr>
          <w:p w14:paraId="47B21590">
            <w:pPr>
              <w:spacing w:line="360" w:lineRule="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投标保证金金额：无</w:t>
            </w:r>
          </w:p>
        </w:tc>
      </w:tr>
      <w:tr w14:paraId="32714ECD">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78B41EFA">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15.1</w:t>
            </w:r>
          </w:p>
        </w:tc>
        <w:tc>
          <w:tcPr>
            <w:tcW w:w="7512" w:type="dxa"/>
            <w:vAlign w:val="center"/>
          </w:tcPr>
          <w:p w14:paraId="78CD82C5">
            <w:pPr>
              <w:spacing w:before="143" w:beforeLines="5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投标截止时间：</w:t>
            </w:r>
            <w:r>
              <w:rPr>
                <w:rFonts w:hint="eastAsia" w:ascii="宋体" w:hAnsi="宋体" w:cs="宋体"/>
                <w:color w:val="000000" w:themeColor="text1"/>
                <w:szCs w:val="21"/>
                <w:highlight w:val="none"/>
                <w:u w:val="single"/>
                <w14:textFill>
                  <w14:solidFill>
                    <w14:schemeClr w14:val="tx1"/>
                  </w14:solidFill>
                </w14:textFill>
              </w:rPr>
              <w:t>202</w:t>
            </w:r>
            <w:r>
              <w:rPr>
                <w:rFonts w:ascii="宋体" w:hAnsi="宋体" w:cs="宋体"/>
                <w:color w:val="000000" w:themeColor="text1"/>
                <w:szCs w:val="21"/>
                <w:highlight w:val="none"/>
                <w:u w:val="singl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11</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6</w:t>
            </w:r>
            <w:bookmarkStart w:id="192" w:name="_GoBack"/>
            <w:bookmarkEnd w:id="192"/>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u w:val="single"/>
                <w14:textFill>
                  <w14:solidFill>
                    <w14:schemeClr w14:val="tx1"/>
                  </w14:solidFill>
                </w14:textFill>
              </w:rPr>
              <w:t>1</w:t>
            </w:r>
            <w:r>
              <w:rPr>
                <w:rFonts w:hint="eastAsia" w:ascii="宋体" w:hAnsi="宋体" w:cs="宋体"/>
                <w:color w:val="000000" w:themeColor="text1"/>
                <w:szCs w:val="21"/>
                <w:highlight w:val="none"/>
                <w:u w:val="singl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（北京时间）。</w:t>
            </w:r>
          </w:p>
        </w:tc>
      </w:tr>
      <w:tr w14:paraId="4ED5A8B2">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2EE9CB25">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28.1</w:t>
            </w:r>
          </w:p>
        </w:tc>
        <w:tc>
          <w:tcPr>
            <w:tcW w:w="7512" w:type="dxa"/>
            <w:vAlign w:val="center"/>
          </w:tcPr>
          <w:p w14:paraId="05DBCF4E">
            <w:pPr>
              <w:spacing w:line="360" w:lineRule="auto"/>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1.采购代理机构参照国家发改委发改办价格[2003]857号通知和原国家计委计价[2002]1980号文件规定的费率标准，按照中标通知书确定的中标总金额</w:t>
            </w:r>
            <w:r>
              <w:rPr>
                <w:rFonts w:hint="eastAsia" w:ascii="宋体" w:hAnsi="宋体" w:cs="宋体"/>
                <w:color w:val="000000" w:themeColor="text1"/>
                <w:szCs w:val="21"/>
                <w:highlight w:val="none"/>
                <w14:textFill>
                  <w14:solidFill>
                    <w14:schemeClr w14:val="tx1"/>
                  </w14:solidFill>
                </w14:textFill>
              </w:rPr>
              <w:t>（按三年计取）</w:t>
            </w:r>
            <w:r>
              <w:rPr>
                <w:rFonts w:hint="eastAsia" w:hAnsi="宋体"/>
                <w:color w:val="000000" w:themeColor="text1"/>
                <w:highlight w:val="none"/>
                <w14:textFill>
                  <w14:solidFill>
                    <w14:schemeClr w14:val="tx1"/>
                  </w14:solidFill>
                </w14:textFill>
              </w:rPr>
              <w:t>，核算中标服务费。</w:t>
            </w:r>
          </w:p>
          <w:p w14:paraId="428721F5">
            <w:pPr>
              <w:spacing w:line="360" w:lineRule="auto"/>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收取中标服务费标准（分档累计）</w:t>
            </w:r>
          </w:p>
          <w:tbl>
            <w:tblPr>
              <w:tblStyle w:val="34"/>
              <w:tblW w:w="6540" w:type="dxa"/>
              <w:tblCellSpacing w:w="15" w:type="dxa"/>
              <w:tblInd w:w="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10"/>
              <w:gridCol w:w="2830"/>
            </w:tblGrid>
            <w:tr w14:paraId="2FBDD8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8" w:hRule="atLeast"/>
                <w:tblCellSpacing w:w="15" w:type="dxa"/>
              </w:trPr>
              <w:tc>
                <w:tcPr>
                  <w:tcW w:w="3665" w:type="dxa"/>
                  <w:tcBorders>
                    <w:top w:val="outset" w:color="auto" w:sz="6" w:space="0"/>
                    <w:left w:val="outset" w:color="auto" w:sz="6" w:space="0"/>
                    <w:bottom w:val="outset" w:color="auto" w:sz="6" w:space="0"/>
                    <w:right w:val="outset" w:color="auto" w:sz="6" w:space="0"/>
                  </w:tcBorders>
                  <w:vAlign w:val="center"/>
                </w:tcPr>
                <w:p w14:paraId="7BAD027B">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中标金额（万元）</w:t>
                  </w:r>
                </w:p>
              </w:tc>
              <w:tc>
                <w:tcPr>
                  <w:tcW w:w="2785" w:type="dxa"/>
                  <w:tcBorders>
                    <w:top w:val="outset" w:color="auto" w:sz="6" w:space="0"/>
                    <w:left w:val="outset" w:color="auto" w:sz="6" w:space="0"/>
                    <w:bottom w:val="outset" w:color="auto" w:sz="6" w:space="0"/>
                    <w:right w:val="outset" w:color="auto" w:sz="6" w:space="0"/>
                  </w:tcBorders>
                  <w:vAlign w:val="center"/>
                </w:tcPr>
                <w:p w14:paraId="79EC9BF2">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费率</w:t>
                  </w:r>
                </w:p>
              </w:tc>
            </w:tr>
            <w:tr w14:paraId="3FD782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tblCellSpacing w:w="15" w:type="dxa"/>
              </w:trPr>
              <w:tc>
                <w:tcPr>
                  <w:tcW w:w="3665" w:type="dxa"/>
                  <w:tcBorders>
                    <w:top w:val="outset" w:color="auto" w:sz="6" w:space="0"/>
                    <w:left w:val="outset" w:color="auto" w:sz="6" w:space="0"/>
                    <w:bottom w:val="outset" w:color="auto" w:sz="6" w:space="0"/>
                    <w:right w:val="outset" w:color="auto" w:sz="6" w:space="0"/>
                  </w:tcBorders>
                  <w:vAlign w:val="center"/>
                </w:tcPr>
                <w:p w14:paraId="7EA1268B">
                  <w:pPr>
                    <w:widowControl/>
                    <w:jc w:val="center"/>
                    <w:rPr>
                      <w:rFonts w:ascii="宋体" w:hAnsi="宋体" w:cs="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100</w:t>
                  </w:r>
                  <w:r>
                    <w:rPr>
                      <w:rFonts w:hint="eastAsia" w:ascii="宋体" w:hAnsi="宋体"/>
                      <w:color w:val="000000" w:themeColor="text1"/>
                      <w:szCs w:val="21"/>
                      <w:highlight w:val="none"/>
                      <w14:textFill>
                        <w14:solidFill>
                          <w14:schemeClr w14:val="tx1"/>
                        </w14:solidFill>
                      </w14:textFill>
                    </w:rPr>
                    <w:t>以下</w:t>
                  </w:r>
                </w:p>
              </w:tc>
              <w:tc>
                <w:tcPr>
                  <w:tcW w:w="2785" w:type="dxa"/>
                  <w:tcBorders>
                    <w:top w:val="outset" w:color="auto" w:sz="6" w:space="0"/>
                    <w:left w:val="outset" w:color="auto" w:sz="6" w:space="0"/>
                    <w:bottom w:val="outset" w:color="auto" w:sz="6" w:space="0"/>
                    <w:right w:val="outset" w:color="auto" w:sz="6" w:space="0"/>
                  </w:tcBorders>
                  <w:vAlign w:val="center"/>
                </w:tcPr>
                <w:p w14:paraId="7A3DA1FC">
                  <w:pPr>
                    <w:widowControl/>
                    <w:jc w:val="center"/>
                    <w:rPr>
                      <w:rFonts w:ascii="宋体" w:hAnsi="宋体" w:cs="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1.50%</w:t>
                  </w:r>
                </w:p>
              </w:tc>
            </w:tr>
            <w:tr w14:paraId="15A23C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5" w:hRule="atLeast"/>
                <w:tblCellSpacing w:w="15" w:type="dxa"/>
              </w:trPr>
              <w:tc>
                <w:tcPr>
                  <w:tcW w:w="3665" w:type="dxa"/>
                  <w:tcBorders>
                    <w:top w:val="outset" w:color="auto" w:sz="6" w:space="0"/>
                    <w:left w:val="outset" w:color="auto" w:sz="6" w:space="0"/>
                    <w:bottom w:val="outset" w:color="auto" w:sz="6" w:space="0"/>
                    <w:right w:val="outset" w:color="auto" w:sz="6" w:space="0"/>
                  </w:tcBorders>
                  <w:vAlign w:val="center"/>
                </w:tcPr>
                <w:p w14:paraId="7173875F">
                  <w:pPr>
                    <w:widowControl/>
                    <w:jc w:val="center"/>
                    <w:rPr>
                      <w:rFonts w:ascii="宋体" w:hAnsi="宋体" w:cs="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100-500</w:t>
                  </w:r>
                </w:p>
              </w:tc>
              <w:tc>
                <w:tcPr>
                  <w:tcW w:w="2785" w:type="dxa"/>
                  <w:tcBorders>
                    <w:top w:val="outset" w:color="auto" w:sz="6" w:space="0"/>
                    <w:left w:val="outset" w:color="auto" w:sz="6" w:space="0"/>
                    <w:bottom w:val="outset" w:color="auto" w:sz="6" w:space="0"/>
                    <w:right w:val="outset" w:color="auto" w:sz="6" w:space="0"/>
                  </w:tcBorders>
                  <w:vAlign w:val="center"/>
                </w:tcPr>
                <w:p w14:paraId="0B3634FC">
                  <w:pPr>
                    <w:widowControl/>
                    <w:jc w:val="center"/>
                    <w:rPr>
                      <w:rFonts w:ascii="宋体" w:hAnsi="宋体" w:cs="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0.80%</w:t>
                  </w:r>
                </w:p>
              </w:tc>
            </w:tr>
            <w:tr w14:paraId="6E971F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5" w:hRule="atLeast"/>
                <w:tblCellSpacing w:w="15" w:type="dxa"/>
              </w:trPr>
              <w:tc>
                <w:tcPr>
                  <w:tcW w:w="3665" w:type="dxa"/>
                  <w:tcBorders>
                    <w:top w:val="outset" w:color="auto" w:sz="6" w:space="0"/>
                    <w:left w:val="outset" w:color="auto" w:sz="6" w:space="0"/>
                    <w:bottom w:val="outset" w:color="auto" w:sz="6" w:space="0"/>
                    <w:right w:val="outset" w:color="auto" w:sz="6" w:space="0"/>
                  </w:tcBorders>
                  <w:vAlign w:val="center"/>
                </w:tcPr>
                <w:p w14:paraId="6534FCA6">
                  <w:pPr>
                    <w:widowControl/>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500-1000</w:t>
                  </w:r>
                </w:p>
              </w:tc>
              <w:tc>
                <w:tcPr>
                  <w:tcW w:w="2785" w:type="dxa"/>
                  <w:tcBorders>
                    <w:top w:val="outset" w:color="auto" w:sz="6" w:space="0"/>
                    <w:left w:val="outset" w:color="auto" w:sz="6" w:space="0"/>
                    <w:bottom w:val="outset" w:color="auto" w:sz="6" w:space="0"/>
                    <w:right w:val="outset" w:color="auto" w:sz="6" w:space="0"/>
                  </w:tcBorders>
                  <w:vAlign w:val="center"/>
                </w:tcPr>
                <w:p w14:paraId="6C4EF587">
                  <w:pPr>
                    <w:widowControl/>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0.45%</w:t>
                  </w:r>
                </w:p>
              </w:tc>
            </w:tr>
          </w:tbl>
          <w:p w14:paraId="77F7B653">
            <w:pPr>
              <w:spacing w:line="360" w:lineRule="auto"/>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w:t>
            </w:r>
            <w:r>
              <w:rPr>
                <w:rFonts w:hint="eastAsia" w:hAnsi="宋体"/>
                <w:color w:val="000000" w:themeColor="text1"/>
                <w:highlight w:val="none"/>
                <w:lang w:val="en-US" w:eastAsia="zh-CN"/>
                <w14:textFill>
                  <w14:solidFill>
                    <w14:schemeClr w14:val="tx1"/>
                  </w14:solidFill>
                </w14:textFill>
              </w:rPr>
              <w:t>采购人</w:t>
            </w:r>
            <w:r>
              <w:rPr>
                <w:rFonts w:hint="eastAsia" w:hAnsi="宋体"/>
                <w:color w:val="000000" w:themeColor="text1"/>
                <w:highlight w:val="none"/>
                <w14:textFill>
                  <w14:solidFill>
                    <w14:schemeClr w14:val="tx1"/>
                  </w14:solidFill>
                </w14:textFill>
              </w:rPr>
              <w:t>负责承担中标服务费，并应在采购代理机构发出中标通知书5个工作日内向采购代理机构支付中标服务费。</w:t>
            </w:r>
          </w:p>
          <w:p w14:paraId="72AD913F">
            <w:pPr>
              <w:spacing w:line="440" w:lineRule="exact"/>
              <w:jc w:val="left"/>
              <w:rPr>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3.中标服务费只收现金、银行票汇款、电汇款。</w:t>
            </w:r>
            <w:r>
              <w:rPr>
                <w:rFonts w:ascii="宋体" w:hAnsi="宋体"/>
                <w:color w:val="000000" w:themeColor="text1"/>
                <w:szCs w:val="21"/>
                <w:highlight w:val="none"/>
                <w14:textFill>
                  <w14:solidFill>
                    <w14:schemeClr w14:val="tx1"/>
                  </w14:solidFill>
                </w14:textFill>
              </w:rPr>
              <w:t>请按下述开户银行及账号汇款（汇款单上应注明汇款用途及招标编号</w:t>
            </w:r>
            <w:r>
              <w:rPr>
                <w:rFonts w:hint="eastAsia" w:ascii="宋体" w:hAnsi="宋体"/>
                <w:color w:val="000000" w:themeColor="text1"/>
                <w:szCs w:val="21"/>
                <w:highlight w:val="none"/>
                <w14:textFill>
                  <w14:solidFill>
                    <w14:schemeClr w14:val="tx1"/>
                  </w14:solidFill>
                </w14:textFill>
              </w:rPr>
              <w:t>）：</w:t>
            </w:r>
          </w:p>
          <w:p w14:paraId="0121CDC4">
            <w:pPr>
              <w:spacing w:line="360" w:lineRule="auto"/>
              <w:jc w:val="left"/>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采购代理机构名称：宁波国际投资咨询有限公司  </w:t>
            </w:r>
          </w:p>
          <w:p w14:paraId="0B7EBC31">
            <w:pPr>
              <w:spacing w:line="360" w:lineRule="auto"/>
              <w:jc w:val="left"/>
              <w:rPr>
                <w:rFonts w:hint="eastAsia"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户名：宁波国际投资咨询有限公司</w:t>
            </w:r>
          </w:p>
          <w:p w14:paraId="6267319F">
            <w:pPr>
              <w:spacing w:line="360" w:lineRule="auto"/>
              <w:jc w:val="left"/>
              <w:rPr>
                <w:rFonts w:hint="eastAsia"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开户银行：上海浦东发展银行宁波解放路支行</w:t>
            </w:r>
          </w:p>
          <w:p w14:paraId="28C1B73C">
            <w:pPr>
              <w:spacing w:line="360" w:lineRule="auto"/>
              <w:jc w:val="left"/>
              <w:rPr>
                <w:rFonts w:hAnsi="宋体"/>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账号：94150078801400000630</w:t>
            </w:r>
          </w:p>
        </w:tc>
      </w:tr>
      <w:tr w14:paraId="760FA3AF">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0FE805EA">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w:t>
            </w:r>
          </w:p>
        </w:tc>
        <w:tc>
          <w:tcPr>
            <w:tcW w:w="7512" w:type="dxa"/>
            <w:vAlign w:val="center"/>
          </w:tcPr>
          <w:p w14:paraId="3018A4CE">
            <w:pPr>
              <w:spacing w:line="360" w:lineRule="auto"/>
              <w:ind w:left="788" w:hanging="787" w:hangingChars="37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发布本项目招标公告、中标公示的媒体：</w:t>
            </w:r>
          </w:p>
          <w:p w14:paraId="2290B591">
            <w:pPr>
              <w:spacing w:line="360" w:lineRule="auto"/>
              <w:ind w:left="788" w:hanging="787" w:hangingChars="375"/>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浙江政府采购网</w:t>
            </w:r>
            <w:r>
              <w:rPr>
                <w:rFonts w:hint="eastAsia" w:ascii="宋体" w:hAnsi="宋体" w:cs="宋体"/>
                <w:color w:val="000000" w:themeColor="text1"/>
                <w:szCs w:val="21"/>
                <w:highlight w:val="none"/>
                <w14:textFill>
                  <w14:solidFill>
                    <w14:schemeClr w14:val="tx1"/>
                  </w14:solidFill>
                </w14:textFill>
              </w:rPr>
              <w:t>https://zfcg.czt.zj.gov.cn/</w:t>
            </w:r>
          </w:p>
          <w:p w14:paraId="3428E528">
            <w:pPr>
              <w:spacing w:line="360" w:lineRule="auto"/>
              <w:rPr>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宁波政府采购网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"http://www.nbzfcg.cn" </w:instrText>
            </w:r>
            <w:r>
              <w:rPr>
                <w:color w:val="000000" w:themeColor="text1"/>
                <w:highlight w:val="none"/>
                <w14:textFill>
                  <w14:solidFill>
                    <w14:schemeClr w14:val="tx1"/>
                  </w14:solidFill>
                </w14:textFill>
              </w:rPr>
              <w:fldChar w:fldCharType="separate"/>
            </w:r>
            <w:r>
              <w:rPr>
                <w:rStyle w:val="41"/>
                <w:rFonts w:asciiTheme="minorEastAsia" w:hAnsiTheme="minorEastAsia" w:eastAsiaTheme="minorEastAsia"/>
                <w:color w:val="000000" w:themeColor="text1"/>
                <w:szCs w:val="21"/>
                <w:highlight w:val="none"/>
                <w14:textFill>
                  <w14:solidFill>
                    <w14:schemeClr w14:val="tx1"/>
                  </w14:solidFill>
                </w14:textFill>
              </w:rPr>
              <w:t>www.nbzf</w:t>
            </w:r>
            <w:bookmarkStart w:id="56" w:name="_Hlt237917838"/>
            <w:bookmarkStart w:id="57" w:name="_Hlt237917837"/>
            <w:r>
              <w:rPr>
                <w:rStyle w:val="41"/>
                <w:rFonts w:asciiTheme="minorEastAsia" w:hAnsiTheme="minorEastAsia" w:eastAsiaTheme="minorEastAsia"/>
                <w:color w:val="000000" w:themeColor="text1"/>
                <w:szCs w:val="21"/>
                <w:highlight w:val="none"/>
                <w14:textFill>
                  <w14:solidFill>
                    <w14:schemeClr w14:val="tx1"/>
                  </w14:solidFill>
                </w14:textFill>
              </w:rPr>
              <w:t>c</w:t>
            </w:r>
            <w:bookmarkEnd w:id="56"/>
            <w:bookmarkEnd w:id="57"/>
            <w:bookmarkStart w:id="58" w:name="_Hlt237842684"/>
            <w:bookmarkStart w:id="59" w:name="_Hlt237842683"/>
            <w:bookmarkStart w:id="60" w:name="_Hlt237842726"/>
            <w:bookmarkStart w:id="61" w:name="_Hlt237842727"/>
            <w:r>
              <w:rPr>
                <w:rStyle w:val="41"/>
                <w:rFonts w:asciiTheme="minorEastAsia" w:hAnsiTheme="minorEastAsia" w:eastAsiaTheme="minorEastAsia"/>
                <w:color w:val="000000" w:themeColor="text1"/>
                <w:szCs w:val="21"/>
                <w:highlight w:val="none"/>
                <w14:textFill>
                  <w14:solidFill>
                    <w14:schemeClr w14:val="tx1"/>
                  </w14:solidFill>
                </w14:textFill>
              </w:rPr>
              <w:t>g</w:t>
            </w:r>
            <w:bookmarkEnd w:id="58"/>
            <w:bookmarkEnd w:id="59"/>
            <w:bookmarkEnd w:id="60"/>
            <w:bookmarkEnd w:id="61"/>
            <w:r>
              <w:rPr>
                <w:rStyle w:val="41"/>
                <w:rFonts w:asciiTheme="minorEastAsia" w:hAnsiTheme="minorEastAsia" w:eastAsiaTheme="minorEastAsia"/>
                <w:color w:val="000000" w:themeColor="text1"/>
                <w:szCs w:val="21"/>
                <w:highlight w:val="none"/>
                <w14:textFill>
                  <w14:solidFill>
                    <w14:schemeClr w14:val="tx1"/>
                  </w14:solidFill>
                </w14:textFill>
              </w:rPr>
              <w:t>.cn</w:t>
            </w:r>
            <w:r>
              <w:rPr>
                <w:rStyle w:val="41"/>
                <w:rFonts w:asciiTheme="minorEastAsia" w:hAnsiTheme="minorEastAsia" w:eastAsiaTheme="minorEastAsia"/>
                <w:color w:val="000000" w:themeColor="text1"/>
                <w:szCs w:val="21"/>
                <w:highlight w:val="none"/>
                <w14:textFill>
                  <w14:solidFill>
                    <w14:schemeClr w14:val="tx1"/>
                  </w14:solidFill>
                </w14:textFill>
              </w:rPr>
              <w:fldChar w:fldCharType="end"/>
            </w:r>
          </w:p>
        </w:tc>
      </w:tr>
      <w:tr w14:paraId="7C8036ED">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tcBorders>
              <w:bottom w:val="single" w:color="auto" w:sz="12" w:space="0"/>
            </w:tcBorders>
            <w:vAlign w:val="center"/>
          </w:tcPr>
          <w:p w14:paraId="5AF0CD17">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w:t>
            </w:r>
          </w:p>
        </w:tc>
        <w:tc>
          <w:tcPr>
            <w:tcW w:w="7512" w:type="dxa"/>
            <w:tcBorders>
              <w:bottom w:val="single" w:color="auto" w:sz="12" w:space="0"/>
            </w:tcBorders>
            <w:vAlign w:val="center"/>
          </w:tcPr>
          <w:p w14:paraId="62461FF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本项目对应的中小企业划分标准所属行业：未列明服务行业</w:t>
            </w:r>
          </w:p>
        </w:tc>
      </w:tr>
    </w:tbl>
    <w:p w14:paraId="6945C774">
      <w:pPr>
        <w:widowControl/>
        <w:spacing w:line="360" w:lineRule="auto"/>
        <w:ind w:firstLine="420" w:firstLineChars="200"/>
        <w:jc w:val="left"/>
        <w:rPr>
          <w:rFonts w:ascii="宋体" w:hAnsi="宋体" w:cs="宋体"/>
          <w:color w:val="000000" w:themeColor="text1"/>
          <w:szCs w:val="21"/>
          <w:highlight w:val="none"/>
          <w:u w:val="single"/>
          <w14:textFill>
            <w14:solidFill>
              <w14:schemeClr w14:val="tx1"/>
            </w14:solidFill>
          </w14:textFill>
        </w:rPr>
        <w:sectPr>
          <w:headerReference r:id="rId12" w:type="default"/>
          <w:pgSz w:w="11907" w:h="16840"/>
          <w:pgMar w:top="1276" w:right="1701" w:bottom="1560" w:left="1701" w:header="720" w:footer="720" w:gutter="0"/>
          <w:cols w:space="720" w:num="1"/>
          <w:docGrid w:type="linesAndChars" w:linePitch="286" w:charSpace="0"/>
        </w:sectPr>
      </w:pPr>
    </w:p>
    <w:p w14:paraId="718F6FAA">
      <w:pPr>
        <w:pStyle w:val="2"/>
        <w:spacing w:before="286" w:after="286"/>
        <w:rPr>
          <w:color w:val="000000" w:themeColor="text1"/>
          <w:sz w:val="32"/>
          <w:szCs w:val="32"/>
          <w:highlight w:val="none"/>
          <w14:textFill>
            <w14:solidFill>
              <w14:schemeClr w14:val="tx1"/>
            </w14:solidFill>
          </w14:textFill>
        </w:rPr>
        <w:sectPr>
          <w:headerReference r:id="rId13" w:type="default"/>
          <w:type w:val="continuous"/>
          <w:pgSz w:w="11907" w:h="16840"/>
          <w:pgMar w:top="1111" w:right="1701" w:bottom="1428" w:left="1701" w:header="720" w:footer="720" w:gutter="0"/>
          <w:cols w:space="720" w:num="1"/>
          <w:docGrid w:type="linesAndChars" w:linePitch="286" w:charSpace="0"/>
        </w:sectPr>
      </w:pPr>
      <w:bookmarkStart w:id="62" w:name="_Toc316649292"/>
    </w:p>
    <w:p w14:paraId="32F2AFDC">
      <w:pPr>
        <w:pStyle w:val="2"/>
        <w:spacing w:before="286" w:after="286"/>
        <w:rPr>
          <w:color w:val="000000" w:themeColor="text1"/>
          <w:sz w:val="32"/>
          <w:szCs w:val="32"/>
          <w:highlight w:val="none"/>
          <w14:textFill>
            <w14:solidFill>
              <w14:schemeClr w14:val="tx1"/>
            </w14:solidFill>
          </w14:textFill>
        </w:rPr>
      </w:pPr>
    </w:p>
    <w:p w14:paraId="4EA16C89">
      <w:pPr>
        <w:pStyle w:val="2"/>
        <w:spacing w:before="286" w:after="286"/>
        <w:rPr>
          <w:color w:val="000000" w:themeColor="text1"/>
          <w:sz w:val="32"/>
          <w:szCs w:val="32"/>
          <w:highlight w:val="none"/>
          <w14:textFill>
            <w14:solidFill>
              <w14:schemeClr w14:val="tx1"/>
            </w14:solidFill>
          </w14:textFill>
        </w:rPr>
      </w:pPr>
      <w:bookmarkStart w:id="63" w:name="_Toc22855"/>
      <w:r>
        <w:rPr>
          <w:rFonts w:hint="eastAsia"/>
          <w:color w:val="000000" w:themeColor="text1"/>
          <w:sz w:val="32"/>
          <w:szCs w:val="32"/>
          <w:highlight w:val="none"/>
          <w14:textFill>
            <w14:solidFill>
              <w14:schemeClr w14:val="tx1"/>
            </w14:solidFill>
          </w14:textFill>
        </w:rPr>
        <w:t>第四部分投标人须知</w:t>
      </w:r>
      <w:bookmarkEnd w:id="62"/>
      <w:bookmarkEnd w:id="63"/>
    </w:p>
    <w:p w14:paraId="75E956EB">
      <w:pPr>
        <w:jc w:val="center"/>
        <w:outlineLvl w:val="1"/>
        <w:rPr>
          <w:rFonts w:ascii="宋体" w:hAnsi="宋体" w:cs="宋体"/>
          <w:b/>
          <w:color w:val="000000" w:themeColor="text1"/>
          <w:sz w:val="28"/>
          <w:highlight w:val="none"/>
          <w14:textFill>
            <w14:solidFill>
              <w14:schemeClr w14:val="tx1"/>
            </w14:solidFill>
          </w14:textFill>
        </w:rPr>
      </w:pPr>
      <w:bookmarkStart w:id="64" w:name="_Toc513798900"/>
      <w:bookmarkStart w:id="65" w:name="_Toc136017630"/>
      <w:bookmarkStart w:id="66" w:name="_Toc440276561"/>
      <w:bookmarkStart w:id="67" w:name="_Toc520902394"/>
      <w:bookmarkStart w:id="68" w:name="_Toc513799071"/>
      <w:bookmarkStart w:id="69" w:name="_Toc136345101"/>
      <w:bookmarkStart w:id="70" w:name="_Toc31841"/>
      <w:bookmarkStart w:id="71" w:name="_Toc502819341"/>
      <w:bookmarkStart w:id="72" w:name="_Toc497935707"/>
      <w:bookmarkStart w:id="73" w:name="_Toc501721316"/>
      <w:bookmarkStart w:id="74" w:name="_Toc501721199"/>
      <w:bookmarkStart w:id="75" w:name="_Toc481153658"/>
      <w:bookmarkStart w:id="76" w:name="_Toc316649293"/>
      <w:bookmarkStart w:id="77" w:name="_Toc481153623"/>
      <w:bookmarkStart w:id="78" w:name="_Toc501721427"/>
      <w:r>
        <w:rPr>
          <w:rFonts w:hint="eastAsia" w:ascii="宋体" w:hAnsi="宋体" w:cs="宋体"/>
          <w:b/>
          <w:color w:val="000000" w:themeColor="text1"/>
          <w:sz w:val="28"/>
          <w:highlight w:val="none"/>
          <w14:textFill>
            <w14:solidFill>
              <w14:schemeClr w14:val="tx1"/>
            </w14:solidFill>
          </w14:textFill>
        </w:rPr>
        <w:t>A  总则</w:t>
      </w:r>
      <w:bookmarkEnd w:id="64"/>
      <w:bookmarkEnd w:id="65"/>
      <w:bookmarkEnd w:id="66"/>
      <w:bookmarkEnd w:id="67"/>
      <w:bookmarkEnd w:id="68"/>
      <w:bookmarkEnd w:id="69"/>
      <w:bookmarkEnd w:id="70"/>
    </w:p>
    <w:p w14:paraId="7AB81BB1">
      <w:p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   适用范围</w:t>
      </w:r>
    </w:p>
    <w:p w14:paraId="3766891C">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本招标文件适用于本项目的招标、投标、开标、资格审查及信用信息查询、评标、定标、合同、验收等行为（法律、法规另有规定的，从其规定）。</w:t>
      </w:r>
    </w:p>
    <w:p w14:paraId="0498AF61">
      <w:pPr>
        <w:spacing w:line="360" w:lineRule="auto"/>
        <w:rPr>
          <w:rFonts w:ascii="宋体" w:hAnsi="宋体" w:cs="宋体"/>
          <w:b/>
          <w:color w:val="000000" w:themeColor="text1"/>
          <w:szCs w:val="21"/>
          <w:highlight w:val="none"/>
          <w14:textFill>
            <w14:solidFill>
              <w14:schemeClr w14:val="tx1"/>
            </w14:solidFill>
          </w14:textFill>
        </w:rPr>
      </w:pPr>
    </w:p>
    <w:p w14:paraId="53D93440">
      <w:p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   定义</w:t>
      </w:r>
    </w:p>
    <w:p w14:paraId="2A8E91A7">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2.1</w:t>
      </w:r>
      <w:r>
        <w:rPr>
          <w:rFonts w:hint="eastAsia" w:ascii="宋体" w:hAnsi="宋体" w:cs="宋体"/>
          <w:color w:val="000000" w:themeColor="text1"/>
          <w:szCs w:val="21"/>
          <w:highlight w:val="none"/>
          <w14:textFill>
            <w14:solidFill>
              <w14:schemeClr w14:val="tx1"/>
            </w14:solidFill>
          </w14:textFill>
        </w:rPr>
        <w:t xml:space="preserve">  “采购人”、“采购代理机构”和“项目名称”：</w:t>
      </w:r>
      <w:r>
        <w:rPr>
          <w:rFonts w:ascii="宋体" w:hAnsi="宋体" w:cs="宋体"/>
          <w:color w:val="000000" w:themeColor="text1"/>
          <w:szCs w:val="21"/>
          <w:highlight w:val="none"/>
          <w14:textFill>
            <w14:solidFill>
              <w14:schemeClr w14:val="tx1"/>
            </w14:solidFill>
          </w14:textFill>
        </w:rPr>
        <w:t>见</w:t>
      </w:r>
      <w:r>
        <w:rPr>
          <w:rFonts w:hint="eastAsia" w:ascii="宋体" w:hAnsi="宋体" w:cs="宋体"/>
          <w:color w:val="000000" w:themeColor="text1"/>
          <w:szCs w:val="21"/>
          <w:highlight w:val="none"/>
          <w14:textFill>
            <w14:solidFill>
              <w14:schemeClr w14:val="tx1"/>
            </w14:solidFill>
          </w14:textFill>
        </w:rPr>
        <w:t>“投标资料表”</w:t>
      </w:r>
      <w:r>
        <w:rPr>
          <w:rFonts w:ascii="宋体" w:hAnsi="宋体" w:cs="宋体"/>
          <w:color w:val="000000" w:themeColor="text1"/>
          <w:szCs w:val="21"/>
          <w:highlight w:val="none"/>
          <w14:textFill>
            <w14:solidFill>
              <w14:schemeClr w14:val="tx1"/>
            </w14:solidFill>
          </w14:textFill>
        </w:rPr>
        <w:t>。</w:t>
      </w:r>
    </w:p>
    <w:p w14:paraId="6C7FDC63">
      <w:pPr>
        <w:spacing w:line="360" w:lineRule="auto"/>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2.2</w:t>
      </w:r>
      <w:r>
        <w:rPr>
          <w:rFonts w:hint="eastAsia" w:ascii="宋体" w:hAnsi="宋体" w:cs="宋体"/>
          <w:bCs/>
          <w:color w:val="000000" w:themeColor="text1"/>
          <w:szCs w:val="21"/>
          <w:highlight w:val="none"/>
          <w14:textFill>
            <w14:solidFill>
              <w14:schemeClr w14:val="tx1"/>
            </w14:solidFill>
          </w14:textFill>
        </w:rPr>
        <w:t xml:space="preserve">  “供应商”系指采购人发布招标公告后，所有对招标项目有意向、并有可能参加本项目投标的法人、其他组织或者自然人。</w:t>
      </w:r>
    </w:p>
    <w:p w14:paraId="269A3954">
      <w:pPr>
        <w:spacing w:line="360" w:lineRule="auto"/>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2.3</w:t>
      </w:r>
      <w:r>
        <w:rPr>
          <w:rFonts w:hint="eastAsia" w:ascii="宋体" w:hAnsi="宋体" w:cs="宋体"/>
          <w:bCs/>
          <w:color w:val="000000" w:themeColor="text1"/>
          <w:szCs w:val="21"/>
          <w:highlight w:val="none"/>
          <w14:textFill>
            <w14:solidFill>
              <w14:schemeClr w14:val="tx1"/>
            </w14:solidFill>
          </w14:textFill>
        </w:rPr>
        <w:t xml:space="preserve">  “投标人”系指响应招标、参加投标竞争的法人、其他组织或者自然人。</w:t>
      </w:r>
    </w:p>
    <w:p w14:paraId="760BE3F8">
      <w:pPr>
        <w:spacing w:line="360" w:lineRule="auto"/>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2.4  </w:t>
      </w:r>
      <w:r>
        <w:rPr>
          <w:rFonts w:hint="eastAsia" w:ascii="宋体" w:hAnsi="宋体" w:cs="宋体"/>
          <w:bCs/>
          <w:color w:val="000000" w:themeColor="text1"/>
          <w:szCs w:val="21"/>
          <w:highlight w:val="none"/>
          <w14:textFill>
            <w14:solidFill>
              <w14:schemeClr w14:val="tx1"/>
            </w14:solidFill>
          </w14:textFill>
        </w:rPr>
        <w:t>“负责人”系指法人企业的法定负责人，或其他组织为法律、行政法规规定代表单位行使职权的主要负责人，或自然人本人。</w:t>
      </w:r>
    </w:p>
    <w:p w14:paraId="31EA77A5">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2.5</w:t>
      </w:r>
      <w:r>
        <w:rPr>
          <w:rFonts w:hint="eastAsia" w:ascii="宋体" w:hAnsi="宋体" w:cs="宋体"/>
          <w:color w:val="000000" w:themeColor="text1"/>
          <w:szCs w:val="21"/>
          <w:highlight w:val="none"/>
          <w14:textFill>
            <w14:solidFill>
              <w14:schemeClr w14:val="tx1"/>
            </w14:solidFill>
          </w14:textFill>
        </w:rPr>
        <w:t xml:space="preserve">  “产品”系指投标人按招标文件规定，须向采购人提供的一切设备、保险、税金、备品备件、工具、手册及其它有关技术资料和材料。</w:t>
      </w:r>
    </w:p>
    <w:p w14:paraId="23A67EEB">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2.6</w:t>
      </w:r>
      <w:r>
        <w:rPr>
          <w:rFonts w:hint="eastAsia" w:ascii="宋体" w:hAnsi="宋体" w:cs="宋体"/>
          <w:color w:val="000000" w:themeColor="text1"/>
          <w:szCs w:val="21"/>
          <w:highlight w:val="none"/>
          <w14:textFill>
            <w14:solidFill>
              <w14:schemeClr w14:val="tx1"/>
            </w14:solidFill>
          </w14:textFill>
        </w:rPr>
        <w:t xml:space="preserve">  “服务”系指招标文件规定投标人须承担的安装、调试、技术协助、校准、培训、技术指导以及其它类似的义务。</w:t>
      </w:r>
    </w:p>
    <w:p w14:paraId="3E2418C2">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2.7</w:t>
      </w:r>
      <w:r>
        <w:rPr>
          <w:rFonts w:hint="eastAsia" w:ascii="宋体" w:hAnsi="宋体" w:cs="宋体"/>
          <w:color w:val="000000" w:themeColor="text1"/>
          <w:szCs w:val="21"/>
          <w:highlight w:val="none"/>
          <w14:textFill>
            <w14:solidFill>
              <w14:schemeClr w14:val="tx1"/>
            </w14:solidFill>
          </w14:textFill>
        </w:rPr>
        <w:t xml:space="preserve">  “项目”系指投标人按招标文件规定向采购人提供的货物或服务。</w:t>
      </w:r>
    </w:p>
    <w:p w14:paraId="13C19AEB">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 xml:space="preserve">  “书面形式”包括信函、传真、邮件等。</w:t>
      </w:r>
    </w:p>
    <w:p w14:paraId="4A6A1935">
      <w:pPr>
        <w:spacing w:line="360" w:lineRule="auto"/>
        <w:ind w:left="632" w:hanging="630" w:hangingChars="3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2.9</w:t>
      </w:r>
      <w:r>
        <w:rPr>
          <w:rFonts w:hint="eastAsia" w:ascii="宋体" w:hAnsi="宋体" w:cs="宋体"/>
          <w:color w:val="000000" w:themeColor="text1"/>
          <w:szCs w:val="21"/>
          <w:highlight w:val="none"/>
          <w14:textFill>
            <w14:solidFill>
              <w14:schemeClr w14:val="tx1"/>
            </w14:solidFill>
          </w14:textFill>
        </w:rPr>
        <w:t xml:space="preserve">  “★”系指实质性要求条款。投标文件对这些条款的任何负偏离将导致投标无效。  “</w:t>
      </w: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512970236"/>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ascii="Wingdings" w:hAnsi="Wingdings" w:cs="Arial" w:eastAsiaTheme="minorEastAsia"/>
              <w:color w:val="000000" w:themeColor="text1"/>
              <w:kern w:val="0"/>
              <w:sz w:val="24"/>
              <w:szCs w:val="24"/>
              <w:highlight w:val="none"/>
              <w14:textFill>
                <w14:solidFill>
                  <w14:schemeClr w14:val="tx1"/>
                </w14:solidFill>
              </w14:textFill>
            </w:rPr>
            <w:t></w:t>
          </w:r>
        </w:sdtContent>
      </w:sdt>
      <w:r>
        <w:rPr>
          <w:rFonts w:hint="eastAsia" w:ascii="宋体" w:hAnsi="宋体" w:cs="宋体"/>
          <w:color w:val="000000" w:themeColor="text1"/>
          <w:szCs w:val="21"/>
          <w:highlight w:val="none"/>
          <w14:textFill>
            <w14:solidFill>
              <w14:schemeClr w14:val="tx1"/>
            </w14:solidFill>
          </w14:textFill>
        </w:rPr>
        <w:t>” 系指适用本项目的要求，“☐” 系指不适用本项目的要求。</w:t>
      </w:r>
    </w:p>
    <w:p w14:paraId="6F8E9498">
      <w:pPr>
        <w:spacing w:line="360" w:lineRule="auto"/>
        <w:rPr>
          <w:rFonts w:ascii="宋体" w:hAnsi="宋体" w:cs="宋体"/>
          <w:b/>
          <w:color w:val="000000" w:themeColor="text1"/>
          <w:szCs w:val="21"/>
          <w:highlight w:val="none"/>
          <w14:textFill>
            <w14:solidFill>
              <w14:schemeClr w14:val="tx1"/>
            </w14:solidFill>
          </w14:textFill>
        </w:rPr>
      </w:pPr>
    </w:p>
    <w:p w14:paraId="66F3CE4B">
      <w:p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   招标范围</w:t>
      </w:r>
    </w:p>
    <w:p w14:paraId="450D1AA6">
      <w:pPr>
        <w:spacing w:line="360" w:lineRule="auto"/>
        <w:rPr>
          <w:rFonts w:ascii="宋体" w:hAnsi="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3.1  </w:t>
      </w:r>
      <w:r>
        <w:rPr>
          <w:rFonts w:hint="eastAsia" w:ascii="宋体" w:hAnsi="宋体"/>
          <w:color w:val="000000" w:themeColor="text1"/>
          <w:highlight w:val="none"/>
          <w14:textFill>
            <w14:solidFill>
              <w14:schemeClr w14:val="tx1"/>
            </w14:solidFill>
          </w14:textFill>
        </w:rPr>
        <w:t>招标范围：</w:t>
      </w:r>
      <w:r>
        <w:rPr>
          <w:rFonts w:ascii="宋体" w:hAnsi="宋体"/>
          <w:color w:val="000000" w:themeColor="text1"/>
          <w:highlight w:val="none"/>
          <w14:textFill>
            <w14:solidFill>
              <w14:schemeClr w14:val="tx1"/>
            </w14:solidFill>
          </w14:textFill>
        </w:rPr>
        <w:t>见</w:t>
      </w:r>
      <w:r>
        <w:rPr>
          <w:rFonts w:hint="eastAsia" w:ascii="宋体" w:hAnsi="宋体"/>
          <w:color w:val="000000" w:themeColor="text1"/>
          <w:highlight w:val="none"/>
          <w14:textFill>
            <w14:solidFill>
              <w14:schemeClr w14:val="tx1"/>
            </w14:solidFill>
          </w14:textFill>
        </w:rPr>
        <w:t>“投标资料表”</w:t>
      </w:r>
      <w:r>
        <w:rPr>
          <w:rFonts w:ascii="宋体" w:hAnsi="宋体"/>
          <w:color w:val="000000" w:themeColor="text1"/>
          <w:highlight w:val="none"/>
          <w14:textFill>
            <w14:solidFill>
              <w14:schemeClr w14:val="tx1"/>
            </w14:solidFill>
          </w14:textFill>
        </w:rPr>
        <w:t>。</w:t>
      </w:r>
    </w:p>
    <w:p w14:paraId="08305906">
      <w:pPr>
        <w:spacing w:line="360" w:lineRule="auto"/>
        <w:rPr>
          <w:rFonts w:ascii="宋体" w:hAnsi="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3.2</w:t>
      </w:r>
      <w:r>
        <w:rPr>
          <w:rFonts w:hint="eastAsia" w:ascii="宋体" w:hAnsi="宋体"/>
          <w:color w:val="000000" w:themeColor="text1"/>
          <w:highlight w:val="none"/>
          <w14:textFill>
            <w14:solidFill>
              <w14:schemeClr w14:val="tx1"/>
            </w14:solidFill>
          </w14:textFill>
        </w:rPr>
        <w:t xml:space="preserve">  本项目转包、分包具体要求在招标文件“投标资料表”中做出规定。</w:t>
      </w:r>
    </w:p>
    <w:p w14:paraId="61AE1869">
      <w:pPr>
        <w:spacing w:line="360" w:lineRule="auto"/>
        <w:ind w:firstLine="210" w:firstLineChars="100"/>
        <w:rPr>
          <w:rFonts w:ascii="宋体" w:hAnsi="宋体" w:cs="宋体"/>
          <w:b/>
          <w:color w:val="000000" w:themeColor="text1"/>
          <w:szCs w:val="21"/>
          <w:highlight w:val="none"/>
          <w14:textFill>
            <w14:solidFill>
              <w14:schemeClr w14:val="tx1"/>
            </w14:solidFill>
          </w14:textFill>
        </w:rPr>
      </w:pPr>
    </w:p>
    <w:p w14:paraId="3E8F023E">
      <w:p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   合格的投标人</w:t>
      </w:r>
    </w:p>
    <w:p w14:paraId="4785E95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4.1  </w:t>
      </w:r>
      <w:r>
        <w:rPr>
          <w:rFonts w:hint="eastAsia" w:ascii="宋体" w:hAnsi="宋体" w:cs="宋体"/>
          <w:color w:val="000000" w:themeColor="text1"/>
          <w:szCs w:val="21"/>
          <w:highlight w:val="none"/>
          <w14:textFill>
            <w14:solidFill>
              <w14:schemeClr w14:val="tx1"/>
            </w14:solidFill>
          </w14:textFill>
        </w:rPr>
        <w:t>合格的投标人应该是：</w:t>
      </w:r>
    </w:p>
    <w:p w14:paraId="1A89C82E">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是指向采购人提供货物、工程或者服务的法人、其他组织或者自然人。除金融、保险、通讯、石油石化、电力等特定行业的全国性企业所设立的区域性分支机构允许投标外，其他法人的分支机构不允许参加投标。</w:t>
      </w:r>
    </w:p>
    <w:p w14:paraId="74E66499">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5D873343">
      <w:pPr>
        <w:spacing w:line="440" w:lineRule="exact"/>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根据政府采购相关法律、法规、规章、文件规定并满足招标文件规定资格条件的区域性分支机构、个人独资企业、合伙企业参加本项目投标并由单位负责人签署的相关投标资料与本招标文件规定由法定代表人签署的文件材料具有同等效力。</w:t>
      </w:r>
    </w:p>
    <w:p w14:paraId="6CF7C4DD">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4.2</w:t>
      </w:r>
      <w:r>
        <w:rPr>
          <w:rFonts w:hint="eastAsia" w:ascii="宋体" w:hAnsi="宋体" w:cs="宋体"/>
          <w:color w:val="000000" w:themeColor="text1"/>
          <w:szCs w:val="21"/>
          <w:highlight w:val="none"/>
          <w14:textFill>
            <w14:solidFill>
              <w14:schemeClr w14:val="tx1"/>
            </w14:solidFill>
          </w14:textFill>
        </w:rPr>
        <w:t xml:space="preserve">  符合本招标文件载明的对上述</w:t>
      </w:r>
      <w:r>
        <w:rPr>
          <w:rFonts w:hint="eastAsia" w:ascii="宋体" w:hAnsi="宋体" w:cs="宋体"/>
          <w:b/>
          <w:color w:val="000000" w:themeColor="text1"/>
          <w:szCs w:val="21"/>
          <w:highlight w:val="none"/>
          <w14:textFill>
            <w14:solidFill>
              <w14:schemeClr w14:val="tx1"/>
            </w14:solidFill>
          </w14:textFill>
        </w:rPr>
        <w:t>4.1</w:t>
      </w:r>
      <w:r>
        <w:rPr>
          <w:rFonts w:hint="eastAsia" w:ascii="宋体" w:hAnsi="宋体" w:cs="宋体"/>
          <w:color w:val="000000" w:themeColor="text1"/>
          <w:szCs w:val="21"/>
          <w:highlight w:val="none"/>
          <w14:textFill>
            <w14:solidFill>
              <w14:schemeClr w14:val="tx1"/>
            </w14:solidFill>
          </w14:textFill>
        </w:rPr>
        <w:t>条的例外的规定或对投标人资格的其他补充要求：详见招标公告。</w:t>
      </w:r>
    </w:p>
    <w:p w14:paraId="72D57046">
      <w:pPr>
        <w:spacing w:line="400" w:lineRule="exact"/>
        <w:rPr>
          <w:rFonts w:ascii="宋体" w:hAnsi="宋体" w:cs="宋体"/>
          <w:color w:val="000000" w:themeColor="text1"/>
          <w:szCs w:val="21"/>
          <w:highlight w:val="none"/>
          <w14:textFill>
            <w14:solidFill>
              <w14:schemeClr w14:val="tx1"/>
            </w14:solidFill>
          </w14:textFill>
        </w:rPr>
      </w:pPr>
    </w:p>
    <w:p w14:paraId="2944FD5A">
      <w:pPr>
        <w:spacing w:line="40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5.投标人代表</w:t>
      </w:r>
    </w:p>
    <w:p w14:paraId="3AF029ED">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5.1</w:t>
      </w:r>
      <w:r>
        <w:rPr>
          <w:rFonts w:hint="eastAsia" w:ascii="宋体" w:hAnsi="宋体" w:cs="宋体"/>
          <w:color w:val="000000" w:themeColor="text1"/>
          <w:szCs w:val="21"/>
          <w:highlight w:val="none"/>
          <w14:textFill>
            <w14:solidFill>
              <w14:schemeClr w14:val="tx1"/>
            </w14:solidFill>
          </w14:textFill>
        </w:rPr>
        <w:t xml:space="preserve">  投标人代表须持有“单位负责人授权书”。单位负责人是指单位法定代表人或者法律、行政法规规定代表单位行使职权的主要负责人（下同）。</w:t>
      </w:r>
    </w:p>
    <w:p w14:paraId="338ECB29">
      <w:pPr>
        <w:spacing w:line="400" w:lineRule="exact"/>
        <w:rPr>
          <w:rFonts w:ascii="宋体" w:hAnsi="宋体" w:cs="宋体"/>
          <w:color w:val="000000" w:themeColor="text1"/>
          <w:szCs w:val="21"/>
          <w:highlight w:val="none"/>
          <w:shd w:val="pct10" w:color="auto" w:fill="FFFFFF"/>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5.2  </w:t>
      </w:r>
      <w:r>
        <w:rPr>
          <w:rFonts w:hint="eastAsia" w:ascii="宋体" w:hAnsi="宋体" w:cs="宋体"/>
          <w:color w:val="000000" w:themeColor="text1"/>
          <w:szCs w:val="21"/>
          <w:highlight w:val="none"/>
          <w14:textFill>
            <w14:solidFill>
              <w14:schemeClr w14:val="tx1"/>
            </w14:solidFill>
          </w14:textFill>
        </w:rPr>
        <w:t>若投标人代表是单位负责人的，则须符合本须知第</w:t>
      </w:r>
      <w:r>
        <w:rPr>
          <w:rFonts w:hint="eastAsia" w:ascii="宋体" w:hAnsi="宋体" w:cs="宋体"/>
          <w:b/>
          <w:color w:val="000000" w:themeColor="text1"/>
          <w:szCs w:val="21"/>
          <w:highlight w:val="none"/>
          <w14:textFill>
            <w14:solidFill>
              <w14:schemeClr w14:val="tx1"/>
            </w14:solidFill>
          </w14:textFill>
        </w:rPr>
        <w:t>9.1</w:t>
      </w:r>
      <w:r>
        <w:rPr>
          <w:rFonts w:hint="eastAsia" w:ascii="宋体" w:hAnsi="宋体" w:cs="宋体"/>
          <w:color w:val="000000" w:themeColor="text1"/>
          <w:szCs w:val="21"/>
          <w:highlight w:val="none"/>
          <w14:textFill>
            <w14:solidFill>
              <w14:schemeClr w14:val="tx1"/>
            </w14:solidFill>
          </w14:textFill>
        </w:rPr>
        <w:t>条的要求。</w:t>
      </w:r>
    </w:p>
    <w:p w14:paraId="44E666EA">
      <w:pPr>
        <w:spacing w:line="400" w:lineRule="exact"/>
        <w:rPr>
          <w:rFonts w:ascii="宋体" w:hAnsi="宋体" w:cs="宋体"/>
          <w:color w:val="000000" w:themeColor="text1"/>
          <w:szCs w:val="21"/>
          <w:highlight w:val="none"/>
          <w14:textFill>
            <w14:solidFill>
              <w14:schemeClr w14:val="tx1"/>
            </w14:solidFill>
          </w14:textFill>
        </w:rPr>
      </w:pPr>
    </w:p>
    <w:p w14:paraId="6F1E4637">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6.投标费用</w:t>
      </w:r>
    </w:p>
    <w:p w14:paraId="1954210D">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6.1</w:t>
      </w:r>
      <w:r>
        <w:rPr>
          <w:rFonts w:hint="eastAsia" w:ascii="宋体" w:hAnsi="宋体" w:cs="宋体"/>
          <w:color w:val="000000" w:themeColor="text1"/>
          <w:szCs w:val="21"/>
          <w:highlight w:val="none"/>
          <w14:textFill>
            <w14:solidFill>
              <w14:schemeClr w14:val="tx1"/>
            </w14:solidFill>
          </w14:textFill>
        </w:rPr>
        <w:t xml:space="preserve">  不论招标的结果如何，投标人自行承担其参加本次投标有关的全部费用。</w:t>
      </w:r>
    </w:p>
    <w:p w14:paraId="6B1FAC97">
      <w:pPr>
        <w:spacing w:line="400" w:lineRule="exact"/>
        <w:jc w:val="center"/>
        <w:rPr>
          <w:rFonts w:ascii="宋体" w:hAnsi="宋体" w:cs="宋体"/>
          <w:b/>
          <w:color w:val="000000" w:themeColor="text1"/>
          <w:sz w:val="28"/>
          <w:highlight w:val="none"/>
          <w14:textFill>
            <w14:solidFill>
              <w14:schemeClr w14:val="tx1"/>
            </w14:solidFill>
          </w14:textFill>
        </w:rPr>
      </w:pPr>
    </w:p>
    <w:p w14:paraId="3C39CB82">
      <w:pPr>
        <w:jc w:val="center"/>
        <w:outlineLvl w:val="1"/>
        <w:rPr>
          <w:rFonts w:ascii="宋体" w:hAnsi="宋体" w:cs="宋体"/>
          <w:b/>
          <w:color w:val="000000" w:themeColor="text1"/>
          <w:sz w:val="28"/>
          <w:highlight w:val="none"/>
          <w14:textFill>
            <w14:solidFill>
              <w14:schemeClr w14:val="tx1"/>
            </w14:solidFill>
          </w14:textFill>
        </w:rPr>
      </w:pPr>
      <w:bookmarkStart w:id="79" w:name="_Toc440276562"/>
      <w:bookmarkStart w:id="80" w:name="_Toc3442"/>
      <w:bookmarkStart w:id="81" w:name="_Toc513799072"/>
      <w:bookmarkStart w:id="82" w:name="_Toc520902395"/>
      <w:bookmarkStart w:id="83" w:name="_Toc513798901"/>
      <w:bookmarkStart w:id="84" w:name="_Toc136345102"/>
      <w:bookmarkStart w:id="85" w:name="_Toc136017631"/>
      <w:r>
        <w:rPr>
          <w:rFonts w:hint="eastAsia" w:ascii="宋体" w:hAnsi="宋体" w:cs="宋体"/>
          <w:b/>
          <w:color w:val="000000" w:themeColor="text1"/>
          <w:sz w:val="28"/>
          <w:highlight w:val="none"/>
          <w14:textFill>
            <w14:solidFill>
              <w14:schemeClr w14:val="tx1"/>
            </w14:solidFill>
          </w14:textFill>
        </w:rPr>
        <w:t>B  招标文件</w:t>
      </w:r>
      <w:bookmarkEnd w:id="79"/>
      <w:bookmarkEnd w:id="80"/>
      <w:bookmarkEnd w:id="81"/>
      <w:bookmarkEnd w:id="82"/>
      <w:bookmarkEnd w:id="83"/>
      <w:bookmarkEnd w:id="84"/>
      <w:bookmarkEnd w:id="85"/>
    </w:p>
    <w:p w14:paraId="12F221DE">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7.招标文件的构成</w:t>
      </w:r>
    </w:p>
    <w:p w14:paraId="45FAFC59">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7.1</w:t>
      </w:r>
      <w:r>
        <w:rPr>
          <w:rFonts w:hint="eastAsia" w:ascii="宋体" w:hAnsi="宋体" w:cs="宋体"/>
          <w:color w:val="000000" w:themeColor="text1"/>
          <w:szCs w:val="21"/>
          <w:highlight w:val="none"/>
          <w14:textFill>
            <w14:solidFill>
              <w14:schemeClr w14:val="tx1"/>
            </w14:solidFill>
          </w14:textFill>
        </w:rPr>
        <w:t xml:space="preserve"> 招标文件共有七部分。内容如下：</w:t>
      </w:r>
    </w:p>
    <w:p w14:paraId="5F27613A">
      <w:pPr>
        <w:spacing w:line="400" w:lineRule="exact"/>
        <w:ind w:left="281" w:leftChars="134"/>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第一部分招标公告</w:t>
      </w:r>
    </w:p>
    <w:p w14:paraId="32FC473E">
      <w:pPr>
        <w:spacing w:line="400" w:lineRule="exact"/>
        <w:ind w:left="281" w:leftChars="134"/>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第二部分招标项目需求</w:t>
      </w:r>
    </w:p>
    <w:p w14:paraId="5E6D2F62">
      <w:pPr>
        <w:spacing w:line="400" w:lineRule="exact"/>
        <w:ind w:left="281" w:leftChars="134"/>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第三部分投标资料表</w:t>
      </w:r>
    </w:p>
    <w:p w14:paraId="40CE214F">
      <w:pPr>
        <w:spacing w:line="400" w:lineRule="exact"/>
        <w:ind w:left="281" w:leftChars="134"/>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第四部分投标人须知</w:t>
      </w:r>
    </w:p>
    <w:p w14:paraId="37DE70C8">
      <w:pPr>
        <w:spacing w:line="400" w:lineRule="exact"/>
        <w:ind w:left="281" w:leftChars="134"/>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第五部分评标办法</w:t>
      </w:r>
    </w:p>
    <w:p w14:paraId="44FDAE35">
      <w:pPr>
        <w:spacing w:line="400" w:lineRule="exact"/>
        <w:ind w:left="281" w:leftChars="134"/>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第六部分合同格式</w:t>
      </w:r>
    </w:p>
    <w:p w14:paraId="18DA9A43">
      <w:pPr>
        <w:spacing w:line="400" w:lineRule="exact"/>
        <w:ind w:left="281" w:leftChars="134"/>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第七部分投标文件格式</w:t>
      </w:r>
    </w:p>
    <w:p w14:paraId="3AA3DF76">
      <w:pPr>
        <w:spacing w:line="400" w:lineRule="exact"/>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投标人应详细阅读招标文件的全部内容和要求，不按招标文件的要求提供投标文件和资料导致的风险由投标人承担。</w:t>
      </w:r>
    </w:p>
    <w:p w14:paraId="4C715B46">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7.2 </w:t>
      </w:r>
      <w:r>
        <w:rPr>
          <w:rFonts w:hint="eastAsia" w:ascii="宋体" w:hAnsi="宋体" w:cs="宋体"/>
          <w:color w:val="000000" w:themeColor="text1"/>
          <w:szCs w:val="21"/>
          <w:highlight w:val="none"/>
          <w14:textFill>
            <w14:solidFill>
              <w14:schemeClr w14:val="tx1"/>
            </w14:solidFill>
          </w14:textFill>
        </w:rPr>
        <w:t>与本项目有关的澄清或者修改的内容为招标文件的组成部分。</w:t>
      </w:r>
    </w:p>
    <w:p w14:paraId="0C157B57">
      <w:pPr>
        <w:spacing w:line="400" w:lineRule="exact"/>
        <w:ind w:firstLine="210" w:firstLineChars="100"/>
        <w:rPr>
          <w:rFonts w:ascii="宋体" w:hAnsi="宋体" w:cs="宋体"/>
          <w:b/>
          <w:color w:val="000000" w:themeColor="text1"/>
          <w:szCs w:val="21"/>
          <w:highlight w:val="none"/>
          <w14:textFill>
            <w14:solidFill>
              <w14:schemeClr w14:val="tx1"/>
            </w14:solidFill>
          </w14:textFill>
        </w:rPr>
      </w:pPr>
    </w:p>
    <w:p w14:paraId="473D93B5">
      <w:pPr>
        <w:spacing w:line="40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8.招标文件的澄清和修改</w:t>
      </w:r>
    </w:p>
    <w:p w14:paraId="1B149AA2">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8.1</w:t>
      </w:r>
      <w:r>
        <w:rPr>
          <w:rFonts w:hint="eastAsia" w:ascii="宋体" w:hAnsi="宋体" w:cs="宋体"/>
          <w:color w:val="000000" w:themeColor="text1"/>
          <w:szCs w:val="21"/>
          <w:highlight w:val="none"/>
          <w14:textFill>
            <w14:solidFill>
              <w14:schemeClr w14:val="tx1"/>
            </w14:solidFill>
          </w14:textFill>
        </w:rPr>
        <w:t>采购人或者采购代理机构可以在招标文件提供期限截止后，组织已获取招标文件的潜在投标人现场考察或者召开开标前答疑会。组织现场考察或者召开答疑会的在招标文件“投标资料表”中载明。</w:t>
      </w:r>
    </w:p>
    <w:p w14:paraId="656CAAC0">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8.2  </w:t>
      </w:r>
      <w:r>
        <w:rPr>
          <w:rFonts w:hint="eastAsia" w:ascii="宋体" w:hAnsi="宋体" w:cs="宋体"/>
          <w:color w:val="000000" w:themeColor="text1"/>
          <w:szCs w:val="21"/>
          <w:highlight w:val="none"/>
          <w14:textFill>
            <w14:solidFill>
              <w14:schemeClr w14:val="tx1"/>
            </w14:solidFill>
          </w14:textFill>
        </w:rPr>
        <w:t>若潜在投标人对招标文件有疑点，要求采购人澄清的，应以书面形式通知采购代理机构，要求澄清的截止时间同有效质疑的截止时间。</w:t>
      </w:r>
    </w:p>
    <w:p w14:paraId="21745AD2">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8.3</w:t>
      </w:r>
      <w:r>
        <w:rPr>
          <w:rFonts w:hint="eastAsia" w:ascii="宋体" w:hAnsi="宋体" w:cs="宋体"/>
          <w:color w:val="000000" w:themeColor="text1"/>
          <w:szCs w:val="21"/>
          <w:highlight w:val="none"/>
          <w14:textFill>
            <w14:solidFill>
              <w14:schemeClr w14:val="tx1"/>
            </w14:solidFill>
          </w14:textFill>
        </w:rPr>
        <w:t xml:space="preserve">  采购人或者采购代理机构可以对已发出的招标文件进行必要的澄清或者修改，但不得改变采购标的和资格条件。澄清或者修改在原公告发布媒体上发布更正公告。更正公告为招标文件的组成部分，一经在网站发布，视同已通知所有招标文件的收受人，不再采用其它方式传达相关信息，若因未能及时了解到上述网站上发布的相关信息而导致的一切后果由投标人自行承担。</w:t>
      </w:r>
    </w:p>
    <w:p w14:paraId="59AF8D9F">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8.4</w:t>
      </w:r>
      <w:r>
        <w:rPr>
          <w:rFonts w:hint="eastAsia" w:ascii="宋体" w:hAnsi="宋体" w:cs="宋体"/>
          <w:color w:val="000000" w:themeColor="text1"/>
          <w:szCs w:val="21"/>
          <w:highlight w:val="none"/>
          <w14:textFill>
            <w14:solidFill>
              <w14:schemeClr w14:val="tx1"/>
            </w14:solidFill>
          </w14:textFill>
        </w:rPr>
        <w:t xml:space="preserve">  澄清或者修改的内容可能影响投标文件编制的，采购人或者采购代理机构在投标截止时间至少15日前，以书面形式（纸质、传真或电子邮件形式）通知所有获取招标文件的潜在投标人；不足15日的，采购人或者采购代理机构顺延提交投标文件的截止时间。</w:t>
      </w:r>
    </w:p>
    <w:p w14:paraId="0D01958C">
      <w:pPr>
        <w:spacing w:line="400" w:lineRule="exact"/>
        <w:rPr>
          <w:rFonts w:ascii="宋体" w:hAnsi="宋体" w:cs="宋体"/>
          <w:color w:val="000000" w:themeColor="text1"/>
          <w:szCs w:val="24"/>
          <w:highlight w:val="none"/>
          <w:u w:val="single"/>
          <w14:textFill>
            <w14:solidFill>
              <w14:schemeClr w14:val="tx1"/>
            </w14:solidFill>
          </w14:textFill>
        </w:rPr>
      </w:pPr>
    </w:p>
    <w:p w14:paraId="27B9717E">
      <w:pPr>
        <w:jc w:val="center"/>
        <w:outlineLvl w:val="1"/>
        <w:rPr>
          <w:rFonts w:ascii="宋体" w:hAnsi="宋体" w:cs="宋体"/>
          <w:b/>
          <w:color w:val="000000" w:themeColor="text1"/>
          <w:sz w:val="28"/>
          <w:highlight w:val="none"/>
          <w14:textFill>
            <w14:solidFill>
              <w14:schemeClr w14:val="tx1"/>
            </w14:solidFill>
          </w14:textFill>
        </w:rPr>
      </w:pPr>
      <w:bookmarkStart w:id="86" w:name="_Toc520902396"/>
      <w:bookmarkStart w:id="87" w:name="_Toc513799073"/>
      <w:bookmarkStart w:id="88" w:name="_Toc513798902"/>
      <w:bookmarkStart w:id="89" w:name="_Toc136017632"/>
      <w:bookmarkStart w:id="90" w:name="_Toc440276563"/>
      <w:bookmarkStart w:id="91" w:name="_Toc9362"/>
      <w:bookmarkStart w:id="92" w:name="_Toc136345103"/>
      <w:r>
        <w:rPr>
          <w:rFonts w:hint="eastAsia" w:ascii="宋体" w:hAnsi="宋体" w:cs="宋体"/>
          <w:b/>
          <w:color w:val="000000" w:themeColor="text1"/>
          <w:sz w:val="28"/>
          <w:highlight w:val="none"/>
          <w14:textFill>
            <w14:solidFill>
              <w14:schemeClr w14:val="tx1"/>
            </w14:solidFill>
          </w14:textFill>
        </w:rPr>
        <w:t>C  投标文件</w:t>
      </w:r>
      <w:bookmarkEnd w:id="86"/>
      <w:bookmarkEnd w:id="87"/>
      <w:bookmarkEnd w:id="88"/>
      <w:bookmarkEnd w:id="89"/>
      <w:bookmarkEnd w:id="90"/>
      <w:bookmarkEnd w:id="91"/>
      <w:bookmarkEnd w:id="92"/>
    </w:p>
    <w:p w14:paraId="0E658C4F">
      <w:p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9. 投标文件的组成</w:t>
      </w:r>
    </w:p>
    <w:p w14:paraId="6CB2C2D9">
      <w:pPr>
        <w:spacing w:line="400" w:lineRule="exac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9.1</w:t>
      </w: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 xml:space="preserve">投标文件的形式和效力 </w:t>
      </w:r>
    </w:p>
    <w:p w14:paraId="15C9FA27">
      <w:pPr>
        <w:widowControl/>
        <w:spacing w:line="360" w:lineRule="auto"/>
        <w:ind w:firstLine="42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（1）投标文件分为电子投标文件以及备份投标文件，备份投标文件为以 U 盘存储的电子备份投标文件。</w:t>
      </w:r>
    </w:p>
    <w:p w14:paraId="5F5C207D">
      <w:pPr>
        <w:widowControl/>
        <w:spacing w:line="360" w:lineRule="auto"/>
        <w:ind w:firstLine="42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（2）电子投标文件，按“政采云供应商项目采购-电子招投标操作指南”及本招标文件要求制作、加密并递交。 </w:t>
      </w:r>
    </w:p>
    <w:p w14:paraId="025F8CB5">
      <w:pPr>
        <w:widowControl/>
        <w:spacing w:line="360" w:lineRule="auto"/>
        <w:ind w:firstLine="42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（3）以 U 盘存储的电子备份投标文件，须按“政采云供应商项目采购-电子招投标操作指南”制作的备份文件（后缀格式为“.bfbs”）。因 U 盘损坏无法正常获取电子备份文件或 U 盘存储的电子备份投标文件格式原因未能成功上传政采云系统的均作无效标处理，一切责任由投标人自行负责。</w:t>
      </w:r>
    </w:p>
    <w:p w14:paraId="0CD4784D">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w:t>
      </w: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4）投标文件的效力：投标文件的启用，按先后顺位分别为电子投标文件、以 U 盘存储的电子备份投标文件。在下一顺位的投标文件启用时，前一顺位的投标文件自动失效。电子投标文件未能按时解密，投标人提供了电子备份投标文件，以电子备份投标文件作为依据，否则视为投标文件撤回。电子投标文件已按时解密的，电子备份投标文件自动失效。</w:t>
      </w:r>
    </w:p>
    <w:p w14:paraId="76B4B43C">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9.2</w:t>
      </w: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投标文件由资格文件、商务技术文件和报价文件三部分组成，资格文件、商务技术文件、报价文件分别编制；电子投标文件中所须加盖公章部分均采用 CA 签章。</w:t>
      </w:r>
      <w:r>
        <w:rPr>
          <w:rFonts w:hint="eastAsia" w:ascii="宋体" w:hAnsi="宋体" w:cs="宋体"/>
          <w:color w:val="000000" w:themeColor="text1"/>
          <w:szCs w:val="21"/>
          <w:highlight w:val="none"/>
          <w14:textFill>
            <w14:solidFill>
              <w14:schemeClr w14:val="tx1"/>
            </w14:solidFill>
          </w14:textFill>
        </w:rPr>
        <w:t>具体组成内容在本招标文件“投标资料表”中做出规定。</w:t>
      </w:r>
    </w:p>
    <w:p w14:paraId="60B0CE8A">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9.3</w:t>
      </w:r>
      <w:r>
        <w:rPr>
          <w:rFonts w:hint="eastAsia" w:ascii="宋体" w:hAnsi="宋体"/>
          <w:color w:val="000000" w:themeColor="text1"/>
          <w:szCs w:val="21"/>
          <w:highlight w:val="none"/>
          <w14:textFill>
            <w14:solidFill>
              <w14:schemeClr w14:val="tx1"/>
            </w14:solidFill>
          </w14:textFill>
        </w:rPr>
        <w:t xml:space="preserve">  组成投标文件的各项资料中本招标书的有规定格式的，应统一按本招标书的规定格式填写。未有规定格式的资料，投标人应自行编制，但至少要包含组成投标文件要求的内容。</w:t>
      </w:r>
    </w:p>
    <w:p w14:paraId="3F5EDA2C">
      <w:pPr>
        <w:spacing w:line="440" w:lineRule="exact"/>
        <w:rPr>
          <w:rFonts w:ascii="宋体" w:hAnsi="宋体"/>
          <w:color w:val="000000" w:themeColor="text1"/>
          <w:szCs w:val="21"/>
          <w:highlight w:val="none"/>
          <w14:textFill>
            <w14:solidFill>
              <w14:schemeClr w14:val="tx1"/>
            </w14:solidFill>
          </w14:textFill>
        </w:rPr>
      </w:pPr>
    </w:p>
    <w:p w14:paraId="4A58EDDA">
      <w:pPr>
        <w:spacing w:line="40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10.  投标报价</w:t>
      </w:r>
    </w:p>
    <w:p w14:paraId="6B8BC865">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10.1</w:t>
      </w:r>
      <w:r>
        <w:rPr>
          <w:rFonts w:hint="eastAsia" w:ascii="宋体" w:hAnsi="宋体" w:cs="宋体"/>
          <w:color w:val="000000" w:themeColor="text1"/>
          <w:szCs w:val="21"/>
          <w:highlight w:val="none"/>
          <w14:textFill>
            <w14:solidFill>
              <w14:schemeClr w14:val="tx1"/>
            </w14:solidFill>
          </w14:textFill>
        </w:rPr>
        <w:t xml:space="preserve">  本次招标对投标报价组成的具体要求在招标文件“投标资料表”中做出规定。</w:t>
      </w:r>
    </w:p>
    <w:p w14:paraId="7FA9C007">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10.2  </w:t>
      </w:r>
      <w:r>
        <w:rPr>
          <w:rFonts w:hint="eastAsia" w:ascii="宋体" w:hAnsi="宋体" w:cs="宋体"/>
          <w:color w:val="000000" w:themeColor="text1"/>
          <w:szCs w:val="21"/>
          <w:highlight w:val="none"/>
          <w14:textFill>
            <w14:solidFill>
              <w14:schemeClr w14:val="tx1"/>
            </w14:solidFill>
          </w14:textFill>
        </w:rPr>
        <w:t>投标人要按照招标文件中的“开标一览表”格式和内容完整填写投标总价及其他事项。</w:t>
      </w:r>
    </w:p>
    <w:p w14:paraId="3127EAEB">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10.3</w:t>
      </w:r>
      <w:r>
        <w:rPr>
          <w:rFonts w:hint="eastAsia" w:ascii="宋体" w:hAnsi="宋体" w:cs="宋体"/>
          <w:color w:val="000000" w:themeColor="text1"/>
          <w:szCs w:val="21"/>
          <w:highlight w:val="none"/>
          <w14:textFill>
            <w14:solidFill>
              <w14:schemeClr w14:val="tx1"/>
            </w14:solidFill>
          </w14:textFill>
        </w:rPr>
        <w:t xml:space="preserve">  除非招标文件另有备选投标方案的规定，投标应该只有一个投标报价。投标人若有投标声明，应载明在“开标一览表”中，供开标时唱出，未经唱出的声明在评标时不作考虑。</w:t>
      </w:r>
    </w:p>
    <w:p w14:paraId="0910537D">
      <w:pPr>
        <w:spacing w:line="40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10.4  </w:t>
      </w:r>
      <w:r>
        <w:rPr>
          <w:rFonts w:hint="eastAsia" w:ascii="宋体" w:hAnsi="宋体" w:cs="宋体"/>
          <w:color w:val="000000" w:themeColor="text1"/>
          <w:szCs w:val="21"/>
          <w:highlight w:val="none"/>
          <w14:textFill>
            <w14:solidFill>
              <w14:schemeClr w14:val="tx1"/>
            </w14:solidFill>
          </w14:textFill>
        </w:rPr>
        <w:t>开标后以及在评标及中标后的合同执行过程中，投标人不得以任何理由变更投标价格。</w:t>
      </w:r>
      <w:r>
        <w:rPr>
          <w:rFonts w:hint="eastAsia" w:ascii="宋体" w:hAnsi="宋体" w:cs="宋体"/>
          <w:b/>
          <w:color w:val="000000" w:themeColor="text1"/>
          <w:szCs w:val="21"/>
          <w:highlight w:val="none"/>
          <w14:textFill>
            <w14:solidFill>
              <w14:schemeClr w14:val="tx1"/>
            </w14:solidFill>
          </w14:textFill>
        </w:rPr>
        <w:t>若投标人在中标以后做出任何改变投标价格的决定，将被视作撤标而失去中标资格。</w:t>
      </w:r>
    </w:p>
    <w:p w14:paraId="5FD6A9BD">
      <w:pPr>
        <w:spacing w:line="40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10.5  本项目采用最高投标限价，超过最高限价的投标文件无效。</w:t>
      </w:r>
    </w:p>
    <w:p w14:paraId="125B3AF7">
      <w:pPr>
        <w:spacing w:line="40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10.6  </w:t>
      </w:r>
      <w:r>
        <w:rPr>
          <w:rFonts w:hint="eastAsia" w:ascii="宋体" w:hAnsi="宋体" w:cs="宋体"/>
          <w:color w:val="000000" w:themeColor="text1"/>
          <w:szCs w:val="21"/>
          <w:highlight w:val="none"/>
          <w14:textFill>
            <w14:solidFill>
              <w14:schemeClr w14:val="tx1"/>
            </w14:solidFill>
          </w14:textFill>
        </w:rPr>
        <w:t>本项目的投标货币为人民币。</w:t>
      </w:r>
    </w:p>
    <w:p w14:paraId="7FB42901">
      <w:pPr>
        <w:spacing w:line="400" w:lineRule="exact"/>
        <w:rPr>
          <w:rFonts w:ascii="宋体" w:hAnsi="宋体" w:cs="宋体"/>
          <w:b/>
          <w:color w:val="000000" w:themeColor="text1"/>
          <w:szCs w:val="21"/>
          <w:highlight w:val="none"/>
          <w14:textFill>
            <w14:solidFill>
              <w14:schemeClr w14:val="tx1"/>
            </w14:solidFill>
          </w14:textFill>
        </w:rPr>
      </w:pPr>
    </w:p>
    <w:p w14:paraId="2BE3B4C0">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11.  投标文件的格式和编写</w:t>
      </w:r>
    </w:p>
    <w:p w14:paraId="46CCDA3C">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11.1</w:t>
      </w:r>
      <w:r>
        <w:rPr>
          <w:rFonts w:hint="eastAsia" w:ascii="宋体" w:hAnsi="宋体" w:cs="宋体"/>
          <w:color w:val="000000" w:themeColor="text1"/>
          <w:szCs w:val="21"/>
          <w:highlight w:val="none"/>
          <w14:textFill>
            <w14:solidFill>
              <w14:schemeClr w14:val="tx1"/>
            </w14:solidFill>
          </w14:textFill>
        </w:rPr>
        <w:t xml:space="preserve">  投标文件须按“投标文件的有关格式”提供的统一格式填写、签署和加盖公章。</w:t>
      </w:r>
    </w:p>
    <w:p w14:paraId="46774B04">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11.2 </w:t>
      </w:r>
      <w:r>
        <w:rPr>
          <w:rFonts w:hint="eastAsia" w:ascii="宋体" w:hAnsi="宋体" w:cs="宋体"/>
          <w:color w:val="000000" w:themeColor="text1"/>
          <w:szCs w:val="21"/>
          <w:highlight w:val="none"/>
          <w14:textFill>
            <w14:solidFill>
              <w14:schemeClr w14:val="tx1"/>
            </w14:solidFill>
          </w14:textFill>
        </w:rPr>
        <w:t xml:space="preserve"> “开标一览表”应按照统一格式填写，不得自行增减内容。</w:t>
      </w:r>
    </w:p>
    <w:p w14:paraId="631F7437">
      <w:pPr>
        <w:widowControl/>
        <w:spacing w:line="360" w:lineRule="auto"/>
        <w:rPr>
          <w:rFonts w:ascii="宋体" w:hAnsi="宋体" w:cs="宋体"/>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 xml:space="preserve">11.3  </w:t>
      </w:r>
      <w:r>
        <w:rPr>
          <w:rFonts w:hint="eastAsia" w:cs="宋体" w:asciiTheme="minorEastAsia" w:hAnsiTheme="minorEastAsia" w:eastAsiaTheme="minorEastAsia"/>
          <w:bCs/>
          <w:color w:val="000000" w:themeColor="text1"/>
          <w:szCs w:val="21"/>
          <w:highlight w:val="none"/>
          <w14:textFill>
            <w14:solidFill>
              <w14:schemeClr w14:val="tx1"/>
            </w14:solidFill>
          </w14:textFill>
        </w:rPr>
        <w:t>投标书文件数量</w:t>
      </w:r>
      <w:r>
        <w:rPr>
          <w:rFonts w:hint="eastAsia" w:ascii="宋体" w:hAnsi="宋体" w:cs="宋体"/>
          <w:color w:val="000000" w:themeColor="text1"/>
          <w:szCs w:val="21"/>
          <w:highlight w:val="none"/>
          <w14:textFill>
            <w14:solidFill>
              <w14:schemeClr w14:val="tx1"/>
            </w14:solidFill>
          </w14:textFill>
        </w:rPr>
        <w:t>的具体要求在招标文件“投标资料表”中做出规定。</w:t>
      </w:r>
    </w:p>
    <w:p w14:paraId="33B2B358">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 xml:space="preserve">1.4  </w:t>
      </w: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 xml:space="preserve">电子投标文件部分：投标人应根据“政采云供应商项目采购-电子招投标操作指南”及本招标文件规定的格式和顺序编制电子投标文件并进行关联定位；电子投标文件中须加盖投标人公章部分均采用 CA 签章，签字部分可用 CA 锁法人章（如有），未申请法人章的将签名部分签好后以扫描件形式上传至投标文件（具体操作请咨询政采云 400-8817190）。 </w:t>
      </w:r>
    </w:p>
    <w:p w14:paraId="5FF84DCC">
      <w:pPr>
        <w:spacing w:line="40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11.5 </w:t>
      </w:r>
      <w:r>
        <w:rPr>
          <w:rFonts w:hint="eastAsia" w:ascii="宋体" w:hAnsi="宋体" w:cs="宋体"/>
          <w:color w:val="000000" w:themeColor="text1"/>
          <w:szCs w:val="21"/>
          <w:highlight w:val="none"/>
          <w14:textFill>
            <w14:solidFill>
              <w14:schemeClr w14:val="tx1"/>
            </w14:solidFill>
          </w14:textFill>
        </w:rPr>
        <w:t>除招标文件有特殊要求外，投标文件中所使用的计量单位应采用国家法定计量单位。</w:t>
      </w:r>
    </w:p>
    <w:p w14:paraId="3D1AD334">
      <w:pPr>
        <w:spacing w:line="400" w:lineRule="exact"/>
        <w:rPr>
          <w:rFonts w:ascii="宋体" w:hAnsi="宋体" w:cs="宋体"/>
          <w:color w:val="000000" w:themeColor="text1"/>
          <w:szCs w:val="21"/>
          <w:highlight w:val="none"/>
          <w14:textFill>
            <w14:solidFill>
              <w14:schemeClr w14:val="tx1"/>
            </w14:solidFill>
          </w14:textFill>
        </w:rPr>
      </w:pPr>
    </w:p>
    <w:p w14:paraId="6B9ECACC">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12. 投标有效期</w:t>
      </w:r>
    </w:p>
    <w:p w14:paraId="7F0D0700">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12.1 </w:t>
      </w:r>
      <w:r>
        <w:rPr>
          <w:rFonts w:hint="eastAsia" w:ascii="宋体" w:hAnsi="宋体" w:cs="宋体"/>
          <w:color w:val="000000" w:themeColor="text1"/>
          <w:szCs w:val="21"/>
          <w:highlight w:val="none"/>
          <w14:textFill>
            <w14:solidFill>
              <w14:schemeClr w14:val="tx1"/>
            </w14:solidFill>
          </w14:textFill>
        </w:rPr>
        <w:t xml:space="preserve"> 投标有效期在本招标文件“投标资料表”中做出规定。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06DDCC65">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12.2  </w:t>
      </w:r>
      <w:r>
        <w:rPr>
          <w:rFonts w:hint="eastAsia" w:ascii="宋体" w:hAnsi="宋体" w:cs="宋体"/>
          <w:color w:val="000000" w:themeColor="text1"/>
          <w:szCs w:val="21"/>
          <w:highlight w:val="none"/>
          <w14:textFill>
            <w14:solidFill>
              <w14:schemeClr w14:val="tx1"/>
            </w14:solidFill>
          </w14:textFill>
        </w:rPr>
        <w:t>在特殊情况下，在原投标有效期截止之前，应采购人要求，采购代理机构可要求投标人延长投标有效期，这种要求的提出和投标人的答复都应以书面（含传真）的形式进行。同意延长有效期的投标人不会被要求或允许修改其投标文件。</w:t>
      </w:r>
    </w:p>
    <w:p w14:paraId="3CE7C2B7">
      <w:pPr>
        <w:spacing w:line="400" w:lineRule="exact"/>
        <w:rPr>
          <w:rFonts w:ascii="宋体" w:hAnsi="宋体" w:cs="宋体"/>
          <w:color w:val="000000" w:themeColor="text1"/>
          <w:szCs w:val="21"/>
          <w:highlight w:val="none"/>
          <w14:textFill>
            <w14:solidFill>
              <w14:schemeClr w14:val="tx1"/>
            </w14:solidFill>
          </w14:textFill>
        </w:rPr>
      </w:pPr>
    </w:p>
    <w:p w14:paraId="3490BF88">
      <w:pPr>
        <w:spacing w:line="400" w:lineRule="exact"/>
        <w:rPr>
          <w:rFonts w:ascii="宋体" w:hAnsi="宋体" w:cs="宋体"/>
          <w:b/>
          <w:color w:val="000000" w:themeColor="text1"/>
          <w:szCs w:val="21"/>
          <w:highlight w:val="none"/>
          <w14:textFill>
            <w14:solidFill>
              <w14:schemeClr w14:val="tx1"/>
            </w14:solidFill>
          </w14:textFill>
        </w:rPr>
      </w:pPr>
    </w:p>
    <w:p w14:paraId="209891F9">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13  投标保证金</w:t>
      </w:r>
    </w:p>
    <w:p w14:paraId="2A512760">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本项目无需缴纳投标保证金。</w:t>
      </w:r>
    </w:p>
    <w:p w14:paraId="3AE0187A">
      <w:pPr>
        <w:spacing w:line="400" w:lineRule="exact"/>
        <w:rPr>
          <w:rFonts w:ascii="宋体" w:hAnsi="宋体" w:cs="宋体"/>
          <w:color w:val="000000" w:themeColor="text1"/>
          <w:sz w:val="24"/>
          <w:highlight w:val="none"/>
          <w:u w:val="single"/>
          <w14:textFill>
            <w14:solidFill>
              <w14:schemeClr w14:val="tx1"/>
            </w14:solidFill>
          </w14:textFill>
        </w:rPr>
      </w:pPr>
    </w:p>
    <w:p w14:paraId="6E678875">
      <w:pPr>
        <w:jc w:val="center"/>
        <w:outlineLvl w:val="1"/>
        <w:rPr>
          <w:rFonts w:ascii="宋体" w:hAnsi="宋体" w:cs="宋体"/>
          <w:b/>
          <w:color w:val="000000" w:themeColor="text1"/>
          <w:sz w:val="28"/>
          <w:highlight w:val="none"/>
          <w14:textFill>
            <w14:solidFill>
              <w14:schemeClr w14:val="tx1"/>
            </w14:solidFill>
          </w14:textFill>
        </w:rPr>
      </w:pPr>
      <w:bookmarkStart w:id="93" w:name="_Toc513798903"/>
      <w:bookmarkStart w:id="94" w:name="_Toc440276564"/>
      <w:bookmarkStart w:id="95" w:name="_Toc513799074"/>
      <w:bookmarkStart w:id="96" w:name="_Toc520902397"/>
      <w:bookmarkStart w:id="97" w:name="_Toc136345104"/>
      <w:bookmarkStart w:id="98" w:name="_Toc5101"/>
      <w:bookmarkStart w:id="99" w:name="_Toc136017633"/>
      <w:r>
        <w:rPr>
          <w:rFonts w:hint="eastAsia" w:ascii="宋体" w:hAnsi="宋体" w:cs="宋体"/>
          <w:b/>
          <w:color w:val="000000" w:themeColor="text1"/>
          <w:sz w:val="28"/>
          <w:highlight w:val="none"/>
          <w14:textFill>
            <w14:solidFill>
              <w14:schemeClr w14:val="tx1"/>
            </w14:solidFill>
          </w14:textFill>
        </w:rPr>
        <w:t>D  投标文件的递交</w:t>
      </w:r>
      <w:bookmarkEnd w:id="93"/>
      <w:bookmarkEnd w:id="94"/>
      <w:bookmarkEnd w:id="95"/>
      <w:bookmarkEnd w:id="96"/>
      <w:bookmarkEnd w:id="97"/>
      <w:bookmarkEnd w:id="98"/>
      <w:bookmarkEnd w:id="99"/>
    </w:p>
    <w:p w14:paraId="1489480D">
      <w:pPr>
        <w:spacing w:line="400" w:lineRule="exac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14.投标文件的装订、密封、标记和递送</w:t>
      </w:r>
    </w:p>
    <w:p w14:paraId="653890A1">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 xml:space="preserve">14.1  </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电子投标文件：投标人应根据“项目采购-电子招投标操作指南”及本招标文件规定的格式和顺序编制电子投标文件并进行关联定位。 </w:t>
      </w:r>
    </w:p>
    <w:p w14:paraId="474FB7F9">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14.</w:t>
      </w: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 xml:space="preserve">2  电子备份投标文件：单独包封，外包装封面上应注明投标人名称、投标人地址、投标文件名称（电子投标文件的备份文件）、投标项目名称、项目编号及“开标时启封”字样，并加盖投标人公章。 </w:t>
      </w:r>
    </w:p>
    <w:p w14:paraId="32C77605">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14.</w:t>
      </w: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 xml:space="preserve">3  未按规定密封或标记的电子备份投标文件，采购人有权拒绝接受其投标。 </w:t>
      </w:r>
    </w:p>
    <w:p w14:paraId="1BF5AC64">
      <w:pPr>
        <w:spacing w:line="400" w:lineRule="exact"/>
        <w:rPr>
          <w:rFonts w:ascii="宋体" w:hAnsi="宋体" w:cs="宋体"/>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14.</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  如果投标人未按上述要求密封或标记而造成投标文件被误投或提前拆封的风险由投标人承担。</w:t>
      </w:r>
    </w:p>
    <w:p w14:paraId="1DCE5C18">
      <w:pPr>
        <w:spacing w:line="400" w:lineRule="exact"/>
        <w:rPr>
          <w:rFonts w:ascii="宋体" w:hAnsi="宋体" w:cs="宋体"/>
          <w:color w:val="000000" w:themeColor="text1"/>
          <w:szCs w:val="21"/>
          <w:highlight w:val="none"/>
          <w14:textFill>
            <w14:solidFill>
              <w14:schemeClr w14:val="tx1"/>
            </w14:solidFill>
          </w14:textFill>
        </w:rPr>
      </w:pPr>
    </w:p>
    <w:p w14:paraId="34598ED1">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15. 投标截止时间</w:t>
      </w:r>
    </w:p>
    <w:p w14:paraId="4247A299">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15.1 </w:t>
      </w:r>
      <w:r>
        <w:rPr>
          <w:rFonts w:hint="eastAsia" w:ascii="宋体" w:hAnsi="宋体" w:cs="宋体"/>
          <w:color w:val="000000" w:themeColor="text1"/>
          <w:szCs w:val="21"/>
          <w:highlight w:val="none"/>
          <w14:textFill>
            <w14:solidFill>
              <w14:schemeClr w14:val="tx1"/>
            </w14:solidFill>
          </w14:textFill>
        </w:rPr>
        <w:t xml:space="preserve"> 投标人应在招标文件要求提交（上传）投标文件的截止时间前，将投标文件上传至政府采购云平台。采购代理机构</w:t>
      </w:r>
      <w:r>
        <w:rPr>
          <w:rFonts w:hint="eastAsia" w:ascii="宋体" w:hAnsi="宋体" w:cs="宋体"/>
          <w:b/>
          <w:color w:val="000000" w:themeColor="text1"/>
          <w:szCs w:val="21"/>
          <w:highlight w:val="none"/>
          <w14:textFill>
            <w14:solidFill>
              <w14:schemeClr w14:val="tx1"/>
            </w14:solidFill>
          </w14:textFill>
        </w:rPr>
        <w:t>拒绝接收在投标截止时间以后提交（上传）的投标文件</w:t>
      </w:r>
      <w:r>
        <w:rPr>
          <w:rFonts w:hint="eastAsia" w:ascii="宋体" w:hAnsi="宋体" w:cs="宋体"/>
          <w:color w:val="000000" w:themeColor="text1"/>
          <w:szCs w:val="21"/>
          <w:highlight w:val="none"/>
          <w14:textFill>
            <w14:solidFill>
              <w14:schemeClr w14:val="tx1"/>
            </w14:solidFill>
          </w14:textFill>
        </w:rPr>
        <w:t>。</w:t>
      </w:r>
    </w:p>
    <w:p w14:paraId="2E8FEB7C">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15.2</w:t>
      </w:r>
      <w:r>
        <w:rPr>
          <w:rFonts w:hint="eastAsia" w:ascii="宋体" w:hAnsi="宋体" w:cs="宋体"/>
          <w:color w:val="000000" w:themeColor="text1"/>
          <w:szCs w:val="21"/>
          <w:highlight w:val="none"/>
          <w14:textFill>
            <w14:solidFill>
              <w14:schemeClr w14:val="tx1"/>
            </w14:solidFill>
          </w14:textFill>
        </w:rPr>
        <w:t xml:space="preserve">  采购代理机构因故需推迟投标截止时间、开标时间时，应提前以公告或书面的形式通知购买招标文件的所有潜在投标人。潜在投标人在收到通知后应立即以书面形式回复采购代理机构。在这种情况下，采购代理机构和潜在投标人相应的权利和义务将受到新的截止期的约束。</w:t>
      </w:r>
    </w:p>
    <w:p w14:paraId="689AC40F">
      <w:pPr>
        <w:spacing w:line="400" w:lineRule="exact"/>
        <w:rPr>
          <w:rFonts w:ascii="宋体" w:hAnsi="宋体" w:cs="宋体"/>
          <w:color w:val="000000" w:themeColor="text1"/>
          <w:szCs w:val="21"/>
          <w:highlight w:val="none"/>
          <w14:textFill>
            <w14:solidFill>
              <w14:schemeClr w14:val="tx1"/>
            </w14:solidFill>
          </w14:textFill>
        </w:rPr>
      </w:pPr>
    </w:p>
    <w:p w14:paraId="0AD4E4EE">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16.投标文件的修改和撤回</w:t>
      </w:r>
    </w:p>
    <w:p w14:paraId="6C0E6900">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16.1</w:t>
      </w:r>
      <w:r>
        <w:rPr>
          <w:rFonts w:hint="eastAsia" w:ascii="宋体" w:hAnsi="宋体" w:cs="宋体"/>
          <w:color w:val="000000" w:themeColor="text1"/>
          <w:szCs w:val="21"/>
          <w:highlight w:val="none"/>
          <w14:textFill>
            <w14:solidFill>
              <w14:schemeClr w14:val="tx1"/>
            </w14:solidFill>
          </w14:textFill>
        </w:rPr>
        <w:t xml:space="preserve">  投标人在投标截止时间前，可以对已经提交的投标文件进行补充、修改或者撤回。</w:t>
      </w:r>
    </w:p>
    <w:p w14:paraId="379E9A7A">
      <w:pPr>
        <w:spacing w:line="400" w:lineRule="exact"/>
        <w:ind w:firstLine="63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已经完成传输递交的电子加密投标文件进行补充或者修改的，应当先行撤回原文件，补充、修改后重新传输递交。投标人在投标截止时间前未重新完成传输递交的，视为撤回投标文件。投标截止时间后递交的电子加密投标文件，电子交易平台将拒收。</w:t>
      </w:r>
    </w:p>
    <w:p w14:paraId="3A0902B8">
      <w:pPr>
        <w:spacing w:line="400" w:lineRule="exact"/>
        <w:ind w:firstLine="63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投标人在投标截止时间前递交了需要补充或修改的电子加密投标文件的备份投标文件，可以重新提交补充或修改后的备份投标文件。</w:t>
      </w:r>
    </w:p>
    <w:p w14:paraId="75FFA8F9">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16.2</w:t>
      </w:r>
      <w:r>
        <w:rPr>
          <w:rFonts w:hint="eastAsia" w:ascii="宋体" w:hAnsi="宋体" w:cs="宋体"/>
          <w:color w:val="000000" w:themeColor="text1"/>
          <w:szCs w:val="21"/>
          <w:highlight w:val="none"/>
          <w14:textFill>
            <w14:solidFill>
              <w14:schemeClr w14:val="tx1"/>
            </w14:solidFill>
          </w14:textFill>
        </w:rPr>
        <w:t xml:space="preserve">  投标截止时间后，投标人不得对其投标文件进行补充、修改。</w:t>
      </w:r>
    </w:p>
    <w:p w14:paraId="77999340">
      <w:pPr>
        <w:spacing w:line="400" w:lineRule="exact"/>
        <w:rPr>
          <w:rFonts w:ascii="宋体" w:hAnsi="宋体" w:cs="宋体"/>
          <w:color w:val="000000" w:themeColor="text1"/>
          <w:szCs w:val="21"/>
          <w:highlight w:val="none"/>
          <w14:textFill>
            <w14:solidFill>
              <w14:schemeClr w14:val="tx1"/>
            </w14:solidFill>
          </w14:textFill>
        </w:rPr>
      </w:pPr>
    </w:p>
    <w:p w14:paraId="2114918C">
      <w:pPr>
        <w:jc w:val="center"/>
        <w:outlineLvl w:val="1"/>
        <w:rPr>
          <w:rFonts w:ascii="宋体" w:hAnsi="宋体" w:cs="宋体"/>
          <w:b/>
          <w:color w:val="000000" w:themeColor="text1"/>
          <w:sz w:val="28"/>
          <w:highlight w:val="none"/>
          <w14:textFill>
            <w14:solidFill>
              <w14:schemeClr w14:val="tx1"/>
            </w14:solidFill>
          </w14:textFill>
        </w:rPr>
      </w:pPr>
      <w:bookmarkStart w:id="100" w:name="_Toc136345105"/>
      <w:bookmarkStart w:id="101" w:name="_Toc11416"/>
      <w:bookmarkStart w:id="102" w:name="_Toc513798904"/>
      <w:bookmarkStart w:id="103" w:name="_Toc440276565"/>
      <w:bookmarkStart w:id="104" w:name="_Toc136017634"/>
      <w:bookmarkStart w:id="105" w:name="_Toc520902398"/>
      <w:bookmarkStart w:id="106" w:name="_Toc513799075"/>
      <w:r>
        <w:rPr>
          <w:rFonts w:hint="eastAsia" w:ascii="宋体" w:hAnsi="宋体" w:cs="宋体"/>
          <w:b/>
          <w:color w:val="000000" w:themeColor="text1"/>
          <w:sz w:val="28"/>
          <w:highlight w:val="none"/>
          <w14:textFill>
            <w14:solidFill>
              <w14:schemeClr w14:val="tx1"/>
            </w14:solidFill>
          </w14:textFill>
        </w:rPr>
        <w:t>E  开标</w:t>
      </w:r>
      <w:bookmarkEnd w:id="100"/>
      <w:bookmarkEnd w:id="101"/>
      <w:bookmarkEnd w:id="102"/>
      <w:bookmarkEnd w:id="103"/>
      <w:bookmarkEnd w:id="104"/>
      <w:bookmarkEnd w:id="105"/>
      <w:bookmarkEnd w:id="106"/>
    </w:p>
    <w:p w14:paraId="2A65453B">
      <w:pPr>
        <w:spacing w:line="400" w:lineRule="exac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17</w:t>
      </w:r>
      <w:r>
        <w:rPr>
          <w:rFonts w:hint="eastAsia" w:cs="宋体" w:asciiTheme="minorEastAsia" w:hAnsiTheme="minorEastAsia" w:eastAsiaTheme="minorEastAsia"/>
          <w:color w:val="000000" w:themeColor="text1"/>
          <w:szCs w:val="21"/>
          <w:highlight w:val="none"/>
          <w14:textFill>
            <w14:solidFill>
              <w14:schemeClr w14:val="tx1"/>
            </w14:solidFill>
          </w14:textFill>
        </w:rPr>
        <w:t>.</w:t>
      </w:r>
      <w:r>
        <w:rPr>
          <w:rFonts w:hint="eastAsia" w:cs="宋体" w:asciiTheme="minorEastAsia" w:hAnsiTheme="minorEastAsia" w:eastAsiaTheme="minorEastAsia"/>
          <w:b/>
          <w:color w:val="000000" w:themeColor="text1"/>
          <w:szCs w:val="21"/>
          <w:highlight w:val="none"/>
          <w14:textFill>
            <w14:solidFill>
              <w14:schemeClr w14:val="tx1"/>
            </w14:solidFill>
          </w14:textFill>
        </w:rPr>
        <w:t>开标</w:t>
      </w:r>
    </w:p>
    <w:p w14:paraId="77A918EC">
      <w:pPr>
        <w:spacing w:line="400" w:lineRule="exac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 xml:space="preserve">17.1  </w:t>
      </w:r>
      <w:r>
        <w:rPr>
          <w:rFonts w:hint="eastAsia" w:cs="宋体" w:asciiTheme="minorEastAsia" w:hAnsiTheme="minorEastAsia" w:eastAsiaTheme="minorEastAsia"/>
          <w:color w:val="000000" w:themeColor="text1"/>
          <w:szCs w:val="21"/>
          <w:highlight w:val="none"/>
          <w14:textFill>
            <w14:solidFill>
              <w14:schemeClr w14:val="tx1"/>
            </w14:solidFill>
          </w14:textFill>
        </w:rPr>
        <w:t>采购代理机构按招标文件规定的时间、地点主持公开开标。</w:t>
      </w:r>
    </w:p>
    <w:p w14:paraId="6BEB3CB8">
      <w:pPr>
        <w:widowControl/>
        <w:spacing w:line="360" w:lineRule="auto"/>
        <w:jc w:val="left"/>
        <w:rPr>
          <w:rFonts w:cs="宋体" w:asciiTheme="minorEastAsia" w:hAnsiTheme="minorEastAsia" w:eastAsia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 xml:space="preserve">17.2  </w:t>
      </w: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电子投标开标及评审程序</w:t>
      </w:r>
    </w:p>
    <w:p w14:paraId="5E59E506">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（1）投标截止时间后，投标人登录政采云平台，用“项目采购-开标评标”功能对电子投标文件进行在线解密。在线解密电子投标文件时间为开标时间起</w:t>
      </w:r>
      <w:r>
        <w:rPr>
          <w:rFonts w:hint="eastAsia" w:cs="宋体" w:asciiTheme="minorEastAsia" w:hAnsiTheme="minorEastAsia" w:eastAsiaTheme="minorEastAsia"/>
          <w:b/>
          <w:color w:val="000000" w:themeColor="text1"/>
          <w:kern w:val="0"/>
          <w:szCs w:val="21"/>
          <w:highlight w:val="none"/>
          <w:u w:val="single"/>
          <w14:textFill>
            <w14:solidFill>
              <w14:schemeClr w14:val="tx1"/>
            </w14:solidFill>
          </w14:textFill>
        </w:rPr>
        <w:t>30分钟</w:t>
      </w: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内。</w:t>
      </w:r>
    </w:p>
    <w:p w14:paraId="66B0BACC">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（2）采购人或代理机构对投标人的资格进行审查。 </w:t>
      </w:r>
    </w:p>
    <w:p w14:paraId="421D4A7E">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（3）在系统上公开报价开标情况。 </w:t>
      </w:r>
    </w:p>
    <w:p w14:paraId="3C8885AC">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（4）评标委员会对商务技术文件、报价文件进行评审。 </w:t>
      </w:r>
    </w:p>
    <w:p w14:paraId="0FCB77B9">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（5）在系统上公布评审结果。 </w:t>
      </w:r>
    </w:p>
    <w:p w14:paraId="1D61D86F">
      <w:pPr>
        <w:widowControl/>
        <w:spacing w:line="360" w:lineRule="auto"/>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注：政采云公司如对电子化开标及评审程序有调整的，按调整后的程序操作。</w:t>
      </w:r>
    </w:p>
    <w:p w14:paraId="78A5EB05">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 xml:space="preserve">17.4  </w:t>
      </w: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 xml:space="preserve">特别说明 </w:t>
      </w:r>
    </w:p>
    <w:p w14:paraId="59696E2E">
      <w:pPr>
        <w:widowControl/>
        <w:spacing w:line="360" w:lineRule="auto"/>
        <w:ind w:firstLine="42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本项目采用政采云电子投标开标及评审程序，但有下情形之一的，按以下情况处理： </w:t>
      </w:r>
    </w:p>
    <w:p w14:paraId="558B6C3D">
      <w:pPr>
        <w:widowControl/>
        <w:spacing w:line="360" w:lineRule="auto"/>
        <w:ind w:firstLine="42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1.若投标人在规定时间内无法解密或解密失败，代理机构将开启所有投标人递交的以U 盘存储的电子备份投标文件，上传至政采云平台项目采购模块，以完成开标，电子投标文件自动失效。 </w:t>
      </w:r>
    </w:p>
    <w:p w14:paraId="26328A44">
      <w:pPr>
        <w:widowControl/>
        <w:spacing w:line="360" w:lineRule="auto"/>
        <w:ind w:firstLine="42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2.采购过程中出现以下情形，导致电子交易平台无法正常运行，或者无法保证电子交易的公平、公正和安全时，采购人（或代理机构）可中止电子交易活动： </w:t>
      </w:r>
    </w:p>
    <w:p w14:paraId="2A69C288">
      <w:pPr>
        <w:widowControl/>
        <w:spacing w:line="360" w:lineRule="auto"/>
        <w:ind w:firstLine="42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（1）电子交易平台发生故障而无法登录访问的； </w:t>
      </w:r>
    </w:p>
    <w:p w14:paraId="280D9C09">
      <w:pPr>
        <w:widowControl/>
        <w:spacing w:line="360" w:lineRule="auto"/>
        <w:ind w:firstLine="42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（2）电子交易平台应用或数据库出现错误，不能进行正常操作的； </w:t>
      </w:r>
    </w:p>
    <w:p w14:paraId="4D874545">
      <w:pPr>
        <w:widowControl/>
        <w:spacing w:line="360" w:lineRule="auto"/>
        <w:ind w:firstLine="42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（3）电子交易平台发现严重安全漏洞，有潜在泄密危险的； </w:t>
      </w:r>
    </w:p>
    <w:p w14:paraId="475D3DCB">
      <w:pPr>
        <w:widowControl/>
        <w:spacing w:line="360" w:lineRule="auto"/>
        <w:ind w:firstLine="42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（4）病毒发作导致不能进行正常操作的； </w:t>
      </w:r>
    </w:p>
    <w:p w14:paraId="1B7032BF">
      <w:pPr>
        <w:widowControl/>
        <w:spacing w:line="360" w:lineRule="auto"/>
        <w:ind w:firstLine="42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（5）其他无法保证电子交易的公平、公正和安全的情况。 </w:t>
      </w:r>
    </w:p>
    <w:p w14:paraId="63161F41">
      <w:pPr>
        <w:widowControl/>
        <w:spacing w:line="360" w:lineRule="auto"/>
        <w:ind w:firstLine="42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 xml:space="preserve">出现前款规定情形，不影响采购公平、公正性的，采购人（或代理机构）可以待上述情形消除后继续组织电子交易活动。 </w:t>
      </w:r>
    </w:p>
    <w:p w14:paraId="1C25C357">
      <w:pPr>
        <w:spacing w:line="400" w:lineRule="exact"/>
        <w:rPr>
          <w:rFonts w:ascii="宋体" w:hAnsi="宋体" w:cs="宋体"/>
          <w:color w:val="000000" w:themeColor="text1"/>
          <w:szCs w:val="21"/>
          <w:highlight w:val="none"/>
          <w:u w:val="singl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 xml:space="preserve">17.5  </w:t>
      </w:r>
      <w:r>
        <w:rPr>
          <w:rFonts w:hint="eastAsia" w:asciiTheme="minorEastAsia" w:hAnsiTheme="minorEastAsia" w:eastAsiaTheme="minorEastAsia"/>
          <w:color w:val="000000" w:themeColor="text1"/>
          <w:szCs w:val="21"/>
          <w:highlight w:val="none"/>
          <w14:textFill>
            <w14:solidFill>
              <w14:schemeClr w14:val="tx1"/>
            </w14:solidFill>
          </w14:textFill>
        </w:rPr>
        <w:t>投标截止时间止，投标人不足3家的，不开启招标文件，终止本次采购活动。</w:t>
      </w:r>
    </w:p>
    <w:p w14:paraId="6BE627F0">
      <w:pPr>
        <w:spacing w:line="400" w:lineRule="exact"/>
        <w:rPr>
          <w:rFonts w:ascii="宋体" w:hAnsi="宋体" w:cs="宋体"/>
          <w:color w:val="000000" w:themeColor="text1"/>
          <w:sz w:val="24"/>
          <w:szCs w:val="24"/>
          <w:highlight w:val="none"/>
          <w14:textFill>
            <w14:solidFill>
              <w14:schemeClr w14:val="tx1"/>
            </w14:solidFill>
          </w14:textFill>
        </w:rPr>
      </w:pPr>
    </w:p>
    <w:p w14:paraId="60772934">
      <w:pPr>
        <w:spacing w:before="143" w:beforeLines="50" w:after="143" w:afterLines="50"/>
        <w:jc w:val="center"/>
        <w:outlineLvl w:val="1"/>
        <w:rPr>
          <w:rFonts w:ascii="宋体" w:hAnsi="宋体" w:cs="宋体"/>
          <w:b/>
          <w:color w:val="000000" w:themeColor="text1"/>
          <w:sz w:val="28"/>
          <w:highlight w:val="none"/>
          <w14:textFill>
            <w14:solidFill>
              <w14:schemeClr w14:val="tx1"/>
            </w14:solidFill>
          </w14:textFill>
        </w:rPr>
      </w:pPr>
      <w:bookmarkStart w:id="107" w:name="_Toc24471"/>
      <w:bookmarkStart w:id="108" w:name="_Toc440276566"/>
      <w:bookmarkStart w:id="109" w:name="_Toc136345106"/>
      <w:bookmarkStart w:id="110" w:name="_Toc513799076"/>
      <w:bookmarkStart w:id="111" w:name="_Toc520902399"/>
      <w:bookmarkStart w:id="112" w:name="_Toc136017635"/>
      <w:bookmarkStart w:id="113" w:name="_Toc513798905"/>
      <w:r>
        <w:rPr>
          <w:rFonts w:hint="eastAsia" w:ascii="宋体" w:hAnsi="宋体" w:cs="宋体"/>
          <w:b/>
          <w:color w:val="000000" w:themeColor="text1"/>
          <w:sz w:val="28"/>
          <w:highlight w:val="none"/>
          <w14:textFill>
            <w14:solidFill>
              <w14:schemeClr w14:val="tx1"/>
            </w14:solidFill>
          </w14:textFill>
        </w:rPr>
        <w:t>F  评标和定标</w:t>
      </w:r>
      <w:bookmarkEnd w:id="107"/>
      <w:bookmarkEnd w:id="108"/>
      <w:bookmarkEnd w:id="109"/>
      <w:bookmarkEnd w:id="110"/>
      <w:bookmarkEnd w:id="111"/>
      <w:bookmarkEnd w:id="112"/>
      <w:bookmarkEnd w:id="113"/>
    </w:p>
    <w:p w14:paraId="2C5C90CF">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18. 评标委员会及评标</w:t>
      </w:r>
    </w:p>
    <w:p w14:paraId="6CFAB2F6">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18.1</w:t>
      </w:r>
      <w:r>
        <w:rPr>
          <w:rFonts w:hint="eastAsia" w:ascii="宋体" w:hAnsi="宋体" w:cs="宋体"/>
          <w:color w:val="000000" w:themeColor="text1"/>
          <w:szCs w:val="21"/>
          <w:highlight w:val="none"/>
          <w14:textFill>
            <w14:solidFill>
              <w14:schemeClr w14:val="tx1"/>
            </w14:solidFill>
          </w14:textFill>
        </w:rPr>
        <w:t xml:space="preserve">  受采购人的委托，采购代理机构依据《中华人民共和国政府采购法》、《中华人民共和国政府采购实施条例》等有关规定组建评标委员会，并主持评标活动。评标委员会由采购人代表和技术、经济专家组成。</w:t>
      </w:r>
      <w:r>
        <w:rPr>
          <w:rFonts w:hint="eastAsia" w:ascii="宋体" w:hAnsi="宋体" w:cs="宋体"/>
          <w:b/>
          <w:color w:val="000000" w:themeColor="text1"/>
          <w:szCs w:val="21"/>
          <w:highlight w:val="none"/>
          <w:u w:val="single"/>
          <w14:textFill>
            <w14:solidFill>
              <w14:schemeClr w14:val="tx1"/>
            </w14:solidFill>
          </w14:textFill>
        </w:rPr>
        <w:t>评标委员会成员名单在招标结果确定之前依法保密</w:t>
      </w:r>
      <w:r>
        <w:rPr>
          <w:rFonts w:hint="eastAsia" w:ascii="宋体" w:hAnsi="宋体" w:cs="宋体"/>
          <w:color w:val="000000" w:themeColor="text1"/>
          <w:szCs w:val="21"/>
          <w:highlight w:val="none"/>
          <w14:textFill>
            <w14:solidFill>
              <w14:schemeClr w14:val="tx1"/>
            </w14:solidFill>
          </w14:textFill>
        </w:rPr>
        <w:t>。</w:t>
      </w:r>
    </w:p>
    <w:p w14:paraId="035F267F">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18.2 </w:t>
      </w:r>
      <w:r>
        <w:rPr>
          <w:rFonts w:hint="eastAsia" w:ascii="宋体" w:hAnsi="宋体" w:cs="宋体"/>
          <w:color w:val="000000" w:themeColor="text1"/>
          <w:szCs w:val="21"/>
          <w:highlight w:val="none"/>
          <w14:textFill>
            <w14:solidFill>
              <w14:schemeClr w14:val="tx1"/>
            </w14:solidFill>
          </w14:textFill>
        </w:rPr>
        <w:t xml:space="preserve"> 评标委员会将遵循公平、公正、科学、廉洁的原则和法定的程序进行评标，并且只依据招标文件要求和投标文件的响应情况进行评审，不依据任何来自开标后的补充声明、修正方案。</w:t>
      </w:r>
    </w:p>
    <w:p w14:paraId="629A5831">
      <w:pPr>
        <w:spacing w:line="400" w:lineRule="exact"/>
        <w:rPr>
          <w:rFonts w:ascii="宋体" w:hAnsi="宋体" w:cs="宋体"/>
          <w:color w:val="000000" w:themeColor="text1"/>
          <w:szCs w:val="21"/>
          <w:highlight w:val="none"/>
          <w14:textFill>
            <w14:solidFill>
              <w14:schemeClr w14:val="tx1"/>
            </w14:solidFill>
          </w14:textFill>
        </w:rPr>
      </w:pPr>
    </w:p>
    <w:p w14:paraId="690FFA4E">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19.投标的澄清</w:t>
      </w:r>
    </w:p>
    <w:p w14:paraId="30FD0015">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19.1</w:t>
      </w:r>
      <w:r>
        <w:rPr>
          <w:rFonts w:hint="eastAsia" w:ascii="宋体" w:hAnsi="宋体" w:cs="宋体"/>
          <w:color w:val="000000" w:themeColor="text1"/>
          <w:szCs w:val="21"/>
          <w:highlight w:val="none"/>
          <w14:textFill>
            <w14:solidFill>
              <w14:schemeClr w14:val="tx1"/>
            </w14:solidFill>
          </w14:textFill>
        </w:rPr>
        <w:t xml:space="preserve">  对于投标文件中含义不明确、同类问题表述不一致或者有明显文字和计算错误的内容，评标委员会应当以书面形式要求投标人作出必要的澄清、说明或者补正。</w:t>
      </w:r>
    </w:p>
    <w:p w14:paraId="4EBD1046">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19.2</w:t>
      </w:r>
      <w:r>
        <w:rPr>
          <w:rFonts w:hint="eastAsia" w:ascii="宋体" w:hAnsi="宋体" w:cs="宋体"/>
          <w:color w:val="000000" w:themeColor="text1"/>
          <w:szCs w:val="21"/>
          <w:highlight w:val="none"/>
          <w14:textFill>
            <w14:solidFill>
              <w14:schemeClr w14:val="tx1"/>
            </w14:solidFill>
          </w14:textFill>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35380B80">
      <w:pPr>
        <w:spacing w:line="400" w:lineRule="exac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19.3</w:t>
      </w:r>
      <w:r>
        <w:rPr>
          <w:rFonts w:hint="eastAsia" w:ascii="宋体" w:hAnsi="宋体" w:cs="宋体"/>
          <w:color w:val="000000" w:themeColor="text1"/>
          <w:szCs w:val="21"/>
          <w:highlight w:val="none"/>
          <w14:textFill>
            <w14:solidFill>
              <w14:schemeClr w14:val="tx1"/>
            </w14:solidFill>
          </w14:textFill>
        </w:rPr>
        <w:t xml:space="preserve">  采用</w:t>
      </w:r>
      <w:r>
        <w:rPr>
          <w:rFonts w:hint="eastAsia" w:ascii="宋体" w:hAnsi="宋体" w:cs="宋体"/>
          <w:color w:val="000000" w:themeColor="text1"/>
          <w:kern w:val="0"/>
          <w:szCs w:val="21"/>
          <w:highlight w:val="none"/>
          <w14:textFill>
            <w14:solidFill>
              <w14:schemeClr w14:val="tx1"/>
            </w14:solidFill>
          </w14:textFill>
        </w:rPr>
        <w:t>电子招投标的，澄清、说明或者补正通过电子交易平台提交电子版文件</w:t>
      </w:r>
      <w:r>
        <w:rPr>
          <w:rFonts w:hint="eastAsia" w:ascii="宋体" w:hAnsi="宋体" w:cs="宋体"/>
          <w:color w:val="000000" w:themeColor="text1"/>
          <w:szCs w:val="21"/>
          <w:highlight w:val="none"/>
          <w14:textFill>
            <w14:solidFill>
              <w14:schemeClr w14:val="tx1"/>
            </w14:solidFill>
          </w14:textFill>
        </w:rPr>
        <w:t>，并加盖公章，或者由法定代表人或其授权的代表签字</w:t>
      </w:r>
      <w:r>
        <w:rPr>
          <w:rFonts w:hint="eastAsia" w:ascii="宋体" w:hAnsi="宋体" w:cs="宋体"/>
          <w:color w:val="000000" w:themeColor="text1"/>
          <w:kern w:val="0"/>
          <w:szCs w:val="21"/>
          <w:highlight w:val="none"/>
          <w14:textFill>
            <w14:solidFill>
              <w14:schemeClr w14:val="tx1"/>
            </w14:solidFill>
          </w14:textFill>
        </w:rPr>
        <w:t>。投标人提交澄清说明或补正的时间为</w:t>
      </w:r>
      <w:r>
        <w:rPr>
          <w:rFonts w:hint="eastAsia" w:ascii="宋体" w:hAnsi="宋体" w:cs="宋体"/>
          <w:color w:val="000000" w:themeColor="text1"/>
          <w:kern w:val="0"/>
          <w:szCs w:val="21"/>
          <w:highlight w:val="none"/>
          <w:u w:val="single"/>
          <w14:textFill>
            <w14:solidFill>
              <w14:schemeClr w14:val="tx1"/>
            </w14:solidFill>
          </w14:textFill>
        </w:rPr>
        <w:t xml:space="preserve"> 30 </w:t>
      </w:r>
      <w:r>
        <w:rPr>
          <w:rFonts w:hint="eastAsia" w:ascii="宋体" w:hAnsi="宋体" w:cs="宋体"/>
          <w:color w:val="000000" w:themeColor="text1"/>
          <w:kern w:val="0"/>
          <w:szCs w:val="21"/>
          <w:highlight w:val="none"/>
          <w14:textFill>
            <w14:solidFill>
              <w14:schemeClr w14:val="tx1"/>
            </w14:solidFill>
          </w14:textFill>
        </w:rPr>
        <w:t>分钟。</w:t>
      </w:r>
    </w:p>
    <w:p w14:paraId="363B681E">
      <w:pPr>
        <w:spacing w:line="400" w:lineRule="exact"/>
        <w:rPr>
          <w:rFonts w:hint="eastAsia" w:ascii="宋体" w:hAnsi="宋体" w:eastAsia="宋体" w:cs="宋体"/>
          <w:b/>
          <w:color w:val="000000" w:themeColor="text1"/>
          <w:szCs w:val="21"/>
          <w:highlight w:val="none"/>
          <w:u w:val="singl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19.4</w:t>
      </w:r>
      <w:r>
        <w:rPr>
          <w:rFonts w:hint="eastAsia" w:ascii="宋体" w:hAnsi="宋体" w:cs="宋体"/>
          <w:b/>
          <w:color w:val="000000" w:themeColor="text1"/>
          <w:szCs w:val="21"/>
          <w:highlight w:val="none"/>
          <w:u w:val="single"/>
          <w14:textFill>
            <w14:solidFill>
              <w14:schemeClr w14:val="tx1"/>
            </w14:solidFill>
          </w14:textFill>
        </w:rPr>
        <w:t>若投标人未响应澄清安排的通知进行答疑和澄清，将被视作自动放弃。</w:t>
      </w:r>
    </w:p>
    <w:p w14:paraId="1551875B">
      <w:pPr>
        <w:pStyle w:val="15"/>
        <w:rPr>
          <w:rFonts w:hint="eastAsia"/>
          <w:color w:val="000000" w:themeColor="text1"/>
          <w:highlight w:val="none"/>
          <w:lang w:eastAsia="zh-CN"/>
          <w14:textFill>
            <w14:solidFill>
              <w14:schemeClr w14:val="tx1"/>
            </w14:solidFill>
          </w14:textFill>
        </w:rPr>
      </w:pPr>
    </w:p>
    <w:p w14:paraId="256163B7">
      <w:pPr>
        <w:spacing w:line="400" w:lineRule="exac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20.  评标办法：</w:t>
      </w:r>
      <w:r>
        <w:rPr>
          <w:rFonts w:hint="eastAsia" w:ascii="宋体" w:hAnsi="宋体"/>
          <w:color w:val="000000" w:themeColor="text1"/>
          <w:szCs w:val="21"/>
          <w:highlight w:val="none"/>
          <w14:textFill>
            <w14:solidFill>
              <w14:schemeClr w14:val="tx1"/>
            </w14:solidFill>
          </w14:textFill>
        </w:rPr>
        <w:t>评标采用的方法有最低评标价法和综合评分法。</w:t>
      </w:r>
      <w:r>
        <w:rPr>
          <w:rFonts w:hint="eastAsia" w:ascii="宋体" w:hAnsi="宋体"/>
          <w:b/>
          <w:color w:val="000000" w:themeColor="text1"/>
          <w:szCs w:val="21"/>
          <w:highlight w:val="none"/>
          <w14:textFill>
            <w14:solidFill>
              <w14:schemeClr w14:val="tx1"/>
            </w14:solidFill>
          </w14:textFill>
        </w:rPr>
        <w:t>本项目招标采用的评标方法载明在招标文件第五部分“评标办法”中。</w:t>
      </w:r>
    </w:p>
    <w:p w14:paraId="03DEC9AC">
      <w:pPr>
        <w:spacing w:line="400" w:lineRule="exact"/>
        <w:ind w:left="153" w:leftChars="73" w:firstLine="315" w:firstLineChars="150"/>
        <w:rPr>
          <w:rFonts w:ascii="宋体" w:hAnsi="宋体" w:cs="宋体"/>
          <w:color w:val="000000" w:themeColor="text1"/>
          <w:szCs w:val="21"/>
          <w:highlight w:val="none"/>
          <w14:textFill>
            <w14:solidFill>
              <w14:schemeClr w14:val="tx1"/>
            </w14:solidFill>
          </w14:textFill>
        </w:rPr>
      </w:pPr>
    </w:p>
    <w:p w14:paraId="1D3B02C1">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21.  评标程序和原则</w:t>
      </w:r>
    </w:p>
    <w:p w14:paraId="3B65936F">
      <w:pPr>
        <w:spacing w:line="440" w:lineRule="exact"/>
        <w:rPr>
          <w:rFonts w:ascii="宋体" w:hAnsi="宋体"/>
          <w:color w:val="000000" w:themeColor="text1"/>
          <w:szCs w:val="21"/>
          <w:highlight w:val="none"/>
          <w:shd w:val="pct10" w:color="auto" w:fill="FFFFFF"/>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21.1</w:t>
      </w:r>
      <w:r>
        <w:rPr>
          <w:rFonts w:hint="eastAsia" w:ascii="宋体" w:hAnsi="宋体"/>
          <w:color w:val="000000" w:themeColor="text1"/>
          <w:szCs w:val="21"/>
          <w:highlight w:val="none"/>
          <w:u w:val="thick"/>
          <w14:textFill>
            <w14:solidFill>
              <w14:schemeClr w14:val="tx1"/>
            </w14:solidFill>
          </w14:textFill>
        </w:rPr>
        <w:t>评标程序</w:t>
      </w:r>
      <w:r>
        <w:rPr>
          <w:rFonts w:hint="eastAsia" w:ascii="宋体" w:hAnsi="宋体"/>
          <w:color w:val="000000" w:themeColor="text1"/>
          <w:szCs w:val="21"/>
          <w:highlight w:val="none"/>
          <w14:textFill>
            <w14:solidFill>
              <w14:schemeClr w14:val="tx1"/>
            </w14:solidFill>
          </w14:textFill>
        </w:rPr>
        <w:t>：遵循资格审查、符合性审查、澄清有关问题、比较与评价、推荐中标人（或中标候选人）的程序依次进行。</w:t>
      </w:r>
    </w:p>
    <w:p w14:paraId="294ECD24">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21.2</w:t>
      </w:r>
      <w:r>
        <w:rPr>
          <w:rFonts w:hint="eastAsia" w:ascii="宋体" w:hAnsi="宋体"/>
          <w:color w:val="000000" w:themeColor="text1"/>
          <w:szCs w:val="21"/>
          <w:highlight w:val="none"/>
          <w:u w:val="thick"/>
          <w14:textFill>
            <w14:solidFill>
              <w14:schemeClr w14:val="tx1"/>
            </w14:solidFill>
          </w14:textFill>
        </w:rPr>
        <w:t>资格审查</w:t>
      </w:r>
      <w:r>
        <w:rPr>
          <w:rFonts w:hint="eastAsia" w:ascii="宋体" w:hAnsi="宋体"/>
          <w:color w:val="000000" w:themeColor="text1"/>
          <w:szCs w:val="21"/>
          <w:highlight w:val="none"/>
          <w14:textFill>
            <w14:solidFill>
              <w14:schemeClr w14:val="tx1"/>
            </w14:solidFill>
          </w14:textFill>
        </w:rPr>
        <w:t>：公开招标采购项目开标结束后，采购人或者采购代理机构应当依法对投标人的资格进行审查。详见招标文件第五部分“评标办法”。</w:t>
      </w:r>
    </w:p>
    <w:p w14:paraId="552310A0">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21.3</w:t>
      </w:r>
      <w:r>
        <w:rPr>
          <w:rFonts w:hint="eastAsia" w:ascii="宋体" w:hAnsi="宋体"/>
          <w:color w:val="000000" w:themeColor="text1"/>
          <w:szCs w:val="21"/>
          <w:highlight w:val="none"/>
          <w:u w:val="thick"/>
          <w14:textFill>
            <w14:solidFill>
              <w14:schemeClr w14:val="tx1"/>
            </w14:solidFill>
          </w14:textFill>
        </w:rPr>
        <w:t>符合性审查</w:t>
      </w:r>
      <w:r>
        <w:rPr>
          <w:rFonts w:hint="eastAsia" w:ascii="宋体" w:hAnsi="宋体"/>
          <w:color w:val="000000" w:themeColor="text1"/>
          <w:szCs w:val="21"/>
          <w:highlight w:val="none"/>
          <w14:textFill>
            <w14:solidFill>
              <w14:schemeClr w14:val="tx1"/>
            </w14:solidFill>
          </w14:textFill>
        </w:rPr>
        <w:t>：评标委员会应当对符合资格的投标人的投标文件进行符合性审查，以确定其是否满足招标文件的实质性要求。详见招标文件第五部分“评标办法”。</w:t>
      </w:r>
    </w:p>
    <w:p w14:paraId="0A055CF7">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21.4 </w:t>
      </w:r>
      <w:r>
        <w:rPr>
          <w:rFonts w:hint="eastAsia" w:ascii="宋体" w:hAnsi="宋体"/>
          <w:color w:val="000000" w:themeColor="text1"/>
          <w:szCs w:val="21"/>
          <w:highlight w:val="none"/>
          <w:u w:val="thick"/>
          <w14:textFill>
            <w14:solidFill>
              <w14:schemeClr w14:val="tx1"/>
            </w14:solidFill>
          </w14:textFill>
        </w:rPr>
        <w:t>澄清有关问题</w:t>
      </w:r>
      <w:r>
        <w:rPr>
          <w:rFonts w:hint="eastAsia" w:ascii="宋体" w:hAnsi="宋体"/>
          <w:color w:val="000000" w:themeColor="text1"/>
          <w:szCs w:val="21"/>
          <w:highlight w:val="none"/>
          <w14:textFill>
            <w14:solidFill>
              <w14:schemeClr w14:val="tx1"/>
            </w14:solidFill>
          </w14:textFill>
        </w:rPr>
        <w:t>：按第</w:t>
      </w:r>
      <w:r>
        <w:rPr>
          <w:rFonts w:hint="eastAsia" w:ascii="宋体" w:hAnsi="宋体"/>
          <w:b/>
          <w:color w:val="000000" w:themeColor="text1"/>
          <w:szCs w:val="21"/>
          <w:highlight w:val="none"/>
          <w14:textFill>
            <w14:solidFill>
              <w14:schemeClr w14:val="tx1"/>
            </w14:solidFill>
          </w14:textFill>
        </w:rPr>
        <w:t>19</w:t>
      </w:r>
      <w:r>
        <w:rPr>
          <w:rFonts w:hint="eastAsia" w:ascii="宋体" w:hAnsi="宋体"/>
          <w:color w:val="000000" w:themeColor="text1"/>
          <w:szCs w:val="21"/>
          <w:highlight w:val="none"/>
          <w14:textFill>
            <w14:solidFill>
              <w14:schemeClr w14:val="tx1"/>
            </w14:solidFill>
          </w14:textFill>
        </w:rPr>
        <w:t xml:space="preserve">条规定进行。 </w:t>
      </w:r>
    </w:p>
    <w:p w14:paraId="1696FAC1">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21.5</w:t>
      </w:r>
      <w:r>
        <w:rPr>
          <w:rFonts w:hint="eastAsia" w:ascii="宋体" w:hAnsi="宋体"/>
          <w:color w:val="000000" w:themeColor="text1"/>
          <w:szCs w:val="21"/>
          <w:highlight w:val="none"/>
          <w:u w:val="thick"/>
          <w14:textFill>
            <w14:solidFill>
              <w14:schemeClr w14:val="tx1"/>
            </w14:solidFill>
          </w14:textFill>
        </w:rPr>
        <w:t>综合比较与评价</w:t>
      </w:r>
      <w:r>
        <w:rPr>
          <w:rFonts w:hint="eastAsia" w:ascii="宋体" w:hAnsi="宋体"/>
          <w:color w:val="000000" w:themeColor="text1"/>
          <w:szCs w:val="21"/>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67C59CDF">
      <w:pPr>
        <w:spacing w:line="44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21.5.1 </w:t>
      </w:r>
      <w:r>
        <w:rPr>
          <w:rFonts w:hint="eastAsia" w:ascii="宋体" w:hAnsi="宋体"/>
          <w:color w:val="000000" w:themeColor="text1"/>
          <w:szCs w:val="21"/>
          <w:highlight w:val="none"/>
          <w:u w:val="thick"/>
          <w14:textFill>
            <w14:solidFill>
              <w14:schemeClr w14:val="tx1"/>
            </w14:solidFill>
          </w14:textFill>
        </w:rPr>
        <w:t>商务评价</w:t>
      </w:r>
      <w:r>
        <w:rPr>
          <w:rFonts w:hint="eastAsia" w:ascii="宋体" w:hAnsi="宋体"/>
          <w:color w:val="000000" w:themeColor="text1"/>
          <w:szCs w:val="21"/>
          <w:highlight w:val="none"/>
          <w14:textFill>
            <w14:solidFill>
              <w14:schemeClr w14:val="tx1"/>
            </w14:solidFill>
          </w14:textFill>
        </w:rPr>
        <w:t>：按照招标文件的要求和“评标标准”对照投标文件的响应进行商务评价，并对其偏差计算相应的商务评分分值。</w:t>
      </w:r>
    </w:p>
    <w:p w14:paraId="7C16F5FA">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21.5.2</w:t>
      </w:r>
      <w:r>
        <w:rPr>
          <w:rFonts w:hint="eastAsia" w:ascii="宋体" w:hAnsi="宋体"/>
          <w:color w:val="000000" w:themeColor="text1"/>
          <w:szCs w:val="21"/>
          <w:highlight w:val="none"/>
          <w:u w:val="thick"/>
          <w14:textFill>
            <w14:solidFill>
              <w14:schemeClr w14:val="tx1"/>
            </w14:solidFill>
          </w14:textFill>
        </w:rPr>
        <w:t>技术评价</w:t>
      </w:r>
      <w:r>
        <w:rPr>
          <w:rFonts w:hint="eastAsia" w:ascii="宋体" w:hAnsi="宋体"/>
          <w:color w:val="000000" w:themeColor="text1"/>
          <w:szCs w:val="21"/>
          <w:highlight w:val="none"/>
          <w14:textFill>
            <w14:solidFill>
              <w14:schemeClr w14:val="tx1"/>
            </w14:solidFill>
          </w14:textFill>
        </w:rPr>
        <w:t>：按照招标文件的要求和“评标标准”对照投标文件的响应进行技术评价，评定其偏差程度，并计算其相应的技术评分分值。</w:t>
      </w:r>
    </w:p>
    <w:p w14:paraId="62095792">
      <w:pPr>
        <w:spacing w:line="440" w:lineRule="exact"/>
        <w:jc w:val="lef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21.5.3</w:t>
      </w:r>
      <w:r>
        <w:rPr>
          <w:rFonts w:hint="eastAsia" w:ascii="宋体" w:hAnsi="宋体"/>
          <w:color w:val="000000" w:themeColor="text1"/>
          <w:szCs w:val="21"/>
          <w:highlight w:val="none"/>
          <w:u w:val="thick"/>
          <w14:textFill>
            <w14:solidFill>
              <w14:schemeClr w14:val="tx1"/>
            </w14:solidFill>
          </w14:textFill>
        </w:rPr>
        <w:t>综合评价</w:t>
      </w:r>
      <w:r>
        <w:rPr>
          <w:rFonts w:hint="eastAsia" w:ascii="宋体" w:hAnsi="宋体"/>
          <w:color w:val="000000" w:themeColor="text1"/>
          <w:szCs w:val="21"/>
          <w:highlight w:val="none"/>
          <w14:textFill>
            <w14:solidFill>
              <w14:schemeClr w14:val="tx1"/>
            </w14:solidFill>
          </w14:textFill>
        </w:rPr>
        <w:t>：对经过商务评价、技术评价的投标，按“评标标准”规定的评价办法进行综合评价，做出评标结果排序。</w:t>
      </w:r>
    </w:p>
    <w:p w14:paraId="38470890">
      <w:pPr>
        <w:spacing w:line="440" w:lineRule="exact"/>
        <w:jc w:val="left"/>
        <w:rPr>
          <w:rFonts w:ascii="宋体" w:hAnsi="宋体"/>
          <w:color w:val="000000" w:themeColor="text1"/>
          <w:szCs w:val="21"/>
          <w:highlight w:val="none"/>
          <w14:textFill>
            <w14:solidFill>
              <w14:schemeClr w14:val="tx1"/>
            </w14:solidFill>
          </w14:textFill>
        </w:rPr>
      </w:pPr>
    </w:p>
    <w:p w14:paraId="7BBD2879">
      <w:pPr>
        <w:spacing w:line="44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21.6  评标过程处理原则</w:t>
      </w:r>
    </w:p>
    <w:p w14:paraId="2C9F539A">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21.6.1</w:t>
      </w:r>
      <w:r>
        <w:rPr>
          <w:rFonts w:hint="eastAsia" w:ascii="宋体" w:hAnsi="宋体"/>
          <w:color w:val="000000" w:themeColor="text1"/>
          <w:szCs w:val="21"/>
          <w:highlight w:val="none"/>
          <w14:textFill>
            <w14:solidFill>
              <w14:schemeClr w14:val="tx1"/>
            </w14:solidFill>
          </w14:textFill>
        </w:rPr>
        <w:t xml:space="preserve">  通过资格审查的投标人不足3家的，评标终止。</w:t>
      </w:r>
    </w:p>
    <w:p w14:paraId="257261DF">
      <w:pPr>
        <w:spacing w:line="44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21.6.2  </w:t>
      </w:r>
      <w:r>
        <w:rPr>
          <w:rFonts w:hint="eastAsia" w:ascii="宋体" w:hAnsi="宋体"/>
          <w:color w:val="000000" w:themeColor="text1"/>
          <w:szCs w:val="21"/>
          <w:highlight w:val="none"/>
          <w14:textFill>
            <w14:solidFill>
              <w14:schemeClr w14:val="tx1"/>
            </w14:solidFill>
          </w14:textFill>
        </w:rPr>
        <w:t>信用信息查询</w:t>
      </w:r>
    </w:p>
    <w:p w14:paraId="1C6BBEDF">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（1）信用信息查询渠道及截止时间：采购代理机构将通过“信用中国”网站(www.creditchina.gov.cn)、中国政府采购网(www.ccgp.gov.cn)渠道查询投标人投标截止时间当天的信用记录。</w:t>
      </w:r>
    </w:p>
    <w:p w14:paraId="20545163">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（2）信用信息查询记录和证据留存的具体方式：现场查询的投标人的信用记录、查询结果经确认后将与招标文件一起存档。</w:t>
      </w:r>
    </w:p>
    <w:p w14:paraId="1BAD9B89">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（3）信用信息的使用规则：经查询列入失信被执行人名单、重大税收违法案件当事人名单、政府采购严重违法失信行为记录名单的投标人将被拒绝参与政府采购活动。</w:t>
      </w:r>
    </w:p>
    <w:p w14:paraId="257FF0AD">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572FA255">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21.6.3  </w:t>
      </w:r>
      <w:r>
        <w:rPr>
          <w:rFonts w:hint="eastAsia" w:ascii="宋体" w:hAnsi="宋体"/>
          <w:color w:val="000000" w:themeColor="text1"/>
          <w:szCs w:val="21"/>
          <w:highlight w:val="none"/>
          <w14:textFill>
            <w14:solidFill>
              <w14:schemeClr w14:val="tx1"/>
            </w14:solidFill>
          </w14:textFill>
        </w:rPr>
        <w:t>投标文件报价出现前后不一致的，除招标文件另有规定外，按照下列规定修正：</w:t>
      </w:r>
    </w:p>
    <w:p w14:paraId="2CFE8E30">
      <w:pPr>
        <w:spacing w:line="440" w:lineRule="exact"/>
        <w:ind w:firstLine="449" w:firstLineChars="21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（一）投标文件中开标一览表(报价表)内容与投标文件中相应内容不一致的，以开标一览表(报价表)为准；</w:t>
      </w:r>
    </w:p>
    <w:p w14:paraId="2D812FCB">
      <w:pPr>
        <w:spacing w:line="440" w:lineRule="exact"/>
        <w:ind w:firstLine="449" w:firstLineChars="21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（二）大写金额和小写金额不一致的，以大写金额为准；</w:t>
      </w:r>
    </w:p>
    <w:p w14:paraId="64EF66ED">
      <w:pPr>
        <w:spacing w:line="440" w:lineRule="exact"/>
        <w:ind w:firstLine="449" w:firstLineChars="21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（三）单价金额小数点或者百分比有明显错位的，以开标一览表的总价为准，并修改单价；</w:t>
      </w:r>
    </w:p>
    <w:p w14:paraId="26C6C412">
      <w:pPr>
        <w:spacing w:line="440" w:lineRule="exact"/>
        <w:ind w:firstLine="449" w:firstLineChars="21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（四）总价金额与按单价汇总金额不一致的，以单价金额计算结果为准。</w:t>
      </w:r>
    </w:p>
    <w:p w14:paraId="09C9EE4E">
      <w:pPr>
        <w:spacing w:line="440" w:lineRule="exact"/>
        <w:ind w:firstLine="449" w:firstLineChars="21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同时出现两种以上不一致的，按照前款规定的顺序修正。修正后的报价按照本须知19.2条的规定经投标人确认后产生约束力，投标人不确认的，其投标无效。</w:t>
      </w:r>
    </w:p>
    <w:p w14:paraId="1AFE6A70">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21.6.4</w:t>
      </w:r>
      <w:r>
        <w:rPr>
          <w:rFonts w:hint="eastAsia" w:ascii="宋体" w:hAnsi="宋体"/>
          <w:color w:val="000000" w:themeColor="text1"/>
          <w:szCs w:val="21"/>
          <w:highlight w:val="none"/>
          <w14:textFill>
            <w14:solidFill>
              <w14:schemeClr w14:val="tx1"/>
            </w14:solidFill>
          </w14:textFill>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509B471">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21.6.5</w:t>
      </w:r>
      <w:r>
        <w:rPr>
          <w:rFonts w:hint="eastAsia" w:ascii="宋体" w:hAnsi="宋体"/>
          <w:color w:val="000000" w:themeColor="text1"/>
          <w:szCs w:val="21"/>
          <w:highlight w:val="none"/>
          <w14:textFill>
            <w14:solidFill>
              <w14:schemeClr w14:val="tx1"/>
            </w14:solidFill>
          </w14:textFill>
        </w:rPr>
        <w:t xml:space="preserve">  评标委员会成员对需要共同认定的事项存在争议的，应当按照少数服从多数的原则作出结论。持不同意见的评标委员会成员应当在评标报告上签署不同意见及理由，否则视为同意评标报告。</w:t>
      </w:r>
    </w:p>
    <w:p w14:paraId="13DD0395">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21.6.6 </w:t>
      </w:r>
      <w:r>
        <w:rPr>
          <w:rFonts w:hint="eastAsia" w:ascii="宋体" w:hAnsi="宋体"/>
          <w:color w:val="000000" w:themeColor="text1"/>
          <w:szCs w:val="21"/>
          <w:highlight w:val="none"/>
          <w14:textFill>
            <w14:solidFill>
              <w14:schemeClr w14:val="tx1"/>
            </w14:solidFill>
          </w14:textFill>
        </w:rPr>
        <w:t xml:space="preserve"> 采用最低评标价法的采购项目，提供相同品牌产品的不同投标人参加同一标项投标的，以其中通过资格审查、符合性审查且报价最低的参加评标；报价相同的，由采购人或者采购人委托评标委员会采取随机抽取方式确定，其他投标无效。</w:t>
      </w:r>
    </w:p>
    <w:p w14:paraId="7125CFCE">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使用综合评分法的采购项目，提供相同品牌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14:paraId="47F21F05">
      <w:pPr>
        <w:spacing w:line="440" w:lineRule="exact"/>
        <w:ind w:firstLine="449" w:firstLineChars="21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非单一产品采购项目，招标文件中应载明核心产品，多家投标人提供的核心产品品牌相同的，按上述规定处理。</w:t>
      </w:r>
    </w:p>
    <w:p w14:paraId="7725FC24">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21.6.7</w:t>
      </w:r>
      <w:r>
        <w:rPr>
          <w:rFonts w:hint="eastAsia" w:ascii="宋体" w:hAnsi="宋体"/>
          <w:color w:val="000000" w:themeColor="text1"/>
          <w:szCs w:val="21"/>
          <w:highlight w:val="none"/>
          <w14:textFill>
            <w14:solidFill>
              <w14:schemeClr w14:val="tx1"/>
            </w14:solidFill>
          </w14:textFill>
        </w:rPr>
        <w:t xml:space="preserve">  有下列情形之一的，视为投标人串通投标，其投标无效：</w:t>
      </w:r>
    </w:p>
    <w:p w14:paraId="039AA0D4">
      <w:pPr>
        <w:spacing w:line="440" w:lineRule="exact"/>
        <w:ind w:firstLine="449" w:firstLineChars="21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（一）不同投标人的投标文件由同一单位或者个人编制；</w:t>
      </w:r>
    </w:p>
    <w:p w14:paraId="4CDED45A">
      <w:pPr>
        <w:spacing w:line="440" w:lineRule="exact"/>
        <w:ind w:firstLine="449" w:firstLineChars="21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（二）不同投标人委托同一单位或者个人办理投标事宜；</w:t>
      </w:r>
    </w:p>
    <w:p w14:paraId="71C49C16">
      <w:pPr>
        <w:spacing w:line="440" w:lineRule="exact"/>
        <w:ind w:firstLine="449" w:firstLineChars="21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（三）不同投标人的投标文件载明的项目管理成员或者联系人员为同一人；</w:t>
      </w:r>
    </w:p>
    <w:p w14:paraId="5FDD5837">
      <w:pPr>
        <w:spacing w:line="440" w:lineRule="exact"/>
        <w:ind w:firstLine="449" w:firstLineChars="21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（四）不同投标人的投标文件异常一致或者投标报价呈规律性差异；</w:t>
      </w:r>
    </w:p>
    <w:p w14:paraId="7096A7A3">
      <w:pPr>
        <w:spacing w:line="440" w:lineRule="exact"/>
        <w:ind w:firstLine="449" w:firstLineChars="21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（五）不同投标人的投标文件相互混装；</w:t>
      </w:r>
    </w:p>
    <w:p w14:paraId="08674A99">
      <w:pPr>
        <w:spacing w:line="440" w:lineRule="exact"/>
        <w:ind w:firstLine="449" w:firstLineChars="21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（六）不同投标人的投标保证金从同一单位或者个人的账户转出。</w:t>
      </w:r>
    </w:p>
    <w:p w14:paraId="1CB41103">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21.6.8</w:t>
      </w:r>
      <w:r>
        <w:rPr>
          <w:rFonts w:hint="eastAsia" w:ascii="宋体" w:hAnsi="宋体"/>
          <w:color w:val="000000" w:themeColor="text1"/>
          <w:szCs w:val="21"/>
          <w:highlight w:val="none"/>
          <w14:textFill>
            <w14:solidFill>
              <w14:schemeClr w14:val="tx1"/>
            </w14:solidFill>
          </w14:textFill>
        </w:rPr>
        <w:t xml:space="preserve">  投标人存在下列情况之一的，投标无效：</w:t>
      </w:r>
    </w:p>
    <w:p w14:paraId="7A768626">
      <w:pPr>
        <w:spacing w:line="440" w:lineRule="exact"/>
        <w:ind w:firstLine="449" w:firstLineChars="21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（一）未按照招标文件的规定提交投标保证金的；</w:t>
      </w:r>
    </w:p>
    <w:p w14:paraId="4B112033">
      <w:pPr>
        <w:spacing w:line="440" w:lineRule="exact"/>
        <w:ind w:firstLine="449" w:firstLineChars="21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（二）投标文件未按招标文件要求签署、盖章的；</w:t>
      </w:r>
    </w:p>
    <w:p w14:paraId="64DC4436">
      <w:pPr>
        <w:spacing w:line="440" w:lineRule="exact"/>
        <w:ind w:firstLine="449" w:firstLineChars="21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（三）不具备招标文件中规定的资格要求的；</w:t>
      </w:r>
    </w:p>
    <w:p w14:paraId="13AD89BC">
      <w:pPr>
        <w:spacing w:line="440" w:lineRule="exact"/>
        <w:ind w:firstLine="449" w:firstLineChars="21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（四）报价超过招标文件中规定的预算金额或者最高限价的；</w:t>
      </w:r>
    </w:p>
    <w:p w14:paraId="3EB188D2">
      <w:pPr>
        <w:spacing w:line="440" w:lineRule="exact"/>
        <w:ind w:firstLine="449" w:firstLineChars="21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（五）未对招标文件的实质性条款作出响应的；</w:t>
      </w:r>
    </w:p>
    <w:p w14:paraId="08367AB9">
      <w:pPr>
        <w:spacing w:line="440" w:lineRule="exact"/>
        <w:ind w:firstLine="449" w:firstLineChars="21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（六）投标文件含有采购人不能接受的附加条件的；</w:t>
      </w:r>
    </w:p>
    <w:p w14:paraId="14D611EB">
      <w:pPr>
        <w:spacing w:line="440" w:lineRule="exact"/>
        <w:ind w:firstLine="449" w:firstLineChars="21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（七）不同投标人的投标文件出自同一终端设备或在相同Internet主机分配地址（相同IP地址）；</w:t>
      </w:r>
    </w:p>
    <w:p w14:paraId="289FAE89">
      <w:pPr>
        <w:spacing w:line="440" w:lineRule="exact"/>
        <w:ind w:firstLine="449" w:firstLineChars="21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（八）法律、法规和招标文件规定的其他无效情形。</w:t>
      </w:r>
    </w:p>
    <w:p w14:paraId="1FD61B31">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21.6.9  </w:t>
      </w:r>
      <w:r>
        <w:rPr>
          <w:rFonts w:hint="eastAsia" w:ascii="宋体" w:hAnsi="宋体"/>
          <w:color w:val="000000" w:themeColor="text1"/>
          <w:szCs w:val="21"/>
          <w:highlight w:val="none"/>
          <w14:textFill>
            <w14:solidFill>
              <w14:schemeClr w14:val="tx1"/>
            </w14:solidFill>
          </w14:textFill>
        </w:rPr>
        <w:t>评标结果汇总完成后，除下列情形外，任何人不得修改评标结果：</w:t>
      </w:r>
    </w:p>
    <w:p w14:paraId="2238EC23">
      <w:pPr>
        <w:spacing w:line="440" w:lineRule="exact"/>
        <w:ind w:firstLine="449" w:firstLineChars="21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（一）分值汇总计算错误的；</w:t>
      </w:r>
    </w:p>
    <w:p w14:paraId="3065FAD5">
      <w:pPr>
        <w:spacing w:line="440" w:lineRule="exact"/>
        <w:ind w:firstLine="449" w:firstLineChars="21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（二）分项评分超出评分标准范围的；</w:t>
      </w:r>
    </w:p>
    <w:p w14:paraId="0B724492">
      <w:pPr>
        <w:spacing w:line="440" w:lineRule="exact"/>
        <w:ind w:firstLine="449" w:firstLineChars="21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（三）评标委员会成员对客观评审因素评分不一致的；</w:t>
      </w:r>
    </w:p>
    <w:p w14:paraId="7102FC2F">
      <w:pPr>
        <w:spacing w:line="440" w:lineRule="exact"/>
        <w:ind w:firstLine="449" w:firstLineChars="21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（四）经评标委员会认定评分畸高、畸低的。</w:t>
      </w:r>
    </w:p>
    <w:p w14:paraId="7D95312E">
      <w:pPr>
        <w:spacing w:line="440" w:lineRule="exact"/>
        <w:ind w:firstLine="449" w:firstLineChars="21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7C9E6BD">
      <w:pPr>
        <w:spacing w:line="440" w:lineRule="exact"/>
        <w:ind w:firstLine="449" w:firstLineChars="21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投标人对本条第一款情形提出质疑的，采购人或者采购代理机构可以组织原评标委员会进行重新评审，重新评审改变评标结果的，应当书面报告本级财政部门。</w:t>
      </w:r>
    </w:p>
    <w:p w14:paraId="1DF09C2A">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21.6.10  </w:t>
      </w:r>
      <w:r>
        <w:rPr>
          <w:rFonts w:hint="eastAsia" w:ascii="宋体" w:hAnsi="宋体"/>
          <w:color w:val="000000" w:themeColor="text1"/>
          <w:szCs w:val="21"/>
          <w:highlight w:val="none"/>
          <w14:textFill>
            <w14:solidFill>
              <w14:schemeClr w14:val="tx1"/>
            </w14:solidFill>
          </w14:textFil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0E816BE">
      <w:pPr>
        <w:spacing w:line="400" w:lineRule="exact"/>
        <w:rPr>
          <w:rFonts w:ascii="宋体" w:hAnsi="宋体" w:cs="宋体"/>
          <w:color w:val="000000" w:themeColor="text1"/>
          <w:kern w:val="0"/>
          <w:szCs w:val="21"/>
          <w:highlight w:val="none"/>
          <w14:textFill>
            <w14:solidFill>
              <w14:schemeClr w14:val="tx1"/>
            </w14:solidFill>
          </w14:textFill>
        </w:rPr>
      </w:pPr>
    </w:p>
    <w:p w14:paraId="49850C74">
      <w:pPr>
        <w:spacing w:line="40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22.  推荐中标候选人</w:t>
      </w:r>
    </w:p>
    <w:p w14:paraId="7CFA1B3A">
      <w:pPr>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22.1</w:t>
      </w:r>
      <w:r>
        <w:rPr>
          <w:rFonts w:hint="eastAsia" w:ascii="宋体" w:hAnsi="宋体" w:cs="宋体"/>
          <w:color w:val="000000" w:themeColor="text1"/>
          <w:kern w:val="0"/>
          <w:szCs w:val="21"/>
          <w:highlight w:val="none"/>
          <w14:textFill>
            <w14:solidFill>
              <w14:schemeClr w14:val="tx1"/>
            </w14:solidFill>
          </w14:textFill>
        </w:rPr>
        <w:t xml:space="preserve">  评标委员会按照招标文件第</w:t>
      </w:r>
      <w:r>
        <w:rPr>
          <w:rFonts w:hint="eastAsia" w:ascii="宋体" w:hAnsi="宋体"/>
          <w:color w:val="000000" w:themeColor="text1"/>
          <w:szCs w:val="21"/>
          <w:highlight w:val="none"/>
          <w14:textFill>
            <w14:solidFill>
              <w14:schemeClr w14:val="tx1"/>
            </w14:solidFill>
          </w14:textFill>
        </w:rPr>
        <w:t>五</w:t>
      </w:r>
      <w:r>
        <w:rPr>
          <w:rFonts w:hint="eastAsia" w:ascii="宋体" w:hAnsi="宋体" w:cs="宋体"/>
          <w:color w:val="000000" w:themeColor="text1"/>
          <w:kern w:val="0"/>
          <w:szCs w:val="21"/>
          <w:highlight w:val="none"/>
          <w14:textFill>
            <w14:solidFill>
              <w14:schemeClr w14:val="tx1"/>
            </w14:solidFill>
          </w14:textFill>
        </w:rPr>
        <w:t>部分“评标办法”推荐中标候选人。</w:t>
      </w:r>
    </w:p>
    <w:p w14:paraId="29D5BCDF">
      <w:pPr>
        <w:spacing w:line="400" w:lineRule="exact"/>
        <w:rPr>
          <w:rFonts w:ascii="宋体" w:hAnsi="宋体" w:cs="宋体"/>
          <w:color w:val="000000" w:themeColor="text1"/>
          <w:kern w:val="0"/>
          <w:szCs w:val="21"/>
          <w:highlight w:val="none"/>
          <w14:textFill>
            <w14:solidFill>
              <w14:schemeClr w14:val="tx1"/>
            </w14:solidFill>
          </w14:textFill>
        </w:rPr>
      </w:pPr>
    </w:p>
    <w:p w14:paraId="551DB773">
      <w:pPr>
        <w:spacing w:line="40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23.  定标</w:t>
      </w:r>
    </w:p>
    <w:p w14:paraId="1E1AA0D6">
      <w:pPr>
        <w:spacing w:line="40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23.1  </w:t>
      </w:r>
      <w:r>
        <w:rPr>
          <w:rFonts w:hint="eastAsia" w:ascii="宋体" w:hAnsi="宋体" w:cs="宋体"/>
          <w:color w:val="000000" w:themeColor="text1"/>
          <w:szCs w:val="21"/>
          <w:highlight w:val="none"/>
          <w14:textFill>
            <w14:solidFill>
              <w14:schemeClr w14:val="tx1"/>
            </w14:solidFill>
          </w14:textFill>
        </w:rPr>
        <w:t>确定中标人。本项目由评标委员会推荐中标候选人，采购人不得在评标委员会推荐的中标候选人以外确定中标候选人。</w:t>
      </w:r>
    </w:p>
    <w:p w14:paraId="1AF6F507">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23.2</w:t>
      </w:r>
      <w:r>
        <w:rPr>
          <w:rFonts w:hint="eastAsia" w:ascii="宋体" w:hAnsi="宋体" w:cs="宋体"/>
          <w:color w:val="000000" w:themeColor="text1"/>
          <w:szCs w:val="21"/>
          <w:highlight w:val="none"/>
          <w14:textFill>
            <w14:solidFill>
              <w14:schemeClr w14:val="tx1"/>
            </w14:solidFill>
          </w14:textFill>
        </w:rPr>
        <w:t xml:space="preserve">  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68CBD0CF">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23.3</w:t>
      </w:r>
      <w:r>
        <w:rPr>
          <w:rFonts w:hint="eastAsia" w:ascii="宋体" w:hAnsi="宋体" w:cs="宋体"/>
          <w:color w:val="000000" w:themeColor="text1"/>
          <w:szCs w:val="21"/>
          <w:highlight w:val="none"/>
          <w14:textFill>
            <w14:solidFill>
              <w14:schemeClr w14:val="tx1"/>
            </w14:solidFill>
          </w14:textFill>
        </w:rPr>
        <w:t xml:space="preserve">  采购代理机构自中标人确定之日起2个工作日内，在发布招标公告的网站上对中标结果进行公示，中标结果公告期限为1个工作日。</w:t>
      </w:r>
    </w:p>
    <w:p w14:paraId="63AC6815">
      <w:pPr>
        <w:spacing w:line="400" w:lineRule="exact"/>
        <w:rPr>
          <w:rFonts w:ascii="宋体" w:hAnsi="宋体" w:cs="宋体"/>
          <w:color w:val="000000" w:themeColor="text1"/>
          <w:kern w:val="0"/>
          <w:szCs w:val="21"/>
          <w:highlight w:val="none"/>
          <w14:textFill>
            <w14:solidFill>
              <w14:schemeClr w14:val="tx1"/>
            </w14:solidFill>
          </w14:textFill>
        </w:rPr>
      </w:pPr>
    </w:p>
    <w:p w14:paraId="04FE5E87">
      <w:pPr>
        <w:jc w:val="center"/>
        <w:outlineLvl w:val="1"/>
        <w:rPr>
          <w:rFonts w:ascii="宋体" w:hAnsi="宋体" w:cs="宋体"/>
          <w:b/>
          <w:color w:val="000000" w:themeColor="text1"/>
          <w:sz w:val="28"/>
          <w:highlight w:val="none"/>
          <w14:textFill>
            <w14:solidFill>
              <w14:schemeClr w14:val="tx1"/>
            </w14:solidFill>
          </w14:textFill>
        </w:rPr>
      </w:pPr>
      <w:bookmarkStart w:id="114" w:name="_Toc440276567"/>
      <w:bookmarkStart w:id="115" w:name="_Toc136345107"/>
      <w:bookmarkStart w:id="116" w:name="_Toc136017636"/>
      <w:bookmarkStart w:id="117" w:name="_Toc31753"/>
      <w:r>
        <w:rPr>
          <w:rFonts w:hint="eastAsia" w:ascii="宋体" w:hAnsi="宋体" w:cs="宋体"/>
          <w:b/>
          <w:color w:val="000000" w:themeColor="text1"/>
          <w:sz w:val="28"/>
          <w:highlight w:val="none"/>
          <w14:textFill>
            <w14:solidFill>
              <w14:schemeClr w14:val="tx1"/>
            </w14:solidFill>
          </w14:textFill>
        </w:rPr>
        <w:t>G  授予合同</w:t>
      </w:r>
      <w:bookmarkEnd w:id="114"/>
      <w:bookmarkEnd w:id="115"/>
      <w:bookmarkEnd w:id="116"/>
      <w:bookmarkEnd w:id="117"/>
    </w:p>
    <w:p w14:paraId="4FA22CB8">
      <w:pPr>
        <w:spacing w:line="40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24.  中标通知</w:t>
      </w:r>
    </w:p>
    <w:p w14:paraId="10E20117">
      <w:pPr>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24.1 </w:t>
      </w:r>
      <w:r>
        <w:rPr>
          <w:rFonts w:hint="eastAsia" w:ascii="宋体" w:hAnsi="宋体" w:cs="宋体"/>
          <w:color w:val="000000" w:themeColor="text1"/>
          <w:kern w:val="0"/>
          <w:szCs w:val="21"/>
          <w:highlight w:val="none"/>
          <w14:textFill>
            <w14:solidFill>
              <w14:schemeClr w14:val="tx1"/>
            </w14:solidFill>
          </w14:textFill>
        </w:rPr>
        <w:t xml:space="preserve"> 在公告中标结果的同时，采购代理机构应当向中标人发出中标通知书。</w:t>
      </w:r>
    </w:p>
    <w:p w14:paraId="1205930C">
      <w:pPr>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24.2</w:t>
      </w:r>
      <w:r>
        <w:rPr>
          <w:rFonts w:hint="eastAsia" w:ascii="宋体" w:hAnsi="宋体" w:cs="宋体"/>
          <w:color w:val="000000" w:themeColor="text1"/>
          <w:kern w:val="0"/>
          <w:szCs w:val="21"/>
          <w:highlight w:val="none"/>
          <w14:textFill>
            <w14:solidFill>
              <w14:schemeClr w14:val="tx1"/>
            </w14:solidFill>
          </w14:textFill>
        </w:rPr>
        <w:t xml:space="preserve">  中标通知书发出后，采购人不得违法改变中标结果，中标人无正当理由不得放弃中标。</w:t>
      </w:r>
    </w:p>
    <w:p w14:paraId="7CE0CA9F">
      <w:pP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08F5C595">
      <w:pPr>
        <w:spacing w:line="40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25.  签订合同</w:t>
      </w:r>
    </w:p>
    <w:p w14:paraId="2583518D">
      <w:pPr>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25.1</w:t>
      </w:r>
      <w:r>
        <w:rPr>
          <w:rFonts w:hint="eastAsia" w:ascii="宋体" w:hAnsi="宋体" w:cs="宋体"/>
          <w:color w:val="000000" w:themeColor="text1"/>
          <w:kern w:val="0"/>
          <w:szCs w:val="21"/>
          <w:highlight w:val="none"/>
          <w14:textFill>
            <w14:solidFill>
              <w14:schemeClr w14:val="tx1"/>
            </w14:solidFill>
          </w14:textFill>
        </w:rPr>
        <w:t xml:space="preserve">  中标人应在采购代理机构发出中标通知书的30日内，应与采购人签订合同。所签订的合同不得对招标文件确定的事项和中标人投标文件作实质性修改。</w:t>
      </w:r>
    </w:p>
    <w:p w14:paraId="0B92C330">
      <w:pPr>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25.2</w:t>
      </w:r>
      <w:r>
        <w:rPr>
          <w:rFonts w:hint="eastAsia" w:ascii="宋体" w:hAnsi="宋体" w:cs="宋体"/>
          <w:color w:val="000000" w:themeColor="text1"/>
          <w:kern w:val="0"/>
          <w:szCs w:val="21"/>
          <w:highlight w:val="none"/>
          <w14:textFill>
            <w14:solidFill>
              <w14:schemeClr w14:val="tx1"/>
            </w14:solidFill>
          </w14:textFill>
        </w:rPr>
        <w:t xml:space="preserve">  除中标通知书外，招标文件、中标人的投标文件及评标过程中有关的澄清文件也均应作为合同附件。</w:t>
      </w:r>
    </w:p>
    <w:p w14:paraId="4EDC1FA4">
      <w:pPr>
        <w:spacing w:line="40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25.3  </w:t>
      </w:r>
      <w:r>
        <w:rPr>
          <w:rFonts w:hint="eastAsia" w:ascii="宋体" w:hAnsi="宋体" w:cs="宋体"/>
          <w:bCs/>
          <w:color w:val="000000" w:themeColor="text1"/>
          <w:szCs w:val="21"/>
          <w:highlight w:val="none"/>
          <w14:textFill>
            <w14:solidFill>
              <w14:schemeClr w14:val="tx1"/>
            </w14:solidFill>
          </w14:textFill>
        </w:rPr>
        <w:t>中标人按规定的日期、时间、地点，由法定代表人或其授权代表与采购人代表签订合同。如中标人为联合体，由联合体成员各方法定代表人或其授权代表与采购人代表签订合同。允许中标人在采购合同盖章后送达。</w:t>
      </w:r>
    </w:p>
    <w:p w14:paraId="7BE60428">
      <w:pPr>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25.4</w:t>
      </w:r>
      <w:r>
        <w:rPr>
          <w:rFonts w:hint="eastAsia" w:ascii="宋体" w:hAnsi="宋体" w:cs="宋体"/>
          <w:color w:val="000000" w:themeColor="text1"/>
          <w:kern w:val="0"/>
          <w:szCs w:val="21"/>
          <w:highlight w:val="none"/>
          <w14:textFill>
            <w14:solidFill>
              <w14:schemeClr w14:val="tx1"/>
            </w14:solidFill>
          </w14:textFill>
        </w:rPr>
        <w:t xml:space="preserve">  中标人拒绝与采购人签订合同的，采购人可以按照评标报告推荐的中标候选人名单排序，确定下一候选人为中标人，也可以重新开展政府采购活动。</w:t>
      </w:r>
    </w:p>
    <w:p w14:paraId="5A023177">
      <w:pPr>
        <w:spacing w:line="400" w:lineRule="exact"/>
        <w:rPr>
          <w:rFonts w:ascii="宋体" w:hAnsi="宋体" w:cs="宋体"/>
          <w:color w:val="000000" w:themeColor="text1"/>
          <w:kern w:val="0"/>
          <w:szCs w:val="21"/>
          <w:highlight w:val="none"/>
          <w14:textFill>
            <w14:solidFill>
              <w14:schemeClr w14:val="tx1"/>
            </w14:solidFill>
          </w14:textFill>
        </w:rPr>
      </w:pPr>
    </w:p>
    <w:p w14:paraId="65B5B61F">
      <w:pPr>
        <w:spacing w:line="40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26.  履约保证金</w:t>
      </w:r>
    </w:p>
    <w:p w14:paraId="1BD917C7">
      <w:pPr>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26.1</w:t>
      </w:r>
      <w:r>
        <w:rPr>
          <w:rFonts w:hint="eastAsia" w:ascii="宋体" w:hAnsi="宋体" w:cs="宋体"/>
          <w:color w:val="000000" w:themeColor="text1"/>
          <w:kern w:val="0"/>
          <w:szCs w:val="21"/>
          <w:highlight w:val="none"/>
          <w14:textFill>
            <w14:solidFill>
              <w14:schemeClr w14:val="tx1"/>
            </w14:solidFill>
          </w14:textFill>
        </w:rPr>
        <w:t xml:space="preserve">  招标文件若有规定，在签订合同后，采购人按合同支付定金的同时，中标人应向采购人提供履约保证金。</w:t>
      </w:r>
    </w:p>
    <w:p w14:paraId="66CCD6F8">
      <w:pPr>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26.2</w:t>
      </w:r>
      <w:r>
        <w:rPr>
          <w:rFonts w:hint="eastAsia" w:ascii="宋体" w:hAnsi="宋体" w:cs="宋体"/>
          <w:color w:val="000000" w:themeColor="text1"/>
          <w:kern w:val="0"/>
          <w:szCs w:val="21"/>
          <w:highlight w:val="none"/>
          <w14:textFill>
            <w14:solidFill>
              <w14:schemeClr w14:val="tx1"/>
            </w14:solidFill>
          </w14:textFill>
        </w:rPr>
        <w:t xml:space="preserve">  若中标人不按上述第26.1条要求提供，采购代理机构和采购人有权按前述第13.6条规定处理并撤销其中标资格。在这种情况下，采购代理机构和采购人可按本须知第25.3条规定另选中标人。</w:t>
      </w:r>
    </w:p>
    <w:p w14:paraId="72B6A65F">
      <w:pPr>
        <w:spacing w:line="400" w:lineRule="exact"/>
        <w:rPr>
          <w:rFonts w:ascii="宋体" w:hAnsi="宋体" w:cs="宋体"/>
          <w:color w:val="000000" w:themeColor="text1"/>
          <w:kern w:val="0"/>
          <w:szCs w:val="21"/>
          <w:highlight w:val="none"/>
          <w14:textFill>
            <w14:solidFill>
              <w14:schemeClr w14:val="tx1"/>
            </w14:solidFill>
          </w14:textFill>
        </w:rPr>
      </w:pPr>
    </w:p>
    <w:p w14:paraId="1F171B23">
      <w:pPr>
        <w:spacing w:line="40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27.  履约验收</w:t>
      </w:r>
    </w:p>
    <w:p w14:paraId="4038DB9B">
      <w:pPr>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27.1</w:t>
      </w:r>
      <w:r>
        <w:rPr>
          <w:rFonts w:hint="eastAsia" w:ascii="宋体" w:hAnsi="宋体" w:cs="宋体"/>
          <w:color w:val="000000" w:themeColor="text1"/>
          <w:kern w:val="0"/>
          <w:szCs w:val="21"/>
          <w:highlight w:val="none"/>
          <w14:textFill>
            <w14:solidFill>
              <w14:schemeClr w14:val="tx1"/>
            </w14:solidFill>
          </w14:textFill>
        </w:rPr>
        <w:t xml:space="preserve">  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766CA782">
      <w:pPr>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27.2 </w:t>
      </w:r>
      <w:r>
        <w:rPr>
          <w:rFonts w:hint="eastAsia" w:ascii="宋体" w:hAnsi="宋体" w:cs="宋体"/>
          <w:color w:val="000000" w:themeColor="text1"/>
          <w:kern w:val="0"/>
          <w:szCs w:val="21"/>
          <w:highlight w:val="none"/>
          <w14:textFill>
            <w14:solidFill>
              <w14:schemeClr w14:val="tx1"/>
            </w14:solidFill>
          </w14:textFill>
        </w:rPr>
        <w:t xml:space="preserve"> 采购人可以邀请参加本项目的其他投标人或者第三方机构参与验收。参与验收的投标人或者第三方机构的意见作为验收书的参考资料一并存档。</w:t>
      </w:r>
    </w:p>
    <w:p w14:paraId="4A84CA92">
      <w:pPr>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27.3</w:t>
      </w:r>
      <w:r>
        <w:rPr>
          <w:rFonts w:hint="eastAsia" w:ascii="宋体" w:hAnsi="宋体" w:cs="宋体"/>
          <w:color w:val="000000" w:themeColor="text1"/>
          <w:kern w:val="0"/>
          <w:szCs w:val="21"/>
          <w:highlight w:val="none"/>
          <w14:textFill>
            <w14:solidFill>
              <w14:schemeClr w14:val="tx1"/>
            </w14:solidFill>
          </w14:textFill>
        </w:rPr>
        <w:t xml:space="preserve">  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52BE21">
      <w:pPr>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27.4</w:t>
      </w:r>
      <w:r>
        <w:rPr>
          <w:rFonts w:hint="eastAsia" w:ascii="宋体" w:hAnsi="宋体" w:cs="宋体"/>
          <w:color w:val="000000" w:themeColor="text1"/>
          <w:kern w:val="0"/>
          <w:szCs w:val="21"/>
          <w:highlight w:val="none"/>
          <w14:textFill>
            <w14:solidFill>
              <w14:schemeClr w14:val="tx1"/>
            </w14:solidFill>
          </w14:textFill>
        </w:rPr>
        <w:t xml:space="preserve">  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799776E0">
      <w:pPr>
        <w:jc w:val="center"/>
        <w:outlineLvl w:val="1"/>
        <w:rPr>
          <w:rFonts w:ascii="宋体" w:hAnsi="宋体" w:cs="宋体"/>
          <w:b/>
          <w:color w:val="000000" w:themeColor="text1"/>
          <w:sz w:val="28"/>
          <w:highlight w:val="none"/>
          <w14:textFill>
            <w14:solidFill>
              <w14:schemeClr w14:val="tx1"/>
            </w14:solidFill>
          </w14:textFill>
        </w:rPr>
      </w:pPr>
      <w:bookmarkStart w:id="118" w:name="_Toc440276568"/>
    </w:p>
    <w:p w14:paraId="51F46948">
      <w:pPr>
        <w:jc w:val="center"/>
        <w:outlineLvl w:val="1"/>
        <w:rPr>
          <w:rFonts w:ascii="宋体" w:hAnsi="宋体" w:cs="宋体"/>
          <w:b/>
          <w:color w:val="000000" w:themeColor="text1"/>
          <w:sz w:val="28"/>
          <w:highlight w:val="none"/>
          <w14:textFill>
            <w14:solidFill>
              <w14:schemeClr w14:val="tx1"/>
            </w14:solidFill>
          </w14:textFill>
        </w:rPr>
      </w:pPr>
      <w:bookmarkStart w:id="119" w:name="_Toc136345108"/>
      <w:bookmarkStart w:id="120" w:name="_Toc16661"/>
      <w:bookmarkStart w:id="121" w:name="_Toc136017637"/>
      <w:r>
        <w:rPr>
          <w:rFonts w:hint="eastAsia" w:ascii="宋体" w:hAnsi="宋体" w:cs="宋体"/>
          <w:b/>
          <w:color w:val="000000" w:themeColor="text1"/>
          <w:sz w:val="28"/>
          <w:highlight w:val="none"/>
          <w14:textFill>
            <w14:solidFill>
              <w14:schemeClr w14:val="tx1"/>
            </w14:solidFill>
          </w14:textFill>
        </w:rPr>
        <w:t>H  采购代理机构服务费</w:t>
      </w:r>
      <w:bookmarkEnd w:id="118"/>
      <w:bookmarkEnd w:id="119"/>
      <w:bookmarkEnd w:id="120"/>
      <w:bookmarkEnd w:id="121"/>
    </w:p>
    <w:p w14:paraId="2E299140">
      <w:pPr>
        <w:spacing w:line="40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28.  采购代理机构服务费</w:t>
      </w:r>
    </w:p>
    <w:p w14:paraId="18E0A608">
      <w:pPr>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28.1</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人应在中标结果公示结束后向采购代理机构支付采购代理机构服务费。</w:t>
      </w:r>
    </w:p>
    <w:p w14:paraId="05AAA66D">
      <w:pPr>
        <w:spacing w:line="400" w:lineRule="exact"/>
        <w:rPr>
          <w:rFonts w:ascii="宋体" w:hAnsi="宋体" w:cs="宋体"/>
          <w:color w:val="000000" w:themeColor="text1"/>
          <w:kern w:val="0"/>
          <w:szCs w:val="21"/>
          <w:highlight w:val="none"/>
          <w14:textFill>
            <w14:solidFill>
              <w14:schemeClr w14:val="tx1"/>
            </w14:solidFill>
          </w14:textFill>
        </w:rPr>
      </w:pPr>
    </w:p>
    <w:p w14:paraId="402370F1">
      <w:pPr>
        <w:spacing w:line="400" w:lineRule="exact"/>
        <w:rPr>
          <w:rFonts w:ascii="宋体" w:hAnsi="宋体" w:cs="宋体"/>
          <w:color w:val="000000" w:themeColor="text1"/>
          <w:kern w:val="0"/>
          <w:szCs w:val="21"/>
          <w:highlight w:val="none"/>
          <w14:textFill>
            <w14:solidFill>
              <w14:schemeClr w14:val="tx1"/>
            </w14:solidFill>
          </w14:textFill>
        </w:rPr>
      </w:pPr>
    </w:p>
    <w:p w14:paraId="0C73CD47">
      <w:pPr>
        <w:jc w:val="center"/>
        <w:outlineLvl w:val="1"/>
        <w:rPr>
          <w:rFonts w:ascii="宋体" w:hAnsi="宋体" w:cs="宋体"/>
          <w:b/>
          <w:color w:val="000000" w:themeColor="text1"/>
          <w:sz w:val="28"/>
          <w:highlight w:val="none"/>
          <w14:textFill>
            <w14:solidFill>
              <w14:schemeClr w14:val="tx1"/>
            </w14:solidFill>
          </w14:textFill>
        </w:rPr>
      </w:pPr>
      <w:bookmarkStart w:id="122" w:name="_Toc12983"/>
      <w:bookmarkStart w:id="123" w:name="_Toc136345109"/>
      <w:bookmarkStart w:id="124" w:name="_Toc136017638"/>
      <w:r>
        <w:rPr>
          <w:rFonts w:hint="eastAsia" w:ascii="宋体" w:hAnsi="宋体" w:cs="宋体"/>
          <w:b/>
          <w:color w:val="000000" w:themeColor="text1"/>
          <w:sz w:val="28"/>
          <w:highlight w:val="none"/>
          <w14:textFill>
            <w14:solidFill>
              <w14:schemeClr w14:val="tx1"/>
            </w14:solidFill>
          </w14:textFill>
        </w:rPr>
        <w:t>Ⅰ  信息发布媒体</w:t>
      </w:r>
      <w:bookmarkEnd w:id="122"/>
      <w:bookmarkEnd w:id="123"/>
      <w:bookmarkEnd w:id="124"/>
    </w:p>
    <w:p w14:paraId="022E7337">
      <w:pPr>
        <w:spacing w:line="40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29.  有关发布项目招标公告、中标公示的媒体：</w:t>
      </w:r>
    </w:p>
    <w:p w14:paraId="4CA74CD7">
      <w:pPr>
        <w:spacing w:line="360" w:lineRule="auto"/>
        <w:ind w:left="788" w:hanging="787" w:hangingChars="375"/>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浙江政府采购网</w:t>
      </w:r>
      <w:r>
        <w:rPr>
          <w:rFonts w:hint="eastAsia" w:ascii="宋体" w:hAnsi="宋体" w:cs="宋体"/>
          <w:color w:val="000000" w:themeColor="text1"/>
          <w:szCs w:val="21"/>
          <w:highlight w:val="none"/>
          <w14:textFill>
            <w14:solidFill>
              <w14:schemeClr w14:val="tx1"/>
            </w14:solidFill>
          </w14:textFill>
        </w:rPr>
        <w:t>https://zfcg.czt.zj.gov.cn/</w:t>
      </w:r>
    </w:p>
    <w:p w14:paraId="559C2537">
      <w:pPr>
        <w:spacing w:line="360" w:lineRule="auto"/>
        <w:rPr>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宁波政府采购网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"http://www.nbzfcg.cn" </w:instrText>
      </w:r>
      <w:r>
        <w:rPr>
          <w:color w:val="000000" w:themeColor="text1"/>
          <w:highlight w:val="none"/>
          <w14:textFill>
            <w14:solidFill>
              <w14:schemeClr w14:val="tx1"/>
            </w14:solidFill>
          </w14:textFill>
        </w:rPr>
        <w:fldChar w:fldCharType="separate"/>
      </w:r>
      <w:r>
        <w:rPr>
          <w:rStyle w:val="41"/>
          <w:rFonts w:asciiTheme="minorEastAsia" w:hAnsiTheme="minorEastAsia" w:eastAsiaTheme="minorEastAsia"/>
          <w:color w:val="000000" w:themeColor="text1"/>
          <w:szCs w:val="21"/>
          <w:highlight w:val="none"/>
          <w14:textFill>
            <w14:solidFill>
              <w14:schemeClr w14:val="tx1"/>
            </w14:solidFill>
          </w14:textFill>
        </w:rPr>
        <w:t>www.nbzfcg.cn</w:t>
      </w:r>
      <w:r>
        <w:rPr>
          <w:rStyle w:val="41"/>
          <w:rFonts w:asciiTheme="minorEastAsia" w:hAnsiTheme="minorEastAsia" w:eastAsiaTheme="minorEastAsia"/>
          <w:color w:val="000000" w:themeColor="text1"/>
          <w:szCs w:val="21"/>
          <w:highlight w:val="none"/>
          <w14:textFill>
            <w14:solidFill>
              <w14:schemeClr w14:val="tx1"/>
            </w14:solidFill>
          </w14:textFill>
        </w:rPr>
        <w:fldChar w:fldCharType="end"/>
      </w:r>
    </w:p>
    <w:p w14:paraId="2AC1F1B8">
      <w:pPr>
        <w:jc w:val="center"/>
        <w:outlineLvl w:val="1"/>
        <w:rPr>
          <w:rFonts w:ascii="宋体" w:hAnsi="宋体" w:cs="宋体"/>
          <w:b/>
          <w:color w:val="000000" w:themeColor="text1"/>
          <w:sz w:val="28"/>
          <w:highlight w:val="none"/>
          <w14:textFill>
            <w14:solidFill>
              <w14:schemeClr w14:val="tx1"/>
            </w14:solidFill>
          </w14:textFill>
        </w:rPr>
      </w:pPr>
    </w:p>
    <w:p w14:paraId="0C542C7E">
      <w:pPr>
        <w:jc w:val="center"/>
        <w:outlineLvl w:val="1"/>
        <w:rPr>
          <w:rFonts w:ascii="宋体" w:hAnsi="宋体" w:cs="宋体"/>
          <w:b/>
          <w:color w:val="000000" w:themeColor="text1"/>
          <w:sz w:val="28"/>
          <w:highlight w:val="none"/>
          <w14:textFill>
            <w14:solidFill>
              <w14:schemeClr w14:val="tx1"/>
            </w14:solidFill>
          </w14:textFill>
        </w:rPr>
      </w:pPr>
      <w:bookmarkStart w:id="125" w:name="_Toc136345110"/>
      <w:bookmarkStart w:id="126" w:name="_Toc136017639"/>
      <w:bookmarkStart w:id="127" w:name="_Toc11182"/>
      <w:r>
        <w:rPr>
          <w:rFonts w:hint="eastAsia" w:ascii="宋体" w:hAnsi="宋体" w:cs="宋体"/>
          <w:b/>
          <w:color w:val="000000" w:themeColor="text1"/>
          <w:sz w:val="28"/>
          <w:highlight w:val="none"/>
          <w14:textFill>
            <w14:solidFill>
              <w14:schemeClr w14:val="tx1"/>
            </w14:solidFill>
          </w14:textFill>
        </w:rPr>
        <w:t>J  其他规定</w:t>
      </w:r>
      <w:bookmarkEnd w:id="125"/>
      <w:bookmarkEnd w:id="126"/>
      <w:bookmarkEnd w:id="127"/>
    </w:p>
    <w:p w14:paraId="360E03BA">
      <w:pPr>
        <w:spacing w:line="40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30.  其他规定</w:t>
      </w:r>
    </w:p>
    <w:p w14:paraId="7138975A">
      <w:pPr>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30.1</w:t>
      </w:r>
      <w:r>
        <w:rPr>
          <w:rFonts w:hint="eastAsia" w:ascii="宋体" w:hAnsi="宋体" w:cs="宋体"/>
          <w:color w:val="000000" w:themeColor="text1"/>
          <w:kern w:val="0"/>
          <w:szCs w:val="21"/>
          <w:highlight w:val="none"/>
          <w14:textFill>
            <w14:solidFill>
              <w14:schemeClr w14:val="tx1"/>
            </w14:solidFill>
          </w14:textFill>
        </w:rPr>
        <w:t xml:space="preserve"> 自购买招标文件之日起，投标人应保证其提供的联系方式</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电话、传真、电子邮件</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一直有效，以保证往来函件</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招标文件的澄清、修改等</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能及时通知投标人，并能及时反馈信息，否则采购人不承担由此引起的一切后果。</w:t>
      </w:r>
    </w:p>
    <w:p w14:paraId="7FDBFE35">
      <w:pPr>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30.2</w:t>
      </w:r>
      <w:r>
        <w:rPr>
          <w:rFonts w:hint="eastAsia" w:ascii="宋体" w:hAnsi="宋体" w:cs="宋体"/>
          <w:color w:val="000000" w:themeColor="text1"/>
          <w:kern w:val="0"/>
          <w:szCs w:val="21"/>
          <w:highlight w:val="none"/>
          <w14:textFill>
            <w14:solidFill>
              <w14:schemeClr w14:val="tx1"/>
            </w14:solidFill>
          </w14:textFill>
        </w:rPr>
        <w:t xml:space="preserve"> 知识产权</w:t>
      </w:r>
    </w:p>
    <w:p w14:paraId="7BB808AC">
      <w:pPr>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30.2.1</w:t>
      </w:r>
      <w:r>
        <w:rPr>
          <w:rFonts w:ascii="宋体" w:hAnsi="宋体" w:cs="宋体"/>
          <w:color w:val="000000" w:themeColor="text1"/>
          <w:kern w:val="0"/>
          <w:szCs w:val="21"/>
          <w:highlight w:val="none"/>
          <w14:textFill>
            <w14:solidFill>
              <w14:schemeClr w14:val="tx1"/>
            </w14:solidFill>
          </w14:textFill>
        </w:rPr>
        <w:t>投标人应保证提交的全部文件不会侵犯其</w:t>
      </w:r>
      <w:r>
        <w:rPr>
          <w:rFonts w:hint="eastAsia" w:ascii="宋体" w:hAnsi="宋体" w:cs="宋体"/>
          <w:color w:val="000000" w:themeColor="text1"/>
          <w:kern w:val="0"/>
          <w:szCs w:val="21"/>
          <w:highlight w:val="none"/>
          <w14:textFill>
            <w14:solidFill>
              <w14:schemeClr w14:val="tx1"/>
            </w14:solidFill>
          </w14:textFill>
        </w:rPr>
        <w:t>他</w:t>
      </w:r>
      <w:r>
        <w:rPr>
          <w:rFonts w:ascii="宋体" w:hAnsi="宋体" w:cs="宋体"/>
          <w:color w:val="000000" w:themeColor="text1"/>
          <w:kern w:val="0"/>
          <w:szCs w:val="21"/>
          <w:highlight w:val="none"/>
          <w14:textFill>
            <w14:solidFill>
              <w14:schemeClr w14:val="tx1"/>
            </w14:solidFill>
          </w14:textFill>
        </w:rPr>
        <w:t>任何人的知识产权或专有技术或商业秘密。投标人应保证，如果投标文件使用他人的知识产权或专有技术或商业秘密，投标人已获得了适当授权。投标人应进一步保证，</w:t>
      </w:r>
      <w:r>
        <w:rPr>
          <w:rFonts w:hint="eastAsia" w:ascii="宋体" w:hAnsi="宋体" w:cs="宋体"/>
          <w:color w:val="000000" w:themeColor="text1"/>
          <w:kern w:val="0"/>
          <w:szCs w:val="21"/>
          <w:highlight w:val="none"/>
          <w14:textFill>
            <w14:solidFill>
              <w14:schemeClr w14:val="tx1"/>
            </w14:solidFill>
          </w14:textFill>
        </w:rPr>
        <w:t>采购人</w:t>
      </w:r>
      <w:r>
        <w:rPr>
          <w:rFonts w:ascii="宋体" w:hAnsi="宋体" w:cs="宋体"/>
          <w:color w:val="000000" w:themeColor="text1"/>
          <w:kern w:val="0"/>
          <w:szCs w:val="21"/>
          <w:highlight w:val="none"/>
          <w14:textFill>
            <w14:solidFill>
              <w14:schemeClr w14:val="tx1"/>
            </w14:solidFill>
          </w14:textFill>
        </w:rPr>
        <w:t>使用其</w:t>
      </w:r>
      <w:r>
        <w:rPr>
          <w:rFonts w:hint="eastAsia" w:ascii="宋体" w:hAnsi="宋体" w:cs="宋体"/>
          <w:color w:val="000000" w:themeColor="text1"/>
          <w:kern w:val="0"/>
          <w:szCs w:val="21"/>
          <w:highlight w:val="none"/>
          <w14:textFill>
            <w14:solidFill>
              <w14:schemeClr w14:val="tx1"/>
            </w14:solidFill>
          </w14:textFill>
        </w:rPr>
        <w:t>成果</w:t>
      </w:r>
      <w:r>
        <w:rPr>
          <w:rFonts w:ascii="宋体" w:hAnsi="宋体" w:cs="宋体"/>
          <w:color w:val="000000" w:themeColor="text1"/>
          <w:kern w:val="0"/>
          <w:szCs w:val="21"/>
          <w:highlight w:val="none"/>
          <w14:textFill>
            <w14:solidFill>
              <w14:schemeClr w14:val="tx1"/>
            </w14:solidFill>
          </w14:textFill>
        </w:rPr>
        <w:t>不会侵犯他人的知识产权或专</w:t>
      </w:r>
      <w:r>
        <w:rPr>
          <w:rFonts w:hint="eastAsia" w:ascii="宋体" w:hAnsi="宋体" w:cs="宋体"/>
          <w:color w:val="000000" w:themeColor="text1"/>
          <w:kern w:val="0"/>
          <w:szCs w:val="21"/>
          <w:highlight w:val="none"/>
          <w14:textFill>
            <w14:solidFill>
              <w14:schemeClr w14:val="tx1"/>
            </w14:solidFill>
          </w14:textFill>
        </w:rPr>
        <w:t>有</w:t>
      </w:r>
      <w:r>
        <w:rPr>
          <w:rFonts w:ascii="宋体" w:hAnsi="宋体" w:cs="宋体"/>
          <w:color w:val="000000" w:themeColor="text1"/>
          <w:kern w:val="0"/>
          <w:szCs w:val="21"/>
          <w:highlight w:val="none"/>
          <w14:textFill>
            <w14:solidFill>
              <w14:schemeClr w14:val="tx1"/>
            </w14:solidFill>
          </w14:textFill>
        </w:rPr>
        <w:t>技术或商业秘密，并应当使</w:t>
      </w:r>
      <w:r>
        <w:rPr>
          <w:rFonts w:hint="eastAsia" w:ascii="宋体" w:hAnsi="宋体" w:cs="宋体"/>
          <w:color w:val="000000" w:themeColor="text1"/>
          <w:kern w:val="0"/>
          <w:szCs w:val="21"/>
          <w:highlight w:val="none"/>
          <w14:textFill>
            <w14:solidFill>
              <w14:schemeClr w14:val="tx1"/>
            </w14:solidFill>
          </w14:textFill>
        </w:rPr>
        <w:t>采购人</w:t>
      </w:r>
      <w:r>
        <w:rPr>
          <w:rFonts w:ascii="宋体" w:hAnsi="宋体" w:cs="宋体"/>
          <w:color w:val="000000" w:themeColor="text1"/>
          <w:kern w:val="0"/>
          <w:szCs w:val="21"/>
          <w:highlight w:val="none"/>
          <w14:textFill>
            <w14:solidFill>
              <w14:schemeClr w14:val="tx1"/>
            </w14:solidFill>
          </w14:textFill>
        </w:rPr>
        <w:t>免于因被指控侵犯上述权利产生的任何责任，</w:t>
      </w:r>
      <w:r>
        <w:rPr>
          <w:rFonts w:hint="eastAsia" w:ascii="宋体" w:hAnsi="宋体" w:cs="宋体"/>
          <w:color w:val="000000" w:themeColor="text1"/>
          <w:kern w:val="0"/>
          <w:szCs w:val="21"/>
          <w:highlight w:val="none"/>
          <w14:textFill>
            <w14:solidFill>
              <w14:schemeClr w14:val="tx1"/>
            </w14:solidFill>
          </w14:textFill>
        </w:rPr>
        <w:t>若采购人</w:t>
      </w:r>
      <w:r>
        <w:rPr>
          <w:rFonts w:ascii="宋体" w:hAnsi="宋体" w:cs="宋体"/>
          <w:color w:val="000000" w:themeColor="text1"/>
          <w:kern w:val="0"/>
          <w:szCs w:val="21"/>
          <w:highlight w:val="none"/>
          <w14:textFill>
            <w14:solidFill>
              <w14:schemeClr w14:val="tx1"/>
            </w14:solidFill>
          </w14:textFill>
        </w:rPr>
        <w:t>使用其</w:t>
      </w:r>
      <w:r>
        <w:rPr>
          <w:rFonts w:hint="eastAsia" w:ascii="宋体" w:hAnsi="宋体" w:cs="宋体"/>
          <w:color w:val="000000" w:themeColor="text1"/>
          <w:kern w:val="0"/>
          <w:szCs w:val="21"/>
          <w:highlight w:val="none"/>
          <w14:textFill>
            <w14:solidFill>
              <w14:schemeClr w14:val="tx1"/>
            </w14:solidFill>
          </w14:textFill>
        </w:rPr>
        <w:t>成果</w:t>
      </w:r>
      <w:r>
        <w:rPr>
          <w:rFonts w:ascii="宋体" w:hAnsi="宋体" w:cs="宋体"/>
          <w:color w:val="000000" w:themeColor="text1"/>
          <w:kern w:val="0"/>
          <w:szCs w:val="21"/>
          <w:highlight w:val="none"/>
          <w14:textFill>
            <w14:solidFill>
              <w14:schemeClr w14:val="tx1"/>
            </w14:solidFill>
          </w14:textFill>
        </w:rPr>
        <w:t>被指控侵犯上述权利</w:t>
      </w:r>
      <w:r>
        <w:rPr>
          <w:rFonts w:hint="eastAsia" w:ascii="宋体" w:hAnsi="宋体" w:cs="宋体"/>
          <w:color w:val="000000" w:themeColor="text1"/>
          <w:kern w:val="0"/>
          <w:szCs w:val="21"/>
          <w:highlight w:val="none"/>
          <w14:textFill>
            <w14:solidFill>
              <w14:schemeClr w14:val="tx1"/>
            </w14:solidFill>
          </w14:textFill>
        </w:rPr>
        <w:t>，投标人应</w:t>
      </w:r>
      <w:r>
        <w:rPr>
          <w:rFonts w:ascii="宋体" w:hAnsi="宋体" w:cs="宋体"/>
          <w:color w:val="000000" w:themeColor="text1"/>
          <w:kern w:val="0"/>
          <w:szCs w:val="21"/>
          <w:highlight w:val="none"/>
          <w14:textFill>
            <w14:solidFill>
              <w14:schemeClr w14:val="tx1"/>
            </w14:solidFill>
          </w14:textFill>
        </w:rPr>
        <w:t>赔偿</w:t>
      </w:r>
      <w:r>
        <w:rPr>
          <w:rFonts w:hint="eastAsia" w:ascii="宋体" w:hAnsi="宋体" w:cs="宋体"/>
          <w:color w:val="000000" w:themeColor="text1"/>
          <w:kern w:val="0"/>
          <w:szCs w:val="21"/>
          <w:highlight w:val="none"/>
          <w14:textFill>
            <w14:solidFill>
              <w14:schemeClr w14:val="tx1"/>
            </w14:solidFill>
          </w14:textFill>
        </w:rPr>
        <w:t>采购人</w:t>
      </w:r>
      <w:r>
        <w:rPr>
          <w:rFonts w:ascii="宋体" w:hAnsi="宋体" w:cs="宋体"/>
          <w:color w:val="000000" w:themeColor="text1"/>
          <w:kern w:val="0"/>
          <w:szCs w:val="21"/>
          <w:highlight w:val="none"/>
          <w14:textFill>
            <w14:solidFill>
              <w14:schemeClr w14:val="tx1"/>
            </w14:solidFill>
          </w14:textFill>
        </w:rPr>
        <w:t>由此而产生的费用和损失。</w:t>
      </w:r>
    </w:p>
    <w:p w14:paraId="5195F3E0">
      <w:pPr>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30.2.2</w:t>
      </w:r>
      <w:r>
        <w:rPr>
          <w:rFonts w:hint="eastAsia" w:ascii="宋体" w:hAnsi="宋体" w:cs="宋体"/>
          <w:color w:val="000000" w:themeColor="text1"/>
          <w:kern w:val="0"/>
          <w:szCs w:val="21"/>
          <w:highlight w:val="none"/>
          <w14:textFill>
            <w14:solidFill>
              <w14:schemeClr w14:val="tx1"/>
            </w14:solidFill>
          </w14:textFill>
        </w:rPr>
        <w:t xml:space="preserve"> 投标人中标后参与本项目研究的资料、成果等知识产权归采购人，有关的信息未经采购人同意不得向第三方泄露。</w:t>
      </w:r>
    </w:p>
    <w:p w14:paraId="3074722F">
      <w:pPr>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30.2.3 </w:t>
      </w:r>
      <w:r>
        <w:rPr>
          <w:rFonts w:hint="eastAsia" w:ascii="宋体" w:hAnsi="宋体" w:cs="宋体"/>
          <w:color w:val="000000" w:themeColor="text1"/>
          <w:kern w:val="0"/>
          <w:szCs w:val="21"/>
          <w:highlight w:val="none"/>
          <w14:textFill>
            <w14:solidFill>
              <w14:schemeClr w14:val="tx1"/>
            </w14:solidFill>
          </w14:textFill>
        </w:rPr>
        <w:t>采购人在招商引资、产权转让的商业活动中，所使用本项目有关的任何成果，无需征得中标人同意，中标人应积极配合提供相关资料和成果；中标人有责任对涉及项目的重要信息进行保密；中标人如因为项目的开展需要向第三方提供资料,必须提前得到采购人批准。</w:t>
      </w:r>
    </w:p>
    <w:p w14:paraId="5664C65E">
      <w:pPr>
        <w:spacing w:line="400" w:lineRule="exact"/>
        <w:rPr>
          <w:rFonts w:ascii="宋体" w:hAnsi="宋体" w:cs="宋体"/>
          <w:b/>
          <w:color w:val="000000" w:themeColor="text1"/>
          <w:szCs w:val="21"/>
          <w:highlight w:val="none"/>
          <w14:textFill>
            <w14:solidFill>
              <w14:schemeClr w14:val="tx1"/>
            </w14:solidFill>
          </w14:textFill>
        </w:rPr>
      </w:pPr>
    </w:p>
    <w:p w14:paraId="09774D4D">
      <w:pPr>
        <w:spacing w:line="44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31.  政府采购活动中有关中小企业的相关规定</w:t>
      </w:r>
    </w:p>
    <w:p w14:paraId="6E29FC86">
      <w:pPr>
        <w:spacing w:line="40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31.1本项目对应的中小企业划分标准所属行业：</w:t>
      </w:r>
      <w:r>
        <w:rPr>
          <w:rFonts w:hint="eastAsia" w:ascii="宋体" w:hAnsi="宋体" w:cs="宋体"/>
          <w:b/>
          <w:color w:val="000000" w:themeColor="text1"/>
          <w:szCs w:val="21"/>
          <w:highlight w:val="none"/>
          <w14:textFill>
            <w14:solidFill>
              <w14:schemeClr w14:val="tx1"/>
            </w14:solidFill>
          </w14:textFill>
        </w:rPr>
        <w:t>详见第三部分“投标资料表”</w:t>
      </w:r>
    </w:p>
    <w:p w14:paraId="794FC039">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31.2</w:t>
      </w:r>
      <w:r>
        <w:rPr>
          <w:rFonts w:hint="eastAsia" w:ascii="宋体" w:hAnsi="宋体"/>
          <w:color w:val="000000" w:themeColor="text1"/>
          <w:szCs w:val="21"/>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0389469">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31.3  </w:t>
      </w:r>
      <w:r>
        <w:rPr>
          <w:rFonts w:hint="eastAsia" w:ascii="宋体" w:hAnsi="宋体"/>
          <w:color w:val="000000" w:themeColor="text1"/>
          <w:szCs w:val="21"/>
          <w:highlight w:val="none"/>
          <w14:textFill>
            <w14:solidFill>
              <w14:schemeClr w14:val="tx1"/>
            </w14:solidFill>
          </w14:textFill>
        </w:rPr>
        <w:t>在政府采购活动中，投标人提供的货物、工程或者服务符合下列情形的，享受本办法规定的中小企业扶持政策：</w:t>
      </w:r>
    </w:p>
    <w:p w14:paraId="170FB9A3">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（一）在货物采购项目中，货物由中小企业制造，即货物由中小企业生产且使用该中小企业商号或者注册商标；</w:t>
      </w:r>
    </w:p>
    <w:p w14:paraId="312F24BF">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（二）在工程采购项目中，工程由中小企业承建，即工程施工单位为中小企业；</w:t>
      </w:r>
    </w:p>
    <w:p w14:paraId="4E5776C7">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（三）在服务采购项目中，服务由中小企业承接，即提供服务的人员为中小企业依照《中华人民共和国劳动合同法》订立劳动合同的从业人员。</w:t>
      </w:r>
    </w:p>
    <w:p w14:paraId="70F37AF3">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在货物采购项目中，投标人提供的货物既有中小企业制造货物，也有大型企业制造货物的，不享受本办法规定的中小企业扶持政策。</w:t>
      </w:r>
    </w:p>
    <w:p w14:paraId="30CF2130">
      <w:pPr>
        <w:spacing w:line="400" w:lineRule="exact"/>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4A537993">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31.4</w:t>
      </w:r>
      <w:r>
        <w:rPr>
          <w:rFonts w:hint="eastAsia" w:ascii="宋体" w:hAnsi="宋体"/>
          <w:color w:val="000000" w:themeColor="text1"/>
          <w:szCs w:val="21"/>
          <w:highlight w:val="none"/>
          <w14:textFill>
            <w14:solidFill>
              <w14:schemeClr w14:val="tx1"/>
            </w14:solidFill>
          </w14:textFill>
        </w:rPr>
        <w:t xml:space="preserve">  中小企业参加政府采购活动，应当出具《中小企业声明函》（格式见附件1），否则不得享受相关中小企业扶持政策。</w:t>
      </w:r>
    </w:p>
    <w:p w14:paraId="01D99FA4">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31.5</w:t>
      </w:r>
      <w:r>
        <w:rPr>
          <w:rFonts w:hint="eastAsia" w:ascii="宋体" w:hAnsi="宋体"/>
          <w:color w:val="000000" w:themeColor="text1"/>
          <w:szCs w:val="21"/>
          <w:highlight w:val="none"/>
          <w14:textFill>
            <w14:solidFill>
              <w14:schemeClr w14:val="tx1"/>
            </w14:solidFill>
          </w14:textFill>
        </w:rPr>
        <w:t xml:space="preserve"> 对于经主管预算单位统筹后未预留份额专门面向中小企业采购的采购项目，以及预留份额项目中的非预留部分采购包，采购人、采购代理机构应当对符合本办法规定的小微企业报价给予10%-20%（工程项目为3%-5%）的扣除，用扣除后的价格参加评审。</w:t>
      </w:r>
    </w:p>
    <w:p w14:paraId="289ED5E9">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14:paraId="404F755C">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价格扣除比例对小型企业和微型企业同等对待，不作区分。</w:t>
      </w:r>
    </w:p>
    <w:p w14:paraId="4D61AD05">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31.6  </w:t>
      </w:r>
      <w:r>
        <w:rPr>
          <w:rFonts w:hint="eastAsia" w:ascii="宋体" w:hAnsi="宋体"/>
          <w:color w:val="000000" w:themeColor="text1"/>
          <w:szCs w:val="21"/>
          <w:highlight w:val="none"/>
          <w14:textFill>
            <w14:solidFill>
              <w14:schemeClr w14:val="tx1"/>
            </w14:solidFill>
          </w14:textFill>
        </w:rPr>
        <w:t>享受扶持政策获得政府采购合同的，小微企业不得将合同分包给大中型企业，中型企业不得将合同分包给大型企业。</w:t>
      </w:r>
    </w:p>
    <w:p w14:paraId="74C42794">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31.7  </w:t>
      </w:r>
      <w:r>
        <w:rPr>
          <w:rFonts w:hint="eastAsia" w:ascii="宋体" w:hAnsi="宋体"/>
          <w:color w:val="000000" w:themeColor="text1"/>
          <w:szCs w:val="21"/>
          <w:highlight w:val="none"/>
          <w14:textFill>
            <w14:solidFill>
              <w14:schemeClr w14:val="tx1"/>
            </w14:solidFill>
          </w14:textFill>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5ECA6599">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31.8</w:t>
      </w:r>
      <w:r>
        <w:rPr>
          <w:rFonts w:hint="eastAsia" w:ascii="宋体" w:hAnsi="宋体"/>
          <w:color w:val="000000" w:themeColor="text1"/>
          <w:szCs w:val="21"/>
          <w:highlight w:val="none"/>
          <w14:textFill>
            <w14:solidFill>
              <w14:schemeClr w14:val="tx1"/>
            </w14:solidFill>
          </w14:textFill>
        </w:rPr>
        <w:t xml:space="preserve">  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详见附件2），并对声明的真实性负责,未能提供上述证明文件的不予认可。</w:t>
      </w:r>
    </w:p>
    <w:p w14:paraId="7F42B18F">
      <w:pPr>
        <w:spacing w:line="400" w:lineRule="exact"/>
        <w:rPr>
          <w:rFonts w:ascii="宋体" w:hAnsi="宋体"/>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3</w:t>
      </w:r>
      <w:r>
        <w:rPr>
          <w:rFonts w:hint="eastAsia" w:ascii="宋体" w:hAnsi="宋体"/>
          <w:b/>
          <w:color w:val="000000" w:themeColor="text1"/>
          <w:szCs w:val="21"/>
          <w:highlight w:val="none"/>
          <w14:textFill>
            <w14:solidFill>
              <w14:schemeClr w14:val="tx1"/>
            </w14:solidFill>
          </w14:textFill>
        </w:rPr>
        <w:t>1</w:t>
      </w:r>
      <w:r>
        <w:rPr>
          <w:rFonts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执行财政部、国家环保总局《关于环境标志产品政府采购实施的意见》，政府采购优先采购环境标志产品，本项目将对环境标志产品给予一定幅度的价格扣除或技术加分，具体见 “评标标准”说明。</w:t>
      </w:r>
    </w:p>
    <w:p w14:paraId="216B9E78">
      <w:pPr>
        <w:spacing w:line="400" w:lineRule="exact"/>
        <w:rPr>
          <w:rFonts w:ascii="宋体" w:hAnsi="宋体"/>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3</w:t>
      </w:r>
      <w:r>
        <w:rPr>
          <w:rFonts w:hint="eastAsia" w:ascii="宋体" w:hAnsi="宋体"/>
          <w:b/>
          <w:color w:val="000000" w:themeColor="text1"/>
          <w:szCs w:val="21"/>
          <w:highlight w:val="none"/>
          <w14:textFill>
            <w14:solidFill>
              <w14:schemeClr w14:val="tx1"/>
            </w14:solidFill>
          </w14:textFill>
        </w:rPr>
        <w:t>1</w:t>
      </w:r>
      <w:r>
        <w:rPr>
          <w:rFonts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执行财政部、国家发展改革委员会《节能产品政府采购实施意见》，政府采购优先采购节能产品，本项目将对节能产品给予一定幅度的价格扣除或技术加分，具体见招标文件“评标标准”说明。</w:t>
      </w:r>
    </w:p>
    <w:p w14:paraId="7B7CA1EA">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31.11  </w:t>
      </w:r>
      <w:r>
        <w:rPr>
          <w:rFonts w:hint="eastAsia" w:ascii="宋体" w:hAnsi="宋体"/>
          <w:color w:val="000000" w:themeColor="text1"/>
          <w:szCs w:val="21"/>
          <w:highlight w:val="none"/>
          <w14:textFill>
            <w14:solidFill>
              <w14:schemeClr w14:val="tx1"/>
            </w14:solidFill>
          </w14:textFill>
        </w:rPr>
        <w:t>进口产品采购需符合“财政部关于印发《政府采购进口产品管理办法》的通知（财库[2007]119号）”第四、八、九、十、十一条的规定。</w:t>
      </w:r>
    </w:p>
    <w:p w14:paraId="66AEE560">
      <w:pPr>
        <w:spacing w:line="400" w:lineRule="exact"/>
        <w:rPr>
          <w:rFonts w:ascii="宋体" w:hAnsi="宋体"/>
          <w:b/>
          <w:color w:val="000000" w:themeColor="text1"/>
          <w:szCs w:val="21"/>
          <w:highlight w:val="none"/>
          <w14:textFill>
            <w14:solidFill>
              <w14:schemeClr w14:val="tx1"/>
            </w14:solidFill>
          </w14:textFill>
        </w:rPr>
      </w:pPr>
    </w:p>
    <w:p w14:paraId="7048F9B7">
      <w:pPr>
        <w:spacing w:line="40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32.询问、质疑、投诉</w:t>
      </w:r>
    </w:p>
    <w:p w14:paraId="5871B340">
      <w:pPr>
        <w:spacing w:line="40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32.1 询问</w:t>
      </w:r>
    </w:p>
    <w:p w14:paraId="4F4E26FB">
      <w:pPr>
        <w:spacing w:line="40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1A3446D">
      <w:pPr>
        <w:spacing w:line="40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 质疑</w:t>
      </w:r>
    </w:p>
    <w:p w14:paraId="43E95531">
      <w:pPr>
        <w:spacing w:line="400" w:lineRule="exact"/>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32.2.1</w:t>
      </w:r>
      <w:r>
        <w:rPr>
          <w:rFonts w:hint="eastAsia" w:ascii="宋体" w:hAnsi="宋体"/>
          <w:bCs/>
          <w:color w:val="000000" w:themeColor="text1"/>
          <w:szCs w:val="21"/>
          <w:highlight w:val="none"/>
          <w14:textFill>
            <w14:solidFill>
              <w14:schemeClr w14:val="tx1"/>
            </w14:solidFill>
          </w14:textFill>
        </w:rPr>
        <w:t>提出质疑的供应商应当是参与所质疑项目采购活动的供应商。潜在供应商已依法获取其可质疑的招标文件的，可以对该文件提出质疑。</w:t>
      </w:r>
    </w:p>
    <w:p w14:paraId="2FBA27A1">
      <w:pPr>
        <w:spacing w:line="400" w:lineRule="exact"/>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32.2.2</w:t>
      </w:r>
      <w:r>
        <w:rPr>
          <w:rFonts w:hint="eastAsia" w:ascii="宋体" w:hAnsi="宋体"/>
          <w:bCs/>
          <w:color w:val="000000" w:themeColor="text1"/>
          <w:szCs w:val="21"/>
          <w:highlight w:val="none"/>
          <w14:textFill>
            <w14:solidFill>
              <w14:schemeClr w14:val="tx1"/>
            </w14:solidFill>
          </w14:textFill>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D6F91DA">
      <w:pPr>
        <w:spacing w:line="400" w:lineRule="exact"/>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32.2.2.1</w:t>
      </w:r>
      <w:r>
        <w:rPr>
          <w:rFonts w:hint="eastAsia" w:ascii="宋体" w:hAnsi="宋体"/>
          <w:bCs/>
          <w:color w:val="000000" w:themeColor="text1"/>
          <w:szCs w:val="21"/>
          <w:highlight w:val="none"/>
          <w14:textFill>
            <w14:solidFill>
              <w14:schemeClr w14:val="tx1"/>
            </w14:solidFill>
          </w14:textFill>
        </w:rPr>
        <w:t>对招标文件提出质疑的，质疑期限为供应商获得招标文件之日或者招标文件公告期限届满之日起计算。</w:t>
      </w:r>
    </w:p>
    <w:p w14:paraId="6C190F0F">
      <w:pPr>
        <w:spacing w:line="400" w:lineRule="exact"/>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32.2.2.2</w:t>
      </w:r>
      <w:r>
        <w:rPr>
          <w:rFonts w:hint="eastAsia" w:ascii="宋体" w:hAnsi="宋体"/>
          <w:bCs/>
          <w:color w:val="000000" w:themeColor="text1"/>
          <w:szCs w:val="21"/>
          <w:highlight w:val="none"/>
          <w14:textFill>
            <w14:solidFill>
              <w14:schemeClr w14:val="tx1"/>
            </w14:solidFill>
          </w14:textFill>
        </w:rPr>
        <w:t>对采购过程提出质疑的，质疑期限为各采购程序环节结束之日起计算。对同一采购程序环节的质疑，供应商须一次性提出。</w:t>
      </w:r>
    </w:p>
    <w:p w14:paraId="505F8713">
      <w:pPr>
        <w:spacing w:line="400" w:lineRule="exact"/>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32.2.2.3</w:t>
      </w:r>
      <w:r>
        <w:rPr>
          <w:rFonts w:hint="eastAsia" w:ascii="宋体" w:hAnsi="宋体"/>
          <w:bCs/>
          <w:color w:val="000000" w:themeColor="text1"/>
          <w:szCs w:val="21"/>
          <w:highlight w:val="none"/>
          <w14:textFill>
            <w14:solidFill>
              <w14:schemeClr w14:val="tx1"/>
            </w14:solidFill>
          </w14:textFill>
        </w:rPr>
        <w:t>对采购结果提出质疑的，质疑期限自采购结果公告期限届满之日起计算。</w:t>
      </w:r>
    </w:p>
    <w:p w14:paraId="653F08F9">
      <w:pPr>
        <w:spacing w:line="400" w:lineRule="exact"/>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32.2.3</w:t>
      </w:r>
      <w:r>
        <w:rPr>
          <w:rFonts w:hint="eastAsia" w:ascii="宋体" w:hAnsi="宋体"/>
          <w:bCs/>
          <w:color w:val="000000" w:themeColor="text1"/>
          <w:szCs w:val="21"/>
          <w:highlight w:val="none"/>
          <w14:textFill>
            <w14:solidFill>
              <w14:schemeClr w14:val="tx1"/>
            </w14:solidFill>
          </w14:textFill>
        </w:rPr>
        <w:t>供应商提出质疑应当提交质疑函和必要的证明材料。质疑函应当包括下列内容：</w:t>
      </w:r>
    </w:p>
    <w:p w14:paraId="2E8F94B2">
      <w:pPr>
        <w:spacing w:line="400" w:lineRule="exact"/>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32.2.3.1</w:t>
      </w:r>
      <w:r>
        <w:rPr>
          <w:rFonts w:hint="eastAsia" w:ascii="宋体" w:hAnsi="宋体"/>
          <w:bCs/>
          <w:color w:val="000000" w:themeColor="text1"/>
          <w:szCs w:val="21"/>
          <w:highlight w:val="none"/>
          <w14:textFill>
            <w14:solidFill>
              <w14:schemeClr w14:val="tx1"/>
            </w14:solidFill>
          </w14:textFill>
        </w:rPr>
        <w:t>供应商的姓名或者名称、地址、邮编、联系人及联系电话；</w:t>
      </w:r>
    </w:p>
    <w:p w14:paraId="003AF1C5">
      <w:pPr>
        <w:spacing w:line="400" w:lineRule="exact"/>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32.2.3.2</w:t>
      </w:r>
      <w:r>
        <w:rPr>
          <w:rFonts w:hint="eastAsia" w:ascii="宋体" w:hAnsi="宋体"/>
          <w:bCs/>
          <w:color w:val="000000" w:themeColor="text1"/>
          <w:szCs w:val="21"/>
          <w:highlight w:val="none"/>
          <w14:textFill>
            <w14:solidFill>
              <w14:schemeClr w14:val="tx1"/>
            </w14:solidFill>
          </w14:textFill>
        </w:rPr>
        <w:t>质疑项目的名称、编号；</w:t>
      </w:r>
    </w:p>
    <w:p w14:paraId="2A9A9630">
      <w:pPr>
        <w:spacing w:line="400" w:lineRule="exact"/>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32.2.3.3</w:t>
      </w:r>
      <w:r>
        <w:rPr>
          <w:rFonts w:hint="eastAsia" w:ascii="宋体" w:hAnsi="宋体"/>
          <w:bCs/>
          <w:color w:val="000000" w:themeColor="text1"/>
          <w:szCs w:val="21"/>
          <w:highlight w:val="none"/>
          <w14:textFill>
            <w14:solidFill>
              <w14:schemeClr w14:val="tx1"/>
            </w14:solidFill>
          </w14:textFill>
        </w:rPr>
        <w:t>具体、明确的质疑事项和与质疑事项相关的请求；</w:t>
      </w:r>
    </w:p>
    <w:p w14:paraId="10B02069">
      <w:pPr>
        <w:spacing w:line="400" w:lineRule="exact"/>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32.2.3.4</w:t>
      </w:r>
      <w:r>
        <w:rPr>
          <w:rFonts w:hint="eastAsia" w:ascii="宋体" w:hAnsi="宋体"/>
          <w:bCs/>
          <w:color w:val="000000" w:themeColor="text1"/>
          <w:szCs w:val="21"/>
          <w:highlight w:val="none"/>
          <w14:textFill>
            <w14:solidFill>
              <w14:schemeClr w14:val="tx1"/>
            </w14:solidFill>
          </w14:textFill>
        </w:rPr>
        <w:t>事实依据；</w:t>
      </w:r>
    </w:p>
    <w:p w14:paraId="50D895F4">
      <w:pPr>
        <w:spacing w:line="400" w:lineRule="exact"/>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32.2.3.5</w:t>
      </w:r>
      <w:r>
        <w:rPr>
          <w:rFonts w:hint="eastAsia" w:ascii="宋体" w:hAnsi="宋体"/>
          <w:bCs/>
          <w:color w:val="000000" w:themeColor="text1"/>
          <w:szCs w:val="21"/>
          <w:highlight w:val="none"/>
          <w14:textFill>
            <w14:solidFill>
              <w14:schemeClr w14:val="tx1"/>
            </w14:solidFill>
          </w14:textFill>
        </w:rPr>
        <w:t>必要的法律依据；</w:t>
      </w:r>
    </w:p>
    <w:p w14:paraId="50878209">
      <w:pPr>
        <w:spacing w:line="400" w:lineRule="exact"/>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32.2.3.6</w:t>
      </w:r>
      <w:r>
        <w:rPr>
          <w:rFonts w:hint="eastAsia" w:ascii="宋体" w:hAnsi="宋体"/>
          <w:bCs/>
          <w:color w:val="000000" w:themeColor="text1"/>
          <w:szCs w:val="21"/>
          <w:highlight w:val="none"/>
          <w14:textFill>
            <w14:solidFill>
              <w14:schemeClr w14:val="tx1"/>
            </w14:solidFill>
          </w14:textFill>
        </w:rPr>
        <w:t>提出质疑的日期。</w:t>
      </w:r>
    </w:p>
    <w:p w14:paraId="5B2D145A">
      <w:pPr>
        <w:spacing w:line="400" w:lineRule="exac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7FA236EB">
      <w:pPr>
        <w:spacing w:line="400" w:lineRule="exac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质疑函格式和内容须符合财政部《质疑函范本》要求，供应商可到中国政府采购网自行下载财政部《质疑函范本》。</w:t>
      </w:r>
    </w:p>
    <w:p w14:paraId="52881362">
      <w:pPr>
        <w:spacing w:line="400" w:lineRule="exact"/>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32.2.4</w:t>
      </w:r>
      <w:r>
        <w:rPr>
          <w:rFonts w:hint="eastAsia" w:ascii="宋体" w:hAnsi="宋体"/>
          <w:bCs/>
          <w:color w:val="000000" w:themeColor="text1"/>
          <w:szCs w:val="21"/>
          <w:highlight w:val="none"/>
          <w14:textFill>
            <w14:solidFill>
              <w14:schemeClr w14:val="tx1"/>
            </w14:solidFill>
          </w14:textFill>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72E96F79">
      <w:pPr>
        <w:spacing w:line="400" w:lineRule="exact"/>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32.2.5</w:t>
      </w:r>
      <w:r>
        <w:rPr>
          <w:rFonts w:hint="eastAsia" w:ascii="宋体" w:hAnsi="宋体"/>
          <w:bCs/>
          <w:color w:val="000000" w:themeColor="text1"/>
          <w:szCs w:val="21"/>
          <w:highlight w:val="none"/>
          <w14:textFill>
            <w14:solidFill>
              <w14:schemeClr w14:val="tx1"/>
            </w14:solidFill>
          </w14:textFill>
        </w:rPr>
        <w:t>询问或者质疑事项可能影响采购结果的，采购人应当暂停签订合同，已经签订合同的，应当中止履行合同。</w:t>
      </w:r>
    </w:p>
    <w:p w14:paraId="3F2BC5BF">
      <w:pPr>
        <w:spacing w:line="40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32.3 投诉</w:t>
      </w:r>
    </w:p>
    <w:p w14:paraId="0F8E4FAF">
      <w:pPr>
        <w:spacing w:line="400" w:lineRule="exact"/>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32.3.1</w:t>
      </w:r>
      <w:r>
        <w:rPr>
          <w:rFonts w:hint="eastAsia" w:ascii="宋体" w:hAnsi="宋体"/>
          <w:bCs/>
          <w:color w:val="000000" w:themeColor="text1"/>
          <w:szCs w:val="21"/>
          <w:highlight w:val="none"/>
          <w14:textFill>
            <w14:solidFill>
              <w14:schemeClr w14:val="tx1"/>
            </w14:solidFill>
          </w14:textFill>
        </w:rPr>
        <w:t>质疑供应商对采购人、采购代理机构的答复不满意或者采购人、采购代理机构未在规定的时间内作出答复的，可以在答复期满后十五个工作日内向同级政府采购监督管理部门提出投诉。</w:t>
      </w:r>
      <w:r>
        <w:rPr>
          <w:rFonts w:hint="eastAsia" w:ascii="宋体" w:hAnsi="宋体"/>
          <w:color w:val="000000" w:themeColor="text1"/>
          <w:szCs w:val="21"/>
          <w:highlight w:val="none"/>
          <w14:textFill>
            <w14:solidFill>
              <w14:schemeClr w14:val="tx1"/>
            </w14:solidFill>
          </w14:textFill>
        </w:rPr>
        <w:t>投诉函格式和内容须符合财政部《投诉函范本》要求，供应商可到中国政府采购网自行下载财政部《投诉函范本》。</w:t>
      </w:r>
    </w:p>
    <w:p w14:paraId="1F51A269">
      <w:pPr>
        <w:spacing w:line="400" w:lineRule="exact"/>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32.3.2</w:t>
      </w:r>
      <w:r>
        <w:rPr>
          <w:rFonts w:hint="eastAsia" w:ascii="宋体" w:hAnsi="宋体"/>
          <w:bCs/>
          <w:color w:val="000000" w:themeColor="text1"/>
          <w:szCs w:val="21"/>
          <w:highlight w:val="none"/>
          <w14:textFill>
            <w14:solidFill>
              <w14:schemeClr w14:val="tx1"/>
            </w14:solidFill>
          </w14:textFill>
        </w:rPr>
        <w:t>供应商投诉的事项不得超出已质疑事项的范围，基于质疑答复内容提出的投诉事项除外。</w:t>
      </w:r>
    </w:p>
    <w:p w14:paraId="1608D7EA">
      <w:pPr>
        <w:spacing w:line="400" w:lineRule="exact"/>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32.3.3</w:t>
      </w:r>
      <w:r>
        <w:rPr>
          <w:rFonts w:hint="eastAsia" w:ascii="宋体" w:hAnsi="宋体"/>
          <w:bCs/>
          <w:color w:val="000000" w:themeColor="text1"/>
          <w:szCs w:val="21"/>
          <w:highlight w:val="none"/>
          <w14:textFill>
            <w14:solidFill>
              <w14:schemeClr w14:val="tx1"/>
            </w14:solidFill>
          </w14:textFill>
        </w:rPr>
        <w:t>供应商投诉应当有明确的请求和必要的证明材料。</w:t>
      </w:r>
    </w:p>
    <w:p w14:paraId="4EA6FCDE">
      <w:pPr>
        <w:spacing w:line="400" w:lineRule="exact"/>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32.3.4</w:t>
      </w:r>
      <w:r>
        <w:rPr>
          <w:rFonts w:hint="eastAsia" w:ascii="宋体" w:hAnsi="宋体"/>
          <w:bCs/>
          <w:color w:val="000000" w:themeColor="text1"/>
          <w:szCs w:val="21"/>
          <w:highlight w:val="none"/>
          <w14:textFill>
            <w14:solidFill>
              <w14:schemeClr w14:val="tx1"/>
            </w14:solidFill>
          </w14:textFill>
        </w:rPr>
        <w:t xml:space="preserve"> 以联合体形式参加政府采购活动的，其投诉应当由组成联合体的所有供应商共同提出。</w:t>
      </w:r>
    </w:p>
    <w:p w14:paraId="13F0F5E1">
      <w:pPr>
        <w:spacing w:line="440" w:lineRule="exact"/>
        <w:ind w:firstLine="105" w:firstLineChars="50"/>
        <w:rPr>
          <w:rFonts w:ascii="宋体" w:hAnsi="宋体"/>
          <w:color w:val="000000" w:themeColor="text1"/>
          <w:szCs w:val="21"/>
          <w:highlight w:val="none"/>
          <w14:textFill>
            <w14:solidFill>
              <w14:schemeClr w14:val="tx1"/>
            </w14:solidFill>
          </w14:textFill>
        </w:rPr>
      </w:pPr>
    </w:p>
    <w:p w14:paraId="0AE77A44">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33.联合体规定</w:t>
      </w:r>
    </w:p>
    <w:p w14:paraId="57BE00D8">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33.1</w:t>
      </w:r>
      <w:r>
        <w:rPr>
          <w:rFonts w:hint="eastAsia" w:ascii="宋体" w:hAnsi="宋体"/>
          <w:color w:val="000000" w:themeColor="text1"/>
          <w:szCs w:val="21"/>
          <w:highlight w:val="none"/>
          <w14:textFill>
            <w14:solidFill>
              <w14:schemeClr w14:val="tx1"/>
            </w14:solidFill>
          </w14:textFill>
        </w:rPr>
        <w:t xml:space="preserve">  两个以上的自然人、法人或者其他组织可以组成一个联合体，以一个投标人的身份共同参加政府采购。以联合体形式进行政府采购的，参加联合体的供应商均应当具备招标文件规定的资格条件，并应当向采购人提交联合协议，载明联合体各方承担的工作和义务。联合体各方应当共同与采购人签订采购合同，就采购合同约定的事项对采购人承担连带责任。</w:t>
      </w:r>
    </w:p>
    <w:p w14:paraId="4EFD4F51">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33.2</w:t>
      </w:r>
      <w:r>
        <w:rPr>
          <w:rFonts w:hint="eastAsia" w:ascii="宋体" w:hAnsi="宋体"/>
          <w:color w:val="000000" w:themeColor="text1"/>
          <w:szCs w:val="21"/>
          <w:highlight w:val="none"/>
          <w14:textFill>
            <w14:solidFill>
              <w14:schemeClr w14:val="tx1"/>
            </w14:solidFill>
          </w14:textFill>
        </w:rPr>
        <w:t xml:space="preserve">  联合体中有同类资质的投标人按照联合体分工承担相同工作的，按照资质等级较低的投标人认定资质等级。</w:t>
      </w:r>
    </w:p>
    <w:p w14:paraId="209E577E">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33.3 </w:t>
      </w:r>
      <w:r>
        <w:rPr>
          <w:rFonts w:hint="eastAsia" w:ascii="宋体" w:hAnsi="宋体"/>
          <w:color w:val="000000" w:themeColor="text1"/>
          <w:szCs w:val="21"/>
          <w:highlight w:val="none"/>
          <w14:textFill>
            <w14:solidFill>
              <w14:schemeClr w14:val="tx1"/>
            </w14:solidFill>
          </w14:textFill>
        </w:rPr>
        <w:t xml:space="preserve"> 以联合体形式参加政府采购活动的，联合体各方不得再单独参加或者与其他投标人另外组成联合体参加同一标项号的政府采购活动。</w:t>
      </w:r>
    </w:p>
    <w:p w14:paraId="4B353778">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 xml:space="preserve">33.4 </w:t>
      </w:r>
      <w:r>
        <w:rPr>
          <w:rFonts w:hint="eastAsia" w:ascii="宋体" w:hAnsi="宋体"/>
          <w:color w:val="000000" w:themeColor="text1"/>
          <w:szCs w:val="21"/>
          <w:highlight w:val="none"/>
          <w14:textFill>
            <w14:solidFill>
              <w14:schemeClr w14:val="tx1"/>
            </w14:solidFill>
          </w14:textFill>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p w14:paraId="3690561B">
      <w:pPr>
        <w:spacing w:line="400" w:lineRule="exact"/>
        <w:ind w:firstLine="102" w:firstLineChars="49"/>
        <w:rPr>
          <w:rFonts w:ascii="宋体" w:hAnsi="宋体" w:cs="宋体"/>
          <w:color w:val="000000" w:themeColor="text1"/>
          <w:kern w:val="0"/>
          <w:szCs w:val="21"/>
          <w:highlight w:val="none"/>
          <w14:textFill>
            <w14:solidFill>
              <w14:schemeClr w14:val="tx1"/>
            </w14:solidFill>
          </w14:textFill>
        </w:rPr>
      </w:pPr>
    </w:p>
    <w:p w14:paraId="1B2D826A">
      <w:pPr>
        <w:pStyle w:val="3"/>
        <w:spacing w:line="440" w:lineRule="exact"/>
        <w:rPr>
          <w:rFonts w:ascii="宋体" w:hAnsi="宋体"/>
          <w:color w:val="000000" w:themeColor="text1"/>
          <w:sz w:val="21"/>
          <w:szCs w:val="21"/>
          <w:highlight w:val="none"/>
          <w14:textFill>
            <w14:solidFill>
              <w14:schemeClr w14:val="tx1"/>
            </w14:solidFill>
          </w14:textFill>
        </w:rPr>
      </w:pPr>
    </w:p>
    <w:bookmarkEnd w:id="71"/>
    <w:bookmarkEnd w:id="72"/>
    <w:bookmarkEnd w:id="73"/>
    <w:bookmarkEnd w:id="74"/>
    <w:bookmarkEnd w:id="75"/>
    <w:bookmarkEnd w:id="76"/>
    <w:bookmarkEnd w:id="77"/>
    <w:bookmarkEnd w:id="78"/>
    <w:p w14:paraId="4EB9EA43">
      <w:pPr>
        <w:spacing w:line="440" w:lineRule="exact"/>
        <w:ind w:firstLine="110" w:firstLineChars="50"/>
        <w:rPr>
          <w:rFonts w:ascii="宋体" w:hAnsi="宋体"/>
          <w:color w:val="000000" w:themeColor="text1"/>
          <w:sz w:val="22"/>
          <w:szCs w:val="22"/>
          <w:highlight w:val="none"/>
          <w14:textFill>
            <w14:solidFill>
              <w14:schemeClr w14:val="tx1"/>
            </w14:solidFill>
          </w14:textFill>
        </w:rPr>
        <w:sectPr>
          <w:pgSz w:w="11907" w:h="16840"/>
          <w:pgMar w:top="1111" w:right="1701" w:bottom="1428" w:left="1701" w:header="720" w:footer="720" w:gutter="0"/>
          <w:cols w:space="720" w:num="1"/>
          <w:docGrid w:type="linesAndChars" w:linePitch="286" w:charSpace="0"/>
        </w:sectPr>
      </w:pPr>
    </w:p>
    <w:p w14:paraId="25D04996">
      <w:pPr>
        <w:pStyle w:val="2"/>
        <w:spacing w:beforeLines="0" w:afterLines="0" w:line="360" w:lineRule="auto"/>
        <w:rPr>
          <w:rFonts w:ascii="宋体" w:hAnsi="宋体"/>
          <w:color w:val="000000" w:themeColor="text1"/>
          <w:sz w:val="32"/>
          <w:szCs w:val="32"/>
          <w:highlight w:val="none"/>
          <w14:textFill>
            <w14:solidFill>
              <w14:schemeClr w14:val="tx1"/>
            </w14:solidFill>
          </w14:textFill>
        </w:rPr>
      </w:pPr>
      <w:bookmarkStart w:id="128" w:name="_Toc26275"/>
      <w:bookmarkStart w:id="129" w:name="_Toc316649302"/>
      <w:r>
        <w:rPr>
          <w:rFonts w:hint="eastAsia" w:ascii="宋体" w:hAnsi="宋体"/>
          <w:color w:val="000000" w:themeColor="text1"/>
          <w:sz w:val="32"/>
          <w:szCs w:val="32"/>
          <w:highlight w:val="none"/>
          <w14:textFill>
            <w14:solidFill>
              <w14:schemeClr w14:val="tx1"/>
            </w14:solidFill>
          </w14:textFill>
        </w:rPr>
        <w:t>第五部分  评标办法</w:t>
      </w:r>
      <w:bookmarkEnd w:id="128"/>
    </w:p>
    <w:p w14:paraId="38F361A5">
      <w:pPr>
        <w:tabs>
          <w:tab w:val="left" w:pos="0"/>
          <w:tab w:val="left" w:pos="723"/>
        </w:tabs>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一、总则：</w:t>
      </w:r>
    </w:p>
    <w:p w14:paraId="722306A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1、本办法严格遵照《中华人民共和国政府采购法》《中华人民共和国政府采购法实施条例》《政府采购货物和服务招标投标管理办法》（87号令），结合项目所在地有关政府采购的规定和项目的实际情况制定。</w:t>
      </w:r>
      <w:r>
        <w:rPr>
          <w:rFonts w:hint="eastAsia" w:ascii="宋体" w:hAnsi="宋体" w:cs="宋体"/>
          <w:color w:val="000000" w:themeColor="text1"/>
          <w:szCs w:val="21"/>
          <w:highlight w:val="none"/>
          <w14:textFill>
            <w14:solidFill>
              <w14:schemeClr w14:val="tx1"/>
            </w14:solidFill>
          </w14:textFill>
        </w:rPr>
        <w:t>本评标标准是对“投标人须知”相关条款的具体表述或补充，如有矛盾，应以本办法为准。</w:t>
      </w:r>
    </w:p>
    <w:p w14:paraId="16D7EB0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2、本项目评标采用综合评分法。</w:t>
      </w:r>
    </w:p>
    <w:p w14:paraId="4FA914C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本次采购为专门面向中小微企业项目。在评审时，不考虑价格扣除</w:t>
      </w:r>
      <w:r>
        <w:rPr>
          <w:rFonts w:hint="eastAsia" w:ascii="宋体" w:hAnsi="宋体" w:cs="宋体"/>
          <w:color w:val="000000" w:themeColor="text1"/>
          <w:szCs w:val="21"/>
          <w:highlight w:val="none"/>
          <w14:textFill>
            <w14:solidFill>
              <w14:schemeClr w14:val="tx1"/>
            </w14:solidFill>
          </w14:textFill>
        </w:rPr>
        <w:t>。</w:t>
      </w:r>
    </w:p>
    <w:p w14:paraId="0A921908">
      <w:pPr>
        <w:tabs>
          <w:tab w:val="left" w:pos="0"/>
          <w:tab w:val="left" w:pos="723"/>
        </w:tabs>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二、评标组织</w:t>
      </w:r>
    </w:p>
    <w:p w14:paraId="71CA04A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评标委员会：采购人和采购代理机构根据采购项目的内容和特点，按国家相关规定组建评标委员会。评标委员会由采购人代表、技术、经济方面专家等人员组成。</w:t>
      </w:r>
    </w:p>
    <w:p w14:paraId="51E054EC">
      <w:pPr>
        <w:widowControl/>
        <w:tabs>
          <w:tab w:val="left" w:pos="0"/>
          <w:tab w:val="left" w:pos="723"/>
        </w:tabs>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三、评标程序</w:t>
      </w:r>
    </w:p>
    <w:p w14:paraId="3A9B09ED">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1．资格审查：由采购人或代理机构对投标人的资格进行审查。在资格审查时，如发现有不满足下列情形之一的，将被视为无效投标文件。</w:t>
      </w:r>
    </w:p>
    <w:tbl>
      <w:tblPr>
        <w:tblStyle w:val="34"/>
        <w:tblW w:w="83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6805"/>
      </w:tblGrid>
      <w:tr w14:paraId="3853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3" w:type="dxa"/>
            <w:vAlign w:val="center"/>
          </w:tcPr>
          <w:p w14:paraId="7FB308E1">
            <w:pPr>
              <w:spacing w:line="336"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审查类别</w:t>
            </w:r>
          </w:p>
        </w:tc>
        <w:tc>
          <w:tcPr>
            <w:tcW w:w="6805" w:type="dxa"/>
            <w:vAlign w:val="center"/>
          </w:tcPr>
          <w:p w14:paraId="71605DB7">
            <w:pPr>
              <w:spacing w:line="336"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审查内容</w:t>
            </w:r>
          </w:p>
        </w:tc>
      </w:tr>
      <w:tr w14:paraId="78BE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restart"/>
            <w:vAlign w:val="center"/>
          </w:tcPr>
          <w:p w14:paraId="6B5C5D08">
            <w:pPr>
              <w:spacing w:line="33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资格条件审查</w:t>
            </w:r>
          </w:p>
        </w:tc>
        <w:tc>
          <w:tcPr>
            <w:tcW w:w="6805" w:type="dxa"/>
          </w:tcPr>
          <w:p w14:paraId="7D322A75">
            <w:pPr>
              <w:widowControl/>
              <w:numPr>
                <w:ilvl w:val="0"/>
                <w:numId w:val="2"/>
              </w:numPr>
              <w:spacing w:line="336"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满足《中华人民共和国政府采购法》第二十二条规定；未被“信用中国”（www.creditchina.gov.cn)、中国政府采购网（www.ccgp.gov.cn）列入失信被执行人、重大税收违法案件当事人名单、政府采购严重违法失信行为记录名单，提供</w:t>
            </w:r>
            <w:r>
              <w:rPr>
                <w:rFonts w:hint="eastAsia" w:asciiTheme="minorEastAsia" w:hAnsiTheme="minorEastAsia" w:eastAsiaTheme="minorEastAsia"/>
                <w:color w:val="000000" w:themeColor="text1"/>
                <w:szCs w:val="21"/>
                <w:highlight w:val="none"/>
                <w14:textFill>
                  <w14:solidFill>
                    <w14:schemeClr w14:val="tx1"/>
                  </w14:solidFill>
                </w14:textFill>
              </w:rPr>
              <w:t>参加政府采购活动应当具备的一般条件的承诺函。</w:t>
            </w:r>
          </w:p>
        </w:tc>
      </w:tr>
      <w:tr w14:paraId="089A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vAlign w:val="center"/>
          </w:tcPr>
          <w:p w14:paraId="15C74E3F">
            <w:pPr>
              <w:spacing w:line="336" w:lineRule="auto"/>
              <w:jc w:val="center"/>
              <w:rPr>
                <w:rFonts w:ascii="宋体" w:hAnsi="宋体" w:cs="宋体"/>
                <w:color w:val="000000" w:themeColor="text1"/>
                <w:szCs w:val="21"/>
                <w:highlight w:val="none"/>
                <w14:textFill>
                  <w14:solidFill>
                    <w14:schemeClr w14:val="tx1"/>
                  </w14:solidFill>
                </w14:textFill>
              </w:rPr>
            </w:pPr>
          </w:p>
        </w:tc>
        <w:tc>
          <w:tcPr>
            <w:tcW w:w="6805" w:type="dxa"/>
          </w:tcPr>
          <w:p w14:paraId="40CBF368">
            <w:pPr>
              <w:widowControl/>
              <w:numPr>
                <w:ilvl w:val="0"/>
                <w:numId w:val="2"/>
              </w:numPr>
              <w:spacing w:line="336"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营业执照副本（或事业法人登记证副本或其他登记证明材料）复印件加盖投标人公章（投标人如果有名称变更的，应提供由行政主管部门出具的变更证明文件复印件加盖投标人公章）</w:t>
            </w:r>
          </w:p>
        </w:tc>
      </w:tr>
      <w:tr w14:paraId="4864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23" w:type="dxa"/>
            <w:vMerge w:val="continue"/>
          </w:tcPr>
          <w:p w14:paraId="43AACCD7">
            <w:pPr>
              <w:spacing w:line="336" w:lineRule="auto"/>
              <w:rPr>
                <w:rFonts w:ascii="宋体" w:hAnsi="宋体" w:cs="宋体"/>
                <w:color w:val="000000" w:themeColor="text1"/>
                <w:szCs w:val="21"/>
                <w:highlight w:val="none"/>
                <w14:textFill>
                  <w14:solidFill>
                    <w14:schemeClr w14:val="tx1"/>
                  </w14:solidFill>
                </w14:textFill>
              </w:rPr>
            </w:pPr>
          </w:p>
        </w:tc>
        <w:tc>
          <w:tcPr>
            <w:tcW w:w="6805" w:type="dxa"/>
          </w:tcPr>
          <w:p w14:paraId="17487BA2">
            <w:pPr>
              <w:widowControl/>
              <w:numPr>
                <w:ilvl w:val="0"/>
                <w:numId w:val="2"/>
              </w:numPr>
              <w:spacing w:line="336"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落实政府采购政策需满足的资格要求：</w:t>
            </w:r>
            <w:r>
              <w:rPr>
                <w:rFonts w:hint="eastAsia" w:ascii="宋体" w:hAnsi="宋体" w:cs="宋体"/>
                <w:bCs/>
                <w:color w:val="000000" w:themeColor="text1"/>
                <w:highlight w:val="none"/>
                <w14:textFill>
                  <w14:solidFill>
                    <w14:schemeClr w14:val="tx1"/>
                  </w14:solidFill>
                </w14:textFill>
              </w:rPr>
              <w:t>依据《政府采购促进中小企业发展管理办法》(财库〔2020〕46号和镇采购办[2022] 1号文，本项目为专门面向中小微企业采购，提供的服务属于“其他未列明行业”的中型、小型、微型企业(须提供中小微企业声明书)，监狱企业、残疾人福利性单位视同中型、小型、微型企业(提供相关证明材料)方可参与本项目。中小微企业划型标准详见[2011]300号文</w:t>
            </w:r>
            <w:r>
              <w:rPr>
                <w:rFonts w:hint="eastAsia" w:ascii="宋体" w:hAnsi="宋体" w:cs="宋体"/>
                <w:bCs/>
                <w:color w:val="000000" w:themeColor="text1"/>
                <w:highlight w:val="none"/>
                <w:lang w:eastAsia="zh-CN"/>
                <w14:textFill>
                  <w14:solidFill>
                    <w14:schemeClr w14:val="tx1"/>
                  </w14:solidFill>
                </w14:textFill>
              </w:rPr>
              <w:t>。</w:t>
            </w:r>
          </w:p>
        </w:tc>
      </w:tr>
      <w:tr w14:paraId="2DA1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tcPr>
          <w:p w14:paraId="213687A0">
            <w:pPr>
              <w:spacing w:line="336" w:lineRule="auto"/>
              <w:rPr>
                <w:rFonts w:ascii="宋体" w:hAnsi="宋体" w:cs="宋体"/>
                <w:color w:val="000000" w:themeColor="text1"/>
                <w:szCs w:val="21"/>
                <w:highlight w:val="none"/>
                <w14:textFill>
                  <w14:solidFill>
                    <w14:schemeClr w14:val="tx1"/>
                  </w14:solidFill>
                </w14:textFill>
              </w:rPr>
            </w:pPr>
          </w:p>
        </w:tc>
        <w:tc>
          <w:tcPr>
            <w:tcW w:w="6805" w:type="dxa"/>
          </w:tcPr>
          <w:p w14:paraId="098769C9">
            <w:pPr>
              <w:spacing w:line="33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（四）特定资格条件：</w:t>
            </w:r>
            <w:r>
              <w:rPr>
                <w:rFonts w:hint="eastAsia" w:ascii="宋体" w:hAnsi="宋体" w:cs="宋体"/>
                <w:iCs/>
                <w:color w:val="000000" w:themeColor="text1"/>
                <w:highlight w:val="none"/>
                <w14:textFill>
                  <w14:solidFill>
                    <w14:schemeClr w14:val="tx1"/>
                  </w14:solidFill>
                </w14:textFill>
              </w:rPr>
              <w:t>无</w:t>
            </w:r>
          </w:p>
        </w:tc>
      </w:tr>
    </w:tbl>
    <w:p w14:paraId="306162F4">
      <w:pPr>
        <w:spacing w:line="360" w:lineRule="auto"/>
        <w:rPr>
          <w:rFonts w:ascii="宋体" w:hAnsi="宋体"/>
          <w:color w:val="000000" w:themeColor="text1"/>
          <w:szCs w:val="21"/>
          <w:highlight w:val="none"/>
          <w14:textFill>
            <w14:solidFill>
              <w14:schemeClr w14:val="tx1"/>
            </w14:solidFill>
          </w14:textFill>
        </w:rPr>
      </w:pPr>
    </w:p>
    <w:p w14:paraId="2F5F26EE">
      <w:pPr>
        <w:numPr>
          <w:ilvl w:val="0"/>
          <w:numId w:val="3"/>
        </w:num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符合性检查：</w:t>
      </w:r>
      <w:r>
        <w:rPr>
          <w:rFonts w:hint="eastAsia" w:ascii="宋体" w:hAnsi="宋体" w:cs="宋体"/>
          <w:color w:val="000000" w:themeColor="text1"/>
          <w:kern w:val="0"/>
          <w:szCs w:val="21"/>
          <w:highlight w:val="none"/>
          <w14:textFill>
            <w14:solidFill>
              <w14:schemeClr w14:val="tx1"/>
            </w14:solidFill>
          </w14:textFill>
        </w:rPr>
        <w:t>评标委员会应当对符合资格审查的投标人的投标文件进行符合性审查，以确定其是否满足招标文件的实质性要求。在符合性审查时，如发现有不满足下列情形之一的，将被视为无效投标文件。</w:t>
      </w:r>
    </w:p>
    <w:p w14:paraId="065A21D9">
      <w:pPr>
        <w:pStyle w:val="15"/>
        <w:rPr>
          <w:color w:val="000000" w:themeColor="text1"/>
          <w:highlight w:val="none"/>
          <w14:textFill>
            <w14:solidFill>
              <w14:schemeClr w14:val="tx1"/>
            </w14:solidFill>
          </w14:textFill>
        </w:rPr>
      </w:pPr>
    </w:p>
    <w:p w14:paraId="0F61BF31">
      <w:pPr>
        <w:rPr>
          <w:color w:val="000000" w:themeColor="text1"/>
          <w:highlight w:val="none"/>
          <w14:textFill>
            <w14:solidFill>
              <w14:schemeClr w14:val="tx1"/>
            </w14:solidFill>
          </w14:textFill>
        </w:rPr>
      </w:pPr>
    </w:p>
    <w:tbl>
      <w:tblPr>
        <w:tblStyle w:val="34"/>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789"/>
      </w:tblGrid>
      <w:tr w14:paraId="6413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1526" w:type="dxa"/>
            <w:vAlign w:val="center"/>
          </w:tcPr>
          <w:p w14:paraId="21F76162">
            <w:pPr>
              <w:spacing w:line="336"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审查类别</w:t>
            </w:r>
          </w:p>
        </w:tc>
        <w:tc>
          <w:tcPr>
            <w:tcW w:w="6789" w:type="dxa"/>
            <w:vAlign w:val="center"/>
          </w:tcPr>
          <w:p w14:paraId="1AC30342">
            <w:pPr>
              <w:spacing w:line="336"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审查内容</w:t>
            </w:r>
          </w:p>
        </w:tc>
      </w:tr>
      <w:tr w14:paraId="5252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5C2D56D2">
            <w:pPr>
              <w:spacing w:line="33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符合性审查</w:t>
            </w:r>
          </w:p>
          <w:p w14:paraId="51FB5523">
            <w:pPr>
              <w:spacing w:line="33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（商务技术文件）</w:t>
            </w:r>
          </w:p>
        </w:tc>
        <w:tc>
          <w:tcPr>
            <w:tcW w:w="6789" w:type="dxa"/>
            <w:vAlign w:val="center"/>
          </w:tcPr>
          <w:p w14:paraId="4AA1F8F3">
            <w:pPr>
              <w:tabs>
                <w:tab w:val="left" w:pos="612"/>
              </w:tabs>
              <w:spacing w:line="33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（一）按照招标文件规定要求签署或盖章；</w:t>
            </w:r>
          </w:p>
        </w:tc>
      </w:tr>
      <w:tr w14:paraId="0327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4D4C1C75">
            <w:pPr>
              <w:spacing w:line="336" w:lineRule="auto"/>
              <w:jc w:val="center"/>
              <w:rPr>
                <w:rFonts w:ascii="宋体" w:hAnsi="宋体" w:cs="宋体"/>
                <w:color w:val="000000" w:themeColor="text1"/>
                <w:szCs w:val="21"/>
                <w:highlight w:val="none"/>
                <w14:textFill>
                  <w14:solidFill>
                    <w14:schemeClr w14:val="tx1"/>
                  </w14:solidFill>
                </w14:textFill>
              </w:rPr>
            </w:pPr>
          </w:p>
        </w:tc>
        <w:tc>
          <w:tcPr>
            <w:tcW w:w="6789" w:type="dxa"/>
            <w:vAlign w:val="center"/>
          </w:tcPr>
          <w:p w14:paraId="010A5074">
            <w:pPr>
              <w:tabs>
                <w:tab w:val="left" w:pos="612"/>
              </w:tabs>
              <w:spacing w:line="33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（二）投标文件有法定代表人签署本人姓名（或印盖本人姓名章），或签署人提供有效的法定代表人授权委托书且授权委托书填写项目齐全的；</w:t>
            </w:r>
          </w:p>
        </w:tc>
      </w:tr>
      <w:tr w14:paraId="4AAC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1F6E8043">
            <w:pPr>
              <w:spacing w:line="336" w:lineRule="auto"/>
              <w:jc w:val="center"/>
              <w:rPr>
                <w:rFonts w:ascii="宋体" w:hAnsi="宋体" w:cs="宋体"/>
                <w:color w:val="000000" w:themeColor="text1"/>
                <w:szCs w:val="21"/>
                <w:highlight w:val="none"/>
                <w14:textFill>
                  <w14:solidFill>
                    <w14:schemeClr w14:val="tx1"/>
                  </w14:solidFill>
                </w14:textFill>
              </w:rPr>
            </w:pPr>
          </w:p>
        </w:tc>
        <w:tc>
          <w:tcPr>
            <w:tcW w:w="6789" w:type="dxa"/>
            <w:vAlign w:val="center"/>
          </w:tcPr>
          <w:p w14:paraId="744D0A1F">
            <w:pPr>
              <w:tabs>
                <w:tab w:val="left" w:pos="612"/>
              </w:tabs>
              <w:spacing w:line="33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（三）投标文件项目齐全；</w:t>
            </w:r>
          </w:p>
        </w:tc>
      </w:tr>
      <w:tr w14:paraId="1072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1BB50BD3">
            <w:pPr>
              <w:spacing w:line="336" w:lineRule="auto"/>
              <w:jc w:val="center"/>
              <w:rPr>
                <w:rFonts w:ascii="宋体" w:hAnsi="宋体" w:cs="宋体"/>
                <w:color w:val="000000" w:themeColor="text1"/>
                <w:szCs w:val="21"/>
                <w:highlight w:val="none"/>
                <w14:textFill>
                  <w14:solidFill>
                    <w14:schemeClr w14:val="tx1"/>
                  </w14:solidFill>
                </w14:textFill>
              </w:rPr>
            </w:pPr>
          </w:p>
        </w:tc>
        <w:tc>
          <w:tcPr>
            <w:tcW w:w="6789" w:type="dxa"/>
            <w:vAlign w:val="center"/>
          </w:tcPr>
          <w:p w14:paraId="7F02CB12">
            <w:pPr>
              <w:tabs>
                <w:tab w:val="left" w:pos="612"/>
              </w:tabs>
              <w:spacing w:line="336"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（四）投标文件标明的响应或偏离与事实相符且无虚假投标的；</w:t>
            </w:r>
          </w:p>
        </w:tc>
      </w:tr>
      <w:tr w14:paraId="155C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24A5E64F">
            <w:pPr>
              <w:spacing w:line="336" w:lineRule="auto"/>
              <w:jc w:val="center"/>
              <w:rPr>
                <w:rFonts w:ascii="宋体" w:hAnsi="宋体" w:cs="宋体"/>
                <w:color w:val="000000" w:themeColor="text1"/>
                <w:szCs w:val="21"/>
                <w:highlight w:val="none"/>
                <w14:textFill>
                  <w14:solidFill>
                    <w14:schemeClr w14:val="tx1"/>
                  </w14:solidFill>
                </w14:textFill>
              </w:rPr>
            </w:pPr>
          </w:p>
        </w:tc>
        <w:tc>
          <w:tcPr>
            <w:tcW w:w="6789" w:type="dxa"/>
            <w:vAlign w:val="center"/>
          </w:tcPr>
          <w:p w14:paraId="62E3F6E7">
            <w:pPr>
              <w:tabs>
                <w:tab w:val="left" w:pos="612"/>
              </w:tabs>
              <w:spacing w:line="33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（五）投标文件的实质性内容使用中文表述且意思表述明确，前后无矛盾且使用计量单位符合招标文件要求的；</w:t>
            </w:r>
          </w:p>
        </w:tc>
      </w:tr>
      <w:tr w14:paraId="676E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249B0A6F">
            <w:pPr>
              <w:spacing w:line="336" w:lineRule="auto"/>
              <w:jc w:val="center"/>
              <w:rPr>
                <w:rFonts w:ascii="宋体" w:hAnsi="宋体" w:cs="宋体"/>
                <w:color w:val="000000" w:themeColor="text1"/>
                <w:szCs w:val="21"/>
                <w:highlight w:val="none"/>
                <w14:textFill>
                  <w14:solidFill>
                    <w14:schemeClr w14:val="tx1"/>
                  </w14:solidFill>
                </w14:textFill>
              </w:rPr>
            </w:pPr>
          </w:p>
        </w:tc>
        <w:tc>
          <w:tcPr>
            <w:tcW w:w="6789" w:type="dxa"/>
            <w:vAlign w:val="center"/>
          </w:tcPr>
          <w:p w14:paraId="48ED34DA">
            <w:pPr>
              <w:tabs>
                <w:tab w:val="left" w:pos="612"/>
              </w:tabs>
              <w:spacing w:line="33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（六）带“★”的条款满足招标文件要求、已实质性响应招标文件要求且投标文件无采购人不能接受的附加条件的；</w:t>
            </w:r>
          </w:p>
        </w:tc>
      </w:tr>
      <w:tr w14:paraId="36ED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379CB4FA">
            <w:pPr>
              <w:spacing w:line="336" w:lineRule="auto"/>
              <w:jc w:val="center"/>
              <w:rPr>
                <w:rFonts w:ascii="宋体" w:hAnsi="宋体" w:cs="宋体"/>
                <w:color w:val="000000" w:themeColor="text1"/>
                <w:szCs w:val="21"/>
                <w:highlight w:val="none"/>
                <w14:textFill>
                  <w14:solidFill>
                    <w14:schemeClr w14:val="tx1"/>
                  </w14:solidFill>
                </w14:textFill>
              </w:rPr>
            </w:pPr>
          </w:p>
        </w:tc>
        <w:tc>
          <w:tcPr>
            <w:tcW w:w="6789" w:type="dxa"/>
            <w:vAlign w:val="center"/>
          </w:tcPr>
          <w:p w14:paraId="1F987FCB">
            <w:pPr>
              <w:tabs>
                <w:tab w:val="left" w:pos="612"/>
              </w:tabs>
              <w:spacing w:line="33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（七）投标技术方案明确，不存在一个或一个以上备选（替代）投标方案的；</w:t>
            </w:r>
          </w:p>
        </w:tc>
      </w:tr>
      <w:tr w14:paraId="5B1F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continue"/>
            <w:vAlign w:val="center"/>
          </w:tcPr>
          <w:p w14:paraId="25098C95">
            <w:pPr>
              <w:spacing w:line="336" w:lineRule="auto"/>
              <w:jc w:val="center"/>
              <w:rPr>
                <w:rFonts w:ascii="宋体" w:hAnsi="宋体" w:cs="宋体"/>
                <w:color w:val="000000" w:themeColor="text1"/>
                <w:szCs w:val="21"/>
                <w:highlight w:val="none"/>
                <w14:textFill>
                  <w14:solidFill>
                    <w14:schemeClr w14:val="tx1"/>
                  </w14:solidFill>
                </w14:textFill>
              </w:rPr>
            </w:pPr>
          </w:p>
        </w:tc>
        <w:tc>
          <w:tcPr>
            <w:tcW w:w="6789" w:type="dxa"/>
            <w:vAlign w:val="center"/>
          </w:tcPr>
          <w:p w14:paraId="1E6A6F89">
            <w:pPr>
              <w:tabs>
                <w:tab w:val="left" w:pos="612"/>
              </w:tabs>
              <w:spacing w:line="33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（八）不存在法律、法规和招标文件规定的其他无效情形；</w:t>
            </w:r>
          </w:p>
        </w:tc>
      </w:tr>
      <w:tr w14:paraId="29D2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18281951">
            <w:pPr>
              <w:spacing w:line="336" w:lineRule="auto"/>
              <w:jc w:val="center"/>
              <w:rPr>
                <w:rFonts w:ascii="宋体" w:hAnsi="宋体" w:cs="宋体"/>
                <w:color w:val="000000" w:themeColor="text1"/>
                <w:szCs w:val="21"/>
                <w:highlight w:val="none"/>
                <w14:textFill>
                  <w14:solidFill>
                    <w14:schemeClr w14:val="tx1"/>
                  </w14:solidFill>
                </w14:textFill>
              </w:rPr>
            </w:pPr>
          </w:p>
        </w:tc>
        <w:tc>
          <w:tcPr>
            <w:tcW w:w="6789" w:type="dxa"/>
            <w:vAlign w:val="center"/>
          </w:tcPr>
          <w:p w14:paraId="01D291CB">
            <w:pPr>
              <w:tabs>
                <w:tab w:val="left" w:pos="612"/>
              </w:tabs>
              <w:spacing w:line="33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（九）不存在投标文件的有效期不满足招标文件要求情形；</w:t>
            </w:r>
          </w:p>
        </w:tc>
      </w:tr>
      <w:tr w14:paraId="2B4E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7149393E">
            <w:pPr>
              <w:spacing w:line="33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符合性审查</w:t>
            </w:r>
          </w:p>
          <w:p w14:paraId="2AB5ED32">
            <w:pPr>
              <w:spacing w:line="33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（报价文件）</w:t>
            </w:r>
          </w:p>
        </w:tc>
        <w:tc>
          <w:tcPr>
            <w:tcW w:w="6789" w:type="dxa"/>
            <w:vAlign w:val="center"/>
          </w:tcPr>
          <w:p w14:paraId="1188AD14">
            <w:pPr>
              <w:spacing w:line="33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（一）按照招标文件规定要求签署或盖章；</w:t>
            </w:r>
          </w:p>
        </w:tc>
      </w:tr>
      <w:tr w14:paraId="0894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586AE0AF">
            <w:pPr>
              <w:spacing w:line="336" w:lineRule="auto"/>
              <w:jc w:val="center"/>
              <w:rPr>
                <w:rFonts w:ascii="宋体" w:hAnsi="宋体" w:cs="宋体"/>
                <w:color w:val="000000" w:themeColor="text1"/>
                <w:szCs w:val="21"/>
                <w:highlight w:val="none"/>
                <w14:textFill>
                  <w14:solidFill>
                    <w14:schemeClr w14:val="tx1"/>
                  </w14:solidFill>
                </w14:textFill>
              </w:rPr>
            </w:pPr>
          </w:p>
        </w:tc>
        <w:tc>
          <w:tcPr>
            <w:tcW w:w="6789" w:type="dxa"/>
            <w:vAlign w:val="center"/>
          </w:tcPr>
          <w:p w14:paraId="4EE3A00C">
            <w:pPr>
              <w:tabs>
                <w:tab w:val="left" w:pos="612"/>
              </w:tabs>
              <w:spacing w:line="33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（二）投标文件项目齐全；</w:t>
            </w:r>
          </w:p>
        </w:tc>
      </w:tr>
      <w:tr w14:paraId="0E1F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7FA98313">
            <w:pPr>
              <w:spacing w:line="336" w:lineRule="auto"/>
              <w:ind w:firstLine="210" w:firstLineChars="100"/>
              <w:rPr>
                <w:rFonts w:ascii="宋体" w:hAnsi="宋体" w:cs="宋体"/>
                <w:color w:val="000000" w:themeColor="text1"/>
                <w:szCs w:val="21"/>
                <w:highlight w:val="none"/>
                <w14:textFill>
                  <w14:solidFill>
                    <w14:schemeClr w14:val="tx1"/>
                  </w14:solidFill>
                </w14:textFill>
              </w:rPr>
            </w:pPr>
          </w:p>
        </w:tc>
        <w:tc>
          <w:tcPr>
            <w:tcW w:w="6789" w:type="dxa"/>
            <w:vAlign w:val="center"/>
          </w:tcPr>
          <w:p w14:paraId="0E17FD29">
            <w:pPr>
              <w:spacing w:line="33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（三）投标函已提交并符合招标文件要求；</w:t>
            </w:r>
          </w:p>
        </w:tc>
      </w:tr>
      <w:tr w14:paraId="3253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30D37253">
            <w:pPr>
              <w:spacing w:line="336" w:lineRule="auto"/>
              <w:ind w:firstLine="210" w:firstLineChars="100"/>
              <w:rPr>
                <w:rFonts w:ascii="宋体" w:hAnsi="宋体" w:cs="宋体"/>
                <w:color w:val="000000" w:themeColor="text1"/>
                <w:szCs w:val="21"/>
                <w:highlight w:val="none"/>
                <w14:textFill>
                  <w14:solidFill>
                    <w14:schemeClr w14:val="tx1"/>
                  </w14:solidFill>
                </w14:textFill>
              </w:rPr>
            </w:pPr>
          </w:p>
        </w:tc>
        <w:tc>
          <w:tcPr>
            <w:tcW w:w="6789" w:type="dxa"/>
            <w:vAlign w:val="center"/>
          </w:tcPr>
          <w:p w14:paraId="2250F140">
            <w:pPr>
              <w:spacing w:line="33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（四）采用人民币报价或者按照招标文件标明的币种报价的；</w:t>
            </w:r>
          </w:p>
        </w:tc>
      </w:tr>
      <w:tr w14:paraId="1CE5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0A247B0D">
            <w:pPr>
              <w:spacing w:line="336" w:lineRule="auto"/>
              <w:ind w:firstLine="210" w:firstLineChars="100"/>
              <w:rPr>
                <w:rFonts w:ascii="宋体" w:hAnsi="宋体" w:cs="宋体"/>
                <w:color w:val="000000" w:themeColor="text1"/>
                <w:szCs w:val="21"/>
                <w:highlight w:val="none"/>
                <w14:textFill>
                  <w14:solidFill>
                    <w14:schemeClr w14:val="tx1"/>
                  </w14:solidFill>
                </w14:textFill>
              </w:rPr>
            </w:pPr>
          </w:p>
        </w:tc>
        <w:tc>
          <w:tcPr>
            <w:tcW w:w="6789" w:type="dxa"/>
            <w:vAlign w:val="center"/>
          </w:tcPr>
          <w:p w14:paraId="28500AC6">
            <w:pPr>
              <w:spacing w:line="33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（五）不存在报价超出最高限价，或者超出采购预算金额，采购人不能支付的情形。</w:t>
            </w:r>
          </w:p>
        </w:tc>
      </w:tr>
      <w:tr w14:paraId="7AD1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20777F2A">
            <w:pPr>
              <w:spacing w:line="336" w:lineRule="auto"/>
              <w:ind w:firstLine="210" w:firstLineChars="100"/>
              <w:rPr>
                <w:rFonts w:ascii="宋体" w:hAnsi="宋体" w:cs="宋体"/>
                <w:color w:val="000000" w:themeColor="text1"/>
                <w:szCs w:val="21"/>
                <w:highlight w:val="none"/>
                <w14:textFill>
                  <w14:solidFill>
                    <w14:schemeClr w14:val="tx1"/>
                  </w14:solidFill>
                </w14:textFill>
              </w:rPr>
            </w:pPr>
          </w:p>
        </w:tc>
        <w:tc>
          <w:tcPr>
            <w:tcW w:w="6789" w:type="dxa"/>
            <w:vAlign w:val="center"/>
          </w:tcPr>
          <w:p w14:paraId="2293E39D">
            <w:pPr>
              <w:spacing w:line="33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（六）不存在投标报价具有选择性的情形；</w:t>
            </w:r>
          </w:p>
        </w:tc>
      </w:tr>
      <w:tr w14:paraId="069F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0385A21C">
            <w:pPr>
              <w:spacing w:line="336" w:lineRule="auto"/>
              <w:ind w:firstLine="210" w:firstLineChars="100"/>
              <w:rPr>
                <w:rFonts w:ascii="宋体" w:hAnsi="宋体" w:cs="宋体"/>
                <w:color w:val="000000" w:themeColor="text1"/>
                <w:szCs w:val="21"/>
                <w:highlight w:val="none"/>
                <w14:textFill>
                  <w14:solidFill>
                    <w14:schemeClr w14:val="tx1"/>
                  </w14:solidFill>
                </w14:textFill>
              </w:rPr>
            </w:pPr>
          </w:p>
        </w:tc>
        <w:tc>
          <w:tcPr>
            <w:tcW w:w="6789" w:type="dxa"/>
            <w:vAlign w:val="center"/>
          </w:tcPr>
          <w:p w14:paraId="7E8E3A49">
            <w:pPr>
              <w:spacing w:line="33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（七）投标报价中未出现重大缺项、漏项；</w:t>
            </w:r>
          </w:p>
        </w:tc>
      </w:tr>
      <w:tr w14:paraId="5058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53D3101C">
            <w:pPr>
              <w:spacing w:line="336" w:lineRule="auto"/>
              <w:ind w:firstLine="210" w:firstLineChars="100"/>
              <w:rPr>
                <w:rFonts w:ascii="宋体" w:hAnsi="宋体" w:cs="宋体"/>
                <w:color w:val="000000" w:themeColor="text1"/>
                <w:szCs w:val="21"/>
                <w:highlight w:val="none"/>
                <w14:textFill>
                  <w14:solidFill>
                    <w14:schemeClr w14:val="tx1"/>
                  </w14:solidFill>
                </w14:textFill>
              </w:rPr>
            </w:pPr>
          </w:p>
        </w:tc>
        <w:tc>
          <w:tcPr>
            <w:tcW w:w="6789" w:type="dxa"/>
            <w:vAlign w:val="center"/>
          </w:tcPr>
          <w:p w14:paraId="4354B568">
            <w:pPr>
              <w:spacing w:line="33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（八）不存在评标委员会认为投标人的报价明显低于其他通过符合性审查投标人的报价，有可能影响产品质量或者不能诚信履约的且不能在评标现场合理时间内提供相关证明材料说明其报价的合理性的情形；</w:t>
            </w:r>
          </w:p>
        </w:tc>
      </w:tr>
      <w:tr w14:paraId="7701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170F381B">
            <w:pPr>
              <w:spacing w:line="336" w:lineRule="auto"/>
              <w:ind w:firstLine="210" w:firstLineChars="100"/>
              <w:rPr>
                <w:rFonts w:ascii="宋体" w:hAnsi="宋体" w:cs="宋体"/>
                <w:color w:val="000000" w:themeColor="text1"/>
                <w:szCs w:val="21"/>
                <w:highlight w:val="none"/>
                <w14:textFill>
                  <w14:solidFill>
                    <w14:schemeClr w14:val="tx1"/>
                  </w14:solidFill>
                </w14:textFill>
              </w:rPr>
            </w:pPr>
          </w:p>
        </w:tc>
        <w:tc>
          <w:tcPr>
            <w:tcW w:w="6789" w:type="dxa"/>
            <w:vAlign w:val="center"/>
          </w:tcPr>
          <w:p w14:paraId="37410E76">
            <w:pPr>
              <w:spacing w:line="33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（九）投标文件（报价文件）内容与投标文件（商务技术文件）内容不存在重大差异的；</w:t>
            </w:r>
          </w:p>
        </w:tc>
      </w:tr>
      <w:tr w14:paraId="1637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3D9F54D4">
            <w:pPr>
              <w:spacing w:line="336" w:lineRule="auto"/>
              <w:ind w:firstLine="210" w:firstLineChars="100"/>
              <w:rPr>
                <w:rFonts w:ascii="宋体" w:hAnsi="宋体" w:cs="宋体"/>
                <w:color w:val="000000" w:themeColor="text1"/>
                <w:szCs w:val="21"/>
                <w:highlight w:val="none"/>
                <w14:textFill>
                  <w14:solidFill>
                    <w14:schemeClr w14:val="tx1"/>
                  </w14:solidFill>
                </w14:textFill>
              </w:rPr>
            </w:pPr>
          </w:p>
        </w:tc>
        <w:tc>
          <w:tcPr>
            <w:tcW w:w="6789" w:type="dxa"/>
            <w:vAlign w:val="center"/>
          </w:tcPr>
          <w:p w14:paraId="2805F48A">
            <w:pPr>
              <w:spacing w:line="33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（十）不存在法律、法规和招标文件规定的其他无效情形；</w:t>
            </w:r>
          </w:p>
        </w:tc>
      </w:tr>
    </w:tbl>
    <w:p w14:paraId="39257341">
      <w:pPr>
        <w:spacing w:line="360" w:lineRule="auto"/>
        <w:rPr>
          <w:rFonts w:ascii="宋体" w:hAnsi="宋体"/>
          <w:color w:val="000000" w:themeColor="text1"/>
          <w:szCs w:val="21"/>
          <w:highlight w:val="none"/>
          <w14:textFill>
            <w14:solidFill>
              <w14:schemeClr w14:val="tx1"/>
            </w14:solidFill>
          </w14:textFill>
        </w:rPr>
      </w:pPr>
    </w:p>
    <w:p w14:paraId="2425DEB7">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比较与评价：评标委员会对资格审查、符合性审查合格的投标文件，依照本办法“七、评分标准”对投标文件作进一步评审、比较，判定其偏差性质和程度。评标委员会成员经过阅标、审标和询标，对各投标人进行打分。</w:t>
      </w:r>
    </w:p>
    <w:p w14:paraId="64F02FB4">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4．最终得分及排序：</w:t>
      </w:r>
      <w:r>
        <w:rPr>
          <w:rFonts w:hint="eastAsia" w:ascii="宋体" w:hAnsi="宋体" w:cs="宋体"/>
          <w:color w:val="000000" w:themeColor="text1"/>
          <w:szCs w:val="21"/>
          <w:highlight w:val="none"/>
          <w14:textFill>
            <w14:solidFill>
              <w14:schemeClr w14:val="tx1"/>
            </w14:solidFill>
          </w14:textFill>
        </w:rPr>
        <w:t>评标委员会成员独立按照评分标准（兼评委打分表）规定的内容和分值设置，对各投标文件分别打分汇总后计算平均分（小数点后保留两位数），即为各投标人的综合得分。</w:t>
      </w:r>
      <w:r>
        <w:rPr>
          <w:rFonts w:hint="eastAsia" w:ascii="宋体" w:hAnsi="宋体" w:cs="宋体"/>
          <w:color w:val="000000" w:themeColor="text1"/>
          <w:kern w:val="0"/>
          <w:szCs w:val="21"/>
          <w:highlight w:val="none"/>
          <w14:textFill>
            <w14:solidFill>
              <w14:schemeClr w14:val="tx1"/>
            </w14:solidFill>
          </w14:textFill>
        </w:rPr>
        <w:t>评标结果按评审后得分由高到低顺序排列。得分相同的，按投标报价由低到高顺序排列。得分且投标报价相同的并列。</w:t>
      </w:r>
    </w:p>
    <w:p w14:paraId="4E196285">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5．推荐中标候选人原则：</w:t>
      </w:r>
      <w:r>
        <w:rPr>
          <w:rFonts w:hint="eastAsia" w:ascii="宋体" w:hAnsi="宋体" w:cs="宋体"/>
          <w:color w:val="000000" w:themeColor="text1"/>
          <w:kern w:val="0"/>
          <w:szCs w:val="21"/>
          <w:highlight w:val="none"/>
          <w14:textFill>
            <w14:solidFill>
              <w14:schemeClr w14:val="tx1"/>
            </w14:solidFill>
          </w14:textFill>
        </w:rPr>
        <w:t>投标文件满足招标文件全部实质性要求，且按照评审因素的量化指标评审得分最高的投标人为排名第一的中标候选人。</w:t>
      </w:r>
    </w:p>
    <w:p w14:paraId="7F0F90A5">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确定中标人：采购代理机构应当自评标结束之日起2个工作日内将评标报告送交采购人。采购人应当自收到评标报告之日起5个工作日内在评标报告确定的中标候选人名单中按顺序确定中标人。中标人因不可抗力不能履行政府采购合同的，采购人可以按照评标报告推荐的下一中标候选人为中标人或重新招标。</w:t>
      </w:r>
    </w:p>
    <w:p w14:paraId="0C174CF0">
      <w:pPr>
        <w:spacing w:line="360" w:lineRule="exact"/>
        <w:rPr>
          <w:rFonts w:ascii="宋体" w:hAnsi="宋体" w:cs="宋体"/>
          <w:color w:val="000000" w:themeColor="text1"/>
          <w:szCs w:val="21"/>
          <w:highlight w:val="none"/>
          <w14:textFill>
            <w14:solidFill>
              <w14:schemeClr w14:val="tx1"/>
            </w14:solidFill>
          </w14:textFill>
        </w:rPr>
      </w:pPr>
    </w:p>
    <w:p w14:paraId="4ADFB935">
      <w:pPr>
        <w:widowControl/>
        <w:tabs>
          <w:tab w:val="left" w:pos="0"/>
          <w:tab w:val="left" w:pos="723"/>
        </w:tabs>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四、澄清问题的形式</w:t>
      </w:r>
    </w:p>
    <w:p w14:paraId="007AEE5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429112F7">
      <w:pPr>
        <w:spacing w:line="360" w:lineRule="auto"/>
        <w:ind w:firstLine="420" w:firstLineChars="200"/>
        <w:rPr>
          <w:rFonts w:ascii="宋体" w:hAnsi="宋体"/>
          <w:color w:val="000000" w:themeColor="text1"/>
          <w:szCs w:val="21"/>
          <w:highlight w:val="none"/>
          <w14:textFill>
            <w14:solidFill>
              <w14:schemeClr w14:val="tx1"/>
            </w14:solidFill>
          </w14:textFill>
        </w:rPr>
      </w:pPr>
    </w:p>
    <w:p w14:paraId="641F72AB">
      <w:pPr>
        <w:widowControl/>
        <w:tabs>
          <w:tab w:val="left" w:pos="0"/>
          <w:tab w:val="left" w:pos="723"/>
        </w:tabs>
        <w:spacing w:line="360" w:lineRule="auto"/>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五</w:t>
      </w:r>
      <w:r>
        <w:rPr>
          <w:rFonts w:hint="eastAsia" w:ascii="宋体" w:hAnsi="宋体"/>
          <w:b/>
          <w:color w:val="000000" w:themeColor="text1"/>
          <w:szCs w:val="21"/>
          <w:highlight w:val="none"/>
          <w14:textFill>
            <w14:solidFill>
              <w14:schemeClr w14:val="tx1"/>
            </w14:solidFill>
          </w14:textFill>
        </w:rPr>
        <w:t>、</w:t>
      </w:r>
      <w:r>
        <w:rPr>
          <w:rFonts w:ascii="宋体" w:hAnsi="宋体"/>
          <w:b/>
          <w:color w:val="000000" w:themeColor="text1"/>
          <w:szCs w:val="21"/>
          <w:highlight w:val="none"/>
          <w14:textFill>
            <w14:solidFill>
              <w14:schemeClr w14:val="tx1"/>
            </w14:solidFill>
          </w14:textFill>
        </w:rPr>
        <w:t>错误修正</w:t>
      </w:r>
    </w:p>
    <w:p w14:paraId="552BBC6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投标文件报价出现前后不一致的，按照下列规定修正：</w:t>
      </w:r>
    </w:p>
    <w:p w14:paraId="7D2E617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1.投标文件中开标一览表内容与投标文件中相应内容不一致的，以开标一览表为准；</w:t>
      </w:r>
    </w:p>
    <w:p w14:paraId="26F494C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2.大写金额和小写金额不一致的，以大写金额为准；</w:t>
      </w:r>
    </w:p>
    <w:p w14:paraId="0FA647B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3.单价金额小数点或者百分比有明显错位的，以开标一览表的总价为准，并修改单价；</w:t>
      </w:r>
    </w:p>
    <w:p w14:paraId="416FE7C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4.总价金额与按单价汇总金额不一致的，以单价金额计算结果为准。</w:t>
      </w:r>
    </w:p>
    <w:p w14:paraId="121C55A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同时出现两种以上不一致的，按照前款规定的顺序修正。修正后的报价按照投标文件澄清第二款的规定经投标人确认后产生约束力，投标人不确认的，其投标无效。</w:t>
      </w:r>
    </w:p>
    <w:p w14:paraId="53D6F2C6">
      <w:pPr>
        <w:spacing w:line="36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r>
        <w:rPr>
          <w:rFonts w:hint="eastAsia" w:ascii="宋体" w:hAnsi="宋体"/>
          <w:b/>
          <w:color w:val="000000" w:themeColor="text1"/>
          <w:sz w:val="24"/>
          <w:szCs w:val="24"/>
          <w:highlight w:val="none"/>
          <w14:textFill>
            <w14:solidFill>
              <w14:schemeClr w14:val="tx1"/>
            </w14:solidFill>
          </w14:textFill>
        </w:rPr>
        <w:t>七、评分标准（兼评委打分表）</w:t>
      </w:r>
    </w:p>
    <w:tbl>
      <w:tblPr>
        <w:tblStyle w:val="34"/>
        <w:tblW w:w="1023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702"/>
        <w:gridCol w:w="1505"/>
        <w:gridCol w:w="6846"/>
        <w:gridCol w:w="654"/>
      </w:tblGrid>
      <w:tr w14:paraId="4633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581" w:type="dxa"/>
            <w:gridSpan w:val="4"/>
            <w:tcBorders>
              <w:top w:val="single" w:color="auto" w:sz="4" w:space="0"/>
              <w:left w:val="single" w:color="auto" w:sz="4" w:space="0"/>
              <w:bottom w:val="single" w:color="auto" w:sz="4" w:space="0"/>
              <w:right w:val="single" w:color="auto" w:sz="2" w:space="0"/>
            </w:tcBorders>
            <w:vAlign w:val="center"/>
          </w:tcPr>
          <w:p w14:paraId="7EB2BD7C">
            <w:pPr>
              <w:spacing w:before="85" w:beforeLines="30" w:line="288" w:lineRule="auto"/>
              <w:jc w:val="center"/>
              <w:rPr>
                <w:rFonts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t xml:space="preserve">      </w:t>
            </w:r>
          </w:p>
        </w:tc>
        <w:tc>
          <w:tcPr>
            <w:tcW w:w="654" w:type="dxa"/>
            <w:tcBorders>
              <w:top w:val="single" w:color="auto" w:sz="4" w:space="0"/>
              <w:left w:val="single" w:color="auto" w:sz="4" w:space="0"/>
              <w:bottom w:val="single" w:color="auto" w:sz="4" w:space="0"/>
              <w:right w:val="single" w:color="auto" w:sz="2" w:space="0"/>
            </w:tcBorders>
            <w:vAlign w:val="center"/>
          </w:tcPr>
          <w:p w14:paraId="03DBCA7C">
            <w:pPr>
              <w:spacing w:before="85" w:beforeLines="30" w:line="288" w:lineRule="auto"/>
              <w:jc w:val="center"/>
              <w:rPr>
                <w:rFonts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t>分值</w:t>
            </w:r>
          </w:p>
        </w:tc>
      </w:tr>
      <w:tr w14:paraId="254D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528" w:type="dxa"/>
            <w:vMerge w:val="restart"/>
            <w:tcBorders>
              <w:top w:val="single" w:color="auto" w:sz="4" w:space="0"/>
              <w:left w:val="single" w:color="auto" w:sz="4" w:space="0"/>
              <w:right w:val="single" w:color="auto" w:sz="2" w:space="0"/>
            </w:tcBorders>
            <w:vAlign w:val="center"/>
          </w:tcPr>
          <w:p w14:paraId="45AEDF32">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t>商务技术分</w:t>
            </w:r>
          </w:p>
          <w:p w14:paraId="7C5CA78C">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t>（满分</w:t>
            </w:r>
            <w:r>
              <w:rPr>
                <w:rFonts w:hint="eastAsia" w:asciiTheme="majorEastAsia" w:hAnsiTheme="majorEastAsia" w:eastAsiaTheme="majorEastAsia"/>
                <w:snapToGrid w:val="0"/>
                <w:color w:val="000000" w:themeColor="text1"/>
                <w:spacing w:val="-4"/>
                <w:szCs w:val="21"/>
                <w:highlight w:val="none"/>
                <w:lang w:val="en-US" w:eastAsia="zh-CN"/>
                <w14:textFill>
                  <w14:solidFill>
                    <w14:schemeClr w14:val="tx1"/>
                  </w14:solidFill>
                </w14:textFill>
              </w:rPr>
              <w:t>80</w:t>
            </w:r>
            <w: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t>分）</w:t>
            </w:r>
          </w:p>
        </w:tc>
        <w:tc>
          <w:tcPr>
            <w:tcW w:w="702" w:type="dxa"/>
            <w:vMerge w:val="restart"/>
            <w:tcBorders>
              <w:top w:val="single" w:color="auto" w:sz="4" w:space="0"/>
              <w:left w:val="single" w:color="auto" w:sz="4" w:space="0"/>
              <w:right w:val="single" w:color="auto" w:sz="2" w:space="0"/>
            </w:tcBorders>
            <w:vAlign w:val="center"/>
          </w:tcPr>
          <w:p w14:paraId="516A3001">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t>商务部分（</w:t>
            </w:r>
            <w:r>
              <w:rPr>
                <w:rFonts w:hint="eastAsia" w:asciiTheme="majorEastAsia" w:hAnsiTheme="majorEastAsia" w:eastAsiaTheme="majorEastAsia"/>
                <w:snapToGrid w:val="0"/>
                <w:color w:val="000000" w:themeColor="text1"/>
                <w:spacing w:val="-4"/>
                <w:szCs w:val="21"/>
                <w:highlight w:val="none"/>
                <w:lang w:val="en-US" w:eastAsia="zh-CN"/>
                <w14:textFill>
                  <w14:solidFill>
                    <w14:schemeClr w14:val="tx1"/>
                  </w14:solidFill>
                </w14:textFill>
              </w:rPr>
              <w:t>11</w:t>
            </w:r>
            <w: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t>分）</w:t>
            </w:r>
          </w:p>
        </w:tc>
        <w:tc>
          <w:tcPr>
            <w:tcW w:w="1505" w:type="dxa"/>
            <w:tcBorders>
              <w:top w:val="single" w:color="auto" w:sz="4" w:space="0"/>
              <w:left w:val="single" w:color="auto" w:sz="4" w:space="0"/>
              <w:right w:val="single" w:color="auto" w:sz="2" w:space="0"/>
            </w:tcBorders>
            <w:vAlign w:val="center"/>
          </w:tcPr>
          <w:p w14:paraId="23F6A5C1">
            <w:pPr>
              <w:spacing w:before="85" w:beforeLines="30" w:line="288" w:lineRule="auto"/>
              <w:rPr>
                <w:rFonts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t>1、投标人与本项目类似的业绩情况（</w:t>
            </w:r>
            <w:r>
              <w:rPr>
                <w:rFonts w:hint="eastAsia" w:asciiTheme="majorEastAsia" w:hAnsiTheme="majorEastAsia" w:eastAsiaTheme="majorEastAsia"/>
                <w:snapToGrid w:val="0"/>
                <w:color w:val="000000" w:themeColor="text1"/>
                <w:spacing w:val="-4"/>
                <w:szCs w:val="21"/>
                <w:highlight w:val="none"/>
                <w:lang w:val="en-US" w:eastAsia="zh-CN"/>
                <w14:textFill>
                  <w14:solidFill>
                    <w14:schemeClr w14:val="tx1"/>
                  </w14:solidFill>
                </w14:textFill>
              </w:rPr>
              <w:t>2</w:t>
            </w:r>
            <w: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t>分）</w:t>
            </w:r>
          </w:p>
        </w:tc>
        <w:tc>
          <w:tcPr>
            <w:tcW w:w="6846" w:type="dxa"/>
            <w:tcBorders>
              <w:top w:val="single" w:color="auto" w:sz="4" w:space="0"/>
              <w:left w:val="single" w:color="auto" w:sz="4" w:space="0"/>
              <w:bottom w:val="single" w:color="auto" w:sz="4" w:space="0"/>
              <w:right w:val="single" w:color="auto" w:sz="2" w:space="0"/>
            </w:tcBorders>
            <w:vAlign w:val="center"/>
          </w:tcPr>
          <w:p w14:paraId="4926668D">
            <w:pPr>
              <w:widowControl/>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根据投标人提供的202</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val="zh-CN"/>
                <w14:textFill>
                  <w14:solidFill>
                    <w14:schemeClr w14:val="tx1"/>
                  </w14:solidFill>
                </w14:textFill>
              </w:rPr>
              <w:t>年至今同类安全生产、消防安全、应急救援、值班值守、联勤保障第三方服务项目业绩情况进行打分，每提供1个业绩的得1.0分，本项最高得2分。（注：合同签定时间为202</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val="zh-CN"/>
                <w14:textFill>
                  <w14:solidFill>
                    <w14:schemeClr w14:val="tx1"/>
                  </w14:solidFill>
                </w14:textFill>
              </w:rPr>
              <w:t>年1月1日至今的合同有效，须提供合同复印件并加盖单位公章编入竞标响应文件，否则不得分。）</w:t>
            </w:r>
          </w:p>
        </w:tc>
        <w:tc>
          <w:tcPr>
            <w:tcW w:w="654" w:type="dxa"/>
            <w:tcBorders>
              <w:top w:val="single" w:color="auto" w:sz="4" w:space="0"/>
              <w:left w:val="single" w:color="auto" w:sz="4" w:space="0"/>
              <w:bottom w:val="single" w:color="auto" w:sz="4" w:space="0"/>
              <w:right w:val="single" w:color="auto" w:sz="2" w:space="0"/>
            </w:tcBorders>
            <w:vAlign w:val="center"/>
          </w:tcPr>
          <w:p w14:paraId="64D47213">
            <w:pPr>
              <w:spacing w:before="85" w:beforeLines="30" w:line="288" w:lineRule="auto"/>
              <w:jc w:val="center"/>
              <w:rPr>
                <w:rFonts w:hint="eastAsia" w:asciiTheme="majorEastAsia" w:hAnsiTheme="majorEastAsia" w:eastAsiaTheme="majorEastAsia"/>
                <w:color w:val="000000" w:themeColor="text1"/>
                <w:szCs w:val="21"/>
                <w:highlight w:val="none"/>
                <w:lang w:eastAsia="zh-CN"/>
                <w14:textFill>
                  <w14:solidFill>
                    <w14:schemeClr w14:val="tx1"/>
                  </w14:solidFill>
                </w14:textFill>
              </w:rPr>
            </w:pPr>
            <w:r>
              <w:rPr>
                <w:rFonts w:hint="eastAsia" w:asciiTheme="majorEastAsia" w:hAnsiTheme="majorEastAsia" w:eastAsiaTheme="majorEastAsia"/>
                <w:color w:val="000000" w:themeColor="text1"/>
                <w:szCs w:val="21"/>
                <w:highlight w:val="none"/>
                <w:lang w:val="en-US" w:eastAsia="zh-CN"/>
                <w14:textFill>
                  <w14:solidFill>
                    <w14:schemeClr w14:val="tx1"/>
                  </w14:solidFill>
                </w14:textFill>
              </w:rPr>
              <w:t>2</w:t>
            </w:r>
          </w:p>
        </w:tc>
      </w:tr>
      <w:tr w14:paraId="0D44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528" w:type="dxa"/>
            <w:vMerge w:val="continue"/>
            <w:tcBorders>
              <w:left w:val="single" w:color="auto" w:sz="4" w:space="0"/>
              <w:right w:val="single" w:color="auto" w:sz="2" w:space="0"/>
            </w:tcBorders>
            <w:vAlign w:val="center"/>
          </w:tcPr>
          <w:p w14:paraId="0E33A01B">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282C0B73">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505" w:type="dxa"/>
            <w:vMerge w:val="restart"/>
            <w:tcBorders>
              <w:left w:val="single" w:color="auto" w:sz="4" w:space="0"/>
              <w:right w:val="single" w:color="auto" w:sz="2" w:space="0"/>
            </w:tcBorders>
            <w:vAlign w:val="center"/>
          </w:tcPr>
          <w:p w14:paraId="33247BE1">
            <w:pPr>
              <w:spacing w:before="85" w:beforeLines="30" w:line="288" w:lineRule="auto"/>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2、投标人综合实力（</w:t>
            </w:r>
            <w:r>
              <w:rPr>
                <w:rFonts w:hint="eastAsia" w:asciiTheme="majorEastAsia" w:hAnsiTheme="majorEastAsia" w:eastAsiaTheme="majorEastAsia"/>
                <w:color w:val="000000" w:themeColor="text1"/>
                <w:szCs w:val="21"/>
                <w:highlight w:val="none"/>
                <w:lang w:val="en-US" w:eastAsia="zh-CN"/>
                <w14:textFill>
                  <w14:solidFill>
                    <w14:schemeClr w14:val="tx1"/>
                  </w14:solidFill>
                </w14:textFill>
              </w:rPr>
              <w:t>9</w:t>
            </w:r>
            <w:r>
              <w:rPr>
                <w:rFonts w:hint="eastAsia" w:asciiTheme="majorEastAsia" w:hAnsiTheme="majorEastAsia" w:eastAsiaTheme="majorEastAsia"/>
                <w:color w:val="000000" w:themeColor="text1"/>
                <w:szCs w:val="21"/>
                <w:highlight w:val="none"/>
                <w14:textFill>
                  <w14:solidFill>
                    <w14:schemeClr w14:val="tx1"/>
                  </w14:solidFill>
                </w14:textFill>
              </w:rPr>
              <w:t>分）</w:t>
            </w:r>
          </w:p>
        </w:tc>
        <w:tc>
          <w:tcPr>
            <w:tcW w:w="6846" w:type="dxa"/>
            <w:tcBorders>
              <w:top w:val="single" w:color="auto" w:sz="4" w:space="0"/>
              <w:left w:val="single" w:color="auto" w:sz="4" w:space="0"/>
              <w:right w:val="single" w:color="auto" w:sz="2" w:space="0"/>
            </w:tcBorders>
            <w:vAlign w:val="center"/>
          </w:tcPr>
          <w:p w14:paraId="4F0AA0DF">
            <w:pPr>
              <w:widowControl/>
              <w:rPr>
                <w:rFonts w:hint="eastAsia" w:ascii="宋体" w:hAnsi="宋体" w:eastAsia="宋体" w:cs="Times New Roman"/>
                <w:color w:val="000000" w:themeColor="text1"/>
                <w:highlight w:val="none"/>
                <w:lang w:val="zh-CN"/>
                <w14:textFill>
                  <w14:solidFill>
                    <w14:schemeClr w14:val="tx1"/>
                  </w14:solidFill>
                </w14:textFill>
              </w:rPr>
            </w:pPr>
            <w:r>
              <w:rPr>
                <w:rFonts w:hint="eastAsia" w:ascii="宋体" w:hAnsi="宋体" w:eastAsia="宋体" w:cs="Times New Roman"/>
                <w:color w:val="000000" w:themeColor="text1"/>
                <w:highlight w:val="none"/>
                <w:lang w:val="zh-CN"/>
                <w14:textFill>
                  <w14:solidFill>
                    <w14:schemeClr w14:val="tx1"/>
                  </w14:solidFill>
                </w14:textFill>
              </w:rPr>
              <w:t>投标人具有：有效</w:t>
            </w:r>
            <w:r>
              <w:rPr>
                <w:rFonts w:hint="eastAsia" w:ascii="宋体" w:hAnsi="宋体" w:cs="Times New Roman"/>
                <w:color w:val="000000" w:themeColor="text1"/>
                <w:highlight w:val="none"/>
                <w:lang w:val="en-US" w:eastAsia="zh-CN"/>
                <w14:textFill>
                  <w14:solidFill>
                    <w14:schemeClr w14:val="tx1"/>
                  </w14:solidFill>
                </w14:textFill>
              </w:rPr>
              <w:t>期内</w:t>
            </w:r>
            <w:r>
              <w:rPr>
                <w:rFonts w:hint="eastAsia" w:ascii="宋体" w:hAnsi="宋体" w:eastAsia="宋体" w:cs="Times New Roman"/>
                <w:color w:val="000000" w:themeColor="text1"/>
                <w:highlight w:val="none"/>
                <w:lang w:val="zh-CN"/>
                <w14:textFill>
                  <w14:solidFill>
                    <w14:schemeClr w14:val="tx1"/>
                  </w14:solidFill>
                </w14:textFill>
              </w:rPr>
              <w:t>的ISO9001质量管理体系认证证书、ISO22301公共安全业务连续性管理体系认证证书、ISO14001环境管理体系认证证书、ISO45001职业健康安全管理体系认证证书，每有一证得1分，最多得4分，</w:t>
            </w:r>
            <w:r>
              <w:rPr>
                <w:rFonts w:hint="eastAsia" w:ascii="宋体" w:hAnsi="宋体" w:cs="Times New Roman"/>
                <w:color w:val="000000" w:themeColor="text1"/>
                <w:highlight w:val="none"/>
                <w:lang w:val="en-US" w:eastAsia="zh-CN"/>
                <w14:textFill>
                  <w14:solidFill>
                    <w14:schemeClr w14:val="tx1"/>
                  </w14:solidFill>
                </w14:textFill>
              </w:rPr>
              <w:t>未提供</w:t>
            </w:r>
            <w:r>
              <w:rPr>
                <w:rFonts w:hint="eastAsia" w:ascii="宋体" w:hAnsi="宋体" w:eastAsia="宋体" w:cs="Times New Roman"/>
                <w:color w:val="000000" w:themeColor="text1"/>
                <w:highlight w:val="none"/>
                <w:lang w:val="zh-CN"/>
                <w14:textFill>
                  <w14:solidFill>
                    <w14:schemeClr w14:val="tx1"/>
                  </w14:solidFill>
                </w14:textFill>
              </w:rPr>
              <w:t>不得分。</w:t>
            </w:r>
          </w:p>
          <w:p w14:paraId="6C605F66">
            <w:pPr>
              <w:widowControl/>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lang w:val="zh-CN"/>
                <w14:textFill>
                  <w14:solidFill>
                    <w14:schemeClr w14:val="tx1"/>
                  </w14:solidFill>
                </w14:textFill>
              </w:rPr>
              <w:t>（投标文件中提供以上证书复印件）。</w:t>
            </w:r>
          </w:p>
        </w:tc>
        <w:tc>
          <w:tcPr>
            <w:tcW w:w="654" w:type="dxa"/>
            <w:tcBorders>
              <w:top w:val="single" w:color="auto" w:sz="4" w:space="0"/>
              <w:left w:val="single" w:color="auto" w:sz="4" w:space="0"/>
              <w:right w:val="single" w:color="auto" w:sz="2" w:space="0"/>
            </w:tcBorders>
            <w:vAlign w:val="center"/>
          </w:tcPr>
          <w:p w14:paraId="376E92A0">
            <w:pPr>
              <w:widowControl/>
              <w:spacing w:before="85" w:beforeLines="30" w:line="288" w:lineRule="auto"/>
              <w:jc w:val="center"/>
              <w:rPr>
                <w:rFonts w:hint="eastAsia" w:asciiTheme="majorEastAsia" w:hAnsiTheme="majorEastAsia" w:eastAsiaTheme="majorEastAsia"/>
                <w:color w:val="000000" w:themeColor="text1"/>
                <w:szCs w:val="21"/>
                <w:highlight w:val="none"/>
                <w:lang w:eastAsia="zh-CN"/>
                <w14:textFill>
                  <w14:solidFill>
                    <w14:schemeClr w14:val="tx1"/>
                  </w14:solidFill>
                </w14:textFill>
              </w:rPr>
            </w:pPr>
            <w:r>
              <w:rPr>
                <w:rFonts w:hint="eastAsia" w:asciiTheme="majorEastAsia" w:hAnsiTheme="majorEastAsia" w:eastAsiaTheme="majorEastAsia"/>
                <w:color w:val="000000" w:themeColor="text1"/>
                <w:szCs w:val="21"/>
                <w:highlight w:val="none"/>
                <w:lang w:val="en-US" w:eastAsia="zh-CN"/>
                <w14:textFill>
                  <w14:solidFill>
                    <w14:schemeClr w14:val="tx1"/>
                  </w14:solidFill>
                </w14:textFill>
              </w:rPr>
              <w:t>4</w:t>
            </w:r>
          </w:p>
        </w:tc>
      </w:tr>
      <w:tr w14:paraId="4170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528" w:type="dxa"/>
            <w:vMerge w:val="continue"/>
            <w:tcBorders>
              <w:left w:val="single" w:color="auto" w:sz="4" w:space="0"/>
              <w:right w:val="single" w:color="auto" w:sz="2" w:space="0"/>
            </w:tcBorders>
            <w:vAlign w:val="center"/>
          </w:tcPr>
          <w:p w14:paraId="25AB9C74">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4E7346E4">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505" w:type="dxa"/>
            <w:vMerge w:val="continue"/>
            <w:tcBorders>
              <w:left w:val="single" w:color="auto" w:sz="4" w:space="0"/>
              <w:right w:val="single" w:color="auto" w:sz="2" w:space="0"/>
            </w:tcBorders>
            <w:vAlign w:val="center"/>
          </w:tcPr>
          <w:p w14:paraId="380B46F6">
            <w:pPr>
              <w:spacing w:before="85" w:beforeLines="30" w:line="288" w:lineRule="auto"/>
              <w:rPr>
                <w:rFonts w:hint="eastAsia" w:asciiTheme="majorEastAsia" w:hAnsiTheme="majorEastAsia" w:eastAsiaTheme="majorEastAsia"/>
                <w:color w:val="000000" w:themeColor="text1"/>
                <w:szCs w:val="21"/>
                <w:highlight w:val="none"/>
                <w14:textFill>
                  <w14:solidFill>
                    <w14:schemeClr w14:val="tx1"/>
                  </w14:solidFill>
                </w14:textFill>
              </w:rPr>
            </w:pPr>
          </w:p>
        </w:tc>
        <w:tc>
          <w:tcPr>
            <w:tcW w:w="6846" w:type="dxa"/>
            <w:tcBorders>
              <w:top w:val="single" w:color="auto" w:sz="4" w:space="0"/>
              <w:left w:val="single" w:color="auto" w:sz="4" w:space="0"/>
              <w:right w:val="single" w:color="auto" w:sz="2" w:space="0"/>
            </w:tcBorders>
            <w:vAlign w:val="center"/>
          </w:tcPr>
          <w:p w14:paraId="11A9A4F3">
            <w:pPr>
              <w:widowControl/>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（1）投标人第三方服务中介机构信用等级达到C级，</w:t>
            </w:r>
            <w:r>
              <w:rPr>
                <w:rFonts w:hint="eastAsia" w:ascii="宋体" w:hAnsi="宋体" w:eastAsia="宋体" w:cs="Times New Roman"/>
                <w:color w:val="000000" w:themeColor="text1"/>
                <w:highlight w:val="none"/>
                <w:lang w:val="zh-CN"/>
                <w14:textFill>
                  <w14:solidFill>
                    <w14:schemeClr w14:val="tx1"/>
                  </w14:solidFill>
                </w14:textFill>
              </w:rPr>
              <w:t>信用评分值在60分基础上每增加信用评分值1分得0.1分，最高得2分；</w:t>
            </w:r>
            <w:r>
              <w:rPr>
                <w:rFonts w:hint="eastAsia" w:ascii="宋体" w:hAnsi="宋体" w:eastAsia="宋体" w:cs="Times New Roman"/>
                <w:color w:val="000000" w:themeColor="text1"/>
                <w:highlight w:val="none"/>
                <w14:textFill>
                  <w14:solidFill>
                    <w14:schemeClr w14:val="tx1"/>
                  </w14:solidFill>
                </w14:textFill>
              </w:rPr>
              <w:t>（提供招标公告发布之日起省工业企业在线中介机构信用等级、</w:t>
            </w:r>
            <w:r>
              <w:rPr>
                <w:rFonts w:hint="eastAsia" w:ascii="宋体" w:hAnsi="宋体" w:eastAsia="宋体" w:cs="Times New Roman"/>
                <w:color w:val="000000" w:themeColor="text1"/>
                <w:highlight w:val="none"/>
                <w:lang w:val="zh-CN"/>
                <w14:textFill>
                  <w14:solidFill>
                    <w14:schemeClr w14:val="tx1"/>
                  </w14:solidFill>
                </w14:textFill>
              </w:rPr>
              <w:t>信用评分值</w:t>
            </w:r>
            <w:r>
              <w:rPr>
                <w:rFonts w:hint="eastAsia" w:ascii="宋体" w:hAnsi="宋体" w:eastAsia="宋体" w:cs="Times New Roman"/>
                <w:color w:val="000000" w:themeColor="text1"/>
                <w:highlight w:val="none"/>
                <w14:textFill>
                  <w14:solidFill>
                    <w14:schemeClr w14:val="tx1"/>
                  </w14:solidFill>
                </w14:textFill>
              </w:rPr>
              <w:t>截图，加盖公章）</w:t>
            </w:r>
          </w:p>
          <w:p w14:paraId="3039C2A5">
            <w:pPr>
              <w:widowControl/>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（2）投标人第三方服务中介机构信用等级达到B级</w:t>
            </w:r>
            <w:r>
              <w:rPr>
                <w:rFonts w:hint="eastAsia" w:ascii="宋体" w:hAnsi="宋体" w:cs="Times New Roman"/>
                <w:color w:val="000000" w:themeColor="text1"/>
                <w:highlight w:val="none"/>
                <w:lang w:eastAsia="zh-CN"/>
                <w14:textFill>
                  <w14:solidFill>
                    <w14:schemeClr w14:val="tx1"/>
                  </w14:solidFill>
                </w14:textFill>
              </w:rPr>
              <w:t>的</w:t>
            </w:r>
            <w:r>
              <w:rPr>
                <w:rFonts w:hint="eastAsia" w:ascii="宋体" w:hAnsi="宋体" w:eastAsia="宋体" w:cs="Times New Roman"/>
                <w:color w:val="000000" w:themeColor="text1"/>
                <w:highlight w:val="none"/>
                <w14:textFill>
                  <w14:solidFill>
                    <w14:schemeClr w14:val="tx1"/>
                  </w14:solidFill>
                </w14:textFill>
              </w:rPr>
              <w:t>，</w:t>
            </w:r>
            <w:r>
              <w:rPr>
                <w:rFonts w:hint="eastAsia" w:ascii="宋体" w:hAnsi="宋体" w:eastAsia="宋体" w:cs="Times New Roman"/>
                <w:color w:val="000000" w:themeColor="text1"/>
                <w:highlight w:val="none"/>
                <w:lang w:val="zh-CN"/>
                <w14:textFill>
                  <w14:solidFill>
                    <w14:schemeClr w14:val="tx1"/>
                  </w14:solidFill>
                </w14:textFill>
              </w:rPr>
              <w:t>得3分；</w:t>
            </w:r>
            <w:r>
              <w:rPr>
                <w:rFonts w:hint="eastAsia" w:ascii="宋体" w:hAnsi="宋体" w:eastAsia="宋体" w:cs="Times New Roman"/>
                <w:color w:val="000000" w:themeColor="text1"/>
                <w:highlight w:val="none"/>
                <w14:textFill>
                  <w14:solidFill>
                    <w14:schemeClr w14:val="tx1"/>
                  </w14:solidFill>
                </w14:textFill>
              </w:rPr>
              <w:t>（提供招标公告发布之日起省工业企业在线中介机构信用等级截图，加盖公章）</w:t>
            </w:r>
          </w:p>
          <w:p w14:paraId="10B7E641">
            <w:pPr>
              <w:widowControl/>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（3）投标人第三方服务中介机构信用等级达到A级</w:t>
            </w:r>
            <w:r>
              <w:rPr>
                <w:rFonts w:hint="eastAsia" w:ascii="宋体" w:hAnsi="宋体" w:cs="Times New Roman"/>
                <w:color w:val="000000" w:themeColor="text1"/>
                <w:highlight w:val="none"/>
                <w:lang w:eastAsia="zh-CN"/>
                <w14:textFill>
                  <w14:solidFill>
                    <w14:schemeClr w14:val="tx1"/>
                  </w14:solidFill>
                </w14:textFill>
              </w:rPr>
              <w:t>的</w:t>
            </w:r>
            <w:r>
              <w:rPr>
                <w:rFonts w:hint="eastAsia" w:ascii="宋体" w:hAnsi="宋体" w:eastAsia="宋体" w:cs="Times New Roman"/>
                <w:color w:val="000000" w:themeColor="text1"/>
                <w:highlight w:val="none"/>
                <w14:textFill>
                  <w14:solidFill>
                    <w14:schemeClr w14:val="tx1"/>
                  </w14:solidFill>
                </w14:textFill>
              </w:rPr>
              <w:t>，</w:t>
            </w:r>
            <w:r>
              <w:rPr>
                <w:rFonts w:hint="eastAsia" w:ascii="宋体" w:hAnsi="宋体" w:eastAsia="宋体" w:cs="Times New Roman"/>
                <w:color w:val="000000" w:themeColor="text1"/>
                <w:highlight w:val="none"/>
                <w:lang w:val="zh-CN"/>
                <w14:textFill>
                  <w14:solidFill>
                    <w14:schemeClr w14:val="tx1"/>
                  </w14:solidFill>
                </w14:textFill>
              </w:rPr>
              <w:t>得5分；</w:t>
            </w:r>
            <w:r>
              <w:rPr>
                <w:rFonts w:hint="eastAsia" w:ascii="宋体" w:hAnsi="宋体" w:eastAsia="宋体" w:cs="Times New Roman"/>
                <w:color w:val="000000" w:themeColor="text1"/>
                <w:highlight w:val="none"/>
                <w14:textFill>
                  <w14:solidFill>
                    <w14:schemeClr w14:val="tx1"/>
                  </w14:solidFill>
                </w14:textFill>
              </w:rPr>
              <w:t>（提供招标公告发布之日起省工业企业在线中介机构信用等级截图，加盖公章）</w:t>
            </w:r>
          </w:p>
        </w:tc>
        <w:tc>
          <w:tcPr>
            <w:tcW w:w="654" w:type="dxa"/>
            <w:tcBorders>
              <w:top w:val="single" w:color="auto" w:sz="4" w:space="0"/>
              <w:left w:val="single" w:color="auto" w:sz="4" w:space="0"/>
              <w:right w:val="single" w:color="auto" w:sz="2" w:space="0"/>
            </w:tcBorders>
            <w:vAlign w:val="center"/>
          </w:tcPr>
          <w:p w14:paraId="27827BF9">
            <w:pPr>
              <w:widowControl/>
              <w:spacing w:before="85" w:beforeLines="30" w:line="288" w:lineRule="auto"/>
              <w:jc w:val="center"/>
              <w:rPr>
                <w:rFonts w:hint="eastAsia" w:asciiTheme="majorEastAsia" w:hAnsiTheme="majorEastAsia" w:eastAsia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olor w:val="000000" w:themeColor="text1"/>
                <w:szCs w:val="21"/>
                <w:highlight w:val="none"/>
                <w:lang w:val="en-US" w:eastAsia="zh-CN"/>
                <w14:textFill>
                  <w14:solidFill>
                    <w14:schemeClr w14:val="tx1"/>
                  </w14:solidFill>
                </w14:textFill>
              </w:rPr>
              <w:t>5</w:t>
            </w:r>
          </w:p>
        </w:tc>
      </w:tr>
      <w:tr w14:paraId="12E9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trPr>
        <w:tc>
          <w:tcPr>
            <w:tcW w:w="528" w:type="dxa"/>
            <w:vMerge w:val="continue"/>
            <w:tcBorders>
              <w:left w:val="single" w:color="auto" w:sz="4" w:space="0"/>
              <w:right w:val="single" w:color="auto" w:sz="2" w:space="0"/>
            </w:tcBorders>
            <w:vAlign w:val="center"/>
          </w:tcPr>
          <w:p w14:paraId="3A7C78FD">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restart"/>
            <w:tcBorders>
              <w:top w:val="single" w:color="auto" w:sz="4" w:space="0"/>
              <w:left w:val="single" w:color="auto" w:sz="4" w:space="0"/>
              <w:right w:val="single" w:color="auto" w:sz="2" w:space="0"/>
            </w:tcBorders>
            <w:vAlign w:val="center"/>
          </w:tcPr>
          <w:p w14:paraId="2A6AB5EF">
            <w:pPr>
              <w:spacing w:before="85" w:beforeLines="30" w:line="288" w:lineRule="auto"/>
              <w:rPr>
                <w:rFonts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t>技术部分（</w:t>
            </w:r>
            <w:r>
              <w:rPr>
                <w:rFonts w:hint="eastAsia" w:asciiTheme="majorEastAsia" w:hAnsiTheme="majorEastAsia" w:eastAsiaTheme="majorEastAsia"/>
                <w:snapToGrid w:val="0"/>
                <w:color w:val="000000" w:themeColor="text1"/>
                <w:spacing w:val="-4"/>
                <w:szCs w:val="21"/>
                <w:highlight w:val="none"/>
                <w:lang w:val="en-US" w:eastAsia="zh-CN"/>
                <w14:textFill>
                  <w14:solidFill>
                    <w14:schemeClr w14:val="tx1"/>
                  </w14:solidFill>
                </w14:textFill>
              </w:rPr>
              <w:t>69</w:t>
            </w:r>
            <w: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t>分）</w:t>
            </w:r>
          </w:p>
        </w:tc>
        <w:tc>
          <w:tcPr>
            <w:tcW w:w="1505" w:type="dxa"/>
            <w:vMerge w:val="restart"/>
            <w:tcBorders>
              <w:top w:val="single" w:color="auto" w:sz="4" w:space="0"/>
              <w:left w:val="single" w:color="auto" w:sz="4" w:space="0"/>
              <w:right w:val="single" w:color="auto" w:sz="2" w:space="0"/>
            </w:tcBorders>
            <w:vAlign w:val="center"/>
          </w:tcPr>
          <w:p w14:paraId="4FA8954A">
            <w:pPr>
              <w:spacing w:before="85" w:beforeLines="30"/>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1、项目调研和分析情况（</w:t>
            </w:r>
            <w:r>
              <w:rPr>
                <w:rFonts w:hint="eastAsia" w:asciiTheme="majorEastAsia" w:hAnsiTheme="majorEastAsia" w:eastAsiaTheme="majorEastAsia"/>
                <w:color w:val="000000" w:themeColor="text1"/>
                <w:szCs w:val="21"/>
                <w:highlight w:val="none"/>
                <w:lang w:val="en-US" w:eastAsia="zh-CN"/>
                <w14:textFill>
                  <w14:solidFill>
                    <w14:schemeClr w14:val="tx1"/>
                  </w14:solidFill>
                </w14:textFill>
              </w:rPr>
              <w:t>5</w:t>
            </w:r>
            <w:r>
              <w:rPr>
                <w:rFonts w:hint="eastAsia" w:asciiTheme="majorEastAsia" w:hAnsiTheme="majorEastAsia" w:eastAsiaTheme="majorEastAsia"/>
                <w:color w:val="000000" w:themeColor="text1"/>
                <w:szCs w:val="21"/>
                <w:highlight w:val="none"/>
                <w14:textFill>
                  <w14:solidFill>
                    <w14:schemeClr w14:val="tx1"/>
                  </w14:solidFill>
                </w14:textFill>
              </w:rPr>
              <w:t>分）</w:t>
            </w:r>
          </w:p>
        </w:tc>
        <w:tc>
          <w:tcPr>
            <w:tcW w:w="6846" w:type="dxa"/>
            <w:tcBorders>
              <w:top w:val="single" w:color="auto" w:sz="4" w:space="0"/>
              <w:left w:val="single" w:color="auto" w:sz="4" w:space="0"/>
              <w:right w:val="single" w:color="auto" w:sz="2" w:space="0"/>
            </w:tcBorders>
            <w:vAlign w:val="center"/>
          </w:tcPr>
          <w:p w14:paraId="3AC8633D">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针对调研和分析整体性评价。</w:t>
            </w:r>
          </w:p>
          <w:p w14:paraId="662A29E4">
            <w:pPr>
              <w:spacing w:line="360" w:lineRule="exac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评价标准为根据供应商针现场踏勘针对本项目现有系统情况有充分调研和分析，对本项目的理解和熟悉程度，对工作重难点的分析及解决措施到位情况，进行综合评议</w:t>
            </w:r>
            <w:r>
              <w:rPr>
                <w:rFonts w:hint="eastAsia" w:ascii="宋体" w:hAnsi="宋体" w:cs="宋体"/>
                <w:color w:val="000000" w:themeColor="text1"/>
                <w:szCs w:val="21"/>
                <w:highlight w:val="none"/>
                <w:lang w:eastAsia="zh-CN"/>
                <w14:textFill>
                  <w14:solidFill>
                    <w14:schemeClr w14:val="tx1"/>
                  </w14:solidFill>
                </w14:textFill>
              </w:rPr>
              <w:t>：</w:t>
            </w:r>
          </w:p>
          <w:p w14:paraId="576E745B">
            <w:pPr>
              <w:spacing w:line="360" w:lineRule="exac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①对项目</w:t>
            </w:r>
            <w:r>
              <w:rPr>
                <w:rFonts w:hint="eastAsia" w:asciiTheme="majorEastAsia" w:hAnsiTheme="majorEastAsia" w:eastAsiaTheme="majorEastAsia"/>
                <w:color w:val="000000" w:themeColor="text1"/>
                <w:szCs w:val="21"/>
                <w:highlight w:val="none"/>
                <w14:textFill>
                  <w14:solidFill>
                    <w14:schemeClr w14:val="tx1"/>
                  </w14:solidFill>
                </w14:textFill>
              </w:rPr>
              <w:t>调研和分析</w:t>
            </w:r>
            <w:r>
              <w:rPr>
                <w:rFonts w:hint="eastAsia" w:ascii="宋体" w:hAnsi="宋体" w:cs="宋体"/>
                <w:color w:val="000000" w:themeColor="text1"/>
                <w:szCs w:val="21"/>
                <w:highlight w:val="none"/>
                <w:lang w:val="en-US" w:eastAsia="zh-CN"/>
                <w14:textFill>
                  <w14:solidFill>
                    <w14:schemeClr w14:val="tx1"/>
                  </w14:solidFill>
                </w14:textFill>
              </w:rPr>
              <w:t>理解准确全面、阐述的内容完整清晰，紧扣项目现有情况的，得5分；</w:t>
            </w:r>
          </w:p>
          <w:p w14:paraId="4A03E599">
            <w:pPr>
              <w:spacing w:line="360" w:lineRule="exac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②对项目</w:t>
            </w:r>
            <w:r>
              <w:rPr>
                <w:rFonts w:hint="eastAsia" w:asciiTheme="majorEastAsia" w:hAnsiTheme="majorEastAsia" w:eastAsiaTheme="majorEastAsia"/>
                <w:color w:val="000000" w:themeColor="text1"/>
                <w:szCs w:val="21"/>
                <w:highlight w:val="none"/>
                <w14:textFill>
                  <w14:solidFill>
                    <w14:schemeClr w14:val="tx1"/>
                  </w14:solidFill>
                </w14:textFill>
              </w:rPr>
              <w:t>调研和分析</w:t>
            </w:r>
            <w:r>
              <w:rPr>
                <w:rFonts w:hint="eastAsia" w:ascii="宋体" w:hAnsi="宋体" w:cs="宋体"/>
                <w:color w:val="000000" w:themeColor="text1"/>
                <w:szCs w:val="21"/>
                <w:highlight w:val="none"/>
                <w:lang w:val="en-US" w:eastAsia="zh-CN"/>
                <w14:textFill>
                  <w14:solidFill>
                    <w14:schemeClr w14:val="tx1"/>
                  </w14:solidFill>
                </w14:textFill>
              </w:rPr>
              <w:t>理解较为准确全面、阐述的内容较为清晰，贴合项目现有情况的，得3分；</w:t>
            </w:r>
          </w:p>
          <w:p w14:paraId="3DAE541B">
            <w:pPr>
              <w:spacing w:line="360" w:lineRule="exac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③对项目</w:t>
            </w:r>
            <w:r>
              <w:rPr>
                <w:rFonts w:hint="eastAsia" w:asciiTheme="majorEastAsia" w:hAnsiTheme="majorEastAsia" w:eastAsiaTheme="majorEastAsia"/>
                <w:color w:val="000000" w:themeColor="text1"/>
                <w:szCs w:val="21"/>
                <w:highlight w:val="none"/>
                <w14:textFill>
                  <w14:solidFill>
                    <w14:schemeClr w14:val="tx1"/>
                  </w14:solidFill>
                </w14:textFill>
              </w:rPr>
              <w:t>调研和分析</w:t>
            </w:r>
            <w:r>
              <w:rPr>
                <w:rFonts w:hint="eastAsia" w:ascii="宋体" w:hAnsi="宋体" w:cs="宋体"/>
                <w:color w:val="000000" w:themeColor="text1"/>
                <w:szCs w:val="21"/>
                <w:highlight w:val="none"/>
                <w:lang w:val="en-US" w:eastAsia="zh-CN"/>
                <w14:textFill>
                  <w14:solidFill>
                    <w14:schemeClr w14:val="tx1"/>
                  </w14:solidFill>
                </w14:textFill>
              </w:rPr>
              <w:t>理解存在逻辑偏差、阐述的内容不明确，未贴合项目现有情况的，得2分。</w:t>
            </w:r>
          </w:p>
          <w:p w14:paraId="397A4BF1">
            <w:pPr>
              <w:spacing w:line="360" w:lineRule="exact"/>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本项最高得5分。不提供不得分。</w:t>
            </w:r>
          </w:p>
        </w:tc>
        <w:tc>
          <w:tcPr>
            <w:tcW w:w="654" w:type="dxa"/>
            <w:tcBorders>
              <w:top w:val="single" w:color="auto" w:sz="4" w:space="0"/>
              <w:left w:val="single" w:color="auto" w:sz="4" w:space="0"/>
              <w:right w:val="single" w:color="auto" w:sz="2" w:space="0"/>
            </w:tcBorders>
            <w:vAlign w:val="center"/>
          </w:tcPr>
          <w:p w14:paraId="01D7E8BD">
            <w:pPr>
              <w:spacing w:before="85" w:beforeLines="30"/>
              <w:jc w:val="center"/>
              <w:rPr>
                <w:rFonts w:hint="eastAsia" w:asciiTheme="majorEastAsia" w:hAnsiTheme="majorEastAsia" w:eastAsiaTheme="majorEastAsia"/>
                <w:color w:val="000000" w:themeColor="text1"/>
                <w:szCs w:val="21"/>
                <w:highlight w:val="none"/>
                <w:lang w:eastAsia="zh-CN"/>
                <w14:textFill>
                  <w14:solidFill>
                    <w14:schemeClr w14:val="tx1"/>
                  </w14:solidFill>
                </w14:textFill>
              </w:rPr>
            </w:pPr>
            <w:r>
              <w:rPr>
                <w:rFonts w:hint="eastAsia" w:cs="宋体" w:asciiTheme="majorEastAsia" w:hAnsiTheme="majorEastAsia" w:eastAsiaTheme="majorEastAsia"/>
                <w:color w:val="000000" w:themeColor="text1"/>
                <w:szCs w:val="21"/>
                <w:highlight w:val="none"/>
                <w:lang w:val="en-US" w:eastAsia="zh-CN"/>
                <w14:textFill>
                  <w14:solidFill>
                    <w14:schemeClr w14:val="tx1"/>
                  </w14:solidFill>
                </w14:textFill>
              </w:rPr>
              <w:t>5</w:t>
            </w:r>
          </w:p>
        </w:tc>
      </w:tr>
      <w:tr w14:paraId="33D2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528" w:type="dxa"/>
            <w:vMerge w:val="continue"/>
            <w:tcBorders>
              <w:left w:val="single" w:color="auto" w:sz="4" w:space="0"/>
              <w:right w:val="single" w:color="auto" w:sz="2" w:space="0"/>
            </w:tcBorders>
            <w:vAlign w:val="center"/>
          </w:tcPr>
          <w:p w14:paraId="2597B8AF">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555CF34C">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505" w:type="dxa"/>
            <w:vMerge w:val="restart"/>
            <w:tcBorders>
              <w:top w:val="single" w:color="auto" w:sz="4" w:space="0"/>
              <w:left w:val="single" w:color="auto" w:sz="4" w:space="0"/>
              <w:right w:val="single" w:color="auto" w:sz="2" w:space="0"/>
            </w:tcBorders>
            <w:vAlign w:val="center"/>
          </w:tcPr>
          <w:p w14:paraId="5D42F6CD">
            <w:pPr>
              <w:spacing w:before="85" w:beforeLines="30"/>
              <w:rPr>
                <w:rFonts w:hint="eastAsia"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14:textFill>
                  <w14:solidFill>
                    <w14:schemeClr w14:val="tx1"/>
                  </w14:solidFill>
                </w14:textFill>
              </w:rPr>
              <w:t>2、安全生产工作服务方案</w:t>
            </w:r>
          </w:p>
          <w:p w14:paraId="6CA04099">
            <w:pPr>
              <w:spacing w:before="85" w:beforeLines="30"/>
              <w:rPr>
                <w:rFonts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14:textFill>
                  <w14:solidFill>
                    <w14:schemeClr w14:val="tx1"/>
                  </w14:solidFill>
                </w14:textFill>
              </w:rPr>
              <w:t>（</w:t>
            </w:r>
            <w:r>
              <w:rPr>
                <w:rFonts w:hint="eastAsia" w:cs="宋体" w:asciiTheme="majorEastAsia" w:hAnsiTheme="majorEastAsia" w:eastAsiaTheme="majorEastAsia"/>
                <w:color w:val="000000" w:themeColor="text1"/>
                <w:szCs w:val="21"/>
                <w:highlight w:val="none"/>
                <w:lang w:val="en-US" w:eastAsia="zh-CN"/>
                <w14:textFill>
                  <w14:solidFill>
                    <w14:schemeClr w14:val="tx1"/>
                  </w14:solidFill>
                </w14:textFill>
              </w:rPr>
              <w:t>25</w:t>
            </w:r>
            <w:r>
              <w:rPr>
                <w:rFonts w:hint="eastAsia" w:cs="宋体" w:asciiTheme="majorEastAsia" w:hAnsiTheme="majorEastAsia" w:eastAsiaTheme="majorEastAsia"/>
                <w:color w:val="000000" w:themeColor="text1"/>
                <w:szCs w:val="21"/>
                <w:highlight w:val="none"/>
                <w14:textFill>
                  <w14:solidFill>
                    <w14:schemeClr w14:val="tx1"/>
                  </w14:solidFill>
                </w14:textFill>
              </w:rPr>
              <w:t>分）</w:t>
            </w:r>
          </w:p>
        </w:tc>
        <w:tc>
          <w:tcPr>
            <w:tcW w:w="6846" w:type="dxa"/>
            <w:tcBorders>
              <w:top w:val="single" w:color="auto" w:sz="4" w:space="0"/>
              <w:left w:val="single" w:color="auto" w:sz="4" w:space="0"/>
              <w:right w:val="single" w:color="auto" w:sz="2" w:space="0"/>
            </w:tcBorders>
            <w:vAlign w:val="center"/>
          </w:tcPr>
          <w:p w14:paraId="0978D122">
            <w:pPr>
              <w:widowControl/>
              <w:rPr>
                <w:rFonts w:hint="eastAsia" w:ascii="宋体" w:hAnsi="宋体" w:eastAsia="宋体" w:cs="Times New Roman"/>
                <w:color w:val="000000" w:themeColor="text1"/>
                <w:highlight w:val="none"/>
                <w:lang w:val="zh-CN"/>
                <w14:textFill>
                  <w14:solidFill>
                    <w14:schemeClr w14:val="tx1"/>
                  </w14:solidFill>
                </w14:textFill>
              </w:rPr>
            </w:pPr>
            <w:r>
              <w:rPr>
                <w:rFonts w:hint="eastAsia" w:ascii="宋体" w:hAnsi="宋体" w:eastAsia="宋体" w:cs="Times New Roman"/>
                <w:color w:val="000000" w:themeColor="text1"/>
                <w:highlight w:val="none"/>
                <w:lang w:val="zh-CN"/>
                <w14:textFill>
                  <w14:solidFill>
                    <w14:schemeClr w14:val="tx1"/>
                  </w14:solidFill>
                </w14:textFill>
              </w:rPr>
              <w:t>（</w:t>
            </w:r>
            <w:r>
              <w:rPr>
                <w:rFonts w:hint="eastAsia" w:ascii="宋体" w:hAnsi="宋体" w:eastAsia="宋体" w:cs="Times New Roman"/>
                <w:color w:val="000000" w:themeColor="text1"/>
                <w:highlight w:val="none"/>
                <w:lang w:val="en-US" w:eastAsia="zh-CN"/>
                <w14:textFill>
                  <w14:solidFill>
                    <w14:schemeClr w14:val="tx1"/>
                  </w14:solidFill>
                </w14:textFill>
              </w:rPr>
              <w:t>1</w:t>
            </w:r>
            <w:r>
              <w:rPr>
                <w:rFonts w:hint="eastAsia" w:ascii="宋体" w:hAnsi="宋体" w:eastAsia="宋体" w:cs="Times New Roman"/>
                <w:color w:val="000000" w:themeColor="text1"/>
                <w:highlight w:val="none"/>
                <w:lang w:val="zh-CN"/>
                <w14:textFill>
                  <w14:solidFill>
                    <w14:schemeClr w14:val="tx1"/>
                  </w14:solidFill>
                </w14:textFill>
              </w:rPr>
              <w:t>）针对协助完成常普常新工作服务方案整体性评价。</w:t>
            </w:r>
          </w:p>
          <w:p w14:paraId="1721989E">
            <w:pPr>
              <w:widowControl/>
              <w:rPr>
                <w:rFonts w:hint="eastAsia" w:ascii="宋体" w:hAnsi="宋体" w:cs="Times New Roman"/>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highlight w:val="none"/>
                <w:lang w:val="zh-CN"/>
                <w14:textFill>
                  <w14:solidFill>
                    <w14:schemeClr w14:val="tx1"/>
                  </w14:solidFill>
                </w14:textFill>
              </w:rPr>
              <w:t>根据供应商针对本项目提供的协助完成常普常新工作服务方案进行综合评议</w:t>
            </w:r>
            <w:r>
              <w:rPr>
                <w:rFonts w:hint="eastAsia" w:ascii="宋体" w:hAnsi="宋体" w:cs="Times New Roman"/>
                <w:color w:val="000000" w:themeColor="text1"/>
                <w:highlight w:val="none"/>
                <w:lang w:val="en-US" w:eastAsia="zh-CN"/>
                <w14:textFill>
                  <w14:solidFill>
                    <w14:schemeClr w14:val="tx1"/>
                  </w14:solidFill>
                </w14:textFill>
              </w:rPr>
              <w:t>:</w:t>
            </w:r>
          </w:p>
          <w:p w14:paraId="62EED643">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①方案完整详细，分析充分，分析内容</w:t>
            </w:r>
            <w:r>
              <w:rPr>
                <w:rFonts w:hint="eastAsia" w:ascii="宋体" w:hAnsi="宋体"/>
                <w:color w:val="000000" w:themeColor="text1"/>
                <w:highlight w:val="none"/>
                <w:lang w:val="en-US" w:eastAsia="zh-CN"/>
                <w14:textFill>
                  <w14:solidFill>
                    <w14:schemeClr w14:val="tx1"/>
                  </w14:solidFill>
                </w14:textFill>
              </w:rPr>
              <w:t>详尽，符合采购需求的</w:t>
            </w:r>
            <w:r>
              <w:rPr>
                <w:rFonts w:hint="eastAsia" w:ascii="宋体" w:hAnsi="宋体"/>
                <w:color w:val="000000" w:themeColor="text1"/>
                <w:highlight w:val="none"/>
                <w14:textFill>
                  <w14:solidFill>
                    <w14:schemeClr w14:val="tx1"/>
                  </w14:solidFill>
                </w14:textFill>
              </w:rPr>
              <w:t>得</w:t>
            </w:r>
            <w:r>
              <w:rPr>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highlight w:val="none"/>
                <w14:textFill>
                  <w14:solidFill>
                    <w14:schemeClr w14:val="tx1"/>
                  </w14:solidFill>
                </w14:textFill>
              </w:rPr>
              <w:t>分；</w:t>
            </w:r>
          </w:p>
          <w:p w14:paraId="69BB0D8A">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②方案较为详细，分析较为</w:t>
            </w:r>
            <w:r>
              <w:rPr>
                <w:rFonts w:hint="eastAsia" w:ascii="宋体" w:hAnsi="宋体"/>
                <w:color w:val="000000" w:themeColor="text1"/>
                <w:highlight w:val="none"/>
                <w:lang w:val="en-US" w:eastAsia="zh-CN"/>
                <w14:textFill>
                  <w14:solidFill>
                    <w14:schemeClr w14:val="tx1"/>
                  </w14:solidFill>
                </w14:textFill>
              </w:rPr>
              <w:t>充分</w:t>
            </w:r>
            <w:r>
              <w:rPr>
                <w:rFonts w:hint="eastAsia" w:ascii="宋体" w:hAnsi="宋体"/>
                <w:color w:val="000000" w:themeColor="text1"/>
                <w:highlight w:val="none"/>
                <w14:textFill>
                  <w14:solidFill>
                    <w14:schemeClr w14:val="tx1"/>
                  </w14:solidFill>
                </w14:textFill>
              </w:rPr>
              <w:t>，分析内容</w:t>
            </w:r>
            <w:r>
              <w:rPr>
                <w:rFonts w:hint="eastAsia" w:ascii="宋体" w:hAnsi="宋体"/>
                <w:color w:val="000000" w:themeColor="text1"/>
                <w:highlight w:val="none"/>
                <w:lang w:val="en-US" w:eastAsia="zh-CN"/>
                <w14:textFill>
                  <w14:solidFill>
                    <w14:schemeClr w14:val="tx1"/>
                  </w14:solidFill>
                </w14:textFill>
              </w:rPr>
              <w:t>较为详尽，基本符合采购需求</w:t>
            </w:r>
            <w:r>
              <w:rPr>
                <w:rFonts w:hint="eastAsia" w:ascii="宋体" w:hAnsi="宋体"/>
                <w:color w:val="000000" w:themeColor="text1"/>
                <w:highlight w:val="none"/>
                <w14:textFill>
                  <w14:solidFill>
                    <w14:schemeClr w14:val="tx1"/>
                  </w14:solidFill>
                </w14:textFill>
              </w:rPr>
              <w:t>的得</w:t>
            </w:r>
            <w:r>
              <w:rPr>
                <w:rFonts w:hint="eastAsia" w:ascii="宋体" w:hAnsi="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分；</w:t>
            </w:r>
          </w:p>
          <w:p w14:paraId="223F06CF">
            <w:pPr>
              <w:widowControl/>
              <w:rPr>
                <w:rFonts w:hint="eastAsia" w:ascii="宋体" w:hAnsi="宋体" w:cs="Times New Roman"/>
                <w:color w:val="000000" w:themeColor="text1"/>
                <w:highlight w:val="none"/>
                <w:lang w:val="zh-CN"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③方案不详细，有缺项漏项且分析内容</w:t>
            </w:r>
            <w:r>
              <w:rPr>
                <w:rFonts w:hint="eastAsia" w:ascii="宋体" w:hAnsi="宋体"/>
                <w:color w:val="000000" w:themeColor="text1"/>
                <w:highlight w:val="none"/>
                <w:lang w:val="en-US" w:eastAsia="zh-CN"/>
                <w14:textFill>
                  <w14:solidFill>
                    <w14:schemeClr w14:val="tx1"/>
                  </w14:solidFill>
                </w14:textFill>
              </w:rPr>
              <w:t>片面，与采购需求存在一定偏差</w:t>
            </w:r>
            <w:r>
              <w:rPr>
                <w:rFonts w:hint="eastAsia" w:ascii="宋体" w:hAnsi="宋体"/>
                <w:color w:val="000000" w:themeColor="text1"/>
                <w:highlight w:val="none"/>
                <w14:textFill>
                  <w14:solidFill>
                    <w14:schemeClr w14:val="tx1"/>
                  </w14:solidFill>
                </w14:textFill>
              </w:rPr>
              <w:t>的得</w:t>
            </w:r>
            <w:r>
              <w:rPr>
                <w:rFonts w:hint="eastAsia" w:ascii="宋体" w:hAnsi="宋体"/>
                <w:color w:val="000000" w:themeColor="text1"/>
                <w:highlight w:val="none"/>
                <w:lang w:val="en-US" w:eastAsia="zh-CN"/>
                <w14:textFill>
                  <w14:solidFill>
                    <w14:schemeClr w14:val="tx1"/>
                  </w14:solidFill>
                </w14:textFill>
              </w:rPr>
              <w:t>2</w:t>
            </w:r>
            <w:r>
              <w:rPr>
                <w:rFonts w:hint="eastAsia" w:ascii="宋体" w:hAnsi="宋体"/>
                <w:color w:val="000000" w:themeColor="text1"/>
                <w:highlight w:val="none"/>
                <w14:textFill>
                  <w14:solidFill>
                    <w14:schemeClr w14:val="tx1"/>
                  </w14:solidFill>
                </w14:textFill>
              </w:rPr>
              <w:t>分；</w:t>
            </w:r>
          </w:p>
          <w:p w14:paraId="2F2542A0">
            <w:pPr>
              <w:widowControl/>
              <w:rPr>
                <w:rFonts w:hint="eastAsia" w:ascii="宋体" w:hAnsi="宋体" w:eastAsia="宋体" w:cs="Times New Roman"/>
                <w:color w:val="000000" w:themeColor="text1"/>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本项最高得</w:t>
            </w:r>
            <w:r>
              <w:rPr>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highlight w:val="none"/>
                <w14:textFill>
                  <w14:solidFill>
                    <w14:schemeClr w14:val="tx1"/>
                  </w14:solidFill>
                </w14:textFill>
              </w:rPr>
              <w:t>分。不提供不得分。</w:t>
            </w:r>
          </w:p>
        </w:tc>
        <w:tc>
          <w:tcPr>
            <w:tcW w:w="654" w:type="dxa"/>
            <w:tcBorders>
              <w:top w:val="single" w:color="auto" w:sz="4" w:space="0"/>
              <w:left w:val="single" w:color="auto" w:sz="4" w:space="0"/>
              <w:right w:val="single" w:color="auto" w:sz="2" w:space="0"/>
            </w:tcBorders>
            <w:vAlign w:val="center"/>
          </w:tcPr>
          <w:p w14:paraId="4CA4262D">
            <w:pPr>
              <w:spacing w:before="85" w:beforeLines="30"/>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p>
        </w:tc>
      </w:tr>
      <w:tr w14:paraId="40D5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528" w:type="dxa"/>
            <w:vMerge w:val="continue"/>
            <w:tcBorders>
              <w:left w:val="single" w:color="auto" w:sz="4" w:space="0"/>
              <w:right w:val="single" w:color="auto" w:sz="2" w:space="0"/>
            </w:tcBorders>
            <w:vAlign w:val="center"/>
          </w:tcPr>
          <w:p w14:paraId="467C081B">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020B9FB9">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505" w:type="dxa"/>
            <w:vMerge w:val="continue"/>
            <w:tcBorders>
              <w:left w:val="single" w:color="auto" w:sz="4" w:space="0"/>
              <w:right w:val="single" w:color="auto" w:sz="2" w:space="0"/>
            </w:tcBorders>
            <w:vAlign w:val="center"/>
          </w:tcPr>
          <w:p w14:paraId="11CFAAE9">
            <w:pPr>
              <w:spacing w:before="85" w:beforeLines="30" w:line="288" w:lineRule="auto"/>
              <w:rPr>
                <w:rFonts w:asciiTheme="majorEastAsia" w:hAnsiTheme="majorEastAsia" w:eastAsiaTheme="majorEastAsia"/>
                <w:color w:val="000000" w:themeColor="text1"/>
                <w:szCs w:val="21"/>
                <w:highlight w:val="none"/>
                <w14:textFill>
                  <w14:solidFill>
                    <w14:schemeClr w14:val="tx1"/>
                  </w14:solidFill>
                </w14:textFill>
              </w:rPr>
            </w:pPr>
          </w:p>
        </w:tc>
        <w:tc>
          <w:tcPr>
            <w:tcW w:w="6846" w:type="dxa"/>
            <w:tcBorders>
              <w:top w:val="single" w:color="auto" w:sz="4" w:space="0"/>
              <w:left w:val="single" w:color="auto" w:sz="4" w:space="0"/>
              <w:right w:val="single" w:color="auto" w:sz="2" w:space="0"/>
            </w:tcBorders>
            <w:vAlign w:val="center"/>
          </w:tcPr>
          <w:p w14:paraId="68F631D5">
            <w:pPr>
              <w:widowControl/>
              <w:rPr>
                <w:rFonts w:hint="eastAsia" w:ascii="宋体" w:hAnsi="宋体" w:eastAsia="宋体" w:cs="Times New Roman"/>
                <w:color w:val="000000" w:themeColor="text1"/>
                <w:highlight w:val="none"/>
                <w:lang w:val="zh-CN"/>
                <w14:textFill>
                  <w14:solidFill>
                    <w14:schemeClr w14:val="tx1"/>
                  </w14:solidFill>
                </w14:textFill>
              </w:rPr>
            </w:pPr>
            <w:r>
              <w:rPr>
                <w:rFonts w:hint="eastAsia" w:ascii="宋体" w:hAnsi="宋体" w:eastAsia="宋体" w:cs="Times New Roman"/>
                <w:color w:val="000000" w:themeColor="text1"/>
                <w:highlight w:val="none"/>
                <w:lang w:val="zh-CN"/>
                <w14:textFill>
                  <w14:solidFill>
                    <w14:schemeClr w14:val="tx1"/>
                  </w14:solidFill>
                </w14:textFill>
              </w:rPr>
              <w:t>（</w:t>
            </w:r>
            <w:r>
              <w:rPr>
                <w:rFonts w:hint="eastAsia" w:ascii="宋体" w:hAnsi="宋体" w:eastAsia="宋体" w:cs="Times New Roman"/>
                <w:color w:val="000000" w:themeColor="text1"/>
                <w:highlight w:val="none"/>
                <w:lang w:val="en-US" w:eastAsia="zh-CN"/>
                <w14:textFill>
                  <w14:solidFill>
                    <w14:schemeClr w14:val="tx1"/>
                  </w14:solidFill>
                </w14:textFill>
              </w:rPr>
              <w:t>2</w:t>
            </w:r>
            <w:r>
              <w:rPr>
                <w:rFonts w:hint="eastAsia" w:ascii="宋体" w:hAnsi="宋体" w:eastAsia="宋体" w:cs="Times New Roman"/>
                <w:color w:val="000000" w:themeColor="text1"/>
                <w:highlight w:val="none"/>
                <w:lang w:val="zh-CN"/>
                <w14:textFill>
                  <w14:solidFill>
                    <w14:schemeClr w14:val="tx1"/>
                  </w14:solidFill>
                </w14:textFill>
              </w:rPr>
              <w:t>）针对协助督促工业企业完成自查和隐患闭环整改服务方案整体性评价。</w:t>
            </w:r>
          </w:p>
          <w:p w14:paraId="2D000485">
            <w:pPr>
              <w:widowControl/>
              <w:rPr>
                <w:rFonts w:hint="eastAsia" w:ascii="宋体" w:hAnsi="宋体" w:cs="Times New Roman"/>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highlight w:val="none"/>
                <w:lang w:val="zh-CN"/>
                <w14:textFill>
                  <w14:solidFill>
                    <w14:schemeClr w14:val="tx1"/>
                  </w14:solidFill>
                </w14:textFill>
              </w:rPr>
              <w:t>根据供应商针对本项目提供的协助督促工业企业完成自查</w:t>
            </w:r>
            <w:r>
              <w:rPr>
                <w:rFonts w:hint="eastAsia" w:ascii="宋体" w:hAnsi="宋体" w:cs="Times New Roman"/>
                <w:color w:val="000000" w:themeColor="text1"/>
                <w:highlight w:val="none"/>
                <w:lang w:val="en-US" w:eastAsia="zh-CN"/>
                <w14:textFill>
                  <w14:solidFill>
                    <w14:schemeClr w14:val="tx1"/>
                  </w14:solidFill>
                </w14:textFill>
              </w:rPr>
              <w:t>和</w:t>
            </w:r>
            <w:r>
              <w:rPr>
                <w:rFonts w:hint="eastAsia" w:ascii="宋体" w:hAnsi="宋体" w:eastAsia="宋体" w:cs="Times New Roman"/>
                <w:color w:val="000000" w:themeColor="text1"/>
                <w:highlight w:val="none"/>
                <w:lang w:val="zh-CN"/>
                <w14:textFill>
                  <w14:solidFill>
                    <w14:schemeClr w14:val="tx1"/>
                  </w14:solidFill>
                </w14:textFill>
              </w:rPr>
              <w:t>隐患闭环整改服务方案进行综合评议</w:t>
            </w:r>
            <w:r>
              <w:rPr>
                <w:rFonts w:hint="eastAsia" w:ascii="宋体" w:hAnsi="宋体" w:cs="Times New Roman"/>
                <w:color w:val="000000" w:themeColor="text1"/>
                <w:highlight w:val="none"/>
                <w:lang w:val="en-US" w:eastAsia="zh-CN"/>
                <w14:textFill>
                  <w14:solidFill>
                    <w14:schemeClr w14:val="tx1"/>
                  </w14:solidFill>
                </w14:textFill>
              </w:rPr>
              <w:t>:</w:t>
            </w:r>
          </w:p>
          <w:p w14:paraId="430379E0">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①方案完整详细，分析充分，分析内容</w:t>
            </w:r>
            <w:r>
              <w:rPr>
                <w:rFonts w:hint="eastAsia" w:ascii="宋体" w:hAnsi="宋体"/>
                <w:color w:val="000000" w:themeColor="text1"/>
                <w:highlight w:val="none"/>
                <w:lang w:val="en-US" w:eastAsia="zh-CN"/>
                <w14:textFill>
                  <w14:solidFill>
                    <w14:schemeClr w14:val="tx1"/>
                  </w14:solidFill>
                </w14:textFill>
              </w:rPr>
              <w:t>详尽，符合采购需求的</w:t>
            </w:r>
            <w:r>
              <w:rPr>
                <w:rFonts w:hint="eastAsia" w:ascii="宋体" w:hAnsi="宋体"/>
                <w:color w:val="000000" w:themeColor="text1"/>
                <w:highlight w:val="none"/>
                <w14:textFill>
                  <w14:solidFill>
                    <w14:schemeClr w14:val="tx1"/>
                  </w14:solidFill>
                </w14:textFill>
              </w:rPr>
              <w:t>得</w:t>
            </w:r>
            <w:r>
              <w:rPr>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highlight w:val="none"/>
                <w14:textFill>
                  <w14:solidFill>
                    <w14:schemeClr w14:val="tx1"/>
                  </w14:solidFill>
                </w14:textFill>
              </w:rPr>
              <w:t>分；</w:t>
            </w:r>
          </w:p>
          <w:p w14:paraId="3DC61FD1">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②方案较为详细，分析较为</w:t>
            </w:r>
            <w:r>
              <w:rPr>
                <w:rFonts w:hint="eastAsia" w:ascii="宋体" w:hAnsi="宋体"/>
                <w:color w:val="000000" w:themeColor="text1"/>
                <w:highlight w:val="none"/>
                <w:lang w:val="en-US" w:eastAsia="zh-CN"/>
                <w14:textFill>
                  <w14:solidFill>
                    <w14:schemeClr w14:val="tx1"/>
                  </w14:solidFill>
                </w14:textFill>
              </w:rPr>
              <w:t>充分</w:t>
            </w:r>
            <w:r>
              <w:rPr>
                <w:rFonts w:hint="eastAsia" w:ascii="宋体" w:hAnsi="宋体"/>
                <w:color w:val="000000" w:themeColor="text1"/>
                <w:highlight w:val="none"/>
                <w14:textFill>
                  <w14:solidFill>
                    <w14:schemeClr w14:val="tx1"/>
                  </w14:solidFill>
                </w14:textFill>
              </w:rPr>
              <w:t>，分析内容</w:t>
            </w:r>
            <w:r>
              <w:rPr>
                <w:rFonts w:hint="eastAsia" w:ascii="宋体" w:hAnsi="宋体"/>
                <w:color w:val="000000" w:themeColor="text1"/>
                <w:highlight w:val="none"/>
                <w:lang w:val="en-US" w:eastAsia="zh-CN"/>
                <w14:textFill>
                  <w14:solidFill>
                    <w14:schemeClr w14:val="tx1"/>
                  </w14:solidFill>
                </w14:textFill>
              </w:rPr>
              <w:t>较为详尽，基本符合采购需求</w:t>
            </w:r>
            <w:r>
              <w:rPr>
                <w:rFonts w:hint="eastAsia" w:ascii="宋体" w:hAnsi="宋体"/>
                <w:color w:val="000000" w:themeColor="text1"/>
                <w:highlight w:val="none"/>
                <w14:textFill>
                  <w14:solidFill>
                    <w14:schemeClr w14:val="tx1"/>
                  </w14:solidFill>
                </w14:textFill>
              </w:rPr>
              <w:t>的得</w:t>
            </w:r>
            <w:r>
              <w:rPr>
                <w:rFonts w:hint="eastAsia" w:ascii="宋体" w:hAnsi="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分；</w:t>
            </w:r>
          </w:p>
          <w:p w14:paraId="2AE265C1">
            <w:pPr>
              <w:widowControl/>
              <w:rPr>
                <w:rFonts w:hint="eastAsia" w:ascii="宋体" w:hAnsi="宋体" w:cs="Times New Roman"/>
                <w:color w:val="000000" w:themeColor="text1"/>
                <w:highlight w:val="none"/>
                <w:lang w:val="zh-CN"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③方案不详细，有缺项漏项且分析内容</w:t>
            </w:r>
            <w:r>
              <w:rPr>
                <w:rFonts w:hint="eastAsia" w:ascii="宋体" w:hAnsi="宋体"/>
                <w:color w:val="000000" w:themeColor="text1"/>
                <w:highlight w:val="none"/>
                <w:lang w:val="en-US" w:eastAsia="zh-CN"/>
                <w14:textFill>
                  <w14:solidFill>
                    <w14:schemeClr w14:val="tx1"/>
                  </w14:solidFill>
                </w14:textFill>
              </w:rPr>
              <w:t>片面，与采购需求存在一定偏差</w:t>
            </w:r>
            <w:r>
              <w:rPr>
                <w:rFonts w:hint="eastAsia" w:ascii="宋体" w:hAnsi="宋体"/>
                <w:color w:val="000000" w:themeColor="text1"/>
                <w:highlight w:val="none"/>
                <w14:textFill>
                  <w14:solidFill>
                    <w14:schemeClr w14:val="tx1"/>
                  </w14:solidFill>
                </w14:textFill>
              </w:rPr>
              <w:t>的得</w:t>
            </w:r>
            <w:r>
              <w:rPr>
                <w:rFonts w:hint="eastAsia" w:ascii="宋体" w:hAnsi="宋体"/>
                <w:color w:val="000000" w:themeColor="text1"/>
                <w:highlight w:val="none"/>
                <w:lang w:val="en-US" w:eastAsia="zh-CN"/>
                <w14:textFill>
                  <w14:solidFill>
                    <w14:schemeClr w14:val="tx1"/>
                  </w14:solidFill>
                </w14:textFill>
              </w:rPr>
              <w:t>2</w:t>
            </w:r>
            <w:r>
              <w:rPr>
                <w:rFonts w:hint="eastAsia" w:ascii="宋体" w:hAnsi="宋体"/>
                <w:color w:val="000000" w:themeColor="text1"/>
                <w:highlight w:val="none"/>
                <w14:textFill>
                  <w14:solidFill>
                    <w14:schemeClr w14:val="tx1"/>
                  </w14:solidFill>
                </w14:textFill>
              </w:rPr>
              <w:t>分；</w:t>
            </w:r>
          </w:p>
          <w:p w14:paraId="1BDC5CEA">
            <w:pPr>
              <w:widowControl/>
              <w:rPr>
                <w:rFonts w:hint="eastAsia" w:ascii="宋体" w:hAnsi="宋体" w:eastAsia="宋体" w:cs="Times New Roman"/>
                <w:color w:val="000000" w:themeColor="text1"/>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本项最高得</w:t>
            </w:r>
            <w:r>
              <w:rPr>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highlight w:val="none"/>
                <w14:textFill>
                  <w14:solidFill>
                    <w14:schemeClr w14:val="tx1"/>
                  </w14:solidFill>
                </w14:textFill>
              </w:rPr>
              <w:t>分。不提供不得分。</w:t>
            </w:r>
          </w:p>
        </w:tc>
        <w:tc>
          <w:tcPr>
            <w:tcW w:w="654" w:type="dxa"/>
            <w:tcBorders>
              <w:top w:val="single" w:color="auto" w:sz="4" w:space="0"/>
              <w:left w:val="single" w:color="auto" w:sz="4" w:space="0"/>
              <w:right w:val="single" w:color="auto" w:sz="2" w:space="0"/>
            </w:tcBorders>
            <w:vAlign w:val="center"/>
          </w:tcPr>
          <w:p w14:paraId="6B5C0DAF">
            <w:pPr>
              <w:spacing w:before="85" w:beforeLines="30"/>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p>
        </w:tc>
      </w:tr>
      <w:tr w14:paraId="2C51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528" w:type="dxa"/>
            <w:vMerge w:val="continue"/>
            <w:tcBorders>
              <w:left w:val="single" w:color="auto" w:sz="4" w:space="0"/>
              <w:right w:val="single" w:color="auto" w:sz="2" w:space="0"/>
            </w:tcBorders>
            <w:vAlign w:val="center"/>
          </w:tcPr>
          <w:p w14:paraId="0F1ADC0D">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421FAEA2">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505" w:type="dxa"/>
            <w:vMerge w:val="continue"/>
            <w:tcBorders>
              <w:left w:val="single" w:color="auto" w:sz="4" w:space="0"/>
              <w:right w:val="single" w:color="auto" w:sz="2" w:space="0"/>
            </w:tcBorders>
            <w:vAlign w:val="center"/>
          </w:tcPr>
          <w:p w14:paraId="740A6288">
            <w:pPr>
              <w:spacing w:before="85" w:beforeLines="30" w:line="288" w:lineRule="auto"/>
              <w:rPr>
                <w:rFonts w:asciiTheme="majorEastAsia" w:hAnsiTheme="majorEastAsia" w:eastAsiaTheme="majorEastAsia"/>
                <w:color w:val="000000" w:themeColor="text1"/>
                <w:szCs w:val="21"/>
                <w:highlight w:val="none"/>
                <w14:textFill>
                  <w14:solidFill>
                    <w14:schemeClr w14:val="tx1"/>
                  </w14:solidFill>
                </w14:textFill>
              </w:rPr>
            </w:pPr>
          </w:p>
        </w:tc>
        <w:tc>
          <w:tcPr>
            <w:tcW w:w="6846" w:type="dxa"/>
            <w:tcBorders>
              <w:top w:val="single" w:color="auto" w:sz="4" w:space="0"/>
              <w:left w:val="single" w:color="auto" w:sz="4" w:space="0"/>
              <w:right w:val="single" w:color="auto" w:sz="2" w:space="0"/>
            </w:tcBorders>
            <w:vAlign w:val="center"/>
          </w:tcPr>
          <w:p w14:paraId="75FCB1CD">
            <w:pPr>
              <w:widowControl/>
              <w:rPr>
                <w:rFonts w:hint="eastAsia" w:ascii="宋体" w:hAnsi="宋体" w:eastAsia="宋体" w:cs="Times New Roman"/>
                <w:color w:val="000000" w:themeColor="text1"/>
                <w:highlight w:val="none"/>
                <w:lang w:val="zh-CN"/>
                <w14:textFill>
                  <w14:solidFill>
                    <w14:schemeClr w14:val="tx1"/>
                  </w14:solidFill>
                </w14:textFill>
              </w:rPr>
            </w:pPr>
            <w:r>
              <w:rPr>
                <w:rFonts w:hint="eastAsia" w:ascii="宋体" w:hAnsi="宋体" w:eastAsia="宋体" w:cs="Times New Roman"/>
                <w:color w:val="000000" w:themeColor="text1"/>
                <w:highlight w:val="none"/>
                <w:lang w:val="zh-CN"/>
                <w14:textFill>
                  <w14:solidFill>
                    <w14:schemeClr w14:val="tx1"/>
                  </w14:solidFill>
                </w14:textFill>
              </w:rPr>
              <w:t>（</w:t>
            </w:r>
            <w:r>
              <w:rPr>
                <w:rFonts w:hint="eastAsia" w:ascii="宋体" w:hAnsi="宋体" w:eastAsia="宋体" w:cs="Times New Roman"/>
                <w:color w:val="000000" w:themeColor="text1"/>
                <w:highlight w:val="none"/>
                <w:lang w:val="en-US" w:eastAsia="zh-CN"/>
                <w14:textFill>
                  <w14:solidFill>
                    <w14:schemeClr w14:val="tx1"/>
                  </w14:solidFill>
                </w14:textFill>
              </w:rPr>
              <w:t>3</w:t>
            </w:r>
            <w:r>
              <w:rPr>
                <w:rFonts w:hint="eastAsia" w:ascii="宋体" w:hAnsi="宋体" w:eastAsia="宋体" w:cs="Times New Roman"/>
                <w:color w:val="000000" w:themeColor="text1"/>
                <w:highlight w:val="none"/>
                <w:lang w:val="zh-CN"/>
                <w14:textFill>
                  <w14:solidFill>
                    <w14:schemeClr w14:val="tx1"/>
                  </w14:solidFill>
                </w14:textFill>
              </w:rPr>
              <w:t>）针对协助完成对工业企业的监督检查全覆盖和隐患问题闭环整改验收服务方案整体性评价。</w:t>
            </w:r>
          </w:p>
          <w:p w14:paraId="2D03C0E0">
            <w:pPr>
              <w:widowControl/>
              <w:rPr>
                <w:rFonts w:hint="eastAsia" w:ascii="宋体" w:hAnsi="宋体" w:cs="Times New Roman"/>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highlight w:val="none"/>
                <w:lang w:val="zh-CN"/>
                <w14:textFill>
                  <w14:solidFill>
                    <w14:schemeClr w14:val="tx1"/>
                  </w14:solidFill>
                </w14:textFill>
              </w:rPr>
              <w:t>根据供应商针对本项目提供的协助完成对工业企业的监督检查全覆盖和隐患问题闭环整改验收服务方案进行综合评议</w:t>
            </w:r>
            <w:r>
              <w:rPr>
                <w:rFonts w:hint="eastAsia" w:ascii="宋体" w:hAnsi="宋体" w:cs="Times New Roman"/>
                <w:color w:val="000000" w:themeColor="text1"/>
                <w:highlight w:val="none"/>
                <w:lang w:val="en-US" w:eastAsia="zh-CN"/>
                <w14:textFill>
                  <w14:solidFill>
                    <w14:schemeClr w14:val="tx1"/>
                  </w14:solidFill>
                </w14:textFill>
              </w:rPr>
              <w:t>:</w:t>
            </w:r>
          </w:p>
          <w:p w14:paraId="4C15AC50">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①方案完整详细，分析充分，分析内容</w:t>
            </w:r>
            <w:r>
              <w:rPr>
                <w:rFonts w:hint="eastAsia" w:ascii="宋体" w:hAnsi="宋体"/>
                <w:color w:val="000000" w:themeColor="text1"/>
                <w:highlight w:val="none"/>
                <w:lang w:val="en-US" w:eastAsia="zh-CN"/>
                <w14:textFill>
                  <w14:solidFill>
                    <w14:schemeClr w14:val="tx1"/>
                  </w14:solidFill>
                </w14:textFill>
              </w:rPr>
              <w:t>详尽，符合采购需求的</w:t>
            </w:r>
            <w:r>
              <w:rPr>
                <w:rFonts w:hint="eastAsia" w:ascii="宋体" w:hAnsi="宋体"/>
                <w:color w:val="000000" w:themeColor="text1"/>
                <w:highlight w:val="none"/>
                <w14:textFill>
                  <w14:solidFill>
                    <w14:schemeClr w14:val="tx1"/>
                  </w14:solidFill>
                </w14:textFill>
              </w:rPr>
              <w:t>得</w:t>
            </w:r>
            <w:r>
              <w:rPr>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highlight w:val="none"/>
                <w14:textFill>
                  <w14:solidFill>
                    <w14:schemeClr w14:val="tx1"/>
                  </w14:solidFill>
                </w14:textFill>
              </w:rPr>
              <w:t>分；</w:t>
            </w:r>
          </w:p>
          <w:p w14:paraId="70B3D07A">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②方案较为详细，分析较为</w:t>
            </w:r>
            <w:r>
              <w:rPr>
                <w:rFonts w:hint="eastAsia" w:ascii="宋体" w:hAnsi="宋体"/>
                <w:color w:val="000000" w:themeColor="text1"/>
                <w:highlight w:val="none"/>
                <w:lang w:val="en-US" w:eastAsia="zh-CN"/>
                <w14:textFill>
                  <w14:solidFill>
                    <w14:schemeClr w14:val="tx1"/>
                  </w14:solidFill>
                </w14:textFill>
              </w:rPr>
              <w:t>充分</w:t>
            </w:r>
            <w:r>
              <w:rPr>
                <w:rFonts w:hint="eastAsia" w:ascii="宋体" w:hAnsi="宋体"/>
                <w:color w:val="000000" w:themeColor="text1"/>
                <w:highlight w:val="none"/>
                <w14:textFill>
                  <w14:solidFill>
                    <w14:schemeClr w14:val="tx1"/>
                  </w14:solidFill>
                </w14:textFill>
              </w:rPr>
              <w:t>，分析内容</w:t>
            </w:r>
            <w:r>
              <w:rPr>
                <w:rFonts w:hint="eastAsia" w:ascii="宋体" w:hAnsi="宋体"/>
                <w:color w:val="000000" w:themeColor="text1"/>
                <w:highlight w:val="none"/>
                <w:lang w:val="en-US" w:eastAsia="zh-CN"/>
                <w14:textFill>
                  <w14:solidFill>
                    <w14:schemeClr w14:val="tx1"/>
                  </w14:solidFill>
                </w14:textFill>
              </w:rPr>
              <w:t>较为详尽，基本符合采购需求</w:t>
            </w:r>
            <w:r>
              <w:rPr>
                <w:rFonts w:hint="eastAsia" w:ascii="宋体" w:hAnsi="宋体"/>
                <w:color w:val="000000" w:themeColor="text1"/>
                <w:highlight w:val="none"/>
                <w14:textFill>
                  <w14:solidFill>
                    <w14:schemeClr w14:val="tx1"/>
                  </w14:solidFill>
                </w14:textFill>
              </w:rPr>
              <w:t>的得</w:t>
            </w:r>
            <w:r>
              <w:rPr>
                <w:rFonts w:hint="eastAsia" w:ascii="宋体" w:hAnsi="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分；</w:t>
            </w:r>
          </w:p>
          <w:p w14:paraId="30F63A16">
            <w:pPr>
              <w:widowControl/>
              <w:rPr>
                <w:rFonts w:hint="eastAsia" w:ascii="宋体" w:hAnsi="宋体" w:cs="Times New Roman"/>
                <w:color w:val="000000" w:themeColor="text1"/>
                <w:highlight w:val="none"/>
                <w:lang w:val="zh-CN"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③方案不详细，有缺项漏项且分析内容</w:t>
            </w:r>
            <w:r>
              <w:rPr>
                <w:rFonts w:hint="eastAsia" w:ascii="宋体" w:hAnsi="宋体"/>
                <w:color w:val="000000" w:themeColor="text1"/>
                <w:highlight w:val="none"/>
                <w:lang w:val="en-US" w:eastAsia="zh-CN"/>
                <w14:textFill>
                  <w14:solidFill>
                    <w14:schemeClr w14:val="tx1"/>
                  </w14:solidFill>
                </w14:textFill>
              </w:rPr>
              <w:t>片面，与采购需求存在一定偏差</w:t>
            </w:r>
            <w:r>
              <w:rPr>
                <w:rFonts w:hint="eastAsia" w:ascii="宋体" w:hAnsi="宋体"/>
                <w:color w:val="000000" w:themeColor="text1"/>
                <w:highlight w:val="none"/>
                <w14:textFill>
                  <w14:solidFill>
                    <w14:schemeClr w14:val="tx1"/>
                  </w14:solidFill>
                </w14:textFill>
              </w:rPr>
              <w:t>的得</w:t>
            </w:r>
            <w:r>
              <w:rPr>
                <w:rFonts w:hint="eastAsia" w:ascii="宋体" w:hAnsi="宋体"/>
                <w:color w:val="000000" w:themeColor="text1"/>
                <w:highlight w:val="none"/>
                <w:lang w:val="en-US" w:eastAsia="zh-CN"/>
                <w14:textFill>
                  <w14:solidFill>
                    <w14:schemeClr w14:val="tx1"/>
                  </w14:solidFill>
                </w14:textFill>
              </w:rPr>
              <w:t>2</w:t>
            </w:r>
            <w:r>
              <w:rPr>
                <w:rFonts w:hint="eastAsia" w:ascii="宋体" w:hAnsi="宋体"/>
                <w:color w:val="000000" w:themeColor="text1"/>
                <w:highlight w:val="none"/>
                <w14:textFill>
                  <w14:solidFill>
                    <w14:schemeClr w14:val="tx1"/>
                  </w14:solidFill>
                </w14:textFill>
              </w:rPr>
              <w:t>分；</w:t>
            </w:r>
          </w:p>
          <w:p w14:paraId="58E2A9B6">
            <w:pPr>
              <w:widowControl/>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本项最高得</w:t>
            </w:r>
            <w:r>
              <w:rPr>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highlight w:val="none"/>
                <w14:textFill>
                  <w14:solidFill>
                    <w14:schemeClr w14:val="tx1"/>
                  </w14:solidFill>
                </w14:textFill>
              </w:rPr>
              <w:t>分。不提供不得分。</w:t>
            </w:r>
          </w:p>
        </w:tc>
        <w:tc>
          <w:tcPr>
            <w:tcW w:w="654" w:type="dxa"/>
            <w:tcBorders>
              <w:top w:val="single" w:color="auto" w:sz="4" w:space="0"/>
              <w:left w:val="single" w:color="auto" w:sz="4" w:space="0"/>
              <w:right w:val="single" w:color="auto" w:sz="2" w:space="0"/>
            </w:tcBorders>
            <w:vAlign w:val="center"/>
          </w:tcPr>
          <w:p w14:paraId="07A45616">
            <w:pPr>
              <w:spacing w:before="85" w:beforeLines="30"/>
              <w:jc w:val="center"/>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p>
        </w:tc>
      </w:tr>
      <w:tr w14:paraId="032F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528" w:type="dxa"/>
            <w:vMerge w:val="continue"/>
            <w:tcBorders>
              <w:left w:val="single" w:color="auto" w:sz="4" w:space="0"/>
              <w:right w:val="single" w:color="auto" w:sz="2" w:space="0"/>
            </w:tcBorders>
            <w:vAlign w:val="center"/>
          </w:tcPr>
          <w:p w14:paraId="5E9ED674">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5DD8B18D">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505" w:type="dxa"/>
            <w:vMerge w:val="continue"/>
            <w:tcBorders>
              <w:left w:val="single" w:color="auto" w:sz="4" w:space="0"/>
              <w:right w:val="single" w:color="auto" w:sz="2" w:space="0"/>
            </w:tcBorders>
            <w:vAlign w:val="center"/>
          </w:tcPr>
          <w:p w14:paraId="4F760910">
            <w:pPr>
              <w:spacing w:before="85" w:beforeLines="30" w:line="288" w:lineRule="auto"/>
              <w:rPr>
                <w:rFonts w:asciiTheme="majorEastAsia" w:hAnsiTheme="majorEastAsia" w:eastAsiaTheme="majorEastAsia"/>
                <w:color w:val="000000" w:themeColor="text1"/>
                <w:szCs w:val="21"/>
                <w:highlight w:val="none"/>
                <w14:textFill>
                  <w14:solidFill>
                    <w14:schemeClr w14:val="tx1"/>
                  </w14:solidFill>
                </w14:textFill>
              </w:rPr>
            </w:pPr>
          </w:p>
        </w:tc>
        <w:tc>
          <w:tcPr>
            <w:tcW w:w="6846" w:type="dxa"/>
            <w:tcBorders>
              <w:top w:val="single" w:color="auto" w:sz="4" w:space="0"/>
              <w:left w:val="single" w:color="auto" w:sz="4" w:space="0"/>
              <w:right w:val="single" w:color="auto" w:sz="2" w:space="0"/>
            </w:tcBorders>
            <w:vAlign w:val="center"/>
          </w:tcPr>
          <w:p w14:paraId="4784C8F5">
            <w:pPr>
              <w:widowControl/>
              <w:rPr>
                <w:rFonts w:hint="eastAsia" w:ascii="宋体" w:hAnsi="宋体" w:eastAsia="宋体" w:cs="Times New Roman"/>
                <w:color w:val="000000" w:themeColor="text1"/>
                <w:highlight w:val="none"/>
                <w:lang w:val="zh-CN"/>
                <w14:textFill>
                  <w14:solidFill>
                    <w14:schemeClr w14:val="tx1"/>
                  </w14:solidFill>
                </w14:textFill>
              </w:rPr>
            </w:pPr>
            <w:r>
              <w:rPr>
                <w:rFonts w:hint="eastAsia" w:ascii="宋体" w:hAnsi="宋体" w:eastAsia="宋体" w:cs="Times New Roman"/>
                <w:color w:val="000000" w:themeColor="text1"/>
                <w:highlight w:val="none"/>
                <w:lang w:val="zh-CN"/>
                <w14:textFill>
                  <w14:solidFill>
                    <w14:schemeClr w14:val="tx1"/>
                  </w14:solidFill>
                </w14:textFill>
              </w:rPr>
              <w:t>（</w:t>
            </w:r>
            <w:r>
              <w:rPr>
                <w:rFonts w:hint="eastAsia" w:ascii="宋体" w:hAnsi="宋体" w:cs="Times New Roman"/>
                <w:color w:val="000000" w:themeColor="text1"/>
                <w:highlight w:val="none"/>
                <w:lang w:val="en-US" w:eastAsia="zh-CN"/>
                <w14:textFill>
                  <w14:solidFill>
                    <w14:schemeClr w14:val="tx1"/>
                  </w14:solidFill>
                </w14:textFill>
              </w:rPr>
              <w:t>4</w:t>
            </w:r>
            <w:r>
              <w:rPr>
                <w:rFonts w:hint="eastAsia" w:ascii="宋体" w:hAnsi="宋体" w:eastAsia="宋体" w:cs="Times New Roman"/>
                <w:color w:val="000000" w:themeColor="text1"/>
                <w:highlight w:val="none"/>
                <w:lang w:val="zh-CN"/>
                <w14:textFill>
                  <w14:solidFill>
                    <w14:schemeClr w14:val="tx1"/>
                  </w14:solidFill>
                </w14:textFill>
              </w:rPr>
              <w:t>）针对协助完成对企业商业机密保护方案和出租房隐私保护方案整体性评价。</w:t>
            </w:r>
          </w:p>
          <w:p w14:paraId="7C38A8FD">
            <w:pPr>
              <w:widowControl/>
              <w:rPr>
                <w:rFonts w:hint="eastAsia" w:ascii="宋体" w:hAnsi="宋体" w:cs="Times New Roman"/>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highlight w:val="none"/>
                <w:lang w:val="zh-CN"/>
                <w14:textFill>
                  <w14:solidFill>
                    <w14:schemeClr w14:val="tx1"/>
                  </w14:solidFill>
                </w14:textFill>
              </w:rPr>
              <w:t>根据供应商针对本项目提供的协助完成对企业商业机密保护方案和出租房隐私保护方案进行综合评议</w:t>
            </w:r>
            <w:r>
              <w:rPr>
                <w:rFonts w:hint="eastAsia" w:ascii="宋体" w:hAnsi="宋体" w:cs="Times New Roman"/>
                <w:color w:val="000000" w:themeColor="text1"/>
                <w:highlight w:val="none"/>
                <w:lang w:val="en-US" w:eastAsia="zh-CN"/>
                <w14:textFill>
                  <w14:solidFill>
                    <w14:schemeClr w14:val="tx1"/>
                  </w14:solidFill>
                </w14:textFill>
              </w:rPr>
              <w:t>:</w:t>
            </w:r>
          </w:p>
          <w:p w14:paraId="54BD3992">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①方案完整详细，分析充分，分析内容</w:t>
            </w:r>
            <w:r>
              <w:rPr>
                <w:rFonts w:hint="eastAsia" w:ascii="宋体" w:hAnsi="宋体"/>
                <w:color w:val="000000" w:themeColor="text1"/>
                <w:highlight w:val="none"/>
                <w:lang w:val="en-US" w:eastAsia="zh-CN"/>
                <w14:textFill>
                  <w14:solidFill>
                    <w14:schemeClr w14:val="tx1"/>
                  </w14:solidFill>
                </w14:textFill>
              </w:rPr>
              <w:t>详尽，符合采购需求的</w:t>
            </w:r>
            <w:r>
              <w:rPr>
                <w:rFonts w:hint="eastAsia" w:ascii="宋体" w:hAnsi="宋体"/>
                <w:color w:val="000000" w:themeColor="text1"/>
                <w:highlight w:val="none"/>
                <w14:textFill>
                  <w14:solidFill>
                    <w14:schemeClr w14:val="tx1"/>
                  </w14:solidFill>
                </w14:textFill>
              </w:rPr>
              <w:t>得</w:t>
            </w:r>
            <w:r>
              <w:rPr>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highlight w:val="none"/>
                <w14:textFill>
                  <w14:solidFill>
                    <w14:schemeClr w14:val="tx1"/>
                  </w14:solidFill>
                </w14:textFill>
              </w:rPr>
              <w:t>分；</w:t>
            </w:r>
          </w:p>
          <w:p w14:paraId="29B30C03">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②方案较为详细，分析较为</w:t>
            </w:r>
            <w:r>
              <w:rPr>
                <w:rFonts w:hint="eastAsia" w:ascii="宋体" w:hAnsi="宋体"/>
                <w:color w:val="000000" w:themeColor="text1"/>
                <w:highlight w:val="none"/>
                <w:lang w:val="en-US" w:eastAsia="zh-CN"/>
                <w14:textFill>
                  <w14:solidFill>
                    <w14:schemeClr w14:val="tx1"/>
                  </w14:solidFill>
                </w14:textFill>
              </w:rPr>
              <w:t>充分</w:t>
            </w:r>
            <w:r>
              <w:rPr>
                <w:rFonts w:hint="eastAsia" w:ascii="宋体" w:hAnsi="宋体"/>
                <w:color w:val="000000" w:themeColor="text1"/>
                <w:highlight w:val="none"/>
                <w14:textFill>
                  <w14:solidFill>
                    <w14:schemeClr w14:val="tx1"/>
                  </w14:solidFill>
                </w14:textFill>
              </w:rPr>
              <w:t>，分析内容</w:t>
            </w:r>
            <w:r>
              <w:rPr>
                <w:rFonts w:hint="eastAsia" w:ascii="宋体" w:hAnsi="宋体"/>
                <w:color w:val="000000" w:themeColor="text1"/>
                <w:highlight w:val="none"/>
                <w:lang w:val="en-US" w:eastAsia="zh-CN"/>
                <w14:textFill>
                  <w14:solidFill>
                    <w14:schemeClr w14:val="tx1"/>
                  </w14:solidFill>
                </w14:textFill>
              </w:rPr>
              <w:t>较为详尽，基本符合采购需求</w:t>
            </w:r>
            <w:r>
              <w:rPr>
                <w:rFonts w:hint="eastAsia" w:ascii="宋体" w:hAnsi="宋体"/>
                <w:color w:val="000000" w:themeColor="text1"/>
                <w:highlight w:val="none"/>
                <w14:textFill>
                  <w14:solidFill>
                    <w14:schemeClr w14:val="tx1"/>
                  </w14:solidFill>
                </w14:textFill>
              </w:rPr>
              <w:t>的得</w:t>
            </w:r>
            <w:r>
              <w:rPr>
                <w:rFonts w:hint="eastAsia" w:ascii="宋体" w:hAnsi="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分；</w:t>
            </w:r>
          </w:p>
          <w:p w14:paraId="5CFBCECC">
            <w:pPr>
              <w:widowControl/>
              <w:rPr>
                <w:rFonts w:hint="eastAsia" w:ascii="宋体" w:hAnsi="宋体" w:cs="Times New Roman"/>
                <w:color w:val="000000" w:themeColor="text1"/>
                <w:highlight w:val="none"/>
                <w:lang w:val="zh-CN"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③方案不详细，有缺项漏项且分析内容</w:t>
            </w:r>
            <w:r>
              <w:rPr>
                <w:rFonts w:hint="eastAsia" w:ascii="宋体" w:hAnsi="宋体"/>
                <w:color w:val="000000" w:themeColor="text1"/>
                <w:highlight w:val="none"/>
                <w:lang w:val="en-US" w:eastAsia="zh-CN"/>
                <w14:textFill>
                  <w14:solidFill>
                    <w14:schemeClr w14:val="tx1"/>
                  </w14:solidFill>
                </w14:textFill>
              </w:rPr>
              <w:t>片面，与采购需求存在一定偏差</w:t>
            </w:r>
            <w:r>
              <w:rPr>
                <w:rFonts w:hint="eastAsia" w:ascii="宋体" w:hAnsi="宋体"/>
                <w:color w:val="000000" w:themeColor="text1"/>
                <w:highlight w:val="none"/>
                <w14:textFill>
                  <w14:solidFill>
                    <w14:schemeClr w14:val="tx1"/>
                  </w14:solidFill>
                </w14:textFill>
              </w:rPr>
              <w:t>的得</w:t>
            </w:r>
            <w:r>
              <w:rPr>
                <w:rFonts w:hint="eastAsia" w:ascii="宋体" w:hAnsi="宋体"/>
                <w:color w:val="000000" w:themeColor="text1"/>
                <w:highlight w:val="none"/>
                <w:lang w:val="en-US" w:eastAsia="zh-CN"/>
                <w14:textFill>
                  <w14:solidFill>
                    <w14:schemeClr w14:val="tx1"/>
                  </w14:solidFill>
                </w14:textFill>
              </w:rPr>
              <w:t>2</w:t>
            </w:r>
            <w:r>
              <w:rPr>
                <w:rFonts w:hint="eastAsia" w:ascii="宋体" w:hAnsi="宋体"/>
                <w:color w:val="000000" w:themeColor="text1"/>
                <w:highlight w:val="none"/>
                <w14:textFill>
                  <w14:solidFill>
                    <w14:schemeClr w14:val="tx1"/>
                  </w14:solidFill>
                </w14:textFill>
              </w:rPr>
              <w:t>分；</w:t>
            </w:r>
          </w:p>
          <w:p w14:paraId="5EBA1B31">
            <w:pPr>
              <w:widowControl/>
              <w:rPr>
                <w:rFonts w:hint="eastAsia" w:ascii="宋体" w:hAnsi="宋体" w:eastAsia="宋体" w:cs="Times New Roman"/>
                <w:color w:val="000000" w:themeColor="text1"/>
                <w:kern w:val="2"/>
                <w:sz w:val="21"/>
                <w:highlight w:val="none"/>
                <w:lang w:val="zh-CN" w:eastAsia="zh-CN" w:bidi="ar-SA"/>
                <w14:textFill>
                  <w14:solidFill>
                    <w14:schemeClr w14:val="tx1"/>
                  </w14:solidFill>
                </w14:textFill>
              </w:rPr>
            </w:pPr>
            <w:r>
              <w:rPr>
                <w:rFonts w:hint="eastAsia" w:ascii="宋体" w:hAnsi="宋体"/>
                <w:color w:val="000000" w:themeColor="text1"/>
                <w:highlight w:val="none"/>
                <w14:textFill>
                  <w14:solidFill>
                    <w14:schemeClr w14:val="tx1"/>
                  </w14:solidFill>
                </w14:textFill>
              </w:rPr>
              <w:t>本项最高得</w:t>
            </w:r>
            <w:r>
              <w:rPr>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highlight w:val="none"/>
                <w14:textFill>
                  <w14:solidFill>
                    <w14:schemeClr w14:val="tx1"/>
                  </w14:solidFill>
                </w14:textFill>
              </w:rPr>
              <w:t>分。不提供不得分。</w:t>
            </w:r>
          </w:p>
        </w:tc>
        <w:tc>
          <w:tcPr>
            <w:tcW w:w="654" w:type="dxa"/>
            <w:tcBorders>
              <w:top w:val="single" w:color="auto" w:sz="4" w:space="0"/>
              <w:left w:val="single" w:color="auto" w:sz="4" w:space="0"/>
              <w:right w:val="single" w:color="auto" w:sz="2" w:space="0"/>
            </w:tcBorders>
            <w:vAlign w:val="center"/>
          </w:tcPr>
          <w:p w14:paraId="2A5CC764">
            <w:pPr>
              <w:spacing w:before="85" w:beforeLines="30" w:line="288" w:lineRule="auto"/>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p>
        </w:tc>
      </w:tr>
      <w:tr w14:paraId="3D69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528" w:type="dxa"/>
            <w:vMerge w:val="continue"/>
            <w:tcBorders>
              <w:left w:val="single" w:color="auto" w:sz="4" w:space="0"/>
              <w:right w:val="single" w:color="auto" w:sz="2" w:space="0"/>
            </w:tcBorders>
            <w:vAlign w:val="center"/>
          </w:tcPr>
          <w:p w14:paraId="445D6256">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33EF4BE6">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505" w:type="dxa"/>
            <w:vMerge w:val="continue"/>
            <w:tcBorders>
              <w:left w:val="single" w:color="auto" w:sz="4" w:space="0"/>
              <w:right w:val="single" w:color="auto" w:sz="2" w:space="0"/>
            </w:tcBorders>
            <w:vAlign w:val="center"/>
          </w:tcPr>
          <w:p w14:paraId="6893C1C6">
            <w:pPr>
              <w:spacing w:before="85" w:beforeLines="30" w:line="288" w:lineRule="auto"/>
              <w:rPr>
                <w:rFonts w:asciiTheme="majorEastAsia" w:hAnsiTheme="majorEastAsia" w:eastAsiaTheme="majorEastAsia"/>
                <w:color w:val="000000" w:themeColor="text1"/>
                <w:szCs w:val="21"/>
                <w:highlight w:val="none"/>
                <w14:textFill>
                  <w14:solidFill>
                    <w14:schemeClr w14:val="tx1"/>
                  </w14:solidFill>
                </w14:textFill>
              </w:rPr>
            </w:pPr>
          </w:p>
        </w:tc>
        <w:tc>
          <w:tcPr>
            <w:tcW w:w="6846" w:type="dxa"/>
            <w:tcBorders>
              <w:top w:val="single" w:color="auto" w:sz="4" w:space="0"/>
              <w:left w:val="single" w:color="auto" w:sz="4" w:space="0"/>
              <w:right w:val="single" w:color="auto" w:sz="2" w:space="0"/>
            </w:tcBorders>
            <w:vAlign w:val="center"/>
          </w:tcPr>
          <w:p w14:paraId="07370B31">
            <w:pPr>
              <w:widowControl/>
              <w:rPr>
                <w:rFonts w:hint="eastAsia" w:ascii="宋体" w:hAnsi="宋体" w:eastAsia="宋体" w:cs="Times New Roman"/>
                <w:color w:val="000000" w:themeColor="text1"/>
                <w:highlight w:val="none"/>
                <w:lang w:val="zh-CN"/>
                <w14:textFill>
                  <w14:solidFill>
                    <w14:schemeClr w14:val="tx1"/>
                  </w14:solidFill>
                </w14:textFill>
              </w:rPr>
            </w:pPr>
            <w:r>
              <w:rPr>
                <w:rFonts w:hint="eastAsia" w:ascii="宋体" w:hAnsi="宋体" w:cs="Times New Roman"/>
                <w:color w:val="000000" w:themeColor="text1"/>
                <w:highlight w:val="none"/>
                <w:lang w:val="zh-CN"/>
                <w14:textFill>
                  <w14:solidFill>
                    <w14:schemeClr w14:val="tx1"/>
                  </w14:solidFill>
                </w14:textFill>
              </w:rPr>
              <w:t>（</w:t>
            </w:r>
            <w:r>
              <w:rPr>
                <w:rFonts w:hint="eastAsia" w:ascii="宋体" w:hAnsi="宋体" w:cs="Times New Roman"/>
                <w:color w:val="000000" w:themeColor="text1"/>
                <w:highlight w:val="none"/>
                <w:lang w:val="en-US" w:eastAsia="zh-CN"/>
                <w14:textFill>
                  <w14:solidFill>
                    <w14:schemeClr w14:val="tx1"/>
                  </w14:solidFill>
                </w14:textFill>
              </w:rPr>
              <w:t>5</w:t>
            </w:r>
            <w:r>
              <w:rPr>
                <w:rFonts w:hint="eastAsia" w:ascii="宋体" w:hAnsi="宋体" w:cs="Times New Roman"/>
                <w:color w:val="000000" w:themeColor="text1"/>
                <w:highlight w:val="none"/>
                <w:lang w:val="zh-CN"/>
                <w14:textFill>
                  <w14:solidFill>
                    <w14:schemeClr w14:val="tx1"/>
                  </w14:solidFill>
                </w14:textFill>
              </w:rPr>
              <w:t>）</w:t>
            </w:r>
            <w:r>
              <w:rPr>
                <w:rFonts w:hint="eastAsia" w:ascii="宋体" w:hAnsi="宋体" w:eastAsia="宋体" w:cs="Times New Roman"/>
                <w:color w:val="000000" w:themeColor="text1"/>
                <w:highlight w:val="none"/>
                <w:lang w:val="zh-CN"/>
                <w14:textFill>
                  <w14:solidFill>
                    <w14:schemeClr w14:val="tx1"/>
                  </w14:solidFill>
                </w14:textFill>
              </w:rPr>
              <w:t>针对协助完成专项检查方案整体性评价。</w:t>
            </w:r>
          </w:p>
          <w:p w14:paraId="74229900">
            <w:pPr>
              <w:widowControl/>
              <w:rPr>
                <w:rFonts w:hint="eastAsia" w:ascii="宋体" w:hAnsi="宋体" w:cs="Times New Roman"/>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highlight w:val="none"/>
                <w:lang w:val="zh-CN"/>
                <w14:textFill>
                  <w14:solidFill>
                    <w14:schemeClr w14:val="tx1"/>
                  </w14:solidFill>
                </w14:textFill>
              </w:rPr>
              <w:t>根据供应商针对本项目提供的</w:t>
            </w:r>
            <w:r>
              <w:rPr>
                <w:rFonts w:hint="eastAsia" w:ascii="宋体" w:hAnsi="宋体" w:cs="Times New Roman"/>
                <w:color w:val="000000" w:themeColor="text1"/>
                <w:highlight w:val="none"/>
                <w:lang w:val="en-US" w:eastAsia="zh-CN"/>
                <w14:textFill>
                  <w14:solidFill>
                    <w14:schemeClr w14:val="tx1"/>
                  </w14:solidFill>
                </w14:textFill>
              </w:rPr>
              <w:t>协助招标人完成</w:t>
            </w:r>
            <w:r>
              <w:rPr>
                <w:rFonts w:hint="eastAsia" w:ascii="宋体" w:hAnsi="宋体"/>
                <w:color w:val="000000" w:themeColor="text1"/>
                <w:szCs w:val="21"/>
                <w:highlight w:val="none"/>
                <w14:textFill>
                  <w14:solidFill>
                    <w14:schemeClr w14:val="tx1"/>
                  </w14:solidFill>
                </w14:textFill>
              </w:rPr>
              <w:t>专项检查</w:t>
            </w:r>
            <w:r>
              <w:rPr>
                <w:rFonts w:hint="eastAsia" w:ascii="宋体" w:hAnsi="宋体"/>
                <w:color w:val="000000" w:themeColor="text1"/>
                <w:szCs w:val="21"/>
                <w:highlight w:val="none"/>
                <w:lang w:eastAsia="zh-CN"/>
                <w14:textFill>
                  <w14:solidFill>
                    <w14:schemeClr w14:val="tx1"/>
                  </w14:solidFill>
                </w14:textFill>
              </w:rPr>
              <w:t>的</w:t>
            </w:r>
            <w:r>
              <w:rPr>
                <w:rFonts w:hint="eastAsia" w:ascii="宋体" w:hAnsi="宋体" w:eastAsia="宋体" w:cs="Times New Roman"/>
                <w:color w:val="000000" w:themeColor="text1"/>
                <w:highlight w:val="none"/>
                <w:lang w:val="zh-CN"/>
                <w14:textFill>
                  <w14:solidFill>
                    <w14:schemeClr w14:val="tx1"/>
                  </w14:solidFill>
                </w14:textFill>
              </w:rPr>
              <w:t>方案进行综合评议</w:t>
            </w:r>
            <w:r>
              <w:rPr>
                <w:rFonts w:hint="eastAsia" w:ascii="宋体" w:hAnsi="宋体" w:cs="Times New Roman"/>
                <w:color w:val="000000" w:themeColor="text1"/>
                <w:highlight w:val="none"/>
                <w:lang w:val="en-US" w:eastAsia="zh-CN"/>
                <w14:textFill>
                  <w14:solidFill>
                    <w14:schemeClr w14:val="tx1"/>
                  </w14:solidFill>
                </w14:textFill>
              </w:rPr>
              <w:t>:</w:t>
            </w:r>
          </w:p>
          <w:p w14:paraId="16AFE069">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①方案完整详细，分析充分，分析内容</w:t>
            </w:r>
            <w:r>
              <w:rPr>
                <w:rFonts w:hint="eastAsia" w:ascii="宋体" w:hAnsi="宋体"/>
                <w:color w:val="000000" w:themeColor="text1"/>
                <w:highlight w:val="none"/>
                <w:lang w:val="en-US" w:eastAsia="zh-CN"/>
                <w14:textFill>
                  <w14:solidFill>
                    <w14:schemeClr w14:val="tx1"/>
                  </w14:solidFill>
                </w14:textFill>
              </w:rPr>
              <w:t>详尽，符合采购需求的</w:t>
            </w:r>
            <w:r>
              <w:rPr>
                <w:rFonts w:hint="eastAsia" w:ascii="宋体" w:hAnsi="宋体"/>
                <w:color w:val="000000" w:themeColor="text1"/>
                <w:highlight w:val="none"/>
                <w14:textFill>
                  <w14:solidFill>
                    <w14:schemeClr w14:val="tx1"/>
                  </w14:solidFill>
                </w14:textFill>
              </w:rPr>
              <w:t>得</w:t>
            </w:r>
            <w:r>
              <w:rPr>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highlight w:val="none"/>
                <w14:textFill>
                  <w14:solidFill>
                    <w14:schemeClr w14:val="tx1"/>
                  </w14:solidFill>
                </w14:textFill>
              </w:rPr>
              <w:t>分；</w:t>
            </w:r>
          </w:p>
          <w:p w14:paraId="335FC816">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②方案较为详细，分析较为</w:t>
            </w:r>
            <w:r>
              <w:rPr>
                <w:rFonts w:hint="eastAsia" w:ascii="宋体" w:hAnsi="宋体"/>
                <w:color w:val="000000" w:themeColor="text1"/>
                <w:highlight w:val="none"/>
                <w:lang w:val="en-US" w:eastAsia="zh-CN"/>
                <w14:textFill>
                  <w14:solidFill>
                    <w14:schemeClr w14:val="tx1"/>
                  </w14:solidFill>
                </w14:textFill>
              </w:rPr>
              <w:t>充分</w:t>
            </w:r>
            <w:r>
              <w:rPr>
                <w:rFonts w:hint="eastAsia" w:ascii="宋体" w:hAnsi="宋体"/>
                <w:color w:val="000000" w:themeColor="text1"/>
                <w:highlight w:val="none"/>
                <w14:textFill>
                  <w14:solidFill>
                    <w14:schemeClr w14:val="tx1"/>
                  </w14:solidFill>
                </w14:textFill>
              </w:rPr>
              <w:t>，分析内容</w:t>
            </w:r>
            <w:r>
              <w:rPr>
                <w:rFonts w:hint="eastAsia" w:ascii="宋体" w:hAnsi="宋体"/>
                <w:color w:val="000000" w:themeColor="text1"/>
                <w:highlight w:val="none"/>
                <w:lang w:val="en-US" w:eastAsia="zh-CN"/>
                <w14:textFill>
                  <w14:solidFill>
                    <w14:schemeClr w14:val="tx1"/>
                  </w14:solidFill>
                </w14:textFill>
              </w:rPr>
              <w:t>较为详尽，基本符合采购需求</w:t>
            </w:r>
            <w:r>
              <w:rPr>
                <w:rFonts w:hint="eastAsia" w:ascii="宋体" w:hAnsi="宋体"/>
                <w:color w:val="000000" w:themeColor="text1"/>
                <w:highlight w:val="none"/>
                <w14:textFill>
                  <w14:solidFill>
                    <w14:schemeClr w14:val="tx1"/>
                  </w14:solidFill>
                </w14:textFill>
              </w:rPr>
              <w:t>的得</w:t>
            </w:r>
            <w:r>
              <w:rPr>
                <w:rFonts w:hint="eastAsia" w:ascii="宋体" w:hAnsi="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分；</w:t>
            </w:r>
          </w:p>
          <w:p w14:paraId="6B546A22">
            <w:pPr>
              <w:widowControl/>
              <w:rPr>
                <w:rFonts w:hint="eastAsia" w:ascii="宋体" w:hAnsi="宋体" w:cs="Times New Roman"/>
                <w:color w:val="000000" w:themeColor="text1"/>
                <w:highlight w:val="none"/>
                <w:lang w:val="zh-CN"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③方案不详细，有缺项漏项且分析内容</w:t>
            </w:r>
            <w:r>
              <w:rPr>
                <w:rFonts w:hint="eastAsia" w:ascii="宋体" w:hAnsi="宋体"/>
                <w:color w:val="000000" w:themeColor="text1"/>
                <w:highlight w:val="none"/>
                <w:lang w:val="en-US" w:eastAsia="zh-CN"/>
                <w14:textFill>
                  <w14:solidFill>
                    <w14:schemeClr w14:val="tx1"/>
                  </w14:solidFill>
                </w14:textFill>
              </w:rPr>
              <w:t>片面，与采购需求存在一定偏差</w:t>
            </w:r>
            <w:r>
              <w:rPr>
                <w:rFonts w:hint="eastAsia" w:ascii="宋体" w:hAnsi="宋体"/>
                <w:color w:val="000000" w:themeColor="text1"/>
                <w:highlight w:val="none"/>
                <w14:textFill>
                  <w14:solidFill>
                    <w14:schemeClr w14:val="tx1"/>
                  </w14:solidFill>
                </w14:textFill>
              </w:rPr>
              <w:t>的得</w:t>
            </w:r>
            <w:r>
              <w:rPr>
                <w:rFonts w:hint="eastAsia" w:ascii="宋体" w:hAnsi="宋体"/>
                <w:color w:val="000000" w:themeColor="text1"/>
                <w:highlight w:val="none"/>
                <w:lang w:val="en-US" w:eastAsia="zh-CN"/>
                <w14:textFill>
                  <w14:solidFill>
                    <w14:schemeClr w14:val="tx1"/>
                  </w14:solidFill>
                </w14:textFill>
              </w:rPr>
              <w:t>2</w:t>
            </w:r>
            <w:r>
              <w:rPr>
                <w:rFonts w:hint="eastAsia" w:ascii="宋体" w:hAnsi="宋体"/>
                <w:color w:val="000000" w:themeColor="text1"/>
                <w:highlight w:val="none"/>
                <w14:textFill>
                  <w14:solidFill>
                    <w14:schemeClr w14:val="tx1"/>
                  </w14:solidFill>
                </w14:textFill>
              </w:rPr>
              <w:t>分；</w:t>
            </w:r>
          </w:p>
          <w:p w14:paraId="5FEC819E">
            <w:pPr>
              <w:widowControl/>
              <w:rPr>
                <w:rFonts w:hint="eastAsia" w:ascii="宋体" w:hAnsi="宋体" w:eastAsia="宋体" w:cs="Times New Roman"/>
                <w:color w:val="000000" w:themeColor="text1"/>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本项最高得</w:t>
            </w:r>
            <w:r>
              <w:rPr>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highlight w:val="none"/>
                <w14:textFill>
                  <w14:solidFill>
                    <w14:schemeClr w14:val="tx1"/>
                  </w14:solidFill>
                </w14:textFill>
              </w:rPr>
              <w:t>分。不提供不得分。</w:t>
            </w:r>
          </w:p>
        </w:tc>
        <w:tc>
          <w:tcPr>
            <w:tcW w:w="654" w:type="dxa"/>
            <w:tcBorders>
              <w:top w:val="single" w:color="auto" w:sz="4" w:space="0"/>
              <w:left w:val="single" w:color="auto" w:sz="4" w:space="0"/>
              <w:right w:val="single" w:color="auto" w:sz="2" w:space="0"/>
            </w:tcBorders>
            <w:vAlign w:val="center"/>
          </w:tcPr>
          <w:p w14:paraId="6594A98D">
            <w:pPr>
              <w:spacing w:before="85" w:beforeLines="30" w:line="288" w:lineRule="auto"/>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p>
        </w:tc>
      </w:tr>
      <w:tr w14:paraId="74F9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528" w:type="dxa"/>
            <w:vMerge w:val="continue"/>
            <w:tcBorders>
              <w:left w:val="single" w:color="auto" w:sz="4" w:space="0"/>
              <w:right w:val="single" w:color="auto" w:sz="2" w:space="0"/>
            </w:tcBorders>
            <w:vAlign w:val="center"/>
          </w:tcPr>
          <w:p w14:paraId="371B9C5B">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21E5AAE2">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505" w:type="dxa"/>
            <w:vMerge w:val="restart"/>
            <w:tcBorders>
              <w:left w:val="single" w:color="auto" w:sz="4" w:space="0"/>
              <w:right w:val="single" w:color="auto" w:sz="2" w:space="0"/>
            </w:tcBorders>
            <w:vAlign w:val="center"/>
          </w:tcPr>
          <w:p w14:paraId="694C1165">
            <w:pPr>
              <w:spacing w:line="360" w:lineRule="exact"/>
              <w:rPr>
                <w:rFonts w:ascii="宋体" w:hAnsi="宋体" w:cs="宋体"/>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消防安全工作服务方案</w:t>
            </w:r>
          </w:p>
          <w:p w14:paraId="79142E71">
            <w:pPr>
              <w:spacing w:before="85" w:beforeLines="30" w:line="288" w:lineRule="auto"/>
              <w:rPr>
                <w:rFonts w:hint="eastAsia" w:asciiTheme="majorEastAsia" w:hAnsiTheme="majorEastAsia" w:eastAsiaTheme="majorEastAsia"/>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分）</w:t>
            </w:r>
          </w:p>
        </w:tc>
        <w:tc>
          <w:tcPr>
            <w:tcW w:w="6846" w:type="dxa"/>
            <w:tcBorders>
              <w:top w:val="single" w:color="auto" w:sz="4" w:space="0"/>
              <w:left w:val="single" w:color="auto" w:sz="4" w:space="0"/>
              <w:right w:val="single" w:color="auto" w:sz="2" w:space="0"/>
            </w:tcBorders>
            <w:vAlign w:val="center"/>
          </w:tcPr>
          <w:p w14:paraId="22707F6F">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针对协助开展出租房消防安全隐患的督查整改和闭环验收服务方案整体性评价。</w:t>
            </w:r>
          </w:p>
          <w:p w14:paraId="478EAA2A">
            <w:pPr>
              <w:widowControl/>
              <w:rPr>
                <w:rFonts w:hint="eastAsia" w:ascii="宋体" w:hAnsi="宋体" w:cs="Times New Roman"/>
                <w:color w:val="000000" w:themeColor="text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根据供应商针对本项目提供的协助开展出租房消防安全隐患的督查整改和闭环验收服务方案</w:t>
            </w:r>
            <w:r>
              <w:rPr>
                <w:rFonts w:hint="eastAsia" w:ascii="宋体" w:hAnsi="宋体" w:eastAsia="宋体" w:cs="Times New Roman"/>
                <w:color w:val="000000" w:themeColor="text1"/>
                <w:highlight w:val="none"/>
                <w:lang w:val="zh-CN"/>
                <w14:textFill>
                  <w14:solidFill>
                    <w14:schemeClr w14:val="tx1"/>
                  </w14:solidFill>
                </w14:textFill>
              </w:rPr>
              <w:t>进行综合评议</w:t>
            </w:r>
            <w:r>
              <w:rPr>
                <w:rFonts w:hint="eastAsia" w:ascii="宋体" w:hAnsi="宋体" w:cs="Times New Roman"/>
                <w:color w:val="000000" w:themeColor="text1"/>
                <w:highlight w:val="none"/>
                <w:lang w:val="en-US" w:eastAsia="zh-CN"/>
                <w14:textFill>
                  <w14:solidFill>
                    <w14:schemeClr w14:val="tx1"/>
                  </w14:solidFill>
                </w14:textFill>
              </w:rPr>
              <w:t>:</w:t>
            </w:r>
          </w:p>
          <w:p w14:paraId="02E84159">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①方案完整详细，分析充分，分析内容</w:t>
            </w:r>
            <w:r>
              <w:rPr>
                <w:rFonts w:hint="eastAsia" w:ascii="宋体" w:hAnsi="宋体"/>
                <w:color w:val="000000" w:themeColor="text1"/>
                <w:highlight w:val="none"/>
                <w:lang w:val="en-US" w:eastAsia="zh-CN"/>
                <w14:textFill>
                  <w14:solidFill>
                    <w14:schemeClr w14:val="tx1"/>
                  </w14:solidFill>
                </w14:textFill>
              </w:rPr>
              <w:t>详尽，符合采购需求的</w:t>
            </w:r>
            <w:r>
              <w:rPr>
                <w:rFonts w:hint="eastAsia" w:ascii="宋体" w:hAnsi="宋体"/>
                <w:color w:val="000000" w:themeColor="text1"/>
                <w:highlight w:val="none"/>
                <w14:textFill>
                  <w14:solidFill>
                    <w14:schemeClr w14:val="tx1"/>
                  </w14:solidFill>
                </w14:textFill>
              </w:rPr>
              <w:t>得</w:t>
            </w:r>
            <w:r>
              <w:rPr>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highlight w:val="none"/>
                <w14:textFill>
                  <w14:solidFill>
                    <w14:schemeClr w14:val="tx1"/>
                  </w14:solidFill>
                </w14:textFill>
              </w:rPr>
              <w:t>分；</w:t>
            </w:r>
          </w:p>
          <w:p w14:paraId="3EE5E2D9">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②方案较为详细，分析较为</w:t>
            </w:r>
            <w:r>
              <w:rPr>
                <w:rFonts w:hint="eastAsia" w:ascii="宋体" w:hAnsi="宋体"/>
                <w:color w:val="000000" w:themeColor="text1"/>
                <w:highlight w:val="none"/>
                <w:lang w:val="en-US" w:eastAsia="zh-CN"/>
                <w14:textFill>
                  <w14:solidFill>
                    <w14:schemeClr w14:val="tx1"/>
                  </w14:solidFill>
                </w14:textFill>
              </w:rPr>
              <w:t>充分</w:t>
            </w:r>
            <w:r>
              <w:rPr>
                <w:rFonts w:hint="eastAsia" w:ascii="宋体" w:hAnsi="宋体"/>
                <w:color w:val="000000" w:themeColor="text1"/>
                <w:highlight w:val="none"/>
                <w14:textFill>
                  <w14:solidFill>
                    <w14:schemeClr w14:val="tx1"/>
                  </w14:solidFill>
                </w14:textFill>
              </w:rPr>
              <w:t>，分析内容</w:t>
            </w:r>
            <w:r>
              <w:rPr>
                <w:rFonts w:hint="eastAsia" w:ascii="宋体" w:hAnsi="宋体"/>
                <w:color w:val="000000" w:themeColor="text1"/>
                <w:highlight w:val="none"/>
                <w:lang w:val="en-US" w:eastAsia="zh-CN"/>
                <w14:textFill>
                  <w14:solidFill>
                    <w14:schemeClr w14:val="tx1"/>
                  </w14:solidFill>
                </w14:textFill>
              </w:rPr>
              <w:t>较为详尽，基本符合采购需求</w:t>
            </w:r>
            <w:r>
              <w:rPr>
                <w:rFonts w:hint="eastAsia" w:ascii="宋体" w:hAnsi="宋体"/>
                <w:color w:val="000000" w:themeColor="text1"/>
                <w:highlight w:val="none"/>
                <w14:textFill>
                  <w14:solidFill>
                    <w14:schemeClr w14:val="tx1"/>
                  </w14:solidFill>
                </w14:textFill>
              </w:rPr>
              <w:t>的得</w:t>
            </w:r>
            <w:r>
              <w:rPr>
                <w:rFonts w:hint="eastAsia" w:ascii="宋体" w:hAnsi="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分；</w:t>
            </w:r>
          </w:p>
          <w:p w14:paraId="74305794">
            <w:pPr>
              <w:widowControl/>
              <w:rPr>
                <w:rFonts w:hint="eastAsia" w:ascii="宋体" w:hAnsi="宋体" w:cs="Times New Roman"/>
                <w:color w:val="000000" w:themeColor="text1"/>
                <w:highlight w:val="none"/>
                <w:lang w:val="zh-CN"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③方案不详细，有缺项漏项且分析内容</w:t>
            </w:r>
            <w:r>
              <w:rPr>
                <w:rFonts w:hint="eastAsia" w:ascii="宋体" w:hAnsi="宋体"/>
                <w:color w:val="000000" w:themeColor="text1"/>
                <w:highlight w:val="none"/>
                <w:lang w:val="en-US" w:eastAsia="zh-CN"/>
                <w14:textFill>
                  <w14:solidFill>
                    <w14:schemeClr w14:val="tx1"/>
                  </w14:solidFill>
                </w14:textFill>
              </w:rPr>
              <w:t>片面，与采购需求存在一定偏差</w:t>
            </w:r>
            <w:r>
              <w:rPr>
                <w:rFonts w:hint="eastAsia" w:ascii="宋体" w:hAnsi="宋体"/>
                <w:color w:val="000000" w:themeColor="text1"/>
                <w:highlight w:val="none"/>
                <w14:textFill>
                  <w14:solidFill>
                    <w14:schemeClr w14:val="tx1"/>
                  </w14:solidFill>
                </w14:textFill>
              </w:rPr>
              <w:t>的得</w:t>
            </w:r>
            <w:r>
              <w:rPr>
                <w:rFonts w:hint="eastAsia" w:ascii="宋体" w:hAnsi="宋体"/>
                <w:color w:val="000000" w:themeColor="text1"/>
                <w:highlight w:val="none"/>
                <w:lang w:val="en-US" w:eastAsia="zh-CN"/>
                <w14:textFill>
                  <w14:solidFill>
                    <w14:schemeClr w14:val="tx1"/>
                  </w14:solidFill>
                </w14:textFill>
              </w:rPr>
              <w:t>2</w:t>
            </w:r>
            <w:r>
              <w:rPr>
                <w:rFonts w:hint="eastAsia" w:ascii="宋体" w:hAnsi="宋体"/>
                <w:color w:val="000000" w:themeColor="text1"/>
                <w:highlight w:val="none"/>
                <w14:textFill>
                  <w14:solidFill>
                    <w14:schemeClr w14:val="tx1"/>
                  </w14:solidFill>
                </w14:textFill>
              </w:rPr>
              <w:t>分；</w:t>
            </w:r>
          </w:p>
          <w:p w14:paraId="605C1188">
            <w:pPr>
              <w:spacing w:line="36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本项最高得</w:t>
            </w:r>
            <w:r>
              <w:rPr>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highlight w:val="none"/>
                <w14:textFill>
                  <w14:solidFill>
                    <w14:schemeClr w14:val="tx1"/>
                  </w14:solidFill>
                </w14:textFill>
              </w:rPr>
              <w:t>分。不提供不得分。</w:t>
            </w:r>
          </w:p>
        </w:tc>
        <w:tc>
          <w:tcPr>
            <w:tcW w:w="654" w:type="dxa"/>
            <w:tcBorders>
              <w:top w:val="single" w:color="auto" w:sz="4" w:space="0"/>
              <w:left w:val="single" w:color="auto" w:sz="4" w:space="0"/>
              <w:right w:val="single" w:color="auto" w:sz="2" w:space="0"/>
            </w:tcBorders>
            <w:vAlign w:val="center"/>
          </w:tcPr>
          <w:p w14:paraId="41FBD258">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p>
        </w:tc>
      </w:tr>
      <w:tr w14:paraId="3C26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528" w:type="dxa"/>
            <w:vMerge w:val="continue"/>
            <w:tcBorders>
              <w:left w:val="single" w:color="auto" w:sz="4" w:space="0"/>
              <w:right w:val="single" w:color="auto" w:sz="2" w:space="0"/>
            </w:tcBorders>
            <w:vAlign w:val="center"/>
          </w:tcPr>
          <w:p w14:paraId="2E77C264">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493F7CC8">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505" w:type="dxa"/>
            <w:vMerge w:val="continue"/>
            <w:tcBorders>
              <w:left w:val="single" w:color="auto" w:sz="4" w:space="0"/>
              <w:right w:val="single" w:color="auto" w:sz="2" w:space="0"/>
            </w:tcBorders>
            <w:vAlign w:val="center"/>
          </w:tcPr>
          <w:p w14:paraId="551238D3">
            <w:pPr>
              <w:spacing w:before="85" w:beforeLines="30" w:line="288" w:lineRule="auto"/>
              <w:rPr>
                <w:rFonts w:asciiTheme="majorEastAsia" w:hAnsiTheme="majorEastAsia" w:eastAsiaTheme="majorEastAsia"/>
                <w:color w:val="000000" w:themeColor="text1"/>
                <w:szCs w:val="21"/>
                <w:highlight w:val="none"/>
                <w14:textFill>
                  <w14:solidFill>
                    <w14:schemeClr w14:val="tx1"/>
                  </w14:solidFill>
                </w14:textFill>
              </w:rPr>
            </w:pPr>
          </w:p>
        </w:tc>
        <w:tc>
          <w:tcPr>
            <w:tcW w:w="6846" w:type="dxa"/>
            <w:tcBorders>
              <w:top w:val="single" w:color="auto" w:sz="4" w:space="0"/>
              <w:left w:val="single" w:color="auto" w:sz="4" w:space="0"/>
              <w:right w:val="single" w:color="auto" w:sz="2" w:space="0"/>
            </w:tcBorders>
            <w:vAlign w:val="center"/>
          </w:tcPr>
          <w:p w14:paraId="2CD91268">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针对协助开展沿街商铺的督查检查和整改验收服务方案整体性评价。</w:t>
            </w:r>
          </w:p>
          <w:p w14:paraId="53A0029C">
            <w:pPr>
              <w:widowControl/>
              <w:rPr>
                <w:rFonts w:hint="eastAsia" w:ascii="宋体" w:hAnsi="宋体" w:cs="Times New Roman"/>
                <w:color w:val="000000" w:themeColor="text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根据供应商针对本项目提供的协助开展沿街商铺的督查检查和整改验收服务方</w:t>
            </w:r>
            <w:r>
              <w:rPr>
                <w:rFonts w:hint="eastAsia" w:ascii="宋体" w:hAnsi="宋体" w:eastAsia="宋体" w:cs="Times New Roman"/>
                <w:color w:val="000000" w:themeColor="text1"/>
                <w:highlight w:val="none"/>
                <w:lang w:val="zh-CN"/>
                <w14:textFill>
                  <w14:solidFill>
                    <w14:schemeClr w14:val="tx1"/>
                  </w14:solidFill>
                </w14:textFill>
              </w:rPr>
              <w:t>进行综合评议</w:t>
            </w:r>
            <w:r>
              <w:rPr>
                <w:rFonts w:hint="eastAsia" w:ascii="宋体" w:hAnsi="宋体" w:cs="Times New Roman"/>
                <w:color w:val="000000" w:themeColor="text1"/>
                <w:highlight w:val="none"/>
                <w:lang w:val="en-US" w:eastAsia="zh-CN"/>
                <w14:textFill>
                  <w14:solidFill>
                    <w14:schemeClr w14:val="tx1"/>
                  </w14:solidFill>
                </w14:textFill>
              </w:rPr>
              <w:t>:</w:t>
            </w:r>
          </w:p>
          <w:p w14:paraId="6DD4F82F">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①方案完整详细，分析充分，分析内容</w:t>
            </w:r>
            <w:r>
              <w:rPr>
                <w:rFonts w:hint="eastAsia" w:ascii="宋体" w:hAnsi="宋体"/>
                <w:color w:val="000000" w:themeColor="text1"/>
                <w:highlight w:val="none"/>
                <w:lang w:val="en-US" w:eastAsia="zh-CN"/>
                <w14:textFill>
                  <w14:solidFill>
                    <w14:schemeClr w14:val="tx1"/>
                  </w14:solidFill>
                </w14:textFill>
              </w:rPr>
              <w:t>详尽，符合采购需求的</w:t>
            </w:r>
            <w:r>
              <w:rPr>
                <w:rFonts w:hint="eastAsia" w:ascii="宋体" w:hAnsi="宋体"/>
                <w:color w:val="000000" w:themeColor="text1"/>
                <w:highlight w:val="none"/>
                <w14:textFill>
                  <w14:solidFill>
                    <w14:schemeClr w14:val="tx1"/>
                  </w14:solidFill>
                </w14:textFill>
              </w:rPr>
              <w:t>得</w:t>
            </w:r>
            <w:r>
              <w:rPr>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highlight w:val="none"/>
                <w14:textFill>
                  <w14:solidFill>
                    <w14:schemeClr w14:val="tx1"/>
                  </w14:solidFill>
                </w14:textFill>
              </w:rPr>
              <w:t>分；</w:t>
            </w:r>
          </w:p>
          <w:p w14:paraId="1E44DEF4">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②方案较为详细，分析较为</w:t>
            </w:r>
            <w:r>
              <w:rPr>
                <w:rFonts w:hint="eastAsia" w:ascii="宋体" w:hAnsi="宋体"/>
                <w:color w:val="000000" w:themeColor="text1"/>
                <w:highlight w:val="none"/>
                <w:lang w:val="en-US" w:eastAsia="zh-CN"/>
                <w14:textFill>
                  <w14:solidFill>
                    <w14:schemeClr w14:val="tx1"/>
                  </w14:solidFill>
                </w14:textFill>
              </w:rPr>
              <w:t>充分</w:t>
            </w:r>
            <w:r>
              <w:rPr>
                <w:rFonts w:hint="eastAsia" w:ascii="宋体" w:hAnsi="宋体"/>
                <w:color w:val="000000" w:themeColor="text1"/>
                <w:highlight w:val="none"/>
                <w14:textFill>
                  <w14:solidFill>
                    <w14:schemeClr w14:val="tx1"/>
                  </w14:solidFill>
                </w14:textFill>
              </w:rPr>
              <w:t>，分析内容</w:t>
            </w:r>
            <w:r>
              <w:rPr>
                <w:rFonts w:hint="eastAsia" w:ascii="宋体" w:hAnsi="宋体"/>
                <w:color w:val="000000" w:themeColor="text1"/>
                <w:highlight w:val="none"/>
                <w:lang w:val="en-US" w:eastAsia="zh-CN"/>
                <w14:textFill>
                  <w14:solidFill>
                    <w14:schemeClr w14:val="tx1"/>
                  </w14:solidFill>
                </w14:textFill>
              </w:rPr>
              <w:t>较为详尽，基本符合采购需求</w:t>
            </w:r>
            <w:r>
              <w:rPr>
                <w:rFonts w:hint="eastAsia" w:ascii="宋体" w:hAnsi="宋体"/>
                <w:color w:val="000000" w:themeColor="text1"/>
                <w:highlight w:val="none"/>
                <w14:textFill>
                  <w14:solidFill>
                    <w14:schemeClr w14:val="tx1"/>
                  </w14:solidFill>
                </w14:textFill>
              </w:rPr>
              <w:t>的得</w:t>
            </w:r>
            <w:r>
              <w:rPr>
                <w:rFonts w:hint="eastAsia" w:ascii="宋体" w:hAnsi="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分；</w:t>
            </w:r>
          </w:p>
          <w:p w14:paraId="6A7B9411">
            <w:pPr>
              <w:widowControl/>
              <w:rPr>
                <w:rFonts w:hint="eastAsia" w:ascii="宋体" w:hAnsi="宋体" w:cs="Times New Roman"/>
                <w:color w:val="000000" w:themeColor="text1"/>
                <w:highlight w:val="none"/>
                <w:lang w:val="zh-CN"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③方案不详细，有缺项漏项且分析内容</w:t>
            </w:r>
            <w:r>
              <w:rPr>
                <w:rFonts w:hint="eastAsia" w:ascii="宋体" w:hAnsi="宋体"/>
                <w:color w:val="000000" w:themeColor="text1"/>
                <w:highlight w:val="none"/>
                <w:lang w:val="en-US" w:eastAsia="zh-CN"/>
                <w14:textFill>
                  <w14:solidFill>
                    <w14:schemeClr w14:val="tx1"/>
                  </w14:solidFill>
                </w14:textFill>
              </w:rPr>
              <w:t>片面，与采购需求存在一定偏差</w:t>
            </w:r>
            <w:r>
              <w:rPr>
                <w:rFonts w:hint="eastAsia" w:ascii="宋体" w:hAnsi="宋体"/>
                <w:color w:val="000000" w:themeColor="text1"/>
                <w:highlight w:val="none"/>
                <w14:textFill>
                  <w14:solidFill>
                    <w14:schemeClr w14:val="tx1"/>
                  </w14:solidFill>
                </w14:textFill>
              </w:rPr>
              <w:t>的得</w:t>
            </w:r>
            <w:r>
              <w:rPr>
                <w:rFonts w:hint="eastAsia" w:ascii="宋体" w:hAnsi="宋体"/>
                <w:color w:val="000000" w:themeColor="text1"/>
                <w:highlight w:val="none"/>
                <w:lang w:val="en-US" w:eastAsia="zh-CN"/>
                <w14:textFill>
                  <w14:solidFill>
                    <w14:schemeClr w14:val="tx1"/>
                  </w14:solidFill>
                </w14:textFill>
              </w:rPr>
              <w:t>2</w:t>
            </w:r>
            <w:r>
              <w:rPr>
                <w:rFonts w:hint="eastAsia" w:ascii="宋体" w:hAnsi="宋体"/>
                <w:color w:val="000000" w:themeColor="text1"/>
                <w:highlight w:val="none"/>
                <w14:textFill>
                  <w14:solidFill>
                    <w14:schemeClr w14:val="tx1"/>
                  </w14:solidFill>
                </w14:textFill>
              </w:rPr>
              <w:t>分；</w:t>
            </w:r>
          </w:p>
          <w:p w14:paraId="598272A5">
            <w:pPr>
              <w:spacing w:line="36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本项最高得</w:t>
            </w:r>
            <w:r>
              <w:rPr>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highlight w:val="none"/>
                <w14:textFill>
                  <w14:solidFill>
                    <w14:schemeClr w14:val="tx1"/>
                  </w14:solidFill>
                </w14:textFill>
              </w:rPr>
              <w:t>分。不提供不得分。</w:t>
            </w:r>
          </w:p>
        </w:tc>
        <w:tc>
          <w:tcPr>
            <w:tcW w:w="654" w:type="dxa"/>
            <w:tcBorders>
              <w:top w:val="single" w:color="auto" w:sz="4" w:space="0"/>
              <w:left w:val="single" w:color="auto" w:sz="4" w:space="0"/>
              <w:right w:val="single" w:color="auto" w:sz="2" w:space="0"/>
            </w:tcBorders>
            <w:vAlign w:val="center"/>
          </w:tcPr>
          <w:p w14:paraId="459612C5">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p>
        </w:tc>
      </w:tr>
      <w:tr w14:paraId="6233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528" w:type="dxa"/>
            <w:vMerge w:val="continue"/>
            <w:tcBorders>
              <w:left w:val="single" w:color="auto" w:sz="4" w:space="0"/>
              <w:right w:val="single" w:color="auto" w:sz="2" w:space="0"/>
            </w:tcBorders>
            <w:vAlign w:val="center"/>
          </w:tcPr>
          <w:p w14:paraId="7DCE31A1">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4E608EA3">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505" w:type="dxa"/>
            <w:vMerge w:val="restart"/>
            <w:tcBorders>
              <w:left w:val="single" w:color="auto" w:sz="4" w:space="0"/>
              <w:right w:val="single" w:color="auto" w:sz="2" w:space="0"/>
            </w:tcBorders>
            <w:vAlign w:val="center"/>
          </w:tcPr>
          <w:p w14:paraId="68764B2F">
            <w:pPr>
              <w:spacing w:before="85" w:beforeLines="30" w:line="288" w:lineRule="auto"/>
              <w:rPr>
                <w:rFonts w:hint="eastAsia" w:asciiTheme="majorEastAsia" w:hAnsiTheme="majorEastAsia" w:eastAsiaTheme="majorEastAsia"/>
                <w:color w:val="000000" w:themeColor="text1"/>
                <w:szCs w:val="21"/>
                <w:highlight w:val="none"/>
                <w:lang w:val="en-US" w:eastAsia="zh-CN"/>
                <w14:textFill>
                  <w14:solidFill>
                    <w14:schemeClr w14:val="tx1"/>
                  </w14:solidFill>
                </w14:textFill>
              </w:rPr>
            </w:pPr>
            <w:r>
              <w:rPr>
                <w:rFonts w:hint="eastAsia" w:cs="Times New Roman" w:asciiTheme="majorEastAsia" w:hAnsiTheme="majorEastAsia" w:eastAsiaTheme="majorEastAsia"/>
                <w:color w:val="000000" w:themeColor="text1"/>
                <w:szCs w:val="21"/>
                <w:highlight w:val="none"/>
                <w:lang w:val="en-US" w:eastAsia="zh-CN"/>
                <w14:textFill>
                  <w14:solidFill>
                    <w14:schemeClr w14:val="tx1"/>
                  </w14:solidFill>
                </w14:textFill>
              </w:rPr>
              <w:t>4、特殊时期应急方案及保证措施（9分）</w:t>
            </w:r>
          </w:p>
        </w:tc>
        <w:tc>
          <w:tcPr>
            <w:tcW w:w="6846" w:type="dxa"/>
            <w:tcBorders>
              <w:top w:val="single" w:color="auto" w:sz="4" w:space="0"/>
              <w:left w:val="single" w:color="auto" w:sz="4" w:space="0"/>
              <w:right w:val="single" w:color="auto" w:sz="2" w:space="0"/>
            </w:tcBorders>
            <w:vAlign w:val="center"/>
          </w:tcPr>
          <w:p w14:paraId="7AEF7AE3">
            <w:pPr>
              <w:widowControl/>
              <w:rPr>
                <w:rFonts w:hint="eastAsia" w:ascii="宋体" w:hAnsi="宋体" w:cs="Times New Roman"/>
                <w:color w:val="000000" w:themeColor="text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）针对本项目的特殊时期应急保障预案（包括防汛抗台、防雪抗冻应急保障预案可行、重大活动和节日、重要检查、突发事故应急保障预案合理）</w:t>
            </w:r>
            <w:r>
              <w:rPr>
                <w:rFonts w:hint="eastAsia" w:ascii="宋体" w:hAnsi="宋体" w:eastAsia="宋体" w:cs="Times New Roman"/>
                <w:color w:val="000000" w:themeColor="text1"/>
                <w:highlight w:val="none"/>
                <w:lang w:val="zh-CN"/>
                <w14:textFill>
                  <w14:solidFill>
                    <w14:schemeClr w14:val="tx1"/>
                  </w14:solidFill>
                </w14:textFill>
              </w:rPr>
              <w:t>进行综合评议</w:t>
            </w:r>
            <w:r>
              <w:rPr>
                <w:rFonts w:hint="eastAsia" w:ascii="宋体" w:hAnsi="宋体" w:cs="Times New Roman"/>
                <w:color w:val="000000" w:themeColor="text1"/>
                <w:highlight w:val="none"/>
                <w:lang w:val="en-US" w:eastAsia="zh-CN"/>
                <w14:textFill>
                  <w14:solidFill>
                    <w14:schemeClr w14:val="tx1"/>
                  </w14:solidFill>
                </w14:textFill>
              </w:rPr>
              <w:t>:</w:t>
            </w:r>
          </w:p>
          <w:p w14:paraId="43307D2F">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①应急处理方案考虑周全、处理措施可行有效、能处理突发事件的，得</w:t>
            </w:r>
            <w:r>
              <w:rPr>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highlight w:val="none"/>
                <w14:textFill>
                  <w14:solidFill>
                    <w14:schemeClr w14:val="tx1"/>
                  </w14:solidFill>
                </w14:textFill>
              </w:rPr>
              <w:t>分；</w:t>
            </w:r>
          </w:p>
          <w:p w14:paraId="1AE63ABB">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②应急处理方案考虑相对周全、处理措施基本可行的，得</w:t>
            </w:r>
            <w:r>
              <w:rPr>
                <w:rFonts w:hint="eastAsia" w:ascii="宋体" w:hAnsi="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分；</w:t>
            </w:r>
          </w:p>
          <w:p w14:paraId="3E3B5DCF">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③应急处理方案考虑欠缺、处理措施执行可行性较差的，得2分。</w:t>
            </w:r>
          </w:p>
          <w:p w14:paraId="262B9841">
            <w:pPr>
              <w:spacing w:line="36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本项最高得</w:t>
            </w:r>
            <w:r>
              <w:rPr>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highlight w:val="none"/>
                <w14:textFill>
                  <w14:solidFill>
                    <w14:schemeClr w14:val="tx1"/>
                  </w14:solidFill>
                </w14:textFill>
              </w:rPr>
              <w:t>分。不提供不得分。</w:t>
            </w:r>
          </w:p>
        </w:tc>
        <w:tc>
          <w:tcPr>
            <w:tcW w:w="654" w:type="dxa"/>
            <w:tcBorders>
              <w:top w:val="single" w:color="auto" w:sz="4" w:space="0"/>
              <w:left w:val="single" w:color="auto" w:sz="4" w:space="0"/>
              <w:right w:val="single" w:color="auto" w:sz="2" w:space="0"/>
            </w:tcBorders>
            <w:vAlign w:val="center"/>
          </w:tcPr>
          <w:p w14:paraId="407C8924">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p>
        </w:tc>
      </w:tr>
      <w:tr w14:paraId="4A7B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528" w:type="dxa"/>
            <w:vMerge w:val="continue"/>
            <w:tcBorders>
              <w:left w:val="single" w:color="auto" w:sz="4" w:space="0"/>
              <w:right w:val="single" w:color="auto" w:sz="2" w:space="0"/>
            </w:tcBorders>
            <w:vAlign w:val="center"/>
          </w:tcPr>
          <w:p w14:paraId="6D562F91">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7B1AD565">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505" w:type="dxa"/>
            <w:vMerge w:val="continue"/>
            <w:tcBorders>
              <w:left w:val="single" w:color="auto" w:sz="4" w:space="0"/>
              <w:right w:val="single" w:color="auto" w:sz="2" w:space="0"/>
            </w:tcBorders>
            <w:vAlign w:val="center"/>
          </w:tcPr>
          <w:p w14:paraId="69352878">
            <w:pPr>
              <w:spacing w:before="85" w:beforeLines="30" w:line="288" w:lineRule="auto"/>
              <w:rPr>
                <w:rFonts w:hint="eastAsia" w:asciiTheme="majorEastAsia" w:hAnsiTheme="majorEastAsia" w:eastAsiaTheme="majorEastAsia"/>
                <w:color w:val="000000" w:themeColor="text1"/>
                <w:szCs w:val="21"/>
                <w:highlight w:val="none"/>
                <w:lang w:val="en-US" w:eastAsia="zh-CN"/>
                <w14:textFill>
                  <w14:solidFill>
                    <w14:schemeClr w14:val="tx1"/>
                  </w14:solidFill>
                </w14:textFill>
              </w:rPr>
            </w:pPr>
          </w:p>
        </w:tc>
        <w:tc>
          <w:tcPr>
            <w:tcW w:w="6846" w:type="dxa"/>
            <w:tcBorders>
              <w:top w:val="single" w:color="auto" w:sz="4" w:space="0"/>
              <w:left w:val="single" w:color="auto" w:sz="4" w:space="0"/>
              <w:right w:val="single" w:color="auto" w:sz="2" w:space="0"/>
            </w:tcBorders>
            <w:vAlign w:val="center"/>
          </w:tcPr>
          <w:p w14:paraId="0FD848A4">
            <w:pPr>
              <w:widowControl/>
              <w:rPr>
                <w:rFonts w:hint="eastAsia" w:ascii="宋体" w:hAnsi="宋体" w:cs="Times New Roman"/>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2</w:t>
            </w:r>
            <w:r>
              <w:rPr>
                <w:rFonts w:hint="eastAsia" w:ascii="宋体" w:hAnsi="宋体"/>
                <w:color w:val="000000" w:themeColor="text1"/>
                <w:highlight w:val="none"/>
                <w:lang w:eastAsia="zh-CN"/>
                <w14:textFill>
                  <w14:solidFill>
                    <w14:schemeClr w14:val="tx1"/>
                  </w14:solidFill>
                </w14:textFill>
              </w:rPr>
              <w:t>）针对本项目的应急救援团队及设备配置（包括应急救援人员数量合理、设备保障措施可行）</w:t>
            </w:r>
            <w:r>
              <w:rPr>
                <w:rFonts w:hint="eastAsia" w:ascii="宋体" w:hAnsi="宋体" w:eastAsia="宋体" w:cs="Times New Roman"/>
                <w:color w:val="000000" w:themeColor="text1"/>
                <w:highlight w:val="none"/>
                <w:lang w:val="zh-CN"/>
                <w14:textFill>
                  <w14:solidFill>
                    <w14:schemeClr w14:val="tx1"/>
                  </w14:solidFill>
                </w14:textFill>
              </w:rPr>
              <w:t>进行综合评议</w:t>
            </w:r>
            <w:r>
              <w:rPr>
                <w:rFonts w:hint="eastAsia" w:ascii="宋体" w:hAnsi="宋体" w:cs="Times New Roman"/>
                <w:color w:val="000000" w:themeColor="text1"/>
                <w:highlight w:val="none"/>
                <w:lang w:val="en-US" w:eastAsia="zh-CN"/>
                <w14:textFill>
                  <w14:solidFill>
                    <w14:schemeClr w14:val="tx1"/>
                  </w14:solidFill>
                </w14:textFill>
              </w:rPr>
              <w:t>:</w:t>
            </w:r>
          </w:p>
          <w:p w14:paraId="76FD705E">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①应急处理方案考虑周全、处理措施可行有效、能处理突发事件的，得</w:t>
            </w:r>
            <w:r>
              <w:rPr>
                <w:rFonts w:hint="eastAsia" w:ascii="宋体" w:hAnsi="宋体"/>
                <w:color w:val="000000" w:themeColor="text1"/>
                <w:highlight w:val="none"/>
                <w:lang w:val="en-US" w:eastAsia="zh-CN"/>
                <w14:textFill>
                  <w14:solidFill>
                    <w14:schemeClr w14:val="tx1"/>
                  </w14:solidFill>
                </w14:textFill>
              </w:rPr>
              <w:t>4</w:t>
            </w:r>
            <w:r>
              <w:rPr>
                <w:rFonts w:hint="eastAsia" w:ascii="宋体" w:hAnsi="宋体"/>
                <w:color w:val="000000" w:themeColor="text1"/>
                <w:highlight w:val="none"/>
                <w14:textFill>
                  <w14:solidFill>
                    <w14:schemeClr w14:val="tx1"/>
                  </w14:solidFill>
                </w14:textFill>
              </w:rPr>
              <w:t>分；</w:t>
            </w:r>
          </w:p>
          <w:p w14:paraId="4295D257">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②应急处理方案考虑相对周全、处理措施基本可行的，得</w:t>
            </w:r>
            <w:r>
              <w:rPr>
                <w:rFonts w:hint="eastAsia" w:ascii="宋体" w:hAnsi="宋体"/>
                <w:color w:val="000000" w:themeColor="text1"/>
                <w:highlight w:val="none"/>
                <w:lang w:val="en-US" w:eastAsia="zh-CN"/>
                <w14:textFill>
                  <w14:solidFill>
                    <w14:schemeClr w14:val="tx1"/>
                  </w14:solidFill>
                </w14:textFill>
              </w:rPr>
              <w:t>2</w:t>
            </w:r>
            <w:r>
              <w:rPr>
                <w:rFonts w:hint="eastAsia" w:ascii="宋体" w:hAnsi="宋体"/>
                <w:color w:val="000000" w:themeColor="text1"/>
                <w:highlight w:val="none"/>
                <w14:textFill>
                  <w14:solidFill>
                    <w14:schemeClr w14:val="tx1"/>
                  </w14:solidFill>
                </w14:textFill>
              </w:rPr>
              <w:t>分；</w:t>
            </w:r>
          </w:p>
          <w:p w14:paraId="2B442901">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③应急处理方案考虑欠缺、处理措施执行可行性较差的，得</w:t>
            </w:r>
            <w:r>
              <w:rPr>
                <w:rFonts w:hint="eastAsia" w:ascii="宋体" w:hAnsi="宋体"/>
                <w:color w:val="000000" w:themeColor="text1"/>
                <w:highlight w:val="none"/>
                <w:lang w:val="en-US" w:eastAsia="zh-CN"/>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分。</w:t>
            </w:r>
          </w:p>
          <w:p w14:paraId="59C3D47D">
            <w:pPr>
              <w:spacing w:line="360" w:lineRule="exact"/>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本项最高得</w:t>
            </w:r>
            <w:r>
              <w:rPr>
                <w:rFonts w:hint="eastAsia" w:ascii="宋体" w:hAnsi="宋体"/>
                <w:color w:val="000000" w:themeColor="text1"/>
                <w:highlight w:val="none"/>
                <w:lang w:val="en-US" w:eastAsia="zh-CN"/>
                <w14:textFill>
                  <w14:solidFill>
                    <w14:schemeClr w14:val="tx1"/>
                  </w14:solidFill>
                </w14:textFill>
              </w:rPr>
              <w:t>4</w:t>
            </w:r>
            <w:r>
              <w:rPr>
                <w:rFonts w:hint="eastAsia" w:ascii="宋体" w:hAnsi="宋体"/>
                <w:color w:val="000000" w:themeColor="text1"/>
                <w:highlight w:val="none"/>
                <w14:textFill>
                  <w14:solidFill>
                    <w14:schemeClr w14:val="tx1"/>
                  </w14:solidFill>
                </w14:textFill>
              </w:rPr>
              <w:t>分。不提供不得分。</w:t>
            </w:r>
          </w:p>
        </w:tc>
        <w:tc>
          <w:tcPr>
            <w:tcW w:w="654" w:type="dxa"/>
            <w:tcBorders>
              <w:top w:val="single" w:color="auto" w:sz="4" w:space="0"/>
              <w:left w:val="single" w:color="auto" w:sz="4" w:space="0"/>
              <w:right w:val="single" w:color="auto" w:sz="2" w:space="0"/>
            </w:tcBorders>
            <w:vAlign w:val="center"/>
          </w:tcPr>
          <w:p w14:paraId="0A38418E">
            <w:pPr>
              <w:jc w:val="center"/>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p>
        </w:tc>
      </w:tr>
      <w:tr w14:paraId="025C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2" w:hRule="atLeast"/>
        </w:trPr>
        <w:tc>
          <w:tcPr>
            <w:tcW w:w="528" w:type="dxa"/>
            <w:vMerge w:val="continue"/>
            <w:tcBorders>
              <w:left w:val="single" w:color="auto" w:sz="4" w:space="0"/>
              <w:right w:val="single" w:color="auto" w:sz="2" w:space="0"/>
            </w:tcBorders>
            <w:vAlign w:val="center"/>
          </w:tcPr>
          <w:p w14:paraId="5850A6EF">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367AA8E6">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505" w:type="dxa"/>
            <w:tcBorders>
              <w:left w:val="single" w:color="auto" w:sz="4" w:space="0"/>
              <w:right w:val="single" w:color="auto" w:sz="2" w:space="0"/>
            </w:tcBorders>
            <w:vAlign w:val="center"/>
          </w:tcPr>
          <w:p w14:paraId="7E3F4AD4">
            <w:pPr>
              <w:spacing w:before="85" w:beforeLines="30" w:line="288" w:lineRule="auto"/>
              <w:rPr>
                <w:rFonts w:hint="default" w:asciiTheme="majorEastAsia" w:hAnsiTheme="majorEastAsia" w:eastAsia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olor w:val="000000" w:themeColor="text1"/>
                <w:szCs w:val="21"/>
                <w:highlight w:val="none"/>
                <w:lang w:val="en-US" w:eastAsia="zh-CN"/>
                <w14:textFill>
                  <w14:solidFill>
                    <w14:schemeClr w14:val="tx1"/>
                  </w14:solidFill>
                </w14:textFill>
              </w:rPr>
              <w:t>5、安全生产相关配套（5分）</w:t>
            </w:r>
          </w:p>
        </w:tc>
        <w:tc>
          <w:tcPr>
            <w:tcW w:w="6846" w:type="dxa"/>
            <w:tcBorders>
              <w:top w:val="single" w:color="auto" w:sz="4" w:space="0"/>
              <w:left w:val="single" w:color="auto" w:sz="4" w:space="0"/>
              <w:right w:val="single" w:color="auto" w:sz="2" w:space="0"/>
            </w:tcBorders>
            <w:vAlign w:val="center"/>
          </w:tcPr>
          <w:p w14:paraId="0245FDC3">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根据投标人的</w:t>
            </w:r>
            <w:r>
              <w:rPr>
                <w:rFonts w:hint="eastAsia" w:ascii="宋体" w:hAnsi="宋体"/>
                <w:color w:val="000000" w:themeColor="text1"/>
                <w:highlight w:val="none"/>
                <w:lang w:val="en-US" w:eastAsia="zh-CN"/>
                <w14:textFill>
                  <w14:solidFill>
                    <w14:schemeClr w14:val="tx1"/>
                  </w14:solidFill>
                </w14:textFill>
              </w:rPr>
              <w:t>针对本项目所配备的安全生产或消防安全的相关顾问专家、安全生产的宣传方案</w:t>
            </w:r>
            <w:r>
              <w:rPr>
                <w:rFonts w:hint="eastAsia" w:ascii="宋体" w:hAnsi="宋体"/>
                <w:color w:val="000000" w:themeColor="text1"/>
                <w:highlight w:val="none"/>
                <w14:textFill>
                  <w14:solidFill>
                    <w14:schemeClr w14:val="tx1"/>
                  </w14:solidFill>
                </w14:textFill>
              </w:rPr>
              <w:t>进行综合评议：</w:t>
            </w:r>
          </w:p>
          <w:p w14:paraId="4AEEAED3">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①</w:t>
            </w:r>
            <w:r>
              <w:rPr>
                <w:rFonts w:hint="eastAsia" w:ascii="宋体" w:hAnsi="宋体"/>
                <w:color w:val="000000" w:themeColor="text1"/>
                <w:highlight w:val="none"/>
                <w:lang w:val="en-US" w:eastAsia="zh-CN"/>
                <w14:textFill>
                  <w14:solidFill>
                    <w14:schemeClr w14:val="tx1"/>
                  </w14:solidFill>
                </w14:textFill>
              </w:rPr>
              <w:t>安全生产或消防安全顾问专家配备齐全、安全生产宣传力度大、宣传渠道广，符合采购需求的</w:t>
            </w:r>
            <w:r>
              <w:rPr>
                <w:rFonts w:hint="eastAsia" w:ascii="宋体" w:hAnsi="宋体"/>
                <w:color w:val="000000" w:themeColor="text1"/>
                <w:highlight w:val="none"/>
                <w14:textFill>
                  <w14:solidFill>
                    <w14:schemeClr w14:val="tx1"/>
                  </w14:solidFill>
                </w14:textFill>
              </w:rPr>
              <w:t>得</w:t>
            </w:r>
            <w:r>
              <w:rPr>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highlight w:val="none"/>
                <w14:textFill>
                  <w14:solidFill>
                    <w14:schemeClr w14:val="tx1"/>
                  </w14:solidFill>
                </w14:textFill>
              </w:rPr>
              <w:t>分；</w:t>
            </w:r>
          </w:p>
          <w:p w14:paraId="74F02D38">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②</w:t>
            </w:r>
            <w:r>
              <w:rPr>
                <w:rFonts w:hint="eastAsia" w:ascii="宋体" w:hAnsi="宋体"/>
                <w:color w:val="000000" w:themeColor="text1"/>
                <w:highlight w:val="none"/>
                <w:lang w:val="en-US" w:eastAsia="zh-CN"/>
                <w14:textFill>
                  <w14:solidFill>
                    <w14:schemeClr w14:val="tx1"/>
                  </w14:solidFill>
                </w14:textFill>
              </w:rPr>
              <w:t>安全生产或消防安全顾问专家配备较为齐全、安全生产宣传力度较大、宣传渠道较广，基本符合采购需求</w:t>
            </w:r>
            <w:r>
              <w:rPr>
                <w:rFonts w:hint="eastAsia" w:ascii="宋体" w:hAnsi="宋体"/>
                <w:color w:val="000000" w:themeColor="text1"/>
                <w:highlight w:val="none"/>
                <w14:textFill>
                  <w14:solidFill>
                    <w14:schemeClr w14:val="tx1"/>
                  </w14:solidFill>
                </w14:textFill>
              </w:rPr>
              <w:t>的得</w:t>
            </w:r>
            <w:r>
              <w:rPr>
                <w:rFonts w:hint="eastAsia" w:ascii="宋体" w:hAnsi="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分；</w:t>
            </w:r>
          </w:p>
          <w:p w14:paraId="27614F7E">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③</w:t>
            </w:r>
            <w:r>
              <w:rPr>
                <w:rFonts w:hint="eastAsia" w:ascii="宋体" w:hAnsi="宋体"/>
                <w:color w:val="000000" w:themeColor="text1"/>
                <w:highlight w:val="none"/>
                <w:lang w:val="en-US" w:eastAsia="zh-CN"/>
                <w14:textFill>
                  <w14:solidFill>
                    <w14:schemeClr w14:val="tx1"/>
                  </w14:solidFill>
                </w14:textFill>
              </w:rPr>
              <w:t>安全生产或消防安全顾问专家配备不够齐全、安全生产宣传力度不大、无合适的宣传渠道，与采购需求存在一定偏差</w:t>
            </w:r>
            <w:r>
              <w:rPr>
                <w:rFonts w:hint="eastAsia" w:ascii="宋体" w:hAnsi="宋体"/>
                <w:color w:val="000000" w:themeColor="text1"/>
                <w:highlight w:val="none"/>
                <w14:textFill>
                  <w14:solidFill>
                    <w14:schemeClr w14:val="tx1"/>
                  </w14:solidFill>
                </w14:textFill>
              </w:rPr>
              <w:t>的得</w:t>
            </w:r>
            <w:r>
              <w:rPr>
                <w:rFonts w:hint="eastAsia" w:ascii="宋体" w:hAnsi="宋体"/>
                <w:color w:val="000000" w:themeColor="text1"/>
                <w:highlight w:val="none"/>
                <w:lang w:val="en-US" w:eastAsia="zh-CN"/>
                <w14:textFill>
                  <w14:solidFill>
                    <w14:schemeClr w14:val="tx1"/>
                  </w14:solidFill>
                </w14:textFill>
              </w:rPr>
              <w:t>2</w:t>
            </w:r>
            <w:r>
              <w:rPr>
                <w:rFonts w:hint="eastAsia" w:ascii="宋体" w:hAnsi="宋体"/>
                <w:color w:val="000000" w:themeColor="text1"/>
                <w:highlight w:val="none"/>
                <w14:textFill>
                  <w14:solidFill>
                    <w14:schemeClr w14:val="tx1"/>
                  </w14:solidFill>
                </w14:textFill>
              </w:rPr>
              <w:t>分；</w:t>
            </w:r>
          </w:p>
          <w:p w14:paraId="03382D49">
            <w:pPr>
              <w:spacing w:line="36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本项最高得</w:t>
            </w:r>
            <w:r>
              <w:rPr>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highlight w:val="none"/>
                <w14:textFill>
                  <w14:solidFill>
                    <w14:schemeClr w14:val="tx1"/>
                  </w14:solidFill>
                </w14:textFill>
              </w:rPr>
              <w:t>分。不提供不得分。</w:t>
            </w:r>
          </w:p>
        </w:tc>
        <w:tc>
          <w:tcPr>
            <w:tcW w:w="654" w:type="dxa"/>
            <w:tcBorders>
              <w:top w:val="single" w:color="auto" w:sz="4" w:space="0"/>
              <w:left w:val="single" w:color="auto" w:sz="4" w:space="0"/>
              <w:right w:val="single" w:color="auto" w:sz="2" w:space="0"/>
            </w:tcBorders>
            <w:vAlign w:val="center"/>
          </w:tcPr>
          <w:p w14:paraId="54A0BC95">
            <w:pPr>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p>
        </w:tc>
      </w:tr>
      <w:tr w14:paraId="1395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trPr>
        <w:tc>
          <w:tcPr>
            <w:tcW w:w="528" w:type="dxa"/>
            <w:vMerge w:val="continue"/>
            <w:tcBorders>
              <w:left w:val="single" w:color="auto" w:sz="4" w:space="0"/>
              <w:right w:val="single" w:color="auto" w:sz="2" w:space="0"/>
            </w:tcBorders>
            <w:vAlign w:val="center"/>
          </w:tcPr>
          <w:p w14:paraId="36B5E83D">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40DAD980">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505" w:type="dxa"/>
            <w:tcBorders>
              <w:top w:val="single" w:color="auto" w:sz="4" w:space="0"/>
              <w:left w:val="single" w:color="auto" w:sz="4" w:space="0"/>
              <w:right w:val="single" w:color="auto" w:sz="2" w:space="0"/>
            </w:tcBorders>
            <w:vAlign w:val="center"/>
          </w:tcPr>
          <w:p w14:paraId="349833A8">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、质量保证措施（5分）</w:t>
            </w:r>
          </w:p>
        </w:tc>
        <w:tc>
          <w:tcPr>
            <w:tcW w:w="6846" w:type="dxa"/>
            <w:tcBorders>
              <w:top w:val="single" w:color="auto" w:sz="4" w:space="0"/>
              <w:left w:val="single" w:color="auto" w:sz="4" w:space="0"/>
              <w:right w:val="single" w:color="auto" w:sz="2" w:space="0"/>
            </w:tcBorders>
            <w:vAlign w:val="center"/>
          </w:tcPr>
          <w:p w14:paraId="4D52BD70">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根据投标人针对本项目提出的质量管理方案及技术保障措施进行综合评议：</w:t>
            </w:r>
          </w:p>
          <w:p w14:paraId="7FB851D4">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①具有完善的质量管理体系，能够全面保证项目成果的质量；</w:t>
            </w:r>
            <w:r>
              <w:rPr>
                <w:rFonts w:hint="eastAsia" w:ascii="宋体" w:hAnsi="宋体"/>
                <w:color w:val="000000" w:themeColor="text1"/>
                <w:highlight w:val="none"/>
                <w:lang w:val="en-US" w:eastAsia="zh-CN"/>
                <w14:textFill>
                  <w14:solidFill>
                    <w14:schemeClr w14:val="tx1"/>
                  </w14:solidFill>
                </w14:textFill>
              </w:rPr>
              <w:t>能对</w:t>
            </w:r>
            <w:r>
              <w:rPr>
                <w:rFonts w:hint="eastAsia" w:ascii="宋体" w:hAnsi="宋体"/>
                <w:color w:val="000000" w:themeColor="text1"/>
                <w:highlight w:val="none"/>
                <w14:textFill>
                  <w14:solidFill>
                    <w14:schemeClr w14:val="tx1"/>
                  </w14:solidFill>
                </w14:textFill>
              </w:rPr>
              <w:t>项目成果进行多轮次的检测和审核，确保成果的质量和准确性；建立严格的质量责任制，明确每个环节的质量标准，确保项目成果的质量稳定的得5分；</w:t>
            </w:r>
          </w:p>
          <w:p w14:paraId="72A91963">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②具有较为完善的质量管理体系，能够基本保证项目成果的质量；采用质量控制方法对项目成果进行检测和审核，但可能存在一些不足或漏洞；会建立质量责任制，但可能存在执行不到位或责任不明确的问题的得3分；</w:t>
            </w:r>
          </w:p>
          <w:p w14:paraId="235B7394">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③质量管理体系不够完善，无法保证项目成果的质量；缺乏有效的质量控制方法和手段，无法对项目成果进行有效的检测和审核；未建立质量责任制或执行不到位，无法确保项目成果的质量稳定的得2分；</w:t>
            </w:r>
          </w:p>
          <w:p w14:paraId="02AC95C6">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本项最高得5分。不提供不得分。</w:t>
            </w:r>
          </w:p>
        </w:tc>
        <w:tc>
          <w:tcPr>
            <w:tcW w:w="654" w:type="dxa"/>
            <w:tcBorders>
              <w:top w:val="single" w:color="auto" w:sz="4" w:space="0"/>
              <w:left w:val="single" w:color="auto" w:sz="4" w:space="0"/>
              <w:right w:val="single" w:color="auto" w:sz="2" w:space="0"/>
            </w:tcBorders>
            <w:vAlign w:val="center"/>
          </w:tcPr>
          <w:p w14:paraId="0EB5DE17">
            <w:pPr>
              <w:spacing w:before="85" w:beforeLines="30"/>
              <w:jc w:val="center"/>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5</w:t>
            </w:r>
          </w:p>
        </w:tc>
      </w:tr>
      <w:tr w14:paraId="1F28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trPr>
        <w:tc>
          <w:tcPr>
            <w:tcW w:w="528" w:type="dxa"/>
            <w:vMerge w:val="continue"/>
            <w:tcBorders>
              <w:left w:val="single" w:color="auto" w:sz="4" w:space="0"/>
              <w:right w:val="single" w:color="auto" w:sz="2" w:space="0"/>
            </w:tcBorders>
            <w:vAlign w:val="center"/>
          </w:tcPr>
          <w:p w14:paraId="59A485A6">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162B2F23">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2" w:space="0"/>
            </w:tcBorders>
            <w:vAlign w:val="center"/>
          </w:tcPr>
          <w:p w14:paraId="266732E8">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、进度保证措施（5分）</w:t>
            </w:r>
          </w:p>
        </w:tc>
        <w:tc>
          <w:tcPr>
            <w:tcW w:w="6846" w:type="dxa"/>
            <w:tcBorders>
              <w:top w:val="single" w:color="auto" w:sz="4" w:space="0"/>
              <w:left w:val="single" w:color="auto" w:sz="4" w:space="0"/>
              <w:bottom w:val="single" w:color="auto" w:sz="4" w:space="0"/>
              <w:right w:val="single" w:color="auto" w:sz="2" w:space="0"/>
            </w:tcBorders>
            <w:vAlign w:val="center"/>
          </w:tcPr>
          <w:p w14:paraId="3B46B583">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根据投标人的</w:t>
            </w:r>
            <w:r>
              <w:rPr>
                <w:rFonts w:hint="eastAsia" w:ascii="宋体" w:hAnsi="宋体"/>
                <w:color w:val="000000" w:themeColor="text1"/>
                <w:highlight w:val="none"/>
                <w:lang w:val="en-US" w:eastAsia="zh-CN"/>
                <w14:textFill>
                  <w14:solidFill>
                    <w14:schemeClr w14:val="tx1"/>
                  </w14:solidFill>
                </w14:textFill>
              </w:rPr>
              <w:t>项目</w:t>
            </w:r>
            <w:r>
              <w:rPr>
                <w:rFonts w:hint="eastAsia" w:ascii="宋体" w:hAnsi="宋体"/>
                <w:color w:val="000000" w:themeColor="text1"/>
                <w:highlight w:val="none"/>
                <w14:textFill>
                  <w14:solidFill>
                    <w14:schemeClr w14:val="tx1"/>
                  </w14:solidFill>
                </w14:textFill>
              </w:rPr>
              <w:t>进度保证措施的可操作性和合理性方面进行综合评议：</w:t>
            </w:r>
          </w:p>
          <w:p w14:paraId="5416109B">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①进度保证措施内容详尽、安排紧凑，能充分满足采购人要求的，得5分；</w:t>
            </w:r>
          </w:p>
          <w:p w14:paraId="50A4FF7D">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②进度保证措施内容较为详细、安排得当、基本满足采购人要求的，得3分；</w:t>
            </w:r>
          </w:p>
          <w:p w14:paraId="01A62256">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③进度保证措施不完整或不全面、不满足采购人要求的，得2分。</w:t>
            </w:r>
          </w:p>
          <w:p w14:paraId="4D4A4571">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本项最高得5分。不提供不得分。</w:t>
            </w:r>
          </w:p>
        </w:tc>
        <w:tc>
          <w:tcPr>
            <w:tcW w:w="654" w:type="dxa"/>
            <w:tcBorders>
              <w:top w:val="single" w:color="auto" w:sz="4" w:space="0"/>
              <w:left w:val="single" w:color="auto" w:sz="4" w:space="0"/>
              <w:bottom w:val="single" w:color="auto" w:sz="4" w:space="0"/>
              <w:right w:val="single" w:color="auto" w:sz="2" w:space="0"/>
            </w:tcBorders>
            <w:vAlign w:val="center"/>
          </w:tcPr>
          <w:p w14:paraId="2C5E0FB8">
            <w:pPr>
              <w:spacing w:before="85" w:beforeLines="30"/>
              <w:jc w:val="center"/>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5</w:t>
            </w:r>
          </w:p>
        </w:tc>
      </w:tr>
      <w:tr w14:paraId="3CC6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trPr>
        <w:tc>
          <w:tcPr>
            <w:tcW w:w="528" w:type="dxa"/>
            <w:vMerge w:val="continue"/>
            <w:tcBorders>
              <w:left w:val="single" w:color="auto" w:sz="4" w:space="0"/>
              <w:right w:val="single" w:color="auto" w:sz="2" w:space="0"/>
            </w:tcBorders>
            <w:vAlign w:val="center"/>
          </w:tcPr>
          <w:p w14:paraId="2ED58010">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27577293">
            <w:pPr>
              <w:widowControl/>
              <w:spacing w:before="85" w:beforeLines="30" w:line="288"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2" w:space="0"/>
            </w:tcBorders>
            <w:vAlign w:val="center"/>
          </w:tcPr>
          <w:p w14:paraId="17EA3A08">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重难点分析</w:t>
            </w:r>
            <w:r>
              <w:rPr>
                <w:rFonts w:hint="eastAsia" w:ascii="宋体" w:hAnsi="宋体"/>
                <w:color w:val="000000" w:themeColor="text1"/>
                <w:szCs w:val="21"/>
                <w:highlight w:val="none"/>
                <w14:textFill>
                  <w14:solidFill>
                    <w14:schemeClr w14:val="tx1"/>
                  </w14:solidFill>
                </w14:textFill>
              </w:rPr>
              <w:t>（5分）</w:t>
            </w:r>
          </w:p>
        </w:tc>
        <w:tc>
          <w:tcPr>
            <w:tcW w:w="6846" w:type="dxa"/>
            <w:tcBorders>
              <w:top w:val="single" w:color="auto" w:sz="4" w:space="0"/>
              <w:left w:val="single" w:color="auto" w:sz="4" w:space="0"/>
              <w:bottom w:val="single" w:color="auto" w:sz="4" w:space="0"/>
              <w:right w:val="single" w:color="auto" w:sz="2" w:space="0"/>
            </w:tcBorders>
            <w:vAlign w:val="center"/>
          </w:tcPr>
          <w:p w14:paraId="6B7B064F">
            <w:pPr>
              <w:widowControl/>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根据投标人对</w:t>
            </w:r>
            <w:r>
              <w:rPr>
                <w:rFonts w:hint="eastAsia" w:ascii="宋体" w:hAnsi="宋体"/>
                <w:color w:val="000000" w:themeColor="text1"/>
                <w:highlight w:val="none"/>
                <w:lang w:val="en-US" w:eastAsia="zh-CN"/>
                <w14:textFill>
                  <w14:solidFill>
                    <w14:schemeClr w14:val="tx1"/>
                  </w14:solidFill>
                </w14:textFill>
              </w:rPr>
              <w:t>安全生产和安全消防第三方服务</w:t>
            </w:r>
            <w:r>
              <w:rPr>
                <w:rFonts w:hint="eastAsia" w:ascii="宋体" w:hAnsi="宋体"/>
                <w:color w:val="000000" w:themeColor="text1"/>
                <w:highlight w:val="none"/>
                <w14:textFill>
                  <w14:solidFill>
                    <w14:schemeClr w14:val="tx1"/>
                  </w14:solidFill>
                </w14:textFill>
              </w:rPr>
              <w:t>的关键点、难点进行分析，根据其完整性，合理性进行综合评议：</w:t>
            </w:r>
          </w:p>
          <w:p w14:paraId="24127AE2">
            <w:pPr>
              <w:widowControl/>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①对本项目关键问题重点、难点分析合理、清晰、全面的得</w:t>
            </w:r>
            <w:r>
              <w:rPr>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highlight w:val="none"/>
                <w14:textFill>
                  <w14:solidFill>
                    <w14:schemeClr w14:val="tx1"/>
                  </w14:solidFill>
                </w14:textFill>
              </w:rPr>
              <w:t>分；</w:t>
            </w:r>
          </w:p>
          <w:p w14:paraId="059F371E">
            <w:pPr>
              <w:widowControl/>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②对本项目关键问题的重点、难点分析较为合理、较为清晰、较为全面的得</w:t>
            </w:r>
            <w:r>
              <w:rPr>
                <w:rFonts w:hint="eastAsia" w:ascii="宋体" w:hAnsi="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分；</w:t>
            </w:r>
          </w:p>
          <w:p w14:paraId="0D81A401">
            <w:pPr>
              <w:widowControl/>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③对本项目关键问题的重点、难点分析不合理、不清晰、不全面的得2分；</w:t>
            </w:r>
          </w:p>
          <w:p w14:paraId="4AE434BF">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本项最高得</w:t>
            </w:r>
            <w:r>
              <w:rPr>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highlight w:val="none"/>
                <w14:textFill>
                  <w14:solidFill>
                    <w14:schemeClr w14:val="tx1"/>
                  </w14:solidFill>
                </w14:textFill>
              </w:rPr>
              <w:t>分。不提供不得分。</w:t>
            </w:r>
          </w:p>
        </w:tc>
        <w:tc>
          <w:tcPr>
            <w:tcW w:w="654" w:type="dxa"/>
            <w:tcBorders>
              <w:top w:val="single" w:color="auto" w:sz="4" w:space="0"/>
              <w:left w:val="single" w:color="auto" w:sz="4" w:space="0"/>
              <w:bottom w:val="single" w:color="auto" w:sz="4" w:space="0"/>
              <w:right w:val="single" w:color="auto" w:sz="2" w:space="0"/>
            </w:tcBorders>
            <w:vAlign w:val="center"/>
          </w:tcPr>
          <w:p w14:paraId="01FC30C7">
            <w:pPr>
              <w:spacing w:before="85" w:beforeLines="30"/>
              <w:jc w:val="center"/>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5</w:t>
            </w:r>
          </w:p>
        </w:tc>
      </w:tr>
      <w:tr w14:paraId="7404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8" w:hRule="atLeast"/>
        </w:trPr>
        <w:tc>
          <w:tcPr>
            <w:tcW w:w="1230" w:type="dxa"/>
            <w:gridSpan w:val="2"/>
            <w:tcBorders>
              <w:top w:val="single" w:color="auto" w:sz="4" w:space="0"/>
              <w:left w:val="single" w:color="auto" w:sz="4" w:space="0"/>
              <w:bottom w:val="single" w:color="auto" w:sz="4" w:space="0"/>
              <w:right w:val="single" w:color="auto" w:sz="2" w:space="0"/>
            </w:tcBorders>
            <w:tcMar>
              <w:top w:w="0" w:type="dxa"/>
              <w:left w:w="0" w:type="dxa"/>
              <w:bottom w:w="0" w:type="dxa"/>
              <w:right w:w="0" w:type="dxa"/>
            </w:tcMar>
            <w:vAlign w:val="center"/>
          </w:tcPr>
          <w:p w14:paraId="17432F5D">
            <w:pPr>
              <w:spacing w:before="85" w:beforeLines="30" w:line="288" w:lineRule="auto"/>
              <w:jc w:val="center"/>
              <w:rPr>
                <w:rFonts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t>报价分</w:t>
            </w:r>
          </w:p>
          <w:p w14:paraId="299FEDAA">
            <w:pPr>
              <w:spacing w:before="85" w:beforeLines="30" w:line="288" w:lineRule="auto"/>
              <w:jc w:val="center"/>
              <w:rPr>
                <w:rFonts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t>（满分</w:t>
            </w:r>
            <w:r>
              <w:rPr>
                <w:rFonts w:hint="eastAsia" w:asciiTheme="majorEastAsia" w:hAnsiTheme="majorEastAsia" w:eastAsiaTheme="majorEastAsia"/>
                <w:snapToGrid w:val="0"/>
                <w:color w:val="000000" w:themeColor="text1"/>
                <w:spacing w:val="-4"/>
                <w:szCs w:val="21"/>
                <w:highlight w:val="none"/>
                <w:lang w:val="en-US" w:eastAsia="zh-CN"/>
                <w14:textFill>
                  <w14:solidFill>
                    <w14:schemeClr w14:val="tx1"/>
                  </w14:solidFill>
                </w14:textFill>
              </w:rPr>
              <w:t>20</w:t>
            </w:r>
            <w: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t>分）</w:t>
            </w:r>
          </w:p>
        </w:tc>
        <w:tc>
          <w:tcPr>
            <w:tcW w:w="9005" w:type="dxa"/>
            <w:gridSpan w:val="3"/>
            <w:tcBorders>
              <w:top w:val="single" w:color="auto" w:sz="4" w:space="0"/>
              <w:left w:val="single" w:color="auto" w:sz="4" w:space="0"/>
              <w:bottom w:val="single" w:color="auto" w:sz="4" w:space="0"/>
              <w:right w:val="single" w:color="auto" w:sz="2" w:space="0"/>
            </w:tcBorders>
            <w:vAlign w:val="center"/>
          </w:tcPr>
          <w:p w14:paraId="498676AB">
            <w:pPr>
              <w:spacing w:before="85" w:beforeLines="30" w:line="288" w:lineRule="auto"/>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评标基准价指的是满足招标文件要求且最低的参与评审的价格。</w:t>
            </w:r>
          </w:p>
          <w:p w14:paraId="761235DD">
            <w:pPr>
              <w:spacing w:before="85" w:beforeLines="30" w:line="288" w:lineRule="auto"/>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参与评审的价格=投标报价</w:t>
            </w:r>
          </w:p>
          <w:p w14:paraId="5D5A728E">
            <w:pPr>
              <w:spacing w:before="85" w:beforeLines="30" w:line="288" w:lineRule="auto"/>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参与评审的价格为评标基准价的其价格得分得满分</w:t>
            </w:r>
            <w:r>
              <w:rPr>
                <w:rFonts w:hint="eastAsia" w:asciiTheme="majorEastAsia" w:hAnsiTheme="majorEastAsia" w:eastAsiaTheme="majorEastAsia"/>
                <w:color w:val="000000" w:themeColor="text1"/>
                <w:szCs w:val="21"/>
                <w:highlight w:val="none"/>
                <w:lang w:val="en-US" w:eastAsia="zh-CN"/>
                <w14:textFill>
                  <w14:solidFill>
                    <w14:schemeClr w14:val="tx1"/>
                  </w14:solidFill>
                </w14:textFill>
              </w:rPr>
              <w:t>20</w:t>
            </w:r>
            <w:r>
              <w:rPr>
                <w:rFonts w:hint="eastAsia" w:asciiTheme="majorEastAsia" w:hAnsiTheme="majorEastAsia" w:eastAsiaTheme="majorEastAsia"/>
                <w:color w:val="000000" w:themeColor="text1"/>
                <w:szCs w:val="21"/>
                <w:highlight w:val="none"/>
                <w14:textFill>
                  <w14:solidFill>
                    <w14:schemeClr w14:val="tx1"/>
                  </w14:solidFill>
                </w14:textFill>
              </w:rPr>
              <w:t>分。</w:t>
            </w:r>
          </w:p>
          <w:p w14:paraId="11D872DD">
            <w:pPr>
              <w:spacing w:before="85" w:beforeLines="30" w:line="288" w:lineRule="auto"/>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其他投标人价格得分按照下列公式计算：</w:t>
            </w:r>
          </w:p>
          <w:p w14:paraId="5D96269A">
            <w:pPr>
              <w:spacing w:before="85" w:beforeLines="30" w:line="288" w:lineRule="auto"/>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价格得分=（评标基准价/各投标人参与评审的价格）×</w:t>
            </w:r>
            <w:r>
              <w:rPr>
                <w:rFonts w:hint="eastAsia" w:asciiTheme="majorEastAsia" w:hAnsiTheme="majorEastAsia" w:eastAsiaTheme="majorEastAsia"/>
                <w:color w:val="000000" w:themeColor="text1"/>
                <w:szCs w:val="21"/>
                <w:highlight w:val="none"/>
                <w:lang w:val="en-US" w:eastAsia="zh-CN"/>
                <w14:textFill>
                  <w14:solidFill>
                    <w14:schemeClr w14:val="tx1"/>
                  </w14:solidFill>
                </w14:textFill>
              </w:rPr>
              <w:t>20</w:t>
            </w:r>
            <w:r>
              <w:rPr>
                <w:rFonts w:hint="eastAsia" w:asciiTheme="majorEastAsia" w:hAnsiTheme="majorEastAsia" w:eastAsiaTheme="majorEastAsia"/>
                <w:color w:val="000000" w:themeColor="text1"/>
                <w:szCs w:val="21"/>
                <w:highlight w:val="none"/>
                <w14:textFill>
                  <w14:solidFill>
                    <w14:schemeClr w14:val="tx1"/>
                  </w14:solidFill>
                </w14:textFill>
              </w:rPr>
              <w:t>％×100。</w:t>
            </w:r>
          </w:p>
          <w:p w14:paraId="1156641B">
            <w:pPr>
              <w:spacing w:before="85" w:beforeLines="30" w:line="288" w:lineRule="auto"/>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注：1、投标报价超过最高限价的作无效标处理。</w:t>
            </w:r>
          </w:p>
          <w:p w14:paraId="193D8FE4">
            <w:pPr>
              <w:spacing w:before="85" w:beforeLines="30" w:line="288" w:lineRule="auto"/>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2、价格得分小数点后保留2位小数，第3位小数四舍五入。</w:t>
            </w:r>
          </w:p>
          <w:p w14:paraId="6E6DBB7E">
            <w:pPr>
              <w:spacing w:before="85" w:beforeLines="30" w:line="288" w:lineRule="auto"/>
              <w:rPr>
                <w:rFonts w:asciiTheme="majorEastAsia" w:hAnsiTheme="majorEastAsia" w:eastAsiaTheme="majorEastAsia"/>
                <w:color w:val="000000" w:themeColor="text1"/>
                <w:szCs w:val="21"/>
                <w:highlight w:val="none"/>
                <w14:textFill>
                  <w14:solidFill>
                    <w14:schemeClr w14:val="tx1"/>
                  </w14:solidFill>
                </w14:textFill>
              </w:rPr>
            </w:pPr>
          </w:p>
        </w:tc>
      </w:tr>
    </w:tbl>
    <w:p w14:paraId="1BFDAFC3">
      <w:pPr>
        <w:pStyle w:val="2"/>
        <w:spacing w:beforeLines="0" w:afterLines="0" w:line="360" w:lineRule="auto"/>
        <w:rPr>
          <w:rFonts w:ascii="宋体" w:hAnsi="宋体"/>
          <w:color w:val="000000" w:themeColor="text1"/>
          <w:sz w:val="32"/>
          <w:szCs w:val="32"/>
          <w:highlight w:val="none"/>
          <w14:textFill>
            <w14:solidFill>
              <w14:schemeClr w14:val="tx1"/>
            </w14:solidFill>
          </w14:textFill>
        </w:rPr>
        <w:sectPr>
          <w:headerReference r:id="rId14" w:type="default"/>
          <w:pgSz w:w="11907" w:h="16840"/>
          <w:pgMar w:top="1418" w:right="1701" w:bottom="1418" w:left="1701" w:header="720" w:footer="720" w:gutter="0"/>
          <w:cols w:space="720" w:num="1"/>
          <w:docGrid w:type="lines" w:linePitch="285" w:charSpace="0"/>
        </w:sectPr>
      </w:pPr>
    </w:p>
    <w:p w14:paraId="4E6F9669">
      <w:pPr>
        <w:pStyle w:val="2"/>
        <w:spacing w:beforeLines="0" w:afterLines="0" w:line="360" w:lineRule="auto"/>
        <w:rPr>
          <w:rFonts w:ascii="宋体" w:hAnsi="宋体"/>
          <w:color w:val="000000" w:themeColor="text1"/>
          <w:sz w:val="32"/>
          <w:szCs w:val="32"/>
          <w:highlight w:val="none"/>
          <w14:textFill>
            <w14:solidFill>
              <w14:schemeClr w14:val="tx1"/>
            </w14:solidFill>
          </w14:textFill>
        </w:rPr>
      </w:pPr>
      <w:bookmarkStart w:id="130" w:name="_Toc21993"/>
      <w:r>
        <w:rPr>
          <w:rFonts w:hint="eastAsia" w:ascii="宋体" w:hAnsi="宋体"/>
          <w:color w:val="000000" w:themeColor="text1"/>
          <w:sz w:val="32"/>
          <w:szCs w:val="32"/>
          <w:highlight w:val="none"/>
          <w14:textFill>
            <w14:solidFill>
              <w14:schemeClr w14:val="tx1"/>
            </w14:solidFill>
          </w14:textFill>
        </w:rPr>
        <w:t>第六部分  合同格式</w:t>
      </w:r>
      <w:bookmarkEnd w:id="129"/>
      <w:bookmarkEnd w:id="130"/>
    </w:p>
    <w:p w14:paraId="6B82BD3D">
      <w:pPr>
        <w:pStyle w:val="138"/>
        <w:jc w:val="center"/>
        <w:rPr>
          <w:rFonts w:asciiTheme="minorEastAsia" w:hAnsiTheme="minorEastAsia" w:eastAsiaTheme="minorEastAsia"/>
          <w:color w:val="000000" w:themeColor="text1"/>
          <w:szCs w:val="24"/>
          <w:highlight w:val="none"/>
          <w14:textFill>
            <w14:solidFill>
              <w14:schemeClr w14:val="tx1"/>
            </w14:solidFill>
          </w14:textFill>
        </w:rPr>
      </w:pPr>
      <w:bookmarkStart w:id="131" w:name="_Toc298230959"/>
    </w:p>
    <w:p w14:paraId="0D1BA66D">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采购方：</w:t>
      </w:r>
      <w:r>
        <w:rPr>
          <w:rFonts w:hint="eastAsia" w:ascii="宋体" w:hAnsi="宋体"/>
          <w:color w:val="000000" w:themeColor="text1"/>
          <w:szCs w:val="21"/>
          <w:highlight w:val="none"/>
          <w:lang w:eastAsia="zh-CN"/>
          <w14:textFill>
            <w14:solidFill>
              <w14:schemeClr w14:val="tx1"/>
            </w14:solidFill>
          </w14:textFill>
        </w:rPr>
        <w:t>宁海县人民政府梅林街道办事处</w:t>
      </w:r>
      <w:r>
        <w:rPr>
          <w:rFonts w:hint="eastAsia" w:ascii="宋体" w:hAnsi="宋体"/>
          <w:color w:val="000000" w:themeColor="text1"/>
          <w:szCs w:val="21"/>
          <w:highlight w:val="none"/>
          <w14:textFill>
            <w14:solidFill>
              <w14:schemeClr w14:val="tx1"/>
            </w14:solidFill>
          </w14:textFill>
        </w:rPr>
        <w:t xml:space="preserve">    （以下简称甲方）</w:t>
      </w:r>
    </w:p>
    <w:p w14:paraId="45833F4A">
      <w:pPr>
        <w:spacing w:line="480" w:lineRule="exact"/>
        <w:rPr>
          <w:rFonts w:ascii="宋体" w:hAnsi="宋体"/>
          <w:color w:val="000000" w:themeColor="text1"/>
          <w:szCs w:val="21"/>
          <w:highlight w:val="none"/>
          <w14:textFill>
            <w14:solidFill>
              <w14:schemeClr w14:val="tx1"/>
            </w14:solidFill>
          </w14:textFill>
        </w:rPr>
      </w:pPr>
    </w:p>
    <w:p w14:paraId="323A241B">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服务方：                       （以下简称乙方）</w:t>
      </w:r>
    </w:p>
    <w:p w14:paraId="559548E0">
      <w:pPr>
        <w:spacing w:line="480" w:lineRule="exact"/>
        <w:ind w:firstLine="420" w:firstLineChars="200"/>
        <w:rPr>
          <w:rFonts w:ascii="宋体" w:hAnsi="宋体"/>
          <w:color w:val="000000" w:themeColor="text1"/>
          <w:szCs w:val="21"/>
          <w:highlight w:val="none"/>
          <w14:textFill>
            <w14:solidFill>
              <w14:schemeClr w14:val="tx1"/>
            </w14:solidFill>
          </w14:textFill>
        </w:rPr>
      </w:pPr>
    </w:p>
    <w:p w14:paraId="512177E4">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照《中华人民共和国民法典》《中华人民共和国政府采购法》《中华人民共和国政府采购法实施条例》《政府采购货物和服务招标投标管理办法》《政府购买服务管理办法》等相关法法律及相关政策的规定，根据</w:t>
      </w:r>
      <w:r>
        <w:rPr>
          <w:rFonts w:hint="eastAsia" w:ascii="宋体" w:hAnsi="宋体"/>
          <w:color w:val="000000" w:themeColor="text1"/>
          <w:szCs w:val="21"/>
          <w:highlight w:val="none"/>
          <w:lang w:eastAsia="zh-CN"/>
          <w14:textFill>
            <w14:solidFill>
              <w14:schemeClr w14:val="tx1"/>
            </w14:solidFill>
          </w14:textFill>
        </w:rPr>
        <w:t>宁海县人民政府梅林街道办事处</w:t>
      </w:r>
      <w:r>
        <w:rPr>
          <w:rFonts w:hint="eastAsia" w:ascii="宋体" w:hAnsi="宋体"/>
          <w:color w:val="000000" w:themeColor="text1"/>
          <w:szCs w:val="21"/>
          <w:highlight w:val="none"/>
          <w14:textFill>
            <w14:solidFill>
              <w14:schemeClr w14:val="tx1"/>
            </w14:solidFill>
          </w14:textFill>
        </w:rPr>
        <w:t>采购的</w:t>
      </w:r>
      <w:r>
        <w:rPr>
          <w:rFonts w:hint="eastAsia" w:ascii="宋体" w:hAnsi="宋体"/>
          <w:color w:val="000000" w:themeColor="text1"/>
          <w:szCs w:val="21"/>
          <w:highlight w:val="none"/>
          <w:u w:val="single"/>
          <w14:textFill>
            <w14:solidFill>
              <w14:schemeClr w14:val="tx1"/>
            </w14:solidFill>
          </w14:textFill>
        </w:rPr>
        <w:t>安全生产和消防安全第三方服务采购项目</w:t>
      </w:r>
      <w:r>
        <w:rPr>
          <w:rFonts w:hint="eastAsia" w:ascii="宋体" w:hAnsi="宋体"/>
          <w:color w:val="000000" w:themeColor="text1"/>
          <w:szCs w:val="21"/>
          <w:highlight w:val="none"/>
          <w14:textFill>
            <w14:solidFill>
              <w14:schemeClr w14:val="tx1"/>
            </w14:solidFill>
          </w14:textFill>
        </w:rPr>
        <w:t>（项目编号：</w:t>
      </w:r>
      <w:r>
        <w:rPr>
          <w:rFonts w:hint="eastAsia" w:ascii="宋体" w:hAnsi="宋体"/>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的采购结果，签订本合同，以兹甲乙双方共同遵守。</w:t>
      </w:r>
    </w:p>
    <w:p w14:paraId="36722910">
      <w:pPr>
        <w:spacing w:line="48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一、项目名称</w:t>
      </w:r>
    </w:p>
    <w:p w14:paraId="6CDC34D5">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安全生产和消防安全第三方服务采购项目</w:t>
      </w:r>
    </w:p>
    <w:p w14:paraId="70475414">
      <w:pPr>
        <w:spacing w:line="48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二、服务对象</w:t>
      </w:r>
    </w:p>
    <w:p w14:paraId="1AD802E9">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甲方辖区内企业计     家（详见附件清单），其中沿街店铺约     家，其他企业约    </w:t>
      </w:r>
    </w:p>
    <w:p w14:paraId="6F9542D0">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家，出租房      家。</w:t>
      </w:r>
    </w:p>
    <w:p w14:paraId="0135DA6C">
      <w:pPr>
        <w:pStyle w:val="43"/>
        <w:numPr>
          <w:ilvl w:val="0"/>
          <w:numId w:val="4"/>
        </w:numPr>
        <w:spacing w:line="480" w:lineRule="exact"/>
        <w:rPr>
          <w:rFonts w:hAnsi="宋体"/>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服务期限</w:t>
      </w:r>
    </w:p>
    <w:p w14:paraId="5B2D3351">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服务期限为  年，自   年  月  日起至  年  月  日止；本合同履行期限1年，自   年  月  日起至  年   月  日止</w:t>
      </w:r>
      <w:r>
        <w:rPr>
          <w:rFonts w:hint="eastAsia" w:ascii="宋体" w:hAnsi="宋体" w:cs="宋体"/>
          <w:bCs/>
          <w:color w:val="000000" w:themeColor="text1"/>
          <w:szCs w:val="21"/>
          <w:highlight w:val="none"/>
          <w14:textFill>
            <w14:solidFill>
              <w14:schemeClr w14:val="tx1"/>
            </w14:solidFill>
          </w14:textFill>
        </w:rPr>
        <w:t>。合同应符合采购预算安排要求，申报采购计划，经批准并经甲方考核验收，双方同意后，方可续签下一年度的合同</w:t>
      </w:r>
      <w:r>
        <w:rPr>
          <w:rFonts w:hint="eastAsia"/>
          <w:color w:val="000000" w:themeColor="text1"/>
          <w:highlight w:val="none"/>
          <w14:textFill>
            <w14:solidFill>
              <w14:schemeClr w14:val="tx1"/>
            </w14:solidFill>
          </w14:textFill>
        </w:rPr>
        <w:t>。</w:t>
      </w:r>
    </w:p>
    <w:p w14:paraId="2B8A5778">
      <w:pPr>
        <w:pStyle w:val="43"/>
        <w:spacing w:line="480" w:lineRule="exact"/>
        <w:rPr>
          <w:rFonts w:hAnsi="宋体"/>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四、合同服务费总价及支付</w:t>
      </w:r>
    </w:p>
    <w:p w14:paraId="3B608626">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1.</w:t>
      </w:r>
      <w:r>
        <w:rPr>
          <w:rFonts w:hAnsi="宋体"/>
          <w:color w:val="000000" w:themeColor="text1"/>
          <w:sz w:val="21"/>
          <w:szCs w:val="21"/>
          <w:highlight w:val="none"/>
          <w14:textFill>
            <w14:solidFill>
              <w14:schemeClr w14:val="tx1"/>
            </w14:solidFill>
          </w14:textFill>
        </w:rPr>
        <w:t>本合同</w:t>
      </w:r>
      <w:r>
        <w:rPr>
          <w:rFonts w:hint="eastAsia" w:hAnsi="宋体"/>
          <w:color w:val="000000" w:themeColor="text1"/>
          <w:sz w:val="21"/>
          <w:szCs w:val="21"/>
          <w:highlight w:val="none"/>
          <w14:textFill>
            <w14:solidFill>
              <w14:schemeClr w14:val="tx1"/>
            </w14:solidFill>
          </w14:textFill>
        </w:rPr>
        <w:t>服务费总价</w:t>
      </w:r>
      <w:r>
        <w:rPr>
          <w:rFonts w:hAnsi="宋体"/>
          <w:color w:val="000000" w:themeColor="text1"/>
          <w:sz w:val="21"/>
          <w:szCs w:val="21"/>
          <w:highlight w:val="none"/>
          <w14:textFill>
            <w14:solidFill>
              <w14:schemeClr w14:val="tx1"/>
            </w14:solidFill>
          </w14:textFill>
        </w:rPr>
        <w:t>为（大写）：人民币    元（</w:t>
      </w:r>
      <w:r>
        <w:rPr>
          <w:rFonts w:hint="eastAsia" w:hAnsi="宋体"/>
          <w:color w:val="000000" w:themeColor="text1"/>
          <w:sz w:val="21"/>
          <w:szCs w:val="21"/>
          <w:highlight w:val="none"/>
          <w14:textFill>
            <w14:solidFill>
              <w14:schemeClr w14:val="tx1"/>
            </w14:solidFill>
          </w14:textFill>
        </w:rPr>
        <w:t>小写：</w:t>
      </w:r>
      <w:r>
        <w:rPr>
          <w:rFonts w:hAnsi="宋体"/>
          <w:color w:val="000000" w:themeColor="text1"/>
          <w:sz w:val="21"/>
          <w:szCs w:val="21"/>
          <w:highlight w:val="none"/>
          <w14:textFill>
            <w14:solidFill>
              <w14:schemeClr w14:val="tx1"/>
            </w14:solidFill>
          </w14:textFill>
        </w:rPr>
        <w:t>￥      元）</w:t>
      </w:r>
      <w:r>
        <w:rPr>
          <w:rFonts w:hint="eastAsia" w:hAnsi="宋体"/>
          <w:color w:val="000000" w:themeColor="text1"/>
          <w:sz w:val="21"/>
          <w:szCs w:val="21"/>
          <w:highlight w:val="none"/>
          <w14:textFill>
            <w14:solidFill>
              <w14:schemeClr w14:val="tx1"/>
            </w14:solidFill>
          </w14:textFill>
        </w:rPr>
        <w:t>。该款项包括但不限于人工费、检测费、维修费、服务费、差旅费、保险费、</w:t>
      </w:r>
      <w:r>
        <w:rPr>
          <w:rFonts w:hint="eastAsia" w:hAnsi="宋体"/>
          <w:color w:val="000000" w:themeColor="text1"/>
          <w:kern w:val="2"/>
          <w:sz w:val="21"/>
          <w:highlight w:val="none"/>
          <w14:textFill>
            <w14:solidFill>
              <w14:schemeClr w14:val="tx1"/>
            </w14:solidFill>
          </w14:textFill>
        </w:rPr>
        <w:t>管理费、合理利润、</w:t>
      </w:r>
      <w:r>
        <w:rPr>
          <w:rFonts w:hint="eastAsia" w:hAnsi="宋体"/>
          <w:color w:val="000000" w:themeColor="text1"/>
          <w:sz w:val="21"/>
          <w:szCs w:val="21"/>
          <w:highlight w:val="none"/>
          <w14:textFill>
            <w14:solidFill>
              <w14:schemeClr w14:val="tx1"/>
            </w14:solidFill>
          </w14:textFill>
        </w:rPr>
        <w:t>税费以及乙方为履行本合同产生的所有费用。</w:t>
      </w:r>
    </w:p>
    <w:p w14:paraId="2658EEB0">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2.支付时间及方式：</w:t>
      </w:r>
    </w:p>
    <w:p w14:paraId="6C9B55E7">
      <w:pPr>
        <w:pStyle w:val="43"/>
        <w:spacing w:line="480" w:lineRule="exact"/>
        <w:ind w:firstLine="420" w:firstLineChars="200"/>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（1）预付款：合同签订后7个工作日内支付合同价款的</w:t>
      </w:r>
      <w:r>
        <w:rPr>
          <w:rFonts w:hint="eastAsia" w:hAnsi="宋体"/>
          <w:color w:val="000000" w:themeColor="text1"/>
          <w:sz w:val="21"/>
          <w:szCs w:val="21"/>
          <w:highlight w:val="none"/>
          <w:lang w:val="en-US" w:eastAsia="zh-CN"/>
          <w14:textFill>
            <w14:solidFill>
              <w14:schemeClr w14:val="tx1"/>
            </w14:solidFill>
          </w14:textFill>
        </w:rPr>
        <w:t>4</w:t>
      </w:r>
      <w:r>
        <w:rPr>
          <w:rFonts w:hint="eastAsia" w:hAnsi="宋体"/>
          <w:color w:val="000000" w:themeColor="text1"/>
          <w:sz w:val="21"/>
          <w:szCs w:val="21"/>
          <w:highlight w:val="none"/>
          <w14:textFill>
            <w14:solidFill>
              <w14:schemeClr w14:val="tx1"/>
            </w14:solidFill>
          </w14:textFill>
        </w:rPr>
        <w:t>0%；</w:t>
      </w:r>
    </w:p>
    <w:p w14:paraId="78870729">
      <w:pPr>
        <w:pStyle w:val="43"/>
        <w:spacing w:line="480" w:lineRule="exact"/>
        <w:ind w:firstLine="420" w:firstLineChars="200"/>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（2）先服务后付费，每三个月支付一次，甲方于第四个月10日前，按照合同服务费总价的15%（即人民币    元）转入乙方账户。</w:t>
      </w:r>
    </w:p>
    <w:p w14:paraId="69B2808C">
      <w:pPr>
        <w:pStyle w:val="43"/>
        <w:spacing w:line="480" w:lineRule="exact"/>
        <w:ind w:firstLine="420" w:firstLineChars="200"/>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（3）甲方根据考核结果，按照本合同约定考核标准结算的最终服务总价扣除已经支付的合同服务总价     元后剩余款项转入乙方指定账户。</w:t>
      </w:r>
    </w:p>
    <w:p w14:paraId="44518099">
      <w:pPr>
        <w:pStyle w:val="43"/>
        <w:spacing w:line="480" w:lineRule="exact"/>
        <w:ind w:firstLine="420" w:firstLineChars="200"/>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（4）乙方须于甲方付款前   日内向甲方开具相应金额的增值税专用发票；如乙方逾期的，甲方付款时间顺延。</w:t>
      </w:r>
    </w:p>
    <w:p w14:paraId="29B434A3">
      <w:pPr>
        <w:pStyle w:val="43"/>
        <w:spacing w:line="480" w:lineRule="exact"/>
        <w:ind w:firstLine="420" w:firstLineChars="200"/>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3.乙方指定收款账户</w:t>
      </w:r>
    </w:p>
    <w:p w14:paraId="6F564111">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户名：</w:t>
      </w:r>
    </w:p>
    <w:p w14:paraId="087B8C03">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开户行：</w:t>
      </w:r>
    </w:p>
    <w:p w14:paraId="25E7DB77">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账号：</w:t>
      </w:r>
    </w:p>
    <w:p w14:paraId="74F4C1B8">
      <w:pPr>
        <w:pStyle w:val="43"/>
        <w:spacing w:line="480" w:lineRule="exact"/>
        <w:rPr>
          <w:rFonts w:hAnsi="宋体"/>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五、履约保证金</w:t>
      </w:r>
    </w:p>
    <w:p w14:paraId="79BBA7CD">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1.履约保证金金额：合同服务总价的1.0%；</w:t>
      </w:r>
    </w:p>
    <w:p w14:paraId="2AF80AB2">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2.履约保证金形式：现金、银行汇票（电汇）、银行保函、保险保单或支票（仅限于使用宁波大市区范围内的银行开具的支票）等形式；</w:t>
      </w:r>
    </w:p>
    <w:p w14:paraId="5D2ABD6F">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3.履约保证金收件人：甲方；</w:t>
      </w:r>
    </w:p>
    <w:p w14:paraId="14B23146">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4.履约保证金的递交要求：乙方须在在签订合同之前递交。</w:t>
      </w:r>
    </w:p>
    <w:p w14:paraId="6BDF4D1A">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5.履约保证金的退还：项目考核验收合格后，根据实际履约情况扣除相应违约金后无息退还履约保证金（但如乙方未能履行合同规定的任何义务而需支付甲方违约金或者赔偿甲方损失的，甲方有权在履约保证金中直接予以扣减）。</w:t>
      </w:r>
    </w:p>
    <w:p w14:paraId="081D6826">
      <w:pPr>
        <w:pStyle w:val="43"/>
        <w:spacing w:line="480" w:lineRule="exact"/>
        <w:rPr>
          <w:rFonts w:hAnsi="宋体"/>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六、服务内容</w:t>
      </w:r>
    </w:p>
    <w:p w14:paraId="5886B94E">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乙方的服务内容主要包括为甲方提供专业技术指导和支撑，完成安全生产、消防安全相关基本工作任务，参与应急救援和值班值守，有效防范安全生产和消防安全事故的发生，主要包括：</w:t>
      </w:r>
    </w:p>
    <w:p w14:paraId="63E805ED">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1.安全生产工作</w:t>
      </w:r>
    </w:p>
    <w:p w14:paraId="5AD7BD6F">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（1）协助甲方完成辖区工业企业的常普常新工作；</w:t>
      </w:r>
    </w:p>
    <w:p w14:paraId="2FE853BB">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（2）协助甲方督促辖区工业企业完成每月自查和隐患闭环整改；</w:t>
      </w:r>
    </w:p>
    <w:p w14:paraId="30C93B52">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协助甲方完成辖区工业企业的监督检查全覆盖（每90天一轮，其中重点企业每月查一次）和隐患问题闭环整改验收，包括但不限于为招标人提供专业指导、参与现场检查、省工业企业在线系统操作等具体工作；</w:t>
      </w:r>
    </w:p>
    <w:p w14:paraId="047B4E19">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（4）上述1-3条款的工业企业基数以省工业企业在线系统数据为准，重点企业主要包括涉危、铝加工（深井铸造）、粉尘涉爆、有限空间作业以及甲方需要排查的其他重点行业企业，具体由甲方根据实际确定。</w:t>
      </w:r>
    </w:p>
    <w:p w14:paraId="0F7047E6">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（5）完成其他专项检查任务。</w:t>
      </w:r>
    </w:p>
    <w:p w14:paraId="4716C73D">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2.消防安全工作</w:t>
      </w:r>
    </w:p>
    <w:p w14:paraId="1B542944">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1.以宁好租系统数据为基础，乙方协助甲方开展出租房消防安全隐患的督查整改和闭环验收；</w:t>
      </w:r>
    </w:p>
    <w:p w14:paraId="42217B84">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2.乙方协助甲方开展沿街商铺的督查检查和整改验收。</w:t>
      </w:r>
    </w:p>
    <w:p w14:paraId="6882812E">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3.应急救援</w:t>
      </w:r>
    </w:p>
    <w:p w14:paraId="65E850BE">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服从甲方统一指挥协调，参与事件的应急处置和救援工作。</w:t>
      </w:r>
    </w:p>
    <w:p w14:paraId="276A982E">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4.值班值守</w:t>
      </w:r>
    </w:p>
    <w:p w14:paraId="30EA00D4">
      <w:pPr>
        <w:spacing w:line="4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根据甲方的统一安排，参与甲方的值班值守工作。</w:t>
      </w:r>
    </w:p>
    <w:p w14:paraId="0A2EED36">
      <w:pPr>
        <w:spacing w:line="48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lang w:eastAsia="zh-CN"/>
          <w14:textFill>
            <w14:solidFill>
              <w14:schemeClr w14:val="tx1"/>
            </w14:solidFill>
          </w14:textFill>
        </w:rPr>
        <w:t>）本项目需聘请1名及以上安全生产相关专家进行指导，专家指导费根据具体情况在15-20万元之间结算，此费用不包含在本次采购预算内，由</w:t>
      </w:r>
      <w:r>
        <w:rPr>
          <w:rFonts w:hint="eastAsia" w:ascii="宋体" w:hAnsi="宋体"/>
          <w:color w:val="000000" w:themeColor="text1"/>
          <w:szCs w:val="21"/>
          <w:highlight w:val="none"/>
          <w:lang w:val="en-US" w:eastAsia="zh-CN"/>
          <w14:textFill>
            <w14:solidFill>
              <w14:schemeClr w14:val="tx1"/>
            </w14:solidFill>
          </w14:textFill>
        </w:rPr>
        <w:t>甲方</w:t>
      </w:r>
      <w:r>
        <w:rPr>
          <w:rFonts w:hint="eastAsia" w:ascii="宋体" w:hAnsi="宋体"/>
          <w:color w:val="000000" w:themeColor="text1"/>
          <w:szCs w:val="21"/>
          <w:highlight w:val="none"/>
          <w:lang w:eastAsia="zh-CN"/>
          <w14:textFill>
            <w14:solidFill>
              <w14:schemeClr w14:val="tx1"/>
            </w14:solidFill>
          </w14:textFill>
        </w:rPr>
        <w:t>另行支付。</w:t>
      </w:r>
    </w:p>
    <w:p w14:paraId="48E0E51F">
      <w:pPr>
        <w:spacing w:line="48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七、服务质量</w:t>
      </w:r>
    </w:p>
    <w:p w14:paraId="201AD107">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1.服务期间乙方不得随意更换项目负责人，如有特殊情况需要更换，须经甲方同意确认。</w:t>
      </w:r>
    </w:p>
    <w:p w14:paraId="4C49B71E">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2.服务期间，乙方须按投标文件要求配备足够的专职服务人员和设备。</w:t>
      </w:r>
    </w:p>
    <w:p w14:paraId="656ECED4">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3.合同履行过程中，乙方如有任何弄虚作假行为，甲方有权单方面解除合同，没收履约保证金，由此引起的所有损失由乙方承担。</w:t>
      </w:r>
    </w:p>
    <w:p w14:paraId="0D79A8D9">
      <w:pPr>
        <w:spacing w:line="48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八、双方的权利和义务</w:t>
      </w:r>
    </w:p>
    <w:p w14:paraId="193D21C3">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1. 甲方有权要求乙方遵守国家法律法规、监管机构的规定和行业自律规范及市场规则，确保服务水平符合要求。</w:t>
      </w:r>
    </w:p>
    <w:p w14:paraId="457AEA24">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2.甲方有权设计相应的考核</w:t>
      </w:r>
      <w:r>
        <w:rPr>
          <w:rFonts w:hint="eastAsia" w:hAnsi="宋体"/>
          <w:color w:val="000000" w:themeColor="text1"/>
          <w:sz w:val="21"/>
          <w:szCs w:val="21"/>
          <w:highlight w:val="none"/>
          <w14:textFill>
            <w14:solidFill>
              <w14:schemeClr w14:val="tx1"/>
            </w14:solidFill>
          </w14:textFill>
        </w:rPr>
        <w:t>细则</w:t>
      </w:r>
      <w:r>
        <w:rPr>
          <w:rFonts w:hAnsi="宋体"/>
          <w:color w:val="000000" w:themeColor="text1"/>
          <w:sz w:val="21"/>
          <w:szCs w:val="21"/>
          <w:highlight w:val="none"/>
          <w14:textFill>
            <w14:solidFill>
              <w14:schemeClr w14:val="tx1"/>
            </w14:solidFill>
          </w14:textFill>
        </w:rPr>
        <w:t>，对乙方</w:t>
      </w:r>
      <w:r>
        <w:rPr>
          <w:rFonts w:hint="eastAsia" w:hAnsi="宋体"/>
          <w:color w:val="000000" w:themeColor="text1"/>
          <w:sz w:val="21"/>
          <w:szCs w:val="21"/>
          <w:highlight w:val="none"/>
          <w14:textFill>
            <w14:solidFill>
              <w14:schemeClr w14:val="tx1"/>
            </w14:solidFill>
          </w14:textFill>
        </w:rPr>
        <w:t>专职</w:t>
      </w:r>
      <w:r>
        <w:rPr>
          <w:rFonts w:hAnsi="宋体"/>
          <w:color w:val="000000" w:themeColor="text1"/>
          <w:sz w:val="21"/>
          <w:szCs w:val="21"/>
          <w:highlight w:val="none"/>
          <w14:textFill>
            <w14:solidFill>
              <w14:schemeClr w14:val="tx1"/>
            </w14:solidFill>
          </w14:textFill>
        </w:rPr>
        <w:t>服务人员进行监督、检查和具体指导，有权要求乙方调换不适合</w:t>
      </w:r>
      <w:r>
        <w:rPr>
          <w:rFonts w:hint="eastAsia" w:hAnsi="宋体"/>
          <w:color w:val="000000" w:themeColor="text1"/>
          <w:sz w:val="21"/>
          <w:szCs w:val="21"/>
          <w:highlight w:val="none"/>
          <w14:textFill>
            <w14:solidFill>
              <w14:schemeClr w14:val="tx1"/>
            </w14:solidFill>
          </w14:textFill>
        </w:rPr>
        <w:t>专职</w:t>
      </w:r>
      <w:r>
        <w:rPr>
          <w:rFonts w:hAnsi="宋体"/>
          <w:color w:val="000000" w:themeColor="text1"/>
          <w:sz w:val="21"/>
          <w:szCs w:val="21"/>
          <w:highlight w:val="none"/>
          <w14:textFill>
            <w14:solidFill>
              <w14:schemeClr w14:val="tx1"/>
            </w14:solidFill>
          </w14:textFill>
        </w:rPr>
        <w:t>服务人员。</w:t>
      </w:r>
    </w:p>
    <w:p w14:paraId="594F85B2">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3.甲方对乙方</w:t>
      </w:r>
      <w:r>
        <w:rPr>
          <w:rFonts w:hint="eastAsia" w:hAnsi="宋体"/>
          <w:color w:val="000000" w:themeColor="text1"/>
          <w:sz w:val="21"/>
          <w:szCs w:val="21"/>
          <w:highlight w:val="none"/>
          <w14:textFill>
            <w14:solidFill>
              <w14:schemeClr w14:val="tx1"/>
            </w14:solidFill>
          </w14:textFill>
        </w:rPr>
        <w:t>专职</w:t>
      </w:r>
      <w:r>
        <w:rPr>
          <w:rFonts w:hAnsi="宋体"/>
          <w:color w:val="000000" w:themeColor="text1"/>
          <w:sz w:val="21"/>
          <w:szCs w:val="21"/>
          <w:highlight w:val="none"/>
          <w14:textFill>
            <w14:solidFill>
              <w14:schemeClr w14:val="tx1"/>
            </w14:solidFill>
          </w14:textFill>
        </w:rPr>
        <w:t>服务人员在工作中的违法、违规、违章行为进行制止，并按相应规定进行处理或责任追究。</w:t>
      </w:r>
    </w:p>
    <w:p w14:paraId="18353798">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4.乙方承诺遵守国家法律法规、监管机构的规定和行业自律规范及市场规则，并遵守甲方相关制度规定，不得损害甲方的合法权益。</w:t>
      </w:r>
    </w:p>
    <w:p w14:paraId="5FA2FE94">
      <w:pPr>
        <w:pStyle w:val="43"/>
        <w:spacing w:line="480" w:lineRule="exact"/>
        <w:ind w:firstLine="420" w:firstLineChars="200"/>
        <w:jc w:val="both"/>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5.乙方投入本项目的</w:t>
      </w:r>
      <w:r>
        <w:rPr>
          <w:rFonts w:hint="eastAsia" w:hAnsi="宋体"/>
          <w:color w:val="000000" w:themeColor="text1"/>
          <w:sz w:val="21"/>
          <w:szCs w:val="21"/>
          <w:highlight w:val="none"/>
          <w14:textFill>
            <w14:solidFill>
              <w14:schemeClr w14:val="tx1"/>
            </w14:solidFill>
          </w14:textFill>
        </w:rPr>
        <w:t>专职服务</w:t>
      </w:r>
      <w:r>
        <w:rPr>
          <w:rFonts w:hAnsi="宋体"/>
          <w:color w:val="000000" w:themeColor="text1"/>
          <w:sz w:val="21"/>
          <w:szCs w:val="21"/>
          <w:highlight w:val="none"/>
          <w14:textFill>
            <w14:solidFill>
              <w14:schemeClr w14:val="tx1"/>
            </w14:solidFill>
          </w14:textFill>
        </w:rPr>
        <w:t>人员数量</w:t>
      </w:r>
      <w:r>
        <w:rPr>
          <w:rFonts w:hint="eastAsia" w:hAnsi="宋体"/>
          <w:color w:val="000000" w:themeColor="text1"/>
          <w:sz w:val="21"/>
          <w:szCs w:val="21"/>
          <w:highlight w:val="none"/>
          <w14:textFill>
            <w14:solidFill>
              <w14:schemeClr w14:val="tx1"/>
            </w14:solidFill>
          </w14:textFill>
        </w:rPr>
        <w:t>和技术人员和设施设备</w:t>
      </w:r>
      <w:r>
        <w:rPr>
          <w:rFonts w:hAnsi="宋体"/>
          <w:color w:val="000000" w:themeColor="text1"/>
          <w:sz w:val="21"/>
          <w:szCs w:val="21"/>
          <w:highlight w:val="none"/>
          <w14:textFill>
            <w14:solidFill>
              <w14:schemeClr w14:val="tx1"/>
            </w14:solidFill>
          </w14:textFill>
        </w:rPr>
        <w:t>不得低于</w:t>
      </w:r>
      <w:r>
        <w:rPr>
          <w:rFonts w:hint="eastAsia" w:hAnsi="宋体"/>
          <w:color w:val="000000" w:themeColor="text1"/>
          <w:sz w:val="21"/>
          <w:szCs w:val="21"/>
          <w:highlight w:val="none"/>
          <w14:textFill>
            <w14:solidFill>
              <w14:schemeClr w14:val="tx1"/>
            </w14:solidFill>
          </w14:textFill>
        </w:rPr>
        <w:t>各类人员、设施设备的</w:t>
      </w:r>
      <w:r>
        <w:rPr>
          <w:rFonts w:hAnsi="宋体"/>
          <w:color w:val="000000" w:themeColor="text1"/>
          <w:sz w:val="21"/>
          <w:szCs w:val="21"/>
          <w:highlight w:val="none"/>
          <w14:textFill>
            <w14:solidFill>
              <w14:schemeClr w14:val="tx1"/>
            </w14:solidFill>
          </w14:textFill>
        </w:rPr>
        <w:t>最低配置数量（以乙方投标</w:t>
      </w:r>
      <w:r>
        <w:rPr>
          <w:rFonts w:hint="eastAsia" w:hAnsi="宋体"/>
          <w:color w:val="000000" w:themeColor="text1"/>
          <w:sz w:val="21"/>
          <w:szCs w:val="21"/>
          <w:highlight w:val="none"/>
          <w14:textFill>
            <w14:solidFill>
              <w14:schemeClr w14:val="tx1"/>
            </w14:solidFill>
          </w14:textFill>
        </w:rPr>
        <w:t>文件</w:t>
      </w:r>
      <w:r>
        <w:rPr>
          <w:rFonts w:hAnsi="宋体"/>
          <w:color w:val="000000" w:themeColor="text1"/>
          <w:sz w:val="21"/>
          <w:szCs w:val="21"/>
          <w:highlight w:val="none"/>
          <w14:textFill>
            <w14:solidFill>
              <w14:schemeClr w14:val="tx1"/>
            </w14:solidFill>
          </w14:textFill>
        </w:rPr>
        <w:t>为准）。</w:t>
      </w:r>
    </w:p>
    <w:p w14:paraId="453223D0">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6.乙方需与其</w:t>
      </w:r>
      <w:r>
        <w:rPr>
          <w:rFonts w:hint="eastAsia" w:hAnsi="宋体"/>
          <w:color w:val="000000" w:themeColor="text1"/>
          <w:sz w:val="21"/>
          <w:szCs w:val="21"/>
          <w:highlight w:val="none"/>
          <w14:textFill>
            <w14:solidFill>
              <w14:schemeClr w14:val="tx1"/>
            </w14:solidFill>
          </w14:textFill>
        </w:rPr>
        <w:t>专职</w:t>
      </w:r>
      <w:r>
        <w:rPr>
          <w:rFonts w:hAnsi="宋体"/>
          <w:color w:val="000000" w:themeColor="text1"/>
          <w:sz w:val="21"/>
          <w:szCs w:val="21"/>
          <w:highlight w:val="none"/>
          <w14:textFill>
            <w14:solidFill>
              <w14:schemeClr w14:val="tx1"/>
            </w14:solidFill>
          </w14:textFill>
        </w:rPr>
        <w:t>服务人员签订劳动合同并依法办理社保手续，由乙方负责服务人员的薪酬发放及有关福利待遇，并足额、及时发放薪酬及劳保福利，由此所导致引发的纠纷由乙方承担。</w:t>
      </w:r>
    </w:p>
    <w:p w14:paraId="21AF7239">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7.乙方应向甲方提供人员上岗证、体检表、人员登记表、资格证书。</w:t>
      </w:r>
    </w:p>
    <w:p w14:paraId="53F36BCF">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8.乙方更换</w:t>
      </w:r>
      <w:r>
        <w:rPr>
          <w:rFonts w:hint="eastAsia" w:hAnsi="宋体"/>
          <w:color w:val="000000" w:themeColor="text1"/>
          <w:sz w:val="21"/>
          <w:szCs w:val="21"/>
          <w:highlight w:val="none"/>
          <w14:textFill>
            <w14:solidFill>
              <w14:schemeClr w14:val="tx1"/>
            </w14:solidFill>
          </w14:textFill>
        </w:rPr>
        <w:t>专职</w:t>
      </w:r>
      <w:r>
        <w:rPr>
          <w:rFonts w:hAnsi="宋体"/>
          <w:color w:val="000000" w:themeColor="text1"/>
          <w:sz w:val="21"/>
          <w:szCs w:val="21"/>
          <w:highlight w:val="none"/>
          <w14:textFill>
            <w14:solidFill>
              <w14:schemeClr w14:val="tx1"/>
            </w14:solidFill>
          </w14:textFill>
        </w:rPr>
        <w:t>服务人员时，需经甲方书面同意，做好交接工作后方可变更。</w:t>
      </w:r>
    </w:p>
    <w:p w14:paraId="588256DC">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9.乙方</w:t>
      </w:r>
      <w:r>
        <w:rPr>
          <w:rFonts w:hint="eastAsia" w:hAnsi="宋体"/>
          <w:color w:val="000000" w:themeColor="text1"/>
          <w:sz w:val="21"/>
          <w:szCs w:val="21"/>
          <w:highlight w:val="none"/>
          <w14:textFill>
            <w14:solidFill>
              <w14:schemeClr w14:val="tx1"/>
            </w14:solidFill>
          </w14:textFill>
        </w:rPr>
        <w:t>自行</w:t>
      </w:r>
      <w:r>
        <w:rPr>
          <w:rFonts w:hAnsi="宋体"/>
          <w:color w:val="000000" w:themeColor="text1"/>
          <w:sz w:val="21"/>
          <w:szCs w:val="21"/>
          <w:highlight w:val="none"/>
          <w14:textFill>
            <w14:solidFill>
              <w14:schemeClr w14:val="tx1"/>
            </w14:solidFill>
          </w14:textFill>
        </w:rPr>
        <w:t>负责</w:t>
      </w:r>
      <w:r>
        <w:rPr>
          <w:rFonts w:hint="eastAsia" w:hAnsi="宋体"/>
          <w:color w:val="000000" w:themeColor="text1"/>
          <w:sz w:val="21"/>
          <w:szCs w:val="21"/>
          <w:highlight w:val="none"/>
          <w14:textFill>
            <w14:solidFill>
              <w14:schemeClr w14:val="tx1"/>
            </w14:solidFill>
          </w14:textFill>
        </w:rPr>
        <w:t>专职</w:t>
      </w:r>
      <w:r>
        <w:rPr>
          <w:rFonts w:hAnsi="宋体"/>
          <w:color w:val="000000" w:themeColor="text1"/>
          <w:sz w:val="21"/>
          <w:szCs w:val="21"/>
          <w:highlight w:val="none"/>
          <w14:textFill>
            <w14:solidFill>
              <w14:schemeClr w14:val="tx1"/>
            </w14:solidFill>
          </w14:textFill>
        </w:rPr>
        <w:t>服务人员的勤务指挥、人员调整和休假安排。</w:t>
      </w:r>
    </w:p>
    <w:p w14:paraId="4025BB5A">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10.乙方应对服务范围内的不安全隐患每周及时向甲方书面提出改进意见和建议，因乙方原因未及时将安全隐患上报给甲方的，造成的损失由乙方承担。</w:t>
      </w:r>
    </w:p>
    <w:p w14:paraId="106719CF">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11.乙方负责其</w:t>
      </w:r>
      <w:r>
        <w:rPr>
          <w:rFonts w:hint="eastAsia" w:hAnsi="宋体"/>
          <w:color w:val="000000" w:themeColor="text1"/>
          <w:sz w:val="21"/>
          <w:szCs w:val="21"/>
          <w:highlight w:val="none"/>
          <w14:textFill>
            <w14:solidFill>
              <w14:schemeClr w14:val="tx1"/>
            </w14:solidFill>
          </w14:textFill>
        </w:rPr>
        <w:t>专职</w:t>
      </w:r>
      <w:r>
        <w:rPr>
          <w:rFonts w:hAnsi="宋体"/>
          <w:color w:val="000000" w:themeColor="text1"/>
          <w:sz w:val="21"/>
          <w:szCs w:val="21"/>
          <w:highlight w:val="none"/>
          <w14:textFill>
            <w14:solidFill>
              <w14:schemeClr w14:val="tx1"/>
            </w14:solidFill>
          </w14:textFill>
        </w:rPr>
        <w:t>服务人员的思想教育、业务培训等日常管理，并加强对服务人员的岗位培训和管理，保持队伍的稳定性。</w:t>
      </w:r>
    </w:p>
    <w:p w14:paraId="5C704FF8">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12.乙方保证</w:t>
      </w:r>
      <w:r>
        <w:rPr>
          <w:rFonts w:hint="eastAsia" w:hAnsi="宋体"/>
          <w:color w:val="000000" w:themeColor="text1"/>
          <w:sz w:val="21"/>
          <w:szCs w:val="21"/>
          <w:highlight w:val="none"/>
          <w14:textFill>
            <w14:solidFill>
              <w14:schemeClr w14:val="tx1"/>
            </w14:solidFill>
          </w14:textFill>
        </w:rPr>
        <w:t>专职</w:t>
      </w:r>
      <w:r>
        <w:rPr>
          <w:rFonts w:hAnsi="宋体"/>
          <w:color w:val="000000" w:themeColor="text1"/>
          <w:sz w:val="21"/>
          <w:szCs w:val="21"/>
          <w:highlight w:val="none"/>
          <w14:textFill>
            <w14:solidFill>
              <w14:schemeClr w14:val="tx1"/>
            </w14:solidFill>
          </w14:textFill>
        </w:rPr>
        <w:t>服务人员具备任职岗位职业资格，保证遵守并执行甲方关于综合应急消防安全各项规章制度。</w:t>
      </w:r>
    </w:p>
    <w:p w14:paraId="7EDBFCF8">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13.乙方应在收到甲方通知之日起  日内调换不适合在甲方工作的服务人员。</w:t>
      </w:r>
    </w:p>
    <w:p w14:paraId="0C763698">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14.乙方服务人员应严格遵守各项管理规定和安全要求，乙方及其服务人员因工或非因工发生的人身伤、残、亡以及因工对第三方造成人身伤害或财产损失的，由乙方承担所有责任，甲方因此支付的赔偿款、补偿款均可向乙方追偿。</w:t>
      </w:r>
    </w:p>
    <w:p w14:paraId="615C0FD4">
      <w:pPr>
        <w:spacing w:line="48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九、转包或分包</w:t>
      </w:r>
    </w:p>
    <w:p w14:paraId="50C15484">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1.本合同范围的服务，应由乙方直接提供，不得转让他人；</w:t>
      </w:r>
    </w:p>
    <w:p w14:paraId="7E6F6206">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2.除非得到甲方的书面同意，乙方不得部分分包给他人。</w:t>
      </w:r>
    </w:p>
    <w:p w14:paraId="355B0E0E">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3.如有转让和未经甲方同意的分包行为，转让和分包无效；根据合同履行情况，甲方有权解除本合同，也可要求乙方仍按照本合同约定履行，但甲方有权不与乙方续签剩余年度的合同。</w:t>
      </w:r>
    </w:p>
    <w:p w14:paraId="008C88A3">
      <w:pPr>
        <w:pStyle w:val="43"/>
        <w:spacing w:line="480" w:lineRule="exact"/>
        <w:rPr>
          <w:rFonts w:hAnsi="宋体"/>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十、考核细则及标准</w:t>
      </w:r>
    </w:p>
    <w:p w14:paraId="338939AF">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根据服务内容细化制定以下考核细则，并实行考核结果与合同服务费用支付相挂钩。</w:t>
      </w:r>
    </w:p>
    <w:p w14:paraId="6AAC679B">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1.考核细则</w:t>
      </w:r>
    </w:p>
    <w:tbl>
      <w:tblPr>
        <w:tblStyle w:val="3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2823"/>
        <w:gridCol w:w="4536"/>
      </w:tblGrid>
      <w:tr w14:paraId="794F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3"/>
            <w:noWrap/>
          </w:tcPr>
          <w:p w14:paraId="1A310237">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考核细则</w:t>
            </w:r>
          </w:p>
        </w:tc>
      </w:tr>
      <w:tr w14:paraId="2A15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noWrap/>
          </w:tcPr>
          <w:p w14:paraId="226D4700">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服务项目</w:t>
            </w:r>
          </w:p>
        </w:tc>
        <w:tc>
          <w:tcPr>
            <w:tcW w:w="2823" w:type="dxa"/>
            <w:noWrap/>
          </w:tcPr>
          <w:p w14:paraId="3CF46388">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服务内容</w:t>
            </w:r>
          </w:p>
        </w:tc>
        <w:tc>
          <w:tcPr>
            <w:tcW w:w="4536" w:type="dxa"/>
            <w:noWrap/>
          </w:tcPr>
          <w:p w14:paraId="3E25CE74">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考核标准</w:t>
            </w:r>
          </w:p>
        </w:tc>
      </w:tr>
      <w:tr w14:paraId="453B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396" w:type="dxa"/>
            <w:vMerge w:val="restart"/>
            <w:noWrap/>
            <w:vAlign w:val="center"/>
          </w:tcPr>
          <w:p w14:paraId="58CF4EC1">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安</w:t>
            </w:r>
          </w:p>
          <w:p w14:paraId="4AAB4B71">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全</w:t>
            </w:r>
          </w:p>
          <w:p w14:paraId="1FA89AB6">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生</w:t>
            </w:r>
          </w:p>
          <w:p w14:paraId="18529FFC">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产</w:t>
            </w:r>
          </w:p>
          <w:p w14:paraId="6169FBFC">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（40分）</w:t>
            </w:r>
          </w:p>
        </w:tc>
        <w:tc>
          <w:tcPr>
            <w:tcW w:w="2823" w:type="dxa"/>
            <w:noWrap/>
            <w:vAlign w:val="center"/>
          </w:tcPr>
          <w:p w14:paraId="46EAEDF2">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协助完成常普常新工作</w:t>
            </w:r>
          </w:p>
          <w:p w14:paraId="49AD3D2D">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（5分）</w:t>
            </w:r>
          </w:p>
        </w:tc>
        <w:tc>
          <w:tcPr>
            <w:tcW w:w="4536" w:type="dxa"/>
            <w:noWrap/>
            <w:vAlign w:val="center"/>
          </w:tcPr>
          <w:p w14:paraId="46D7712F">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未按时完成采购人安排的常普常新工作，在任一统计周期内（每90天一轮，其中重点企业一月一查）未达到常普常新100%的，每次扣0.25分</w:t>
            </w:r>
          </w:p>
        </w:tc>
      </w:tr>
      <w:tr w14:paraId="25D0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Merge w:val="continue"/>
            <w:noWrap/>
            <w:vAlign w:val="center"/>
          </w:tcPr>
          <w:p w14:paraId="5A0937AD">
            <w:pPr>
              <w:spacing w:line="360" w:lineRule="exact"/>
              <w:ind w:firstLine="420" w:firstLineChars="200"/>
              <w:rPr>
                <w:rFonts w:ascii="宋体" w:hAnsi="宋体"/>
                <w:color w:val="000000" w:themeColor="text1"/>
                <w:szCs w:val="21"/>
                <w:highlight w:val="none"/>
                <w14:textFill>
                  <w14:solidFill>
                    <w14:schemeClr w14:val="tx1"/>
                  </w14:solidFill>
                </w14:textFill>
              </w:rPr>
            </w:pPr>
          </w:p>
        </w:tc>
        <w:tc>
          <w:tcPr>
            <w:tcW w:w="2823" w:type="dxa"/>
            <w:noWrap/>
            <w:vAlign w:val="center"/>
          </w:tcPr>
          <w:p w14:paraId="1D80846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协助督促工业企业完成自查和隐患闭环整改（10分）</w:t>
            </w:r>
          </w:p>
        </w:tc>
        <w:tc>
          <w:tcPr>
            <w:tcW w:w="4536" w:type="dxa"/>
            <w:noWrap/>
            <w:vAlign w:val="center"/>
          </w:tcPr>
          <w:p w14:paraId="3F9F2FF1">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未按要求对相关企业进行督促，在任一统计周期内（1个月）企业自查或隐患闭环整改未达100%的，每次扣0.25分</w:t>
            </w:r>
          </w:p>
        </w:tc>
      </w:tr>
      <w:tr w14:paraId="376E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Merge w:val="continue"/>
            <w:noWrap/>
            <w:vAlign w:val="center"/>
          </w:tcPr>
          <w:p w14:paraId="13CA217A">
            <w:pPr>
              <w:spacing w:line="360" w:lineRule="exact"/>
              <w:ind w:firstLine="420" w:firstLineChars="200"/>
              <w:rPr>
                <w:rFonts w:ascii="宋体" w:hAnsi="宋体"/>
                <w:color w:val="000000" w:themeColor="text1"/>
                <w:szCs w:val="21"/>
                <w:highlight w:val="none"/>
                <w14:textFill>
                  <w14:solidFill>
                    <w14:schemeClr w14:val="tx1"/>
                  </w14:solidFill>
                </w14:textFill>
              </w:rPr>
            </w:pPr>
          </w:p>
        </w:tc>
        <w:tc>
          <w:tcPr>
            <w:tcW w:w="2823" w:type="dxa"/>
            <w:noWrap/>
            <w:vAlign w:val="center"/>
          </w:tcPr>
          <w:p w14:paraId="7CFC2AED">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协助完成对工业企业的监督检查全覆盖和隐患问题闭环整改验收（15分）</w:t>
            </w:r>
          </w:p>
        </w:tc>
        <w:tc>
          <w:tcPr>
            <w:tcW w:w="4536" w:type="dxa"/>
            <w:noWrap/>
            <w:vAlign w:val="center"/>
          </w:tcPr>
          <w:p w14:paraId="1E230358">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未按要求完成监督检查，在任一统计周期（90天）内监督检查覆盖率未达到100%的，每次扣0.5分；未按要求对问题隐患整改情况进行督促和闭环验收，导致出现超期未整改的，每起扣0.5分</w:t>
            </w:r>
          </w:p>
        </w:tc>
      </w:tr>
      <w:tr w14:paraId="4ACE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Merge w:val="continue"/>
            <w:noWrap/>
            <w:vAlign w:val="center"/>
          </w:tcPr>
          <w:p w14:paraId="5F085055">
            <w:pPr>
              <w:spacing w:line="360" w:lineRule="exact"/>
              <w:ind w:firstLine="420" w:firstLineChars="200"/>
              <w:rPr>
                <w:rFonts w:ascii="宋体" w:hAnsi="宋体"/>
                <w:color w:val="000000" w:themeColor="text1"/>
                <w:szCs w:val="21"/>
                <w:highlight w:val="none"/>
                <w14:textFill>
                  <w14:solidFill>
                    <w14:schemeClr w14:val="tx1"/>
                  </w14:solidFill>
                </w14:textFill>
              </w:rPr>
            </w:pPr>
          </w:p>
        </w:tc>
        <w:tc>
          <w:tcPr>
            <w:tcW w:w="2823" w:type="dxa"/>
            <w:noWrap/>
            <w:vAlign w:val="center"/>
          </w:tcPr>
          <w:p w14:paraId="5365FA29">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专项检查和工作质量（10分）</w:t>
            </w:r>
          </w:p>
        </w:tc>
        <w:tc>
          <w:tcPr>
            <w:tcW w:w="4536" w:type="dxa"/>
            <w:noWrap/>
            <w:vAlign w:val="center"/>
          </w:tcPr>
          <w:p w14:paraId="59CC1129">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未积极配合采购人安排的专项检查任务，视情扣0.1-0.5分；对参与监督检查的工业企业，检查过程中未发现重大安全隐患但被上级检查发现并判定的，每个问题扣0.25分</w:t>
            </w:r>
          </w:p>
        </w:tc>
      </w:tr>
      <w:tr w14:paraId="25F1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Merge w:val="restart"/>
            <w:noWrap/>
            <w:vAlign w:val="center"/>
          </w:tcPr>
          <w:p w14:paraId="68D67338">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消</w:t>
            </w:r>
          </w:p>
          <w:p w14:paraId="62D95DA9">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防</w:t>
            </w:r>
          </w:p>
          <w:p w14:paraId="6157C709">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安</w:t>
            </w:r>
          </w:p>
          <w:p w14:paraId="1BC83BEC">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全</w:t>
            </w:r>
          </w:p>
          <w:p w14:paraId="3A8D5D04">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（40分）</w:t>
            </w:r>
          </w:p>
        </w:tc>
        <w:tc>
          <w:tcPr>
            <w:tcW w:w="2823" w:type="dxa"/>
            <w:noWrap/>
            <w:vAlign w:val="center"/>
          </w:tcPr>
          <w:p w14:paraId="17642F25">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协助开展出租房消防安全隐患的督查整改和闭环验收（20分）</w:t>
            </w:r>
          </w:p>
        </w:tc>
        <w:tc>
          <w:tcPr>
            <w:tcW w:w="4536" w:type="dxa"/>
            <w:noWrap/>
            <w:vAlign w:val="center"/>
          </w:tcPr>
          <w:p w14:paraId="39D191D8">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对宁好租平台中的出租房消防安全隐患未及时开展督促整改或闭环验收，导致出现整改超期的，每起扣0.25分</w:t>
            </w:r>
          </w:p>
        </w:tc>
      </w:tr>
      <w:tr w14:paraId="564E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Merge w:val="continue"/>
            <w:noWrap/>
            <w:vAlign w:val="center"/>
          </w:tcPr>
          <w:p w14:paraId="726B6280">
            <w:pPr>
              <w:spacing w:line="360" w:lineRule="exact"/>
              <w:ind w:firstLine="420" w:firstLineChars="200"/>
              <w:rPr>
                <w:rFonts w:ascii="宋体" w:hAnsi="宋体"/>
                <w:color w:val="000000" w:themeColor="text1"/>
                <w:szCs w:val="21"/>
                <w:highlight w:val="none"/>
                <w14:textFill>
                  <w14:solidFill>
                    <w14:schemeClr w14:val="tx1"/>
                  </w14:solidFill>
                </w14:textFill>
              </w:rPr>
            </w:pPr>
          </w:p>
        </w:tc>
        <w:tc>
          <w:tcPr>
            <w:tcW w:w="2823" w:type="dxa"/>
            <w:noWrap/>
            <w:vAlign w:val="center"/>
          </w:tcPr>
          <w:p w14:paraId="03AA8D15">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协助开展沿街商铺的督查检查和整改验收（20分）</w:t>
            </w:r>
          </w:p>
        </w:tc>
        <w:tc>
          <w:tcPr>
            <w:tcW w:w="4536" w:type="dxa"/>
            <w:noWrap/>
            <w:vAlign w:val="center"/>
          </w:tcPr>
          <w:p w14:paraId="16C94969">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未积极开展沿街商铺的消防安全督查检查，视情扣0.1-1.0分；对于问题隐患，未在交办期限内开展整改验收的，每起扣0.25分</w:t>
            </w:r>
          </w:p>
        </w:tc>
      </w:tr>
      <w:tr w14:paraId="5036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noWrap/>
            <w:vAlign w:val="center"/>
          </w:tcPr>
          <w:p w14:paraId="7162D934">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应急</w:t>
            </w:r>
          </w:p>
          <w:p w14:paraId="3F9A206E">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救援</w:t>
            </w:r>
          </w:p>
          <w:p w14:paraId="77DAD288">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和</w:t>
            </w:r>
          </w:p>
          <w:p w14:paraId="119D531D">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值班</w:t>
            </w:r>
          </w:p>
          <w:p w14:paraId="0CECD4D6">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值守</w:t>
            </w:r>
          </w:p>
          <w:p w14:paraId="51D6CB91">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（20分）</w:t>
            </w:r>
          </w:p>
        </w:tc>
        <w:tc>
          <w:tcPr>
            <w:tcW w:w="2823" w:type="dxa"/>
            <w:noWrap/>
            <w:vAlign w:val="center"/>
          </w:tcPr>
          <w:p w14:paraId="397D9726">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服从招标方的统一协调指挥，积极参与突发事件的应急处置和救援，做好日常值班值守工作（20分）</w:t>
            </w:r>
          </w:p>
        </w:tc>
        <w:tc>
          <w:tcPr>
            <w:tcW w:w="4536" w:type="dxa"/>
            <w:noWrap/>
            <w:vAlign w:val="center"/>
          </w:tcPr>
          <w:p w14:paraId="2E046E0E">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拒不参与采购人的应急救援工作，每次扣4.0分（上不封顶）；在参与应急救援过程中，不服从统一协调指挥，视情扣0.5-1.0分；对于采购人根据实际需要提出的力量调配、增援要求拒绝，或人员调配不足的，或拖延执行的，视情扣0.5-1.0分。专职服务人员不按要求参与日常值班值守的或不遵守招标方值班值守有关规定的，每起扣0.25分。</w:t>
            </w:r>
          </w:p>
        </w:tc>
      </w:tr>
      <w:tr w14:paraId="50FE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noWrap/>
            <w:vAlign w:val="center"/>
          </w:tcPr>
          <w:p w14:paraId="3534F041">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w:t>
            </w:r>
          </w:p>
          <w:p w14:paraId="783A9C41">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他</w:t>
            </w:r>
          </w:p>
          <w:p w14:paraId="4F86D098">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扣</w:t>
            </w:r>
          </w:p>
          <w:p w14:paraId="6BC116F7">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w:t>
            </w:r>
          </w:p>
          <w:p w14:paraId="656D1632">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w:t>
            </w:r>
          </w:p>
        </w:tc>
        <w:tc>
          <w:tcPr>
            <w:tcW w:w="2823" w:type="dxa"/>
            <w:noWrap/>
            <w:vAlign w:val="center"/>
          </w:tcPr>
          <w:p w14:paraId="689E60FE">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w:t>
            </w:r>
          </w:p>
          <w:p w14:paraId="32ED380E">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政</w:t>
            </w:r>
          </w:p>
          <w:p w14:paraId="5AF47DB6">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建</w:t>
            </w:r>
          </w:p>
          <w:p w14:paraId="1B42E023">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设</w:t>
            </w:r>
          </w:p>
        </w:tc>
        <w:tc>
          <w:tcPr>
            <w:tcW w:w="4536" w:type="dxa"/>
            <w:noWrap/>
            <w:vAlign w:val="center"/>
          </w:tcPr>
          <w:p w14:paraId="1E4653FD">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标供应商的服务人员利用协助采购人开展相关工作的机会，或以中标供应商名义向被监督检查对象介绍业务、推销产品、吃拿卡要等，每发现一起扣20分；经核实系中标供应商单位行为的，扣40分；合同期限内中标供应商或中标供应商关联公司在宁海县辖区内为企业或其他市场经营主体提供安全生产、消防安全服务，或者推荐、介绍关于安全生产、消防安全服务的，扣40分。</w:t>
            </w:r>
          </w:p>
        </w:tc>
      </w:tr>
      <w:tr w14:paraId="669A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Merge w:val="restart"/>
            <w:noWrap/>
            <w:vAlign w:val="center"/>
          </w:tcPr>
          <w:p w14:paraId="0BC746D6">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加</w:t>
            </w:r>
          </w:p>
          <w:p w14:paraId="18D9A120">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w:t>
            </w:r>
          </w:p>
          <w:p w14:paraId="023152D4">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w:t>
            </w:r>
          </w:p>
        </w:tc>
        <w:tc>
          <w:tcPr>
            <w:tcW w:w="2823" w:type="dxa"/>
            <w:noWrap/>
            <w:vAlign w:val="center"/>
          </w:tcPr>
          <w:p w14:paraId="3AD5CE8A">
            <w:pPr>
              <w:spacing w:line="360" w:lineRule="exact"/>
              <w:ind w:firstLine="420" w:firstLineChars="200"/>
              <w:rPr>
                <w:rFonts w:ascii="宋体" w:hAnsi="宋体"/>
                <w:color w:val="000000" w:themeColor="text1"/>
                <w:szCs w:val="21"/>
                <w:highlight w:val="none"/>
                <w14:textFill>
                  <w14:solidFill>
                    <w14:schemeClr w14:val="tx1"/>
                  </w14:solidFill>
                </w14:textFill>
              </w:rPr>
            </w:pPr>
          </w:p>
        </w:tc>
        <w:tc>
          <w:tcPr>
            <w:tcW w:w="4536" w:type="dxa"/>
            <w:noWrap/>
            <w:vAlign w:val="center"/>
          </w:tcPr>
          <w:p w14:paraId="03BA28DC">
            <w:pPr>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相关人员在工作中（如应急救援等）表现突出，受到县级以上党委政府表彰的，按表彰单位（国家、省、市、县），分别加8分、6分、4分、2分（同项工作只给予一次加分）</w:t>
            </w:r>
          </w:p>
        </w:tc>
      </w:tr>
      <w:tr w14:paraId="678A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Merge w:val="continue"/>
            <w:noWrap/>
            <w:vAlign w:val="center"/>
          </w:tcPr>
          <w:p w14:paraId="06CA0BFA">
            <w:pPr>
              <w:spacing w:line="360" w:lineRule="exact"/>
              <w:ind w:firstLine="420" w:firstLineChars="200"/>
              <w:rPr>
                <w:rFonts w:ascii="宋体" w:hAnsi="宋体"/>
                <w:color w:val="000000" w:themeColor="text1"/>
                <w:szCs w:val="21"/>
                <w:highlight w:val="none"/>
                <w14:textFill>
                  <w14:solidFill>
                    <w14:schemeClr w14:val="tx1"/>
                  </w14:solidFill>
                </w14:textFill>
              </w:rPr>
            </w:pPr>
          </w:p>
        </w:tc>
        <w:tc>
          <w:tcPr>
            <w:tcW w:w="2823" w:type="dxa"/>
            <w:noWrap/>
            <w:vAlign w:val="center"/>
          </w:tcPr>
          <w:p w14:paraId="31945B68">
            <w:pPr>
              <w:spacing w:line="360" w:lineRule="exact"/>
              <w:ind w:firstLine="420" w:firstLineChars="200"/>
              <w:rPr>
                <w:rFonts w:ascii="宋体" w:hAnsi="宋体"/>
                <w:color w:val="000000" w:themeColor="text1"/>
                <w:szCs w:val="21"/>
                <w:highlight w:val="none"/>
                <w14:textFill>
                  <w14:solidFill>
                    <w14:schemeClr w14:val="tx1"/>
                  </w14:solidFill>
                </w14:textFill>
              </w:rPr>
            </w:pPr>
          </w:p>
        </w:tc>
        <w:tc>
          <w:tcPr>
            <w:tcW w:w="4536" w:type="dxa"/>
            <w:noWrap/>
            <w:vAlign w:val="center"/>
          </w:tcPr>
          <w:p w14:paraId="1DC75586">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安全生产事故数（企业总数比例）比前三年平均数总体下降10%，加5分；下降20%，加10分；下降30%，加15分；下降40%，加20分。下降50%，加25分；下降60%，加30分；下降70%，加35分；下降80%，加40分（注：本项最多加40分）</w:t>
            </w:r>
          </w:p>
        </w:tc>
      </w:tr>
    </w:tbl>
    <w:p w14:paraId="6063A891">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2.考核结果运用</w:t>
      </w:r>
    </w:p>
    <w:p w14:paraId="4D20C05E">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（1）考核以年度为单位，每年度考核一次。</w:t>
      </w:r>
    </w:p>
    <w:p w14:paraId="7F61B8D0">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2）考核结果与服务费用相挂钩，相应得分与总体扣分项加减，如高于100分，超分部分按年服务总额乘超分比例奖励。考核分在90分（含）以上，100分（含）以下的，按合同服务总价的100%支付服务费用；如低于90分，按减分比例乘年服务费总额扣除。考核分在80分（不含）以下的，为不合格，采购人有权不与中标供应商签订下一年度合同，同时没收中标供应商履约保证金，并由中标供应商赔偿由此造成的经济损失。</w:t>
      </w:r>
    </w:p>
    <w:p w14:paraId="347FCE9B">
      <w:pPr>
        <w:pStyle w:val="43"/>
        <w:spacing w:line="480" w:lineRule="exact"/>
        <w:rPr>
          <w:rFonts w:hAnsi="宋体"/>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十一、违约责任</w:t>
      </w:r>
    </w:p>
    <w:p w14:paraId="28D5B094">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1.甲方未按本合同约定支付</w:t>
      </w:r>
      <w:r>
        <w:rPr>
          <w:rFonts w:hAnsi="宋体"/>
          <w:color w:val="000000" w:themeColor="text1"/>
          <w:sz w:val="21"/>
          <w:szCs w:val="21"/>
          <w:highlight w:val="none"/>
          <w14:textFill>
            <w14:solidFill>
              <w14:schemeClr w14:val="tx1"/>
            </w14:solidFill>
          </w14:textFill>
        </w:rPr>
        <w:t>合同</w:t>
      </w:r>
      <w:r>
        <w:rPr>
          <w:rFonts w:hint="eastAsia" w:hAnsi="宋体"/>
          <w:color w:val="000000" w:themeColor="text1"/>
          <w:sz w:val="21"/>
          <w:szCs w:val="21"/>
          <w:highlight w:val="none"/>
          <w14:textFill>
            <w14:solidFill>
              <w14:schemeClr w14:val="tx1"/>
            </w14:solidFill>
          </w14:textFill>
        </w:rPr>
        <w:t>服务费的，每逾期1日，以应付未付款项为基数，按照全国银行间同业拆借中心授权公布的1年期市场贷款率支付违约金给乙方。</w:t>
      </w:r>
    </w:p>
    <w:p w14:paraId="303F57C9">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2.乙方违反本合同第六条、第七条任一情形的，乙方按本合同第十条约定承担违约责任。</w:t>
      </w:r>
    </w:p>
    <w:p w14:paraId="13BD75E0">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3.乙方违反本合同第八条第4—14项中任何一项约定的，乙方须按元/次向甲方支付违约金，且乙方须在甲方限定期限内完成整改；本合同履行期限内累计次（含）的，甲方有权解除合同，有权没收乙方缴纳的履约保证金，乙方须按合同服务总价的10%支付违约金给甲方，违约金不足以赔偿甲方损失的，乙方继续承担赔偿责任。</w:t>
      </w:r>
    </w:p>
    <w:p w14:paraId="2368274B">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4.乙方违反本合同第九条约定的，甲方有权解除合同，没收乙方缴纳的履约保证金，乙方须按合同服务总价的20%支付违约金给甲方，违约金不足以赔偿甲方损失的，乙方继续承担赔偿责任。</w:t>
      </w:r>
    </w:p>
    <w:p w14:paraId="50945F9F">
      <w:pPr>
        <w:pStyle w:val="43"/>
        <w:spacing w:line="480" w:lineRule="exact"/>
        <w:rPr>
          <w:rFonts w:hAnsi="宋体"/>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十二、合同的解除</w:t>
      </w:r>
    </w:p>
    <w:p w14:paraId="054611D0">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1.甲方需解除本合同的，甲方应提前30天通知乙方，自第31日起本合同解除，甲方须按乙方实际履行期限结合甲方考核结果支付合同服务费给乙方，退还乙方履约保证金，另甲方须按支付违约金给乙方。</w:t>
      </w:r>
    </w:p>
    <w:p w14:paraId="2EF403A2">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2.本合同期限届满，且在履约期间乙方没有发生任何违约行为的，但乙方不履行下一年度服务的，经甲方同意后可解除合同，但履约保证金予以没收；同时根据乙方合同履约情况，甲方酌情考虑乙方需承担的违约保证金。</w:t>
      </w:r>
    </w:p>
    <w:p w14:paraId="251E0291">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3.在本合同履行期内，乙方考核不合格，甲方有权不与乙方签订下一年度合同，并没收乙方履约保证金，履约保证金不足以赔偿甲方损失的，继续承担赔偿责任。</w:t>
      </w:r>
    </w:p>
    <w:p w14:paraId="2FE72CCD">
      <w:pPr>
        <w:pStyle w:val="43"/>
        <w:spacing w:line="480" w:lineRule="exact"/>
        <w:ind w:firstLine="420" w:firstLineChars="200"/>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4.本合同履行内，发生归责于甲方属地的较大及以上生产安全责任事故，或者较大及以上消防安全事故的，或者合同期内乙方存在自身、控股公司、关联公司等在甲方辖区为工业企业或其他市场经营主体提供第三方服务的，甲方有权解除合同，并没收乙方履约保证金，且乙方须合同服务总价的20%支付违约金，违约金不足以赔偿甲方损失的，继续承担赔偿责任。</w:t>
      </w:r>
    </w:p>
    <w:p w14:paraId="4352DFF0">
      <w:pPr>
        <w:pStyle w:val="43"/>
        <w:spacing w:line="480" w:lineRule="exact"/>
        <w:ind w:firstLine="420" w:firstLineChars="200"/>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5.乙方存在本合同第十条中合计扣除40分情形的，甲方有权随时解除合同，没收中标人履约保证金，且乙方须按合同服务总价的20%支付违约金给甲方，违约金不足以赔偿甲方损失的，继续承担赔偿责任。</w:t>
      </w:r>
    </w:p>
    <w:p w14:paraId="7948EE77">
      <w:pPr>
        <w:pStyle w:val="43"/>
        <w:spacing w:line="480" w:lineRule="exact"/>
        <w:rPr>
          <w:rFonts w:hAnsi="宋体"/>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十三、</w:t>
      </w:r>
      <w:r>
        <w:rPr>
          <w:rFonts w:hAnsi="宋体"/>
          <w:b/>
          <w:bCs/>
          <w:color w:val="000000" w:themeColor="text1"/>
          <w:sz w:val="21"/>
          <w:szCs w:val="21"/>
          <w:highlight w:val="none"/>
          <w14:textFill>
            <w14:solidFill>
              <w14:schemeClr w14:val="tx1"/>
            </w14:solidFill>
          </w14:textFill>
        </w:rPr>
        <w:t>不可抗力事件处理</w:t>
      </w:r>
    </w:p>
    <w:p w14:paraId="269F1ADF">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1.</w:t>
      </w:r>
      <w:r>
        <w:rPr>
          <w:rFonts w:hAnsi="宋体"/>
          <w:color w:val="000000" w:themeColor="text1"/>
          <w:sz w:val="21"/>
          <w:szCs w:val="21"/>
          <w:highlight w:val="none"/>
          <w14:textFill>
            <w14:solidFill>
              <w14:schemeClr w14:val="tx1"/>
            </w14:solidFill>
          </w14:textFill>
        </w:rPr>
        <w:t>在合同有效期内，任何一方因不可抗力事件导致不能履行合同，则合同履行期可延长，其延长期与不可抗力影响期相同。</w:t>
      </w:r>
    </w:p>
    <w:p w14:paraId="1E151DBF">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2.</w:t>
      </w:r>
      <w:r>
        <w:rPr>
          <w:rFonts w:hAnsi="宋体"/>
          <w:color w:val="000000" w:themeColor="text1"/>
          <w:sz w:val="21"/>
          <w:szCs w:val="21"/>
          <w:highlight w:val="none"/>
          <w14:textFill>
            <w14:solidFill>
              <w14:schemeClr w14:val="tx1"/>
            </w14:solidFill>
          </w14:textFill>
        </w:rPr>
        <w:t>不可抗力事件发生后，应立即通知对方，并寄送有关权威机构出具的证明。</w:t>
      </w:r>
    </w:p>
    <w:p w14:paraId="5C028344">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3.</w:t>
      </w:r>
      <w:r>
        <w:rPr>
          <w:rFonts w:hAnsi="宋体"/>
          <w:color w:val="000000" w:themeColor="text1"/>
          <w:sz w:val="21"/>
          <w:szCs w:val="21"/>
          <w:highlight w:val="none"/>
          <w14:textFill>
            <w14:solidFill>
              <w14:schemeClr w14:val="tx1"/>
            </w14:solidFill>
          </w14:textFill>
        </w:rPr>
        <w:t>不可抗力事件延续120天以上，双方应通过友好协商，确定是否继续履行合同。</w:t>
      </w:r>
    </w:p>
    <w:p w14:paraId="0654C8D5">
      <w:pPr>
        <w:pStyle w:val="43"/>
        <w:spacing w:line="480" w:lineRule="exact"/>
        <w:rPr>
          <w:rFonts w:hAnsi="宋体"/>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十四、争议的解决</w:t>
      </w:r>
    </w:p>
    <w:p w14:paraId="0AB3E679">
      <w:pPr>
        <w:pStyle w:val="43"/>
        <w:spacing w:line="480" w:lineRule="exact"/>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 xml:space="preserve">     本合同履行过程中发生争议的，甲乙双方可协商解决，任何一方也可直接向宁海县人民法院提起诉讼。</w:t>
      </w:r>
    </w:p>
    <w:p w14:paraId="7E2C8C5C">
      <w:pPr>
        <w:pStyle w:val="43"/>
        <w:spacing w:line="480" w:lineRule="exact"/>
        <w:rPr>
          <w:rFonts w:hAnsi="宋体"/>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十五、其他约定</w:t>
      </w:r>
    </w:p>
    <w:p w14:paraId="727DCD2A">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1.乙方因违约合同被解除的，5年内不得再次参与本辖区内安全生产社会化服务采购项目。</w:t>
      </w:r>
    </w:p>
    <w:p w14:paraId="46D1DA0A">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2.本合同经双方法定代表人或授权委托代理人签名盖章，以及甲方收到乙方按约交纳的足额履约保证金后生效。</w:t>
      </w:r>
    </w:p>
    <w:p w14:paraId="0DB92462">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3.本合同执行中涉及采购资金和采购内容修改或补充的，须经相关部门审批，并签订书面补充协议报相关监督管理部门备案，方可作为主合同不可分割的一部分。</w:t>
      </w:r>
    </w:p>
    <w:p w14:paraId="3E8643A0">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4.本合同未尽事宜，遵照《中华人民共和国民法典》有关条文执行。</w:t>
      </w:r>
    </w:p>
    <w:p w14:paraId="7617BF5F">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5.本合同一式五份，甲乙双方各执二份，留一份备案。</w:t>
      </w:r>
    </w:p>
    <w:p w14:paraId="342B56FC">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6. 通知与送达：</w:t>
      </w:r>
    </w:p>
    <w:p w14:paraId="7B76F10A">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甲方指定联系人，联系电话，邮箱，送达地址；</w:t>
      </w:r>
    </w:p>
    <w:p w14:paraId="62092143">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乙方指定联系人，联系电话，邮箱，送达地址。</w:t>
      </w:r>
    </w:p>
    <w:p w14:paraId="1EB42A4A">
      <w:pPr>
        <w:pStyle w:val="43"/>
        <w:spacing w:line="48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任何一方发出通知、指示、要求、决定等，或人民法院、仲裁机关寄送法律文书的，送到上述地址、指定联系人的电话（短信）、微信、钉钉、邮箱等均即为送达。任何一方变更其送达地址的，应提前3个工作日书面通知对方，变更通知送达前按原地址送达的视为送达。</w:t>
      </w:r>
    </w:p>
    <w:p w14:paraId="679DC2C1">
      <w:pPr>
        <w:pStyle w:val="43"/>
        <w:spacing w:line="480" w:lineRule="exact"/>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（以下无正文）</w:t>
      </w:r>
    </w:p>
    <w:p w14:paraId="29D86C7D">
      <w:pPr>
        <w:pStyle w:val="43"/>
        <w:spacing w:line="480" w:lineRule="exact"/>
        <w:rPr>
          <w:rFonts w:hAnsi="宋体"/>
          <w:color w:val="000000" w:themeColor="text1"/>
          <w:sz w:val="21"/>
          <w:szCs w:val="21"/>
          <w:highlight w:val="none"/>
          <w14:textFill>
            <w14:solidFill>
              <w14:schemeClr w14:val="tx1"/>
            </w14:solidFill>
          </w14:textFill>
        </w:rPr>
      </w:pPr>
    </w:p>
    <w:p w14:paraId="033A47F4">
      <w:pPr>
        <w:pStyle w:val="43"/>
        <w:spacing w:line="480" w:lineRule="exact"/>
        <w:rPr>
          <w:rFonts w:hAnsi="宋体"/>
          <w:color w:val="000000" w:themeColor="text1"/>
          <w:sz w:val="21"/>
          <w:szCs w:val="21"/>
          <w:highlight w:val="none"/>
          <w14:textFill>
            <w14:solidFill>
              <w14:schemeClr w14:val="tx1"/>
            </w14:solidFill>
          </w14:textFill>
        </w:rPr>
      </w:pPr>
    </w:p>
    <w:p w14:paraId="1BF5EA64">
      <w:pPr>
        <w:pStyle w:val="43"/>
        <w:spacing w:line="480" w:lineRule="exact"/>
        <w:rPr>
          <w:rFonts w:hAnsi="宋体"/>
          <w:color w:val="000000" w:themeColor="text1"/>
          <w:sz w:val="21"/>
          <w:szCs w:val="21"/>
          <w:highlight w:val="none"/>
          <w14:textFill>
            <w14:solidFill>
              <w14:schemeClr w14:val="tx1"/>
            </w14:solidFill>
          </w14:textFill>
        </w:rPr>
      </w:pPr>
    </w:p>
    <w:p w14:paraId="5F5E3837">
      <w:pPr>
        <w:pStyle w:val="43"/>
        <w:spacing w:line="480" w:lineRule="exact"/>
        <w:rPr>
          <w:rFonts w:hAnsi="宋体"/>
          <w:color w:val="000000" w:themeColor="text1"/>
          <w:sz w:val="21"/>
          <w:szCs w:val="21"/>
          <w:highlight w:val="none"/>
          <w14:textFill>
            <w14:solidFill>
              <w14:schemeClr w14:val="tx1"/>
            </w14:solidFill>
          </w14:textFill>
        </w:rPr>
      </w:pPr>
    </w:p>
    <w:p w14:paraId="577766A7">
      <w:pPr>
        <w:pStyle w:val="43"/>
        <w:spacing w:line="480" w:lineRule="exact"/>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 xml:space="preserve">甲方（盖章）：                           </w:t>
      </w:r>
    </w:p>
    <w:p w14:paraId="45DB0B75">
      <w:pPr>
        <w:pStyle w:val="43"/>
        <w:spacing w:line="480" w:lineRule="exact"/>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 xml:space="preserve">法定代表人/授权代表（签名）：           </w:t>
      </w:r>
    </w:p>
    <w:p w14:paraId="72A3236D">
      <w:pPr>
        <w:pStyle w:val="43"/>
        <w:spacing w:line="480" w:lineRule="exact"/>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 xml:space="preserve">签订日期：     年   月   日     </w:t>
      </w:r>
    </w:p>
    <w:p w14:paraId="36111B6C">
      <w:pPr>
        <w:pStyle w:val="43"/>
        <w:spacing w:line="480" w:lineRule="exact"/>
        <w:rPr>
          <w:rFonts w:hAnsi="宋体"/>
          <w:color w:val="000000" w:themeColor="text1"/>
          <w:sz w:val="21"/>
          <w:szCs w:val="21"/>
          <w:highlight w:val="none"/>
          <w14:textFill>
            <w14:solidFill>
              <w14:schemeClr w14:val="tx1"/>
            </w14:solidFill>
          </w14:textFill>
        </w:rPr>
      </w:pPr>
    </w:p>
    <w:p w14:paraId="4F38AFFB">
      <w:pPr>
        <w:pStyle w:val="43"/>
        <w:spacing w:line="480" w:lineRule="exact"/>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 xml:space="preserve">乙方（盖章）：                           </w:t>
      </w:r>
    </w:p>
    <w:p w14:paraId="5D76BDCB">
      <w:pPr>
        <w:pStyle w:val="43"/>
        <w:spacing w:line="480" w:lineRule="exact"/>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 xml:space="preserve">法定代表人/授权代表（签名）：           </w:t>
      </w:r>
    </w:p>
    <w:p w14:paraId="3D35C5A9">
      <w:pPr>
        <w:pStyle w:val="43"/>
        <w:spacing w:line="480" w:lineRule="exact"/>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 xml:space="preserve">签订日期：     年   月   日     </w:t>
      </w:r>
    </w:p>
    <w:p w14:paraId="649FE23F">
      <w:pPr>
        <w:pStyle w:val="43"/>
        <w:spacing w:line="480" w:lineRule="exact"/>
        <w:rPr>
          <w:rFonts w:hAnsi="宋体"/>
          <w:color w:val="000000" w:themeColor="text1"/>
          <w:sz w:val="21"/>
          <w:szCs w:val="21"/>
          <w:highlight w:val="none"/>
          <w14:textFill>
            <w14:solidFill>
              <w14:schemeClr w14:val="tx1"/>
            </w14:solidFill>
          </w14:textFill>
        </w:rPr>
      </w:pPr>
    </w:p>
    <w:p w14:paraId="206AB66D">
      <w:pPr>
        <w:pStyle w:val="43"/>
        <w:spacing w:line="480" w:lineRule="exact"/>
        <w:rPr>
          <w:rFonts w:hAnsi="宋体"/>
          <w:color w:val="000000" w:themeColor="text1"/>
          <w:sz w:val="21"/>
          <w:szCs w:val="21"/>
          <w:highlight w:val="none"/>
          <w14:textFill>
            <w14:solidFill>
              <w14:schemeClr w14:val="tx1"/>
            </w14:solidFill>
          </w14:textFill>
        </w:rPr>
      </w:pPr>
    </w:p>
    <w:p w14:paraId="60388B13">
      <w:pPr>
        <w:pStyle w:val="16"/>
        <w:spacing w:line="360" w:lineRule="auto"/>
        <w:ind w:firstLine="0"/>
        <w:jc w:val="right"/>
        <w:rPr>
          <w:rFonts w:ascii="宋体" w:hAnsi="宋体" w:cs="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lang w:val="en-US" w:eastAsia="zh-CN"/>
          <w14:textFill>
            <w14:solidFill>
              <w14:schemeClr w14:val="tx1"/>
            </w14:solidFill>
          </w14:textFill>
        </w:rPr>
        <w:t xml:space="preserve"> </w:t>
      </w:r>
      <w:r>
        <w:rPr>
          <w:rFonts w:hint="eastAsia" w:hAnsi="宋体"/>
          <w:color w:val="000000" w:themeColor="text1"/>
          <w:sz w:val="21"/>
          <w:szCs w:val="21"/>
          <w:highlight w:val="none"/>
          <w14:textFill>
            <w14:solidFill>
              <w14:schemeClr w14:val="tx1"/>
            </w14:solidFill>
          </w14:textFill>
        </w:rPr>
        <w:t>日期:     年   月   日</w:t>
      </w:r>
      <w:r>
        <w:rPr>
          <w:rFonts w:ascii="宋体" w:hAnsi="宋体" w:cs="宋体"/>
          <w:color w:val="000000" w:themeColor="text1"/>
          <w:sz w:val="21"/>
          <w:szCs w:val="21"/>
          <w:highlight w:val="none"/>
          <w14:textFill>
            <w14:solidFill>
              <w14:schemeClr w14:val="tx1"/>
            </w14:solidFill>
          </w14:textFill>
        </w:rPr>
        <w:cr/>
      </w:r>
    </w:p>
    <w:p w14:paraId="08D89A00">
      <w:pPr>
        <w:pStyle w:val="16"/>
        <w:spacing w:line="360" w:lineRule="auto"/>
        <w:ind w:firstLine="0"/>
        <w:rPr>
          <w:rFonts w:ascii="宋体" w:hAnsi="宋体" w:cs="宋体"/>
          <w:color w:val="000000" w:themeColor="text1"/>
          <w:sz w:val="21"/>
          <w:szCs w:val="21"/>
          <w:highlight w:val="none"/>
          <w14:textFill>
            <w14:solidFill>
              <w14:schemeClr w14:val="tx1"/>
            </w14:solidFill>
          </w14:textFill>
        </w:rPr>
        <w:sectPr>
          <w:headerReference r:id="rId15" w:type="default"/>
          <w:pgSz w:w="11907" w:h="16840"/>
          <w:pgMar w:top="1418" w:right="1701" w:bottom="1418" w:left="1701" w:header="720" w:footer="720" w:gutter="0"/>
          <w:cols w:space="720" w:num="1"/>
          <w:docGrid w:type="lines" w:linePitch="285" w:charSpace="0"/>
        </w:sectPr>
      </w:pPr>
    </w:p>
    <w:p w14:paraId="0723D3F1">
      <w:pPr>
        <w:widowControl/>
        <w:jc w:val="left"/>
        <w:rPr>
          <w:rFonts w:ascii="宋体" w:hAnsi="宋体"/>
          <w:color w:val="000000" w:themeColor="text1"/>
          <w:szCs w:val="21"/>
          <w:highlight w:val="none"/>
          <w14:textFill>
            <w14:solidFill>
              <w14:schemeClr w14:val="tx1"/>
            </w14:solidFill>
          </w14:textFill>
        </w:rPr>
      </w:pPr>
    </w:p>
    <w:p w14:paraId="42AEC886">
      <w:pPr>
        <w:widowControl/>
        <w:jc w:val="left"/>
        <w:rPr>
          <w:rFonts w:ascii="宋体" w:hAnsi="宋体"/>
          <w:color w:val="000000" w:themeColor="text1"/>
          <w:szCs w:val="21"/>
          <w:highlight w:val="none"/>
          <w14:textFill>
            <w14:solidFill>
              <w14:schemeClr w14:val="tx1"/>
            </w14:solidFill>
          </w14:textFill>
        </w:rPr>
      </w:pPr>
    </w:p>
    <w:bookmarkEnd w:id="131"/>
    <w:p w14:paraId="28DC7BA8">
      <w:pPr>
        <w:pStyle w:val="2"/>
        <w:spacing w:beforeLines="0" w:afterLines="0" w:line="360" w:lineRule="auto"/>
        <w:rPr>
          <w:rFonts w:ascii="宋体" w:hAnsi="宋体"/>
          <w:color w:val="000000" w:themeColor="text1"/>
          <w:sz w:val="32"/>
          <w:szCs w:val="32"/>
          <w:highlight w:val="none"/>
          <w14:textFill>
            <w14:solidFill>
              <w14:schemeClr w14:val="tx1"/>
            </w14:solidFill>
          </w14:textFill>
        </w:rPr>
      </w:pPr>
      <w:bookmarkStart w:id="132" w:name="_Toc316649303"/>
      <w:bookmarkStart w:id="133" w:name="_Toc12950"/>
      <w:r>
        <w:rPr>
          <w:rFonts w:hint="eastAsia" w:ascii="宋体" w:hAnsi="宋体"/>
          <w:color w:val="000000" w:themeColor="text1"/>
          <w:sz w:val="32"/>
          <w:szCs w:val="32"/>
          <w:highlight w:val="none"/>
          <w14:textFill>
            <w14:solidFill>
              <w14:schemeClr w14:val="tx1"/>
            </w14:solidFill>
          </w14:textFill>
        </w:rPr>
        <w:t>第七部分 投标文件格式</w:t>
      </w:r>
      <w:bookmarkEnd w:id="132"/>
      <w:bookmarkEnd w:id="133"/>
    </w:p>
    <w:p w14:paraId="6037384D">
      <w:pPr>
        <w:jc w:val="center"/>
        <w:rPr>
          <w:rFonts w:ascii="宋体" w:hAnsi="宋体" w:cs="宋体"/>
          <w:b/>
          <w:color w:val="000000" w:themeColor="text1"/>
          <w:sz w:val="36"/>
          <w:szCs w:val="36"/>
          <w:highlight w:val="none"/>
          <w:u w:val="single"/>
          <w14:textFill>
            <w14:solidFill>
              <w14:schemeClr w14:val="tx1"/>
            </w14:solidFill>
          </w14:textFill>
        </w:rPr>
      </w:pPr>
    </w:p>
    <w:p w14:paraId="596C4ED7">
      <w:pPr>
        <w:jc w:val="center"/>
        <w:rPr>
          <w:rFonts w:ascii="宋体" w:hAnsi="宋体" w:cs="宋体"/>
          <w:b/>
          <w:color w:val="000000" w:themeColor="text1"/>
          <w:sz w:val="36"/>
          <w:szCs w:val="36"/>
          <w:highlight w:val="none"/>
          <w:u w:val="single"/>
          <w14:textFill>
            <w14:solidFill>
              <w14:schemeClr w14:val="tx1"/>
            </w14:solidFill>
          </w14:textFill>
        </w:rPr>
      </w:pPr>
    </w:p>
    <w:p w14:paraId="21165534">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 xml:space="preserve">1、投标文件的外包装封面 </w:t>
      </w:r>
    </w:p>
    <w:p w14:paraId="5C1B7E23">
      <w:pPr>
        <w:widowControl/>
        <w:spacing w:before="240" w:beforeLines="100" w:line="360" w:lineRule="auto"/>
        <w:jc w:val="center"/>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电子备份投标文件</w:t>
      </w:r>
    </w:p>
    <w:p w14:paraId="3A000D59">
      <w:pPr>
        <w:widowControl/>
        <w:spacing w:line="360" w:lineRule="auto"/>
        <w:jc w:val="left"/>
        <w:rPr>
          <w:rFonts w:cs="宋体" w:asciiTheme="minorEastAsia" w:hAnsiTheme="minorEastAsia" w:eastAsiaTheme="minorEastAsia"/>
          <w:color w:val="000000" w:themeColor="text1"/>
          <w:kern w:val="0"/>
          <w:szCs w:val="21"/>
          <w:highlight w:val="none"/>
          <w14:textFill>
            <w14:solidFill>
              <w14:schemeClr w14:val="tx1"/>
            </w14:solidFill>
          </w14:textFill>
        </w:rPr>
      </w:pPr>
    </w:p>
    <w:p w14:paraId="3BA02F56">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项目编号： </w:t>
      </w:r>
    </w:p>
    <w:p w14:paraId="4E780352">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项目名称： </w:t>
      </w:r>
    </w:p>
    <w:p w14:paraId="41D85197">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投标人名称（加盖公章）： </w:t>
      </w:r>
    </w:p>
    <w:p w14:paraId="4BA2F9C6">
      <w:pPr>
        <w:widowControl/>
        <w:spacing w:line="360" w:lineRule="auto"/>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投标人地址： </w:t>
      </w:r>
    </w:p>
    <w:p w14:paraId="354129A7">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p>
    <w:p w14:paraId="441D2805">
      <w:pPr>
        <w:widowControl/>
        <w:spacing w:line="360" w:lineRule="auto"/>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年 月 日 </w:t>
      </w:r>
    </w:p>
    <w:p w14:paraId="450B426F">
      <w:pPr>
        <w:widowControl/>
        <w:spacing w:line="360" w:lineRule="auto"/>
        <w:jc w:val="left"/>
        <w:rPr>
          <w:rFonts w:cs="宋体" w:asciiTheme="minorEastAsia" w:hAnsiTheme="minorEastAsia" w:eastAsiaTheme="minorEastAsia"/>
          <w:color w:val="000000" w:themeColor="text1"/>
          <w:kern w:val="0"/>
          <w:szCs w:val="21"/>
          <w:highlight w:val="none"/>
          <w14:textFill>
            <w14:solidFill>
              <w14:schemeClr w14:val="tx1"/>
            </w14:solidFill>
          </w14:textFill>
        </w:rPr>
      </w:pPr>
    </w:p>
    <w:p w14:paraId="685191DB">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p>
    <w:p w14:paraId="2AFEF2DC">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 xml:space="preserve">2、投标文件封面格式 </w:t>
      </w:r>
    </w:p>
    <w:p w14:paraId="51B1FE3A">
      <w:pPr>
        <w:widowControl/>
        <w:spacing w:before="240" w:beforeLines="100" w:line="360" w:lineRule="auto"/>
        <w:jc w:val="center"/>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资格文件/商务技术文件/报价文件</w:t>
      </w:r>
    </w:p>
    <w:p w14:paraId="01EACB7B">
      <w:pPr>
        <w:widowControl/>
        <w:spacing w:line="360" w:lineRule="auto"/>
        <w:jc w:val="left"/>
        <w:rPr>
          <w:rFonts w:cs="宋体" w:asciiTheme="minorEastAsia" w:hAnsiTheme="minorEastAsia" w:eastAsiaTheme="minorEastAsia"/>
          <w:color w:val="000000" w:themeColor="text1"/>
          <w:kern w:val="0"/>
          <w:szCs w:val="21"/>
          <w:highlight w:val="none"/>
          <w14:textFill>
            <w14:solidFill>
              <w14:schemeClr w14:val="tx1"/>
            </w14:solidFill>
          </w14:textFill>
        </w:rPr>
      </w:pPr>
    </w:p>
    <w:p w14:paraId="6C007493">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项目编号： </w:t>
      </w:r>
    </w:p>
    <w:p w14:paraId="6B3774EC">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项目名称： </w:t>
      </w:r>
    </w:p>
    <w:p w14:paraId="7EB28A72">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投标人名称（加盖公章）： </w:t>
      </w:r>
    </w:p>
    <w:p w14:paraId="7603BE0C">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投标人地址： </w:t>
      </w:r>
    </w:p>
    <w:p w14:paraId="599488D7">
      <w:pPr>
        <w:widowControl/>
        <w:spacing w:line="360" w:lineRule="auto"/>
        <w:jc w:val="left"/>
        <w:rPr>
          <w:rFonts w:cs="宋体" w:asciiTheme="minorEastAsia" w:hAnsiTheme="minorEastAsia" w:eastAsiaTheme="minorEastAsia"/>
          <w:color w:val="000000" w:themeColor="text1"/>
          <w:kern w:val="0"/>
          <w:szCs w:val="21"/>
          <w:highlight w:val="none"/>
          <w14:textFill>
            <w14:solidFill>
              <w14:schemeClr w14:val="tx1"/>
            </w14:solidFill>
          </w14:textFill>
        </w:rPr>
      </w:pPr>
    </w:p>
    <w:p w14:paraId="2A4F68E8">
      <w:pPr>
        <w:spacing w:line="400" w:lineRule="exact"/>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年 月 日</w:t>
      </w:r>
      <w:r>
        <w:rPr>
          <w:rFonts w:asciiTheme="minorEastAsia" w:hAnsiTheme="minorEastAsia" w:eastAsiaTheme="minorEastAsia"/>
          <w:bCs/>
          <w:color w:val="000000" w:themeColor="text1"/>
          <w:sz w:val="24"/>
          <w:szCs w:val="24"/>
          <w:highlight w:val="none"/>
          <w14:textFill>
            <w14:solidFill>
              <w14:schemeClr w14:val="tx1"/>
            </w14:solidFill>
          </w14:textFill>
        </w:rPr>
        <w:br w:type="page"/>
      </w:r>
    </w:p>
    <w:p w14:paraId="0977E4EE">
      <w:pPr>
        <w:adjustRightInd w:val="0"/>
        <w:snapToGrid w:val="0"/>
        <w:jc w:val="center"/>
        <w:rPr>
          <w:rFonts w:asciiTheme="minorEastAsia" w:hAnsiTheme="minorEastAsia" w:eastAsiaTheme="minorEastAsia"/>
          <w:b/>
          <w:color w:val="000000" w:themeColor="text1"/>
          <w:sz w:val="24"/>
          <w:highlight w:val="none"/>
          <w14:textFill>
            <w14:solidFill>
              <w14:schemeClr w14:val="tx1"/>
            </w14:solidFill>
          </w14:textFill>
        </w:rPr>
      </w:pPr>
    </w:p>
    <w:p w14:paraId="4DC5E034">
      <w:pPr>
        <w:adjustRightInd w:val="0"/>
        <w:snapToGrid w:val="0"/>
        <w:jc w:val="center"/>
        <w:rPr>
          <w:rFonts w:asciiTheme="minorEastAsia" w:hAnsiTheme="minorEastAsia" w:eastAsiaTheme="minorEastAsia"/>
          <w:b/>
          <w:color w:val="000000" w:themeColor="text1"/>
          <w:sz w:val="24"/>
          <w:highlight w:val="none"/>
          <w14:textFill>
            <w14:solidFill>
              <w14:schemeClr w14:val="tx1"/>
            </w14:solidFill>
          </w14:textFill>
        </w:rPr>
      </w:pPr>
    </w:p>
    <w:p w14:paraId="4A6B0616">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资格文件组成：</w:t>
      </w:r>
    </w:p>
    <w:p w14:paraId="7F96620E">
      <w:pPr>
        <w:widowControl/>
        <w:spacing w:line="360" w:lineRule="auto"/>
        <w:ind w:firstLine="420" w:firstLineChars="200"/>
        <w:jc w:val="lef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（1）符合参加政府采购活动应当具备的一般条件的承诺函；</w:t>
      </w:r>
    </w:p>
    <w:p w14:paraId="3BB225B7">
      <w:pPr>
        <w:widowControl/>
        <w:spacing w:line="360" w:lineRule="auto"/>
        <w:ind w:firstLine="420" w:firstLineChars="200"/>
        <w:jc w:val="lef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（2）有效的企业法人营业执照（或事业法人登记证）、其他组织（个体工商户的营业执照或者民办非企业单位登记证书复印件。投标人如果有名称变更的，应提供由行政主管部门出具的变更证明文件；</w:t>
      </w:r>
    </w:p>
    <w:p w14:paraId="2ED44165">
      <w:pPr>
        <w:widowControl/>
        <w:spacing w:line="360" w:lineRule="auto"/>
        <w:ind w:firstLine="420" w:firstLineChars="200"/>
        <w:jc w:val="lef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（3）落实政府采购政策需满足的资格要求；</w:t>
      </w:r>
    </w:p>
    <w:p w14:paraId="3ADEFF59">
      <w:pPr>
        <w:widowControl/>
        <w:spacing w:line="360" w:lineRule="auto"/>
        <w:ind w:firstLine="420" w:firstLineChars="200"/>
        <w:jc w:val="lef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（4）投标人的特定条件的证明文件（如有）。</w:t>
      </w:r>
    </w:p>
    <w:p w14:paraId="1D2AFE9E">
      <w:pPr>
        <w:widowControl/>
        <w:jc w:val="left"/>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br w:type="page"/>
      </w:r>
    </w:p>
    <w:p w14:paraId="0CF75809">
      <w:pPr>
        <w:snapToGrid w:val="0"/>
        <w:spacing w:line="360" w:lineRule="auto"/>
        <w:ind w:firstLine="424" w:firstLineChars="202"/>
        <w:rPr>
          <w:rFonts w:asciiTheme="minorEastAsia" w:hAnsiTheme="minorEastAsia" w:eastAsiaTheme="minorEastAsia"/>
          <w:color w:val="000000" w:themeColor="text1"/>
          <w:szCs w:val="21"/>
          <w:highlight w:val="none"/>
          <w14:textFill>
            <w14:solidFill>
              <w14:schemeClr w14:val="tx1"/>
            </w14:solidFill>
          </w14:textFill>
        </w:rPr>
      </w:pPr>
    </w:p>
    <w:p w14:paraId="68C7FB24">
      <w:pPr>
        <w:pStyle w:val="4"/>
        <w:spacing w:line="380" w:lineRule="exact"/>
        <w:ind w:left="0" w:firstLine="0"/>
        <w:rPr>
          <w:rFonts w:cs="仿宋_GB2312" w:asciiTheme="minorEastAsia" w:hAnsiTheme="minorEastAsia" w:eastAsiaTheme="minorEastAsia"/>
          <w:color w:val="000000" w:themeColor="text1"/>
          <w:highlight w:val="none"/>
          <w14:textFill>
            <w14:solidFill>
              <w14:schemeClr w14:val="tx1"/>
            </w14:solidFill>
          </w14:textFill>
        </w:rPr>
      </w:pPr>
      <w:bookmarkStart w:id="134" w:name="_Toc136345114"/>
      <w:bookmarkStart w:id="135" w:name="_Toc15428"/>
      <w:bookmarkStart w:id="136" w:name="_Toc136017653"/>
      <w:r>
        <w:rPr>
          <w:rFonts w:hint="eastAsia" w:asciiTheme="minorEastAsia" w:hAnsiTheme="minorEastAsia" w:eastAsiaTheme="minorEastAsia"/>
          <w:color w:val="000000" w:themeColor="text1"/>
          <w:sz w:val="28"/>
          <w:szCs w:val="28"/>
          <w:highlight w:val="none"/>
          <w14:textFill>
            <w14:solidFill>
              <w14:schemeClr w14:val="tx1"/>
            </w14:solidFill>
          </w14:textFill>
        </w:rPr>
        <w:t>（一）</w:t>
      </w:r>
      <w:r>
        <w:rPr>
          <w:rFonts w:cs="仿宋_GB2312" w:asciiTheme="minorEastAsia" w:hAnsiTheme="minorEastAsia" w:eastAsiaTheme="minorEastAsia"/>
          <w:color w:val="000000" w:themeColor="text1"/>
          <w:highlight w:val="none"/>
          <w14:textFill>
            <w14:solidFill>
              <w14:schemeClr w14:val="tx1"/>
            </w14:solidFill>
          </w14:textFill>
        </w:rPr>
        <w:t xml:space="preserve"> 符合参加政府采购活动应当具备的一般条件的承诺函</w:t>
      </w:r>
      <w:bookmarkEnd w:id="134"/>
      <w:bookmarkEnd w:id="135"/>
      <w:bookmarkEnd w:id="136"/>
    </w:p>
    <w:p w14:paraId="6E1742B9">
      <w:pPr>
        <w:snapToGrid w:val="0"/>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60410A1D">
      <w:pPr>
        <w:snapToGrid w:val="0"/>
        <w:spacing w:line="360" w:lineRule="auto"/>
        <w:rPr>
          <w:rFonts w:cs="仿宋_GB2312"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i/>
          <w:iCs/>
          <w:color w:val="000000" w:themeColor="text1"/>
          <w:szCs w:val="21"/>
          <w:highlight w:val="none"/>
          <w:u w:val="single"/>
          <w14:textFill>
            <w14:solidFill>
              <w14:schemeClr w14:val="tx1"/>
            </w14:solidFill>
          </w14:textFill>
        </w:rPr>
        <w:t xml:space="preserve"> （采购人、采购代理机构） </w:t>
      </w:r>
      <w:r>
        <w:rPr>
          <w:rFonts w:hint="eastAsia" w:cs="仿宋_GB2312" w:asciiTheme="minorEastAsia" w:hAnsiTheme="minorEastAsia" w:eastAsiaTheme="minorEastAsia"/>
          <w:color w:val="000000" w:themeColor="text1"/>
          <w:szCs w:val="21"/>
          <w:highlight w:val="none"/>
          <w14:textFill>
            <w14:solidFill>
              <w14:schemeClr w14:val="tx1"/>
            </w14:solidFill>
          </w14:textFill>
        </w:rPr>
        <w:t>：</w:t>
      </w:r>
    </w:p>
    <w:p w14:paraId="620B7229">
      <w:pPr>
        <w:snapToGrid w:val="0"/>
        <w:spacing w:line="360" w:lineRule="auto"/>
        <w:ind w:firstLine="420" w:firstLineChars="200"/>
        <w:rPr>
          <w:rFonts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我方参与</w:t>
      </w:r>
      <w:r>
        <w:rPr>
          <w:rFonts w:hint="eastAsia" w:asciiTheme="minorEastAsia" w:hAnsiTheme="minorEastAsia" w:eastAsiaTheme="minorEastAsia"/>
          <w:color w:val="000000" w:themeColor="text1"/>
          <w:szCs w:val="21"/>
          <w:highlight w:val="none"/>
          <w14:textFill>
            <w14:solidFill>
              <w14:schemeClr w14:val="tx1"/>
            </w14:solidFill>
          </w14:textFill>
        </w:rPr>
        <w:t>项目</w:t>
      </w:r>
      <w:r>
        <w:rPr>
          <w:rFonts w:hint="eastAsia" w:cs="仿宋_GB2312" w:asciiTheme="minorEastAsia" w:hAnsiTheme="minorEastAsia" w:eastAsiaTheme="minorEastAsia"/>
          <w:color w:val="000000" w:themeColor="text1"/>
          <w:szCs w:val="21"/>
          <w:highlight w:val="none"/>
          <w14:textFill>
            <w14:solidFill>
              <w14:schemeClr w14:val="tx1"/>
            </w14:solidFill>
          </w14:textFill>
        </w:rPr>
        <w:t>【招标编号：】政府采购活动，郑重承诺：</w:t>
      </w:r>
    </w:p>
    <w:p w14:paraId="5E25A73D">
      <w:pPr>
        <w:snapToGrid w:val="0"/>
        <w:spacing w:line="360" w:lineRule="auto"/>
        <w:ind w:firstLine="315" w:firstLineChars="150"/>
        <w:rPr>
          <w:rFonts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（一）具备《中华人民共和国政府采购法》第二十二条第一款规定的条件：</w:t>
      </w:r>
    </w:p>
    <w:p w14:paraId="2A444F97">
      <w:pPr>
        <w:snapToGrid w:val="0"/>
        <w:spacing w:line="360" w:lineRule="auto"/>
        <w:ind w:firstLine="420" w:firstLineChars="200"/>
        <w:rPr>
          <w:rFonts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1、</w:t>
      </w:r>
      <w:r>
        <w:rPr>
          <w:rFonts w:cs="仿宋_GB2312" w:asciiTheme="minorEastAsia" w:hAnsiTheme="minorEastAsia" w:eastAsiaTheme="minorEastAsia"/>
          <w:color w:val="000000" w:themeColor="text1"/>
          <w:szCs w:val="21"/>
          <w:highlight w:val="none"/>
          <w14:textFill>
            <w14:solidFill>
              <w14:schemeClr w14:val="tx1"/>
            </w14:solidFill>
          </w14:textFill>
        </w:rPr>
        <w:t>具有独立承担民事责任的能力；</w:t>
      </w:r>
    </w:p>
    <w:p w14:paraId="4A3D393C">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w:t>
      </w:r>
      <w:r>
        <w:rPr>
          <w:rFonts w:asciiTheme="minorEastAsia" w:hAnsiTheme="minorEastAsia" w:eastAsiaTheme="minorEastAsia"/>
          <w:color w:val="000000" w:themeColor="text1"/>
          <w:szCs w:val="21"/>
          <w:highlight w:val="none"/>
          <w14:textFill>
            <w14:solidFill>
              <w14:schemeClr w14:val="tx1"/>
            </w14:solidFill>
          </w14:textFill>
        </w:rPr>
        <w:t xml:space="preserve">具有良好的商业信誉和健全的财务会计制度； </w:t>
      </w:r>
    </w:p>
    <w:p w14:paraId="03AA3BEE">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w:t>
      </w:r>
      <w:r>
        <w:rPr>
          <w:rFonts w:asciiTheme="minorEastAsia" w:hAnsiTheme="minorEastAsia" w:eastAsiaTheme="minorEastAsia"/>
          <w:color w:val="000000" w:themeColor="text1"/>
          <w:szCs w:val="21"/>
          <w:highlight w:val="none"/>
          <w14:textFill>
            <w14:solidFill>
              <w14:schemeClr w14:val="tx1"/>
            </w14:solidFill>
          </w14:textFill>
        </w:rPr>
        <w:t>具有履行合同所必需的设备和专业技术能力；</w:t>
      </w:r>
    </w:p>
    <w:p w14:paraId="4FD70D48">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w:t>
      </w:r>
      <w:r>
        <w:rPr>
          <w:rFonts w:asciiTheme="minorEastAsia" w:hAnsiTheme="minorEastAsia" w:eastAsiaTheme="minorEastAsia"/>
          <w:color w:val="000000" w:themeColor="text1"/>
          <w:szCs w:val="21"/>
          <w:highlight w:val="none"/>
          <w14:textFill>
            <w14:solidFill>
              <w14:schemeClr w14:val="tx1"/>
            </w14:solidFill>
          </w14:textFill>
        </w:rPr>
        <w:t>有依法缴纳税收和社会保障资金的良好记录；</w:t>
      </w:r>
    </w:p>
    <w:p w14:paraId="3D634C85">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5、</w:t>
      </w:r>
      <w:r>
        <w:rPr>
          <w:rFonts w:asciiTheme="minorEastAsia" w:hAnsiTheme="minorEastAsia" w:eastAsiaTheme="minorEastAsia"/>
          <w:color w:val="000000" w:themeColor="text1"/>
          <w:szCs w:val="21"/>
          <w:highlight w:val="none"/>
          <w14:textFill>
            <w14:solidFill>
              <w14:schemeClr w14:val="tx1"/>
            </w14:solidFill>
          </w14:textFill>
        </w:rPr>
        <w:t>参加政府采购活动前三年内，在经营活动中没有重大违法记录；</w:t>
      </w:r>
    </w:p>
    <w:p w14:paraId="4AE61C5D">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6、</w:t>
      </w:r>
      <w:r>
        <w:rPr>
          <w:rFonts w:asciiTheme="minorEastAsia" w:hAnsiTheme="minorEastAsia" w:eastAsiaTheme="minorEastAsia"/>
          <w:color w:val="000000" w:themeColor="text1"/>
          <w:szCs w:val="21"/>
          <w:highlight w:val="none"/>
          <w14:textFill>
            <w14:solidFill>
              <w14:schemeClr w14:val="tx1"/>
            </w14:solidFill>
          </w14:textFill>
        </w:rPr>
        <w:t>具有法律、行政法规规定的其他条件。</w:t>
      </w:r>
    </w:p>
    <w:p w14:paraId="598083A3">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（二）未被信用中国（</w:t>
      </w:r>
      <w:r>
        <w:rPr>
          <w:rFonts w:asciiTheme="minorEastAsia" w:hAnsiTheme="minorEastAsia" w:eastAsiaTheme="minorEastAsia"/>
          <w:color w:val="000000" w:themeColor="text1"/>
          <w:szCs w:val="21"/>
          <w:highlight w:val="none"/>
          <w14:textFill>
            <w14:solidFill>
              <w14:schemeClr w14:val="tx1"/>
            </w14:solidFill>
          </w14:textFill>
        </w:rPr>
        <w:t>www.creditchina.gov.cn)、中国政府采购网（www.ccgp.gov.cn）列入失信被执行人、重大税收违法案件当事人名单、政府采购严重违法失信行为记录名单。</w:t>
      </w:r>
    </w:p>
    <w:p w14:paraId="301A2B85">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（三）不存在以下情况：</w:t>
      </w:r>
    </w:p>
    <w:p w14:paraId="5F532CBA">
      <w:pPr>
        <w:snapToGrid w:val="0"/>
        <w:spacing w:line="360" w:lineRule="auto"/>
        <w:ind w:firstLine="420" w:firstLineChars="200"/>
        <w:rPr>
          <w:rFonts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1、</w:t>
      </w:r>
      <w:r>
        <w:rPr>
          <w:rFonts w:cs="仿宋_GB2312" w:asciiTheme="minorEastAsia" w:hAnsiTheme="minorEastAsia" w:eastAsiaTheme="minorEastAsia"/>
          <w:color w:val="000000" w:themeColor="text1"/>
          <w:szCs w:val="21"/>
          <w:highlight w:val="none"/>
          <w14:textFill>
            <w14:solidFill>
              <w14:schemeClr w14:val="tx1"/>
            </w14:solidFill>
          </w14:textFill>
        </w:rPr>
        <w:t>单位负责人为同一人或者存在直接控股、管理关系的不同供应商参加同一合同项下的政府采购活动的；</w:t>
      </w:r>
    </w:p>
    <w:p w14:paraId="71D15BE7">
      <w:pPr>
        <w:snapToGrid w:val="0"/>
        <w:spacing w:line="360" w:lineRule="auto"/>
        <w:ind w:firstLine="420" w:firstLineChars="200"/>
        <w:rPr>
          <w:rFonts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2、</w:t>
      </w:r>
      <w:r>
        <w:rPr>
          <w:rFonts w:cs="仿宋_GB2312" w:asciiTheme="minorEastAsia" w:hAnsiTheme="minorEastAsia" w:eastAsiaTheme="minorEastAsia"/>
          <w:color w:val="000000" w:themeColor="text1"/>
          <w:szCs w:val="21"/>
          <w:highlight w:val="none"/>
          <w14:textFill>
            <w14:solidFill>
              <w14:schemeClr w14:val="tx1"/>
            </w14:solidFill>
          </w14:textFill>
        </w:rPr>
        <w:t>为采购项目提供整体设计、规范编制或者项目管理、监理、检测等服务后再参加该采购项目的其他采购活动的</w:t>
      </w:r>
      <w:r>
        <w:rPr>
          <w:rFonts w:hint="eastAsia" w:cs="仿宋_GB2312" w:asciiTheme="minorEastAsia" w:hAnsiTheme="minorEastAsia" w:eastAsiaTheme="minorEastAsia"/>
          <w:color w:val="000000" w:themeColor="text1"/>
          <w:szCs w:val="21"/>
          <w:highlight w:val="none"/>
          <w14:textFill>
            <w14:solidFill>
              <w14:schemeClr w14:val="tx1"/>
            </w14:solidFill>
          </w14:textFill>
        </w:rPr>
        <w:t>；</w:t>
      </w:r>
    </w:p>
    <w:p w14:paraId="3C2524FA">
      <w:pPr>
        <w:snapToGrid w:val="0"/>
        <w:spacing w:line="360" w:lineRule="auto"/>
        <w:ind w:firstLine="420" w:firstLineChars="200"/>
        <w:rPr>
          <w:rFonts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3、为公益一类事业单位、使用事业编制且由财政拨款保障的群团组织。</w:t>
      </w:r>
    </w:p>
    <w:p w14:paraId="1C12D2BF">
      <w:pPr>
        <w:pStyle w:val="15"/>
        <w:rPr>
          <w:color w:val="000000" w:themeColor="text1"/>
          <w:sz w:val="21"/>
          <w:szCs w:val="21"/>
          <w:highlight w:val="none"/>
          <w14:textFill>
            <w14:solidFill>
              <w14:schemeClr w14:val="tx1"/>
            </w14:solidFill>
          </w14:textFill>
        </w:rPr>
      </w:pPr>
    </w:p>
    <w:p w14:paraId="1302FBA8">
      <w:pPr>
        <w:pStyle w:val="3"/>
        <w:jc w:val="both"/>
        <w:rPr>
          <w:rFonts w:cs="仿宋_GB2312" w:asciiTheme="minorEastAsia" w:hAnsiTheme="minorEastAsia" w:eastAsiaTheme="minorEastAsia"/>
          <w:color w:val="000000" w:themeColor="text1"/>
          <w:sz w:val="21"/>
          <w:szCs w:val="21"/>
          <w:highlight w:val="none"/>
          <w14:textFill>
            <w14:solidFill>
              <w14:schemeClr w14:val="tx1"/>
            </w14:solidFill>
          </w14:textFill>
        </w:rPr>
      </w:pPr>
    </w:p>
    <w:p w14:paraId="6CC776AA">
      <w:pPr>
        <w:rPr>
          <w:rFonts w:cs="仿宋_GB2312" w:asciiTheme="minorEastAsia" w:hAnsiTheme="minorEastAsia" w:eastAsiaTheme="minorEastAsia"/>
          <w:color w:val="000000" w:themeColor="text1"/>
          <w:szCs w:val="21"/>
          <w:highlight w:val="none"/>
          <w14:textFill>
            <w14:solidFill>
              <w14:schemeClr w14:val="tx1"/>
            </w14:solidFill>
          </w14:textFill>
        </w:rPr>
      </w:pPr>
    </w:p>
    <w:p w14:paraId="2254E24F">
      <w:pPr>
        <w:adjustRightInd w:val="0"/>
        <w:snapToGrid w:val="0"/>
        <w:spacing w:line="360" w:lineRule="auto"/>
        <w:ind w:left="425"/>
        <w:rPr>
          <w:rFonts w:asciiTheme="minorEastAsia" w:hAnsiTheme="minorEastAsia" w:eastAsiaTheme="minorEastAsia"/>
          <w:color w:val="000000" w:themeColor="text1"/>
          <w:spacing w:val="4"/>
          <w:szCs w:val="21"/>
          <w:highlight w:val="none"/>
          <w14:textFill>
            <w14:solidFill>
              <w14:schemeClr w14:val="tx1"/>
            </w14:solidFill>
          </w14:textFill>
        </w:rPr>
      </w:pPr>
    </w:p>
    <w:p w14:paraId="3C7135BD">
      <w:pPr>
        <w:spacing w:line="480" w:lineRule="auto"/>
        <w:ind w:right="420" w:firstLine="5040" w:firstLineChars="24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投标人（公章）：                               </w:t>
      </w:r>
    </w:p>
    <w:p w14:paraId="4BC665FF">
      <w:pPr>
        <w:spacing w:line="480" w:lineRule="auto"/>
        <w:ind w:right="420" w:firstLine="3990" w:firstLineChars="19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投标人代表（签字或印章）：     </w:t>
      </w:r>
    </w:p>
    <w:p w14:paraId="70DAB3D6">
      <w:pPr>
        <w:spacing w:line="480" w:lineRule="auto"/>
        <w:ind w:right="420" w:firstLine="3045" w:firstLineChars="145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                   年    月    日</w:t>
      </w:r>
    </w:p>
    <w:p w14:paraId="7FEC929D">
      <w:pPr>
        <w:pStyle w:val="16"/>
        <w:ind w:firstLine="0"/>
        <w:rPr>
          <w:rFonts w:asciiTheme="minorEastAsia" w:hAnsiTheme="minorEastAsia" w:eastAsiaTheme="minorEastAsia"/>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（若为联合体投标，联合体各方须单独提供并盖章）</w:t>
      </w:r>
    </w:p>
    <w:p w14:paraId="5DCDD1A9">
      <w:pPr>
        <w:pStyle w:val="16"/>
        <w:ind w:firstLine="0"/>
        <w:jc w:val="center"/>
        <w:rPr>
          <w:rFonts w:asciiTheme="minorEastAsia" w:hAnsiTheme="minorEastAsia" w:eastAsiaTheme="minorEastAsia"/>
          <w:color w:val="000000" w:themeColor="text1"/>
          <w:highlight w:val="none"/>
          <w14:textFill>
            <w14:solidFill>
              <w14:schemeClr w14:val="tx1"/>
            </w14:solidFill>
          </w14:textFill>
        </w:rPr>
      </w:pPr>
    </w:p>
    <w:p w14:paraId="7F120F22">
      <w:pPr>
        <w:pStyle w:val="16"/>
        <w:ind w:firstLine="0"/>
        <w:jc w:val="center"/>
        <w:rPr>
          <w:rFonts w:asciiTheme="minorEastAsia" w:hAnsiTheme="minorEastAsia" w:eastAsiaTheme="minorEastAsia"/>
          <w:color w:val="000000" w:themeColor="text1"/>
          <w:highlight w:val="none"/>
          <w14:textFill>
            <w14:solidFill>
              <w14:schemeClr w14:val="tx1"/>
            </w14:solidFill>
          </w14:textFill>
        </w:rPr>
      </w:pPr>
    </w:p>
    <w:p w14:paraId="2B193CEA">
      <w:pPr>
        <w:pStyle w:val="16"/>
        <w:ind w:firstLine="0"/>
        <w:jc w:val="center"/>
        <w:rPr>
          <w:rFonts w:asciiTheme="minorEastAsia" w:hAnsiTheme="minorEastAsia" w:eastAsiaTheme="minorEastAsia"/>
          <w:color w:val="000000" w:themeColor="text1"/>
          <w:highlight w:val="none"/>
          <w14:textFill>
            <w14:solidFill>
              <w14:schemeClr w14:val="tx1"/>
            </w14:solidFill>
          </w14:textFill>
        </w:rPr>
      </w:pPr>
    </w:p>
    <w:p w14:paraId="5EE8BEDB">
      <w:pPr>
        <w:pStyle w:val="4"/>
        <w:spacing w:line="380" w:lineRule="exact"/>
        <w:ind w:left="0" w:firstLine="0"/>
        <w:rPr>
          <w:rFonts w:asciiTheme="minorEastAsia" w:hAnsiTheme="minorEastAsia" w:eastAsiaTheme="minorEastAsia"/>
          <w:color w:val="000000" w:themeColor="text1"/>
          <w:sz w:val="28"/>
          <w:szCs w:val="28"/>
          <w:highlight w:val="none"/>
          <w14:textFill>
            <w14:solidFill>
              <w14:schemeClr w14:val="tx1"/>
            </w14:solidFill>
          </w14:textFill>
        </w:rPr>
      </w:pPr>
    </w:p>
    <w:p w14:paraId="56076954">
      <w:pP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br w:type="page"/>
      </w:r>
    </w:p>
    <w:p w14:paraId="33E57795">
      <w:pPr>
        <w:pStyle w:val="4"/>
        <w:spacing w:line="380" w:lineRule="exact"/>
        <w:ind w:left="0" w:firstLine="0"/>
        <w:rPr>
          <w:rFonts w:asciiTheme="minorEastAsia" w:hAnsiTheme="minorEastAsia" w:eastAsiaTheme="minorEastAsia"/>
          <w:color w:val="000000" w:themeColor="text1"/>
          <w:sz w:val="28"/>
          <w:szCs w:val="28"/>
          <w:highlight w:val="none"/>
          <w14:textFill>
            <w14:solidFill>
              <w14:schemeClr w14:val="tx1"/>
            </w14:solidFill>
          </w14:textFill>
        </w:rPr>
      </w:pPr>
    </w:p>
    <w:p w14:paraId="27AAD977">
      <w:pPr>
        <w:pStyle w:val="4"/>
        <w:spacing w:line="380" w:lineRule="exact"/>
        <w:ind w:left="0" w:firstLine="0"/>
        <w:rPr>
          <w:rFonts w:asciiTheme="minorEastAsia" w:hAnsiTheme="minorEastAsia" w:eastAsiaTheme="minorEastAsia"/>
          <w:color w:val="000000" w:themeColor="text1"/>
          <w:sz w:val="28"/>
          <w:szCs w:val="28"/>
          <w:highlight w:val="none"/>
          <w14:textFill>
            <w14:solidFill>
              <w14:schemeClr w14:val="tx1"/>
            </w14:solidFill>
          </w14:textFill>
        </w:rPr>
      </w:pPr>
      <w:bookmarkStart w:id="137" w:name="_Toc8841"/>
      <w:bookmarkStart w:id="138" w:name="_Toc136345115"/>
      <w:bookmarkStart w:id="139" w:name="_Toc136017654"/>
      <w:r>
        <w:rPr>
          <w:rFonts w:hint="eastAsia" w:asciiTheme="minorEastAsia" w:hAnsiTheme="minorEastAsia" w:eastAsiaTheme="minorEastAsia"/>
          <w:color w:val="000000" w:themeColor="text1"/>
          <w:sz w:val="28"/>
          <w:szCs w:val="28"/>
          <w:highlight w:val="none"/>
          <w14:textFill>
            <w14:solidFill>
              <w14:schemeClr w14:val="tx1"/>
            </w14:solidFill>
          </w14:textFill>
        </w:rPr>
        <w:t>（二）有效的企业法人营业执照（或事业法人登记证）、其他组织（个体工商户的营业执照或者民办非企业单位登记证书复印件。投标人如果有名称变更的，应提供由行政主管部门出具的变更证明文件</w:t>
      </w:r>
      <w:bookmarkEnd w:id="137"/>
      <w:bookmarkEnd w:id="138"/>
      <w:bookmarkEnd w:id="139"/>
    </w:p>
    <w:p w14:paraId="797479DC">
      <w:pPr>
        <w:pStyle w:val="16"/>
        <w:ind w:firstLine="0"/>
        <w:jc w:val="center"/>
        <w:rPr>
          <w:rFonts w:asciiTheme="minorEastAsia" w:hAnsiTheme="minorEastAsia" w:eastAsiaTheme="minorEastAsia"/>
          <w:bCs/>
          <w:color w:val="000000" w:themeColor="text1"/>
          <w:sz w:val="22"/>
          <w:szCs w:val="22"/>
          <w:highlight w:val="none"/>
          <w14:textFill>
            <w14:solidFill>
              <w14:schemeClr w14:val="tx1"/>
            </w14:solidFill>
          </w14:textFill>
        </w:rPr>
      </w:pPr>
      <w:r>
        <w:rPr>
          <w:rFonts w:hint="eastAsia" w:asciiTheme="minorEastAsia" w:hAnsiTheme="minorEastAsia" w:eastAsiaTheme="minorEastAsia"/>
          <w:bCs/>
          <w:color w:val="000000" w:themeColor="text1"/>
          <w:sz w:val="22"/>
          <w:szCs w:val="22"/>
          <w:highlight w:val="none"/>
          <w14:textFill>
            <w14:solidFill>
              <w14:schemeClr w14:val="tx1"/>
            </w14:solidFill>
          </w14:textFill>
        </w:rPr>
        <w:t>（复印件并加盖公章）</w:t>
      </w:r>
    </w:p>
    <w:p w14:paraId="41E97B84">
      <w:pPr>
        <w:pStyle w:val="16"/>
        <w:ind w:firstLine="0"/>
        <w:jc w:val="center"/>
        <w:rPr>
          <w:rFonts w:asciiTheme="minorEastAsia" w:hAnsiTheme="minorEastAsia" w:eastAsiaTheme="minorEastAsia"/>
          <w:color w:val="000000" w:themeColor="text1"/>
          <w:highlight w:val="none"/>
          <w14:textFill>
            <w14:solidFill>
              <w14:schemeClr w14:val="tx1"/>
            </w14:solidFill>
          </w14:textFill>
        </w:rPr>
      </w:pPr>
    </w:p>
    <w:p w14:paraId="494A810D">
      <w:pPr>
        <w:pStyle w:val="16"/>
        <w:ind w:firstLine="0"/>
        <w:jc w:val="center"/>
        <w:rPr>
          <w:rFonts w:asciiTheme="minorEastAsia" w:hAnsiTheme="minorEastAsia" w:eastAsiaTheme="minorEastAsia"/>
          <w:color w:val="000000" w:themeColor="text1"/>
          <w:highlight w:val="none"/>
          <w14:textFill>
            <w14:solidFill>
              <w14:schemeClr w14:val="tx1"/>
            </w14:solidFill>
          </w14:textFill>
        </w:rPr>
      </w:pPr>
    </w:p>
    <w:p w14:paraId="58166C0E">
      <w:pPr>
        <w:pStyle w:val="16"/>
        <w:ind w:firstLine="0"/>
        <w:jc w:val="center"/>
        <w:rPr>
          <w:rFonts w:asciiTheme="minorEastAsia" w:hAnsiTheme="minorEastAsia" w:eastAsiaTheme="minorEastAsia"/>
          <w:color w:val="000000" w:themeColor="text1"/>
          <w:highlight w:val="none"/>
          <w14:textFill>
            <w14:solidFill>
              <w14:schemeClr w14:val="tx1"/>
            </w14:solidFill>
          </w14:textFill>
        </w:rPr>
      </w:pPr>
    </w:p>
    <w:p w14:paraId="262036B8">
      <w:pPr>
        <w:pStyle w:val="16"/>
        <w:ind w:firstLine="0"/>
        <w:jc w:val="center"/>
        <w:rPr>
          <w:rFonts w:asciiTheme="minorEastAsia" w:hAnsiTheme="minorEastAsia" w:eastAsiaTheme="minorEastAsia"/>
          <w:color w:val="000000" w:themeColor="text1"/>
          <w:highlight w:val="none"/>
          <w14:textFill>
            <w14:solidFill>
              <w14:schemeClr w14:val="tx1"/>
            </w14:solidFill>
          </w14:textFill>
        </w:rPr>
      </w:pPr>
    </w:p>
    <w:p w14:paraId="2E19CCDF">
      <w:pPr>
        <w:rPr>
          <w:rFonts w:asciiTheme="minorEastAsia" w:hAnsiTheme="minorEastAsia" w:eastAsiaTheme="minorEastAsia"/>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（若为联合体投标，联合体各方须单独提供并盖章）</w:t>
      </w:r>
      <w:r>
        <w:rPr>
          <w:rFonts w:asciiTheme="minorEastAsia" w:hAnsiTheme="minorEastAsia" w:eastAsiaTheme="minorEastAsia"/>
          <w:color w:val="000000" w:themeColor="text1"/>
          <w:highlight w:val="none"/>
          <w14:textFill>
            <w14:solidFill>
              <w14:schemeClr w14:val="tx1"/>
            </w14:solidFill>
          </w14:textFill>
        </w:rPr>
        <w:br w:type="page"/>
      </w:r>
    </w:p>
    <w:p w14:paraId="4DACC28D">
      <w:pPr>
        <w:autoSpaceDE w:val="0"/>
        <w:autoSpaceDN w:val="0"/>
        <w:jc w:val="center"/>
        <w:rPr>
          <w:rFonts w:ascii="宋体" w:hAnsi="宋体" w:cs="宋体"/>
          <w:b/>
          <w:color w:val="000000" w:themeColor="text1"/>
          <w:kern w:val="0"/>
          <w:sz w:val="28"/>
          <w:szCs w:val="28"/>
          <w:highlight w:val="none"/>
          <w14:textFill>
            <w14:solidFill>
              <w14:schemeClr w14:val="tx1"/>
            </w14:solidFill>
          </w14:textFill>
        </w:rPr>
      </w:pPr>
    </w:p>
    <w:p w14:paraId="54935A6B">
      <w:pPr>
        <w:autoSpaceDE w:val="0"/>
        <w:autoSpaceDN w:val="0"/>
        <w:jc w:val="center"/>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（三）落实政府采购政策需满足的资格要求</w:t>
      </w:r>
    </w:p>
    <w:p w14:paraId="46E4315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4DABB30A">
      <w:pPr>
        <w:spacing w:line="360" w:lineRule="auto"/>
        <w:jc w:val="center"/>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t>（根据招标公告</w:t>
      </w:r>
      <w:r>
        <w:rPr>
          <w:rFonts w:hint="eastAsia" w:asciiTheme="minorEastAsia" w:hAnsiTheme="minorEastAsia" w:eastAsiaTheme="minorEastAsia"/>
          <w:b/>
          <w:bCs/>
          <w:color w:val="000000" w:themeColor="text1"/>
          <w:sz w:val="24"/>
          <w:highlight w:val="none"/>
          <w14:textFill>
            <w14:solidFill>
              <w14:schemeClr w14:val="tx1"/>
            </w14:solidFill>
          </w14:textFill>
        </w:rPr>
        <w:t>落实政府采购政策需满足的资格要求选择提供相应的材料；未要求的，无需提供</w:t>
      </w: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t>）</w:t>
      </w:r>
    </w:p>
    <w:p w14:paraId="0B739703">
      <w:pPr>
        <w:spacing w:line="360" w:lineRule="auto"/>
        <w:rPr>
          <w:rFonts w:cs="仿宋_GB2312" w:asciiTheme="minorEastAsia" w:hAnsiTheme="minorEastAsia" w:eastAsiaTheme="minorEastAsia"/>
          <w:color w:val="000000" w:themeColor="text1"/>
          <w:szCs w:val="21"/>
          <w:highlight w:val="none"/>
          <w14:textFill>
            <w14:solidFill>
              <w14:schemeClr w14:val="tx1"/>
            </w14:solidFill>
          </w14:textFill>
        </w:rPr>
      </w:pPr>
    </w:p>
    <w:p w14:paraId="12A06029">
      <w:pPr>
        <w:spacing w:line="360" w:lineRule="auto"/>
        <w:rPr>
          <w:rFonts w:cs="仿宋_GB2312" w:asciiTheme="minorEastAsia" w:hAnsiTheme="minorEastAsia" w:eastAsiaTheme="minorEastAsia"/>
          <w:color w:val="000000" w:themeColor="text1"/>
          <w:szCs w:val="21"/>
          <w:highlight w:val="none"/>
          <w14:textFill>
            <w14:solidFill>
              <w14:schemeClr w14:val="tx1"/>
            </w14:solidFill>
          </w14:textFill>
        </w:rPr>
      </w:pPr>
    </w:p>
    <w:p w14:paraId="6FCA09E1">
      <w:pPr>
        <w:spacing w:line="360" w:lineRule="auto"/>
        <w:rPr>
          <w:rFonts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A.专门面向中小企业，服务全部由符合政策要求的中小企业（或小微企业）承接的，提供相应的中小企业声明函（附件1）</w:t>
      </w:r>
    </w:p>
    <w:p w14:paraId="6B60D61F">
      <w:pPr>
        <w:spacing w:line="360" w:lineRule="auto"/>
        <w:rPr>
          <w:rFonts w:cs="仿宋_GB2312" w:asciiTheme="minorEastAsia" w:hAnsiTheme="minorEastAsia" w:eastAsiaTheme="minorEastAsia"/>
          <w:color w:val="000000" w:themeColor="text1"/>
          <w:szCs w:val="21"/>
          <w:highlight w:val="none"/>
          <w14:textFill>
            <w14:solidFill>
              <w14:schemeClr w14:val="tx1"/>
            </w14:solidFill>
          </w14:textFill>
        </w:rPr>
      </w:pPr>
    </w:p>
    <w:p w14:paraId="0FDA5232">
      <w:pPr>
        <w:spacing w:line="360" w:lineRule="auto"/>
        <w:rPr>
          <w:rFonts w:cs="仿宋_GB2312" w:asciiTheme="minorEastAsia" w:hAnsiTheme="minorEastAsia" w:eastAsiaTheme="minorEastAsia"/>
          <w:color w:val="000000" w:themeColor="text1"/>
          <w:szCs w:val="21"/>
          <w:highlight w:val="none"/>
          <w14:textFill>
            <w14:solidFill>
              <w14:schemeClr w14:val="tx1"/>
            </w14:solidFill>
          </w14:textFill>
        </w:rPr>
      </w:pPr>
    </w:p>
    <w:p w14:paraId="083A177A">
      <w:pPr>
        <w:rPr>
          <w:rFonts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br w:type="page"/>
      </w:r>
    </w:p>
    <w:p w14:paraId="2C85C770">
      <w:pPr>
        <w:spacing w:line="360" w:lineRule="auto"/>
        <w:rPr>
          <w:rFonts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B.要求以联合体形式参加的，提供联合协议和中小企业声明函（附件1），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71F351A">
      <w:pPr>
        <w:pStyle w:val="16"/>
        <w:ind w:firstLine="0"/>
        <w:jc w:val="center"/>
        <w:rPr>
          <w:rFonts w:asciiTheme="minorEastAsia" w:hAnsiTheme="minorEastAsia" w:eastAsiaTheme="minorEastAsia"/>
          <w:color w:val="000000" w:themeColor="text1"/>
          <w:highlight w:val="none"/>
          <w14:textFill>
            <w14:solidFill>
              <w14:schemeClr w14:val="tx1"/>
            </w14:solidFill>
          </w14:textFill>
        </w:rPr>
      </w:pPr>
    </w:p>
    <w:p w14:paraId="14E3999C">
      <w:pPr>
        <w:autoSpaceDE w:val="0"/>
        <w:autoSpaceDN w:val="0"/>
        <w:jc w:val="center"/>
        <w:rPr>
          <w:rFonts w:ascii="宋体" w:hAnsi="宋体" w:cs="宋体"/>
          <w:b/>
          <w:color w:val="000000" w:themeColor="text1"/>
          <w:kern w:val="0"/>
          <w:sz w:val="28"/>
          <w:szCs w:val="28"/>
          <w:highlight w:val="none"/>
          <w:lang w:val="zh-CN"/>
          <w14:textFill>
            <w14:solidFill>
              <w14:schemeClr w14:val="tx1"/>
            </w14:solidFill>
          </w14:textFill>
        </w:rPr>
      </w:pPr>
      <w:r>
        <w:rPr>
          <w:rFonts w:hint="eastAsia" w:ascii="宋体" w:hAnsi="宋体" w:cs="宋体"/>
          <w:b/>
          <w:color w:val="000000" w:themeColor="text1"/>
          <w:kern w:val="0"/>
          <w:sz w:val="28"/>
          <w:szCs w:val="28"/>
          <w:highlight w:val="none"/>
          <w:lang w:val="zh-CN"/>
          <w14:textFill>
            <w14:solidFill>
              <w14:schemeClr w14:val="tx1"/>
            </w14:solidFill>
          </w14:textFill>
        </w:rPr>
        <w:t>联合协议</w:t>
      </w:r>
    </w:p>
    <w:p w14:paraId="08F8D4DA">
      <w:pPr>
        <w:widowControl/>
        <w:spacing w:line="480" w:lineRule="exact"/>
        <w:ind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（以联合体形式投标的，提供联合协议；本项目不接受联合体投标或者投标人不以联合体形式投标的，则不需要提供）</w:t>
      </w:r>
    </w:p>
    <w:p w14:paraId="28DD952E">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（联合体所有成员名称）</w:t>
      </w:r>
      <w:r>
        <w:rPr>
          <w:rFonts w:hint="eastAsia" w:ascii="宋体" w:hAnsi="宋体" w:cs="宋体"/>
          <w:color w:val="000000" w:themeColor="text1"/>
          <w:kern w:val="0"/>
          <w:szCs w:val="21"/>
          <w:highlight w:val="none"/>
          <w14:textFill>
            <w14:solidFill>
              <w14:schemeClr w14:val="tx1"/>
            </w14:solidFill>
          </w14:textFill>
        </w:rPr>
        <w:t>自愿</w:t>
      </w:r>
      <w:r>
        <w:rPr>
          <w:rFonts w:hint="eastAsia" w:ascii="宋体" w:hAnsi="宋体" w:cs="宋体"/>
          <w:color w:val="000000" w:themeColor="text1"/>
          <w:kern w:val="0"/>
          <w:szCs w:val="21"/>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Cs w:val="21"/>
          <w:highlight w:val="none"/>
          <w14:textFill>
            <w14:solidFill>
              <w14:schemeClr w14:val="tx1"/>
            </w14:solidFill>
          </w14:textFill>
        </w:rPr>
        <w:t>参加</w:t>
      </w:r>
      <w:r>
        <w:rPr>
          <w:rFonts w:hint="eastAsia" w:ascii="宋体" w:hAnsi="宋体" w:cs="宋体"/>
          <w:color w:val="000000" w:themeColor="text1"/>
          <w:szCs w:val="21"/>
          <w:highlight w:val="none"/>
          <w14:textFill>
            <w14:solidFill>
              <w14:schemeClr w14:val="tx1"/>
            </w14:solidFill>
          </w14:textFill>
        </w:rPr>
        <w:t>项目【招标编号：        】</w:t>
      </w:r>
      <w:r>
        <w:rPr>
          <w:rFonts w:hint="eastAsia" w:ascii="宋体" w:hAnsi="宋体" w:cs="宋体"/>
          <w:color w:val="000000" w:themeColor="text1"/>
          <w:kern w:val="0"/>
          <w:szCs w:val="21"/>
          <w:highlight w:val="none"/>
          <w:lang w:val="zh-CN"/>
          <w14:textFill>
            <w14:solidFill>
              <w14:schemeClr w14:val="tx1"/>
            </w14:solidFill>
          </w14:textFill>
        </w:rPr>
        <w:t xml:space="preserve">投标。 </w:t>
      </w:r>
    </w:p>
    <w:p w14:paraId="030499BD">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一、各方一致决定，</w:t>
      </w:r>
      <w:r>
        <w:rPr>
          <w:rFonts w:hint="eastAsia" w:ascii="宋体" w:hAnsi="宋体" w:cs="宋体"/>
          <w:color w:val="000000" w:themeColor="text1"/>
          <w:kern w:val="0"/>
          <w:szCs w:val="21"/>
          <w:highlight w:val="none"/>
          <w:u w:val="single"/>
          <w14:textFill>
            <w14:solidFill>
              <w14:schemeClr w14:val="tx1"/>
            </w14:solidFill>
          </w14:textFill>
        </w:rPr>
        <w:t>（某联合体成员名称）</w:t>
      </w:r>
      <w:r>
        <w:rPr>
          <w:rFonts w:hint="eastAsia" w:ascii="宋体" w:hAnsi="宋体" w:cs="宋体"/>
          <w:color w:val="000000" w:themeColor="text1"/>
          <w:kern w:val="0"/>
          <w:szCs w:val="21"/>
          <w:highlight w:val="none"/>
          <w14:textFill>
            <w14:solidFill>
              <w14:schemeClr w14:val="tx1"/>
            </w14:solidFill>
          </w14:textFill>
        </w:rPr>
        <w:t>为联合体</w:t>
      </w:r>
      <w:r>
        <w:rPr>
          <w:rFonts w:hint="eastAsia" w:ascii="宋体" w:hAnsi="宋体" w:cs="宋体"/>
          <w:color w:val="000000" w:themeColor="text1"/>
          <w:kern w:val="0"/>
          <w:szCs w:val="21"/>
          <w:highlight w:val="none"/>
          <w:lang w:val="zh-CN"/>
          <w14:textFill>
            <w14:solidFill>
              <w14:schemeClr w14:val="tx1"/>
            </w14:solidFill>
          </w14:textFill>
        </w:rPr>
        <w:t>牵头人</w:t>
      </w:r>
      <w:r>
        <w:rPr>
          <w:rFonts w:hint="eastAsia" w:ascii="宋体" w:hAnsi="宋体" w:cs="宋体"/>
          <w:color w:val="000000" w:themeColor="text1"/>
          <w:szCs w:val="21"/>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Cs w:val="21"/>
          <w:highlight w:val="none"/>
          <w:lang w:val="zh-CN"/>
          <w14:textFill>
            <w14:solidFill>
              <w14:schemeClr w14:val="tx1"/>
            </w14:solidFill>
          </w14:textFill>
        </w:rPr>
        <w:t>。</w:t>
      </w:r>
    </w:p>
    <w:p w14:paraId="7D860FC5">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二、</w:t>
      </w:r>
      <w:r>
        <w:rPr>
          <w:rFonts w:hint="eastAsia" w:ascii="宋体" w:hAnsi="宋体" w:cs="宋体"/>
          <w:color w:val="000000" w:themeColor="text1"/>
          <w:szCs w:val="21"/>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Cs w:val="21"/>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173A8A72">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三、本次联合投标中，分工如下：</w:t>
      </w:r>
    </w:p>
    <w:p w14:paraId="3D1626B0">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bookmarkStart w:id="140" w:name="_Hlk101134295"/>
      <w:r>
        <w:rPr>
          <w:rFonts w:hint="eastAsia" w:ascii="宋体" w:hAnsi="宋体" w:cs="宋体"/>
          <w:color w:val="000000" w:themeColor="text1"/>
          <w:kern w:val="0"/>
          <w:szCs w:val="21"/>
          <w:highlight w:val="none"/>
          <w:u w:val="single"/>
          <w14:textFill>
            <w14:solidFill>
              <w14:schemeClr w14:val="tx1"/>
            </w14:solidFill>
          </w14:textFill>
        </w:rPr>
        <w:t>（联合体成员1）</w:t>
      </w:r>
      <w:r>
        <w:rPr>
          <w:rFonts w:hint="eastAsia" w:ascii="宋体" w:hAnsi="宋体" w:cs="宋体"/>
          <w:color w:val="000000" w:themeColor="text1"/>
          <w:kern w:val="0"/>
          <w:szCs w:val="21"/>
          <w:highlight w:val="none"/>
          <w:lang w:val="zh-CN"/>
          <w14:textFill>
            <w14:solidFill>
              <w14:schemeClr w14:val="tx1"/>
            </w14:solidFill>
          </w14:textFill>
        </w:rPr>
        <w:t>承担的工作和义务为：；</w:t>
      </w:r>
    </w:p>
    <w:p w14:paraId="54FAE82D">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（联合体成员</w:t>
      </w:r>
      <w:r>
        <w:rPr>
          <w:rFonts w:ascii="宋体" w:hAnsi="宋体" w:cs="宋体"/>
          <w:color w:val="000000" w:themeColor="text1"/>
          <w:kern w:val="0"/>
          <w:szCs w:val="21"/>
          <w:highlight w:val="none"/>
          <w:u w:val="single"/>
          <w14:textFill>
            <w14:solidFill>
              <w14:schemeClr w14:val="tx1"/>
            </w14:solidFill>
          </w14:textFill>
        </w:rPr>
        <w:t>2</w:t>
      </w:r>
      <w:r>
        <w:rPr>
          <w:rFonts w:hint="eastAsia" w:ascii="宋体" w:hAnsi="宋体" w:cs="宋体"/>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lang w:val="zh-CN"/>
          <w14:textFill>
            <w14:solidFill>
              <w14:schemeClr w14:val="tx1"/>
            </w14:solidFill>
          </w14:textFill>
        </w:rPr>
        <w:t>承担的工作和义务为：；</w:t>
      </w:r>
    </w:p>
    <w:p w14:paraId="61040B5F">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w:t>
      </w:r>
    </w:p>
    <w:bookmarkEnd w:id="140"/>
    <w:p w14:paraId="35767DF8">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四、联合体成员中小企业合同份额（如果有）。</w:t>
      </w:r>
    </w:p>
    <w:p w14:paraId="6EA20E83">
      <w:pPr>
        <w:snapToGrid w:val="0"/>
        <w:spacing w:line="480" w:lineRule="exact"/>
        <w:ind w:firstLine="576"/>
        <w:rPr>
          <w:rFonts w:ascii="宋体" w:hAnsi="宋体" w:cs="宋体"/>
          <w:b/>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1、</w:t>
      </w:r>
      <w:r>
        <w:rPr>
          <w:rFonts w:hint="eastAsia" w:ascii="宋体" w:hAnsi="宋体" w:cs="宋体"/>
          <w:color w:val="000000" w:themeColor="text1"/>
          <w:kern w:val="0"/>
          <w:szCs w:val="21"/>
          <w:highlight w:val="none"/>
          <w:u w:val="single"/>
          <w14:textFill>
            <w14:solidFill>
              <w14:schemeClr w14:val="tx1"/>
            </w14:solidFill>
          </w14:textFill>
        </w:rPr>
        <w:t>（联合体成员</w:t>
      </w:r>
      <w:r>
        <w:rPr>
          <w:rFonts w:ascii="宋体" w:hAnsi="宋体" w:cs="宋体"/>
          <w:color w:val="000000" w:themeColor="text1"/>
          <w:kern w:val="0"/>
          <w:szCs w:val="21"/>
          <w:highlight w:val="none"/>
          <w:u w:val="single"/>
          <w14:textFill>
            <w14:solidFill>
              <w14:schemeClr w14:val="tx1"/>
            </w14:solidFill>
          </w14:textFill>
        </w:rPr>
        <w:t>X,</w:t>
      </w:r>
      <w:r>
        <w:rPr>
          <w:rFonts w:hint="eastAsia" w:ascii="宋体" w:hAnsi="宋体" w:cs="宋体"/>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提供的全部服务由小微企业承接，其合同份额占到合同总金额%以上；</w:t>
      </w: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b/>
          <w:color w:val="000000" w:themeColor="text1"/>
          <w:kern w:val="0"/>
          <w:szCs w:val="21"/>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（未预留份额专门面向中小企业采购的的采购项目，以及预留份额中的非预留部分采购包，接受联合体投标的，联合协议约定小微企业的合同份额占到合同总金额30%以上的，对联合体报价给予4%的扣除。</w:t>
      </w:r>
      <w:r>
        <w:rPr>
          <w:rFonts w:hint="eastAsia" w:ascii="宋体" w:hAnsi="宋体" w:cs="宋体"/>
          <w:b/>
          <w:color w:val="000000" w:themeColor="text1"/>
          <w:kern w:val="0"/>
          <w:szCs w:val="21"/>
          <w:highlight w:val="none"/>
          <w14:textFill>
            <w14:solidFill>
              <w14:schemeClr w14:val="tx1"/>
            </w14:solidFill>
          </w14:textFill>
        </w:rPr>
        <w:t>投标人</w:t>
      </w:r>
      <w:r>
        <w:rPr>
          <w:rFonts w:hint="eastAsia" w:ascii="宋体" w:hAnsi="宋体" w:cs="宋体"/>
          <w:b/>
          <w:color w:val="000000" w:themeColor="text1"/>
          <w:szCs w:val="21"/>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Cs w:val="21"/>
          <w:highlight w:val="none"/>
          <w:lang w:val="zh-CN"/>
          <w14:textFill>
            <w14:solidFill>
              <w14:schemeClr w14:val="tx1"/>
            </w14:solidFill>
          </w14:textFill>
        </w:rPr>
        <w:t>）</w:t>
      </w:r>
    </w:p>
    <w:p w14:paraId="420B1AF3">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2、中小企业合同金额达到%，小微企业合同金额达到%</w:t>
      </w: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b/>
          <w:bCs/>
          <w:color w:val="000000" w:themeColor="text1"/>
          <w:kern w:val="0"/>
          <w:szCs w:val="21"/>
          <w:highlight w:val="none"/>
          <w:lang w:val="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Cs w:val="21"/>
          <w:highlight w:val="none"/>
          <w:lang w:val="zh-CN"/>
          <w14:textFill>
            <w14:solidFill>
              <w14:schemeClr w14:val="tx1"/>
            </w14:solidFill>
          </w14:textFill>
        </w:rPr>
        <w:t>）</w:t>
      </w:r>
    </w:p>
    <w:p w14:paraId="17608731">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五、如果中标，</w:t>
      </w:r>
      <w:r>
        <w:rPr>
          <w:rFonts w:hint="eastAsia" w:ascii="宋体" w:hAnsi="宋体" w:cs="宋体"/>
          <w:color w:val="000000" w:themeColor="text1"/>
          <w:szCs w:val="21"/>
          <w:highlight w:val="none"/>
          <w14:textFill>
            <w14:solidFill>
              <w14:schemeClr w14:val="tx1"/>
            </w14:solidFill>
          </w14:textFill>
        </w:rPr>
        <w:t>联合体各成员方共同与采购人签订合同，并就采购合同约定的事项对采购人承担连带责任。</w:t>
      </w:r>
    </w:p>
    <w:p w14:paraId="1324A0DE">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六、有关本次联合投标的其他事宜：</w:t>
      </w:r>
    </w:p>
    <w:p w14:paraId="54353495">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1、联合体各方不再单独参加或者与其他供应商另外组成联合体参加同一合同项下的政府采购活动。</w:t>
      </w:r>
    </w:p>
    <w:p w14:paraId="11E76B4B">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2、联合体中有同类资质的各方按照联合体分工承担相同工作的，按照资质等级较低的供应商确定资质等级。</w:t>
      </w:r>
    </w:p>
    <w:p w14:paraId="37B9A3C0">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3、本协议提交采购人、采购机构后，联合体各方不得以任何形式对上述内容进行修改或撤销。</w:t>
      </w:r>
    </w:p>
    <w:p w14:paraId="47A72F02">
      <w:pPr>
        <w:snapToGrid w:val="0"/>
        <w:spacing w:line="480" w:lineRule="exact"/>
        <w:ind w:firstLine="5040" w:firstLineChars="240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联合体成员名称(公章)：</w:t>
      </w:r>
    </w:p>
    <w:p w14:paraId="341F980A">
      <w:pPr>
        <w:pStyle w:val="3"/>
        <w:spacing w:line="480" w:lineRule="exact"/>
        <w:rPr>
          <w:rFonts w:ascii="宋体" w:hAnsi="宋体" w:cs="宋体"/>
          <w:b w:val="0"/>
          <w:bCs w:val="0"/>
          <w:color w:val="000000" w:themeColor="text1"/>
          <w:kern w:val="0"/>
          <w:sz w:val="21"/>
          <w:szCs w:val="21"/>
          <w:highlight w:val="none"/>
          <w:lang w:val="zh-CN"/>
          <w14:textFill>
            <w14:solidFill>
              <w14:schemeClr w14:val="tx1"/>
            </w14:solidFill>
          </w14:textFill>
        </w:rPr>
      </w:pPr>
      <w:bookmarkStart w:id="141" w:name="_Toc32382"/>
      <w:bookmarkStart w:id="142" w:name="_Toc136017655"/>
      <w:bookmarkStart w:id="143" w:name="_Toc136345116"/>
      <w:r>
        <w:rPr>
          <w:rFonts w:hint="eastAsia" w:ascii="宋体" w:hAnsi="宋体" w:cs="宋体"/>
          <w:b w:val="0"/>
          <w:bCs w:val="0"/>
          <w:color w:val="000000" w:themeColor="text1"/>
          <w:kern w:val="0"/>
          <w:sz w:val="21"/>
          <w:szCs w:val="21"/>
          <w:highlight w:val="none"/>
          <w:lang w:val="zh-CN"/>
          <w14:textFill>
            <w14:solidFill>
              <w14:schemeClr w14:val="tx1"/>
            </w14:solidFill>
          </w14:textFill>
        </w:rPr>
        <w:t>联合体成员名称(公章)：</w:t>
      </w:r>
      <w:bookmarkEnd w:id="141"/>
      <w:bookmarkEnd w:id="142"/>
      <w:bookmarkEnd w:id="143"/>
    </w:p>
    <w:p w14:paraId="169A780C">
      <w:pPr>
        <w:spacing w:line="480" w:lineRule="exact"/>
        <w:rPr>
          <w:color w:val="000000" w:themeColor="text1"/>
          <w:szCs w:val="21"/>
          <w:highlight w:val="none"/>
          <w:lang w:val="zh-CN"/>
          <w14:textFill>
            <w14:solidFill>
              <w14:schemeClr w14:val="tx1"/>
            </w14:solidFill>
          </w14:textFill>
        </w:rPr>
      </w:pPr>
    </w:p>
    <w:p w14:paraId="508A0C59">
      <w:pPr>
        <w:snapToGrid w:val="0"/>
        <w:spacing w:line="480" w:lineRule="exac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 xml:space="preserve">                                               日期：  年  月   日</w:t>
      </w:r>
    </w:p>
    <w:p w14:paraId="05B92FE0">
      <w:pPr>
        <w:pStyle w:val="4"/>
        <w:spacing w:line="380" w:lineRule="exact"/>
        <w:jc w:val="both"/>
        <w:rPr>
          <w:rFonts w:ascii="宋体" w:hAnsi="宋体" w:cs="宋体"/>
          <w:b w:val="0"/>
          <w:bCs w:val="0"/>
          <w:color w:val="000000" w:themeColor="text1"/>
          <w:sz w:val="21"/>
          <w:szCs w:val="21"/>
          <w:highlight w:val="none"/>
          <w:lang w:val="zh-CN"/>
          <w14:textFill>
            <w14:solidFill>
              <w14:schemeClr w14:val="tx1"/>
            </w14:solidFill>
          </w14:textFill>
        </w:rPr>
      </w:pPr>
      <w:bookmarkStart w:id="144" w:name="_Toc136345117"/>
      <w:bookmarkStart w:id="145" w:name="_Toc13376"/>
      <w:bookmarkStart w:id="146" w:name="_Toc136017656"/>
      <w:r>
        <w:rPr>
          <w:rFonts w:hint="eastAsia" w:ascii="宋体" w:hAnsi="宋体" w:cs="宋体"/>
          <w:b w:val="0"/>
          <w:bCs w:val="0"/>
          <w:color w:val="000000" w:themeColor="text1"/>
          <w:sz w:val="21"/>
          <w:szCs w:val="21"/>
          <w:highlight w:val="none"/>
          <w:lang w:val="zh-CN"/>
          <w14:textFill>
            <w14:solidFill>
              <w14:schemeClr w14:val="tx1"/>
            </w14:solidFill>
          </w14:textFill>
        </w:rPr>
        <w:t>注：按本格式和要求提供。</w:t>
      </w:r>
      <w:bookmarkEnd w:id="144"/>
      <w:bookmarkEnd w:id="145"/>
      <w:bookmarkEnd w:id="146"/>
    </w:p>
    <w:p w14:paraId="64ACA0F4">
      <w:pPr>
        <w:rPr>
          <w:rFonts w:ascii="宋体" w:hAnsi="宋体" w:cs="宋体"/>
          <w:color w:val="000000" w:themeColor="text1"/>
          <w:kern w:val="0"/>
          <w:szCs w:val="21"/>
          <w:highlight w:val="none"/>
          <w:lang w:val="zh-CN"/>
          <w14:textFill>
            <w14:solidFill>
              <w14:schemeClr w14:val="tx1"/>
            </w14:solidFill>
          </w14:textFill>
        </w:rPr>
      </w:pPr>
    </w:p>
    <w:p w14:paraId="7392E2A1">
      <w:pPr>
        <w:spacing w:line="360" w:lineRule="auto"/>
        <w:rPr>
          <w:rFonts w:cs="仿宋_GB2312" w:asciiTheme="minorEastAsia" w:hAnsiTheme="minorEastAsia" w:eastAsiaTheme="minorEastAsia"/>
          <w:color w:val="000000" w:themeColor="text1"/>
          <w:szCs w:val="21"/>
          <w:highlight w:val="none"/>
          <w14:textFill>
            <w14:solidFill>
              <w14:schemeClr w14:val="tx1"/>
            </w14:solidFill>
          </w14:textFill>
        </w:rPr>
      </w:pPr>
    </w:p>
    <w:p w14:paraId="2CDBD9A0">
      <w:pPr>
        <w:spacing w:line="360" w:lineRule="auto"/>
        <w:rPr>
          <w:rFonts w:cs="仿宋_GB2312" w:asciiTheme="minorEastAsia" w:hAnsiTheme="minorEastAsia" w:eastAsiaTheme="minorEastAsia"/>
          <w:color w:val="000000" w:themeColor="text1"/>
          <w:szCs w:val="21"/>
          <w:highlight w:val="none"/>
          <w14:textFill>
            <w14:solidFill>
              <w14:schemeClr w14:val="tx1"/>
            </w14:solidFill>
          </w14:textFill>
        </w:rPr>
      </w:pPr>
    </w:p>
    <w:p w14:paraId="6CBAFE2D">
      <w:pPr>
        <w:rPr>
          <w:rFonts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br w:type="page"/>
      </w:r>
    </w:p>
    <w:p w14:paraId="23D3AF02">
      <w:pPr>
        <w:spacing w:line="360" w:lineRule="auto"/>
        <w:rPr>
          <w:rFonts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C.要求合同分包的，提供分包意向协议和中小企业声明函（附件1），分包意向协议中中小企业合同金额应当达到招标公告载明的比例；如果投标人本身提供所有标的均由中小企业制造或承接的，视同符合了资格条件，无需再向中小企业分包，无需提供分包意向协议。</w:t>
      </w:r>
    </w:p>
    <w:p w14:paraId="214C7487">
      <w:pPr>
        <w:widowControl/>
        <w:spacing w:line="48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分包意向协议</w:t>
      </w:r>
    </w:p>
    <w:p w14:paraId="23DAC69D">
      <w:pPr>
        <w:widowControl/>
        <w:spacing w:line="480" w:lineRule="exact"/>
        <w:ind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（中标后以分包方式履行合同的，提供分包意向协议；采购人不同意分包或者投标人中标后不以分包方式履行合同的，则不需要提供。）</w:t>
      </w:r>
    </w:p>
    <w:p w14:paraId="0595085B">
      <w:pPr>
        <w:widowControl/>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（投标人名称）</w:t>
      </w:r>
      <w:r>
        <w:rPr>
          <w:rFonts w:hint="eastAsia" w:ascii="宋体" w:hAnsi="宋体" w:cs="宋体"/>
          <w:color w:val="000000" w:themeColor="text1"/>
          <w:kern w:val="0"/>
          <w:szCs w:val="21"/>
          <w:highlight w:val="none"/>
          <w:lang w:val="zh-CN"/>
          <w14:textFill>
            <w14:solidFill>
              <w14:schemeClr w14:val="tx1"/>
            </w14:solidFill>
          </w14:textFill>
        </w:rPr>
        <w:t>若成为</w:t>
      </w:r>
      <w:r>
        <w:rPr>
          <w:rFonts w:hint="eastAsia" w:ascii="宋体" w:hAnsi="宋体" w:cs="宋体"/>
          <w:color w:val="000000" w:themeColor="text1"/>
          <w:szCs w:val="21"/>
          <w:highlight w:val="none"/>
          <w14:textFill>
            <w14:solidFill>
              <w14:schemeClr w14:val="tx1"/>
            </w14:solidFill>
          </w14:textFill>
        </w:rPr>
        <w:t>项目【招标编号：       】</w:t>
      </w:r>
      <w:r>
        <w:rPr>
          <w:rFonts w:hint="eastAsia" w:ascii="宋体" w:hAnsi="宋体" w:cs="宋体"/>
          <w:color w:val="000000" w:themeColor="text1"/>
          <w:kern w:val="0"/>
          <w:szCs w:val="21"/>
          <w:highlight w:val="none"/>
          <w:lang w:val="zh-CN"/>
          <w14:textFill>
            <w14:solidFill>
              <w14:schemeClr w14:val="tx1"/>
            </w14:solidFill>
          </w14:textFill>
        </w:rPr>
        <w:t>的中标人，将依法采取分包方式履行合同。</w:t>
      </w:r>
      <w:r>
        <w:rPr>
          <w:rFonts w:hint="eastAsia" w:ascii="宋体" w:hAnsi="宋体" w:cs="宋体"/>
          <w:color w:val="000000" w:themeColor="text1"/>
          <w:kern w:val="0"/>
          <w:szCs w:val="21"/>
          <w:highlight w:val="none"/>
          <w:u w:val="single"/>
          <w14:textFill>
            <w14:solidFill>
              <w14:schemeClr w14:val="tx1"/>
            </w14:solidFill>
          </w14:textFill>
        </w:rPr>
        <w:t>（投标人名称）</w:t>
      </w:r>
      <w:r>
        <w:rPr>
          <w:rFonts w:hint="eastAsia" w:ascii="宋体" w:hAnsi="宋体" w:cs="宋体"/>
          <w:color w:val="000000" w:themeColor="text1"/>
          <w:kern w:val="0"/>
          <w:szCs w:val="21"/>
          <w:highlight w:val="none"/>
          <w14:textFill>
            <w14:solidFill>
              <w14:schemeClr w14:val="tx1"/>
            </w14:solidFill>
          </w14:textFill>
        </w:rPr>
        <w:t>与</w:t>
      </w:r>
      <w:r>
        <w:rPr>
          <w:rFonts w:hint="eastAsia" w:ascii="宋体" w:hAnsi="宋体" w:cs="宋体"/>
          <w:color w:val="000000" w:themeColor="text1"/>
          <w:kern w:val="0"/>
          <w:szCs w:val="21"/>
          <w:highlight w:val="none"/>
          <w:u w:val="single"/>
          <w14:textFill>
            <w14:solidFill>
              <w14:schemeClr w14:val="tx1"/>
            </w14:solidFill>
          </w14:textFill>
        </w:rPr>
        <w:t>（所有分包供应商名称）</w:t>
      </w:r>
      <w:r>
        <w:rPr>
          <w:rFonts w:hint="eastAsia" w:ascii="宋体" w:hAnsi="宋体" w:cs="宋体"/>
          <w:color w:val="000000" w:themeColor="text1"/>
          <w:kern w:val="0"/>
          <w:szCs w:val="21"/>
          <w:highlight w:val="none"/>
          <w14:textFill>
            <w14:solidFill>
              <w14:schemeClr w14:val="tx1"/>
            </w14:solidFill>
          </w14:textFill>
        </w:rPr>
        <w:t>达成分包意向协议</w:t>
      </w:r>
      <w:r>
        <w:rPr>
          <w:rFonts w:hint="eastAsia" w:ascii="宋体" w:hAnsi="宋体" w:cs="宋体"/>
          <w:color w:val="000000" w:themeColor="text1"/>
          <w:kern w:val="0"/>
          <w:szCs w:val="21"/>
          <w:highlight w:val="none"/>
          <w:lang w:val="zh-CN"/>
          <w14:textFill>
            <w14:solidFill>
              <w14:schemeClr w14:val="tx1"/>
            </w14:solidFill>
          </w14:textFill>
        </w:rPr>
        <w:t xml:space="preserve">。 </w:t>
      </w:r>
    </w:p>
    <w:p w14:paraId="2AD4540F">
      <w:pPr>
        <w:widowControl/>
        <w:numPr>
          <w:ilvl w:val="0"/>
          <w:numId w:val="5"/>
        </w:numPr>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分包标的及数量</w:t>
      </w:r>
    </w:p>
    <w:p w14:paraId="1A559C4C">
      <w:pPr>
        <w:widowControl/>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（投标人名称）</w:t>
      </w:r>
      <w:r>
        <w:rPr>
          <w:rFonts w:hint="eastAsia" w:ascii="宋体" w:hAnsi="宋体" w:cs="宋体"/>
          <w:color w:val="000000" w:themeColor="text1"/>
          <w:kern w:val="0"/>
          <w:szCs w:val="21"/>
          <w:highlight w:val="none"/>
          <w:lang w:val="zh-CN"/>
          <w14:textFill>
            <w14:solidFill>
              <w14:schemeClr w14:val="tx1"/>
            </w14:solidFill>
          </w14:textFill>
        </w:rPr>
        <w:t>将</w:t>
      </w:r>
      <w:r>
        <w:rPr>
          <w:rFonts w:ascii="宋体" w:hAnsi="宋体" w:cs="宋体"/>
          <w:color w:val="000000" w:themeColor="text1"/>
          <w:kern w:val="0"/>
          <w:szCs w:val="21"/>
          <w:highlight w:val="none"/>
          <w:u w:val="single"/>
          <w14:textFill>
            <w14:solidFill>
              <w14:schemeClr w14:val="tx1"/>
            </w14:solidFill>
          </w14:textFill>
        </w:rPr>
        <w:t xml:space="preserve"> XX工作内容   </w:t>
      </w:r>
      <w:r>
        <w:rPr>
          <w:rFonts w:hint="eastAsia" w:ascii="宋体" w:hAnsi="宋体" w:cs="宋体"/>
          <w:color w:val="000000" w:themeColor="text1"/>
          <w:szCs w:val="21"/>
          <w:highlight w:val="none"/>
          <w14:textFill>
            <w14:solidFill>
              <w14:schemeClr w14:val="tx1"/>
            </w14:solidFill>
          </w14:textFill>
        </w:rPr>
        <w:t>分包给</w:t>
      </w:r>
      <w:r>
        <w:rPr>
          <w:rFonts w:hint="eastAsia" w:ascii="宋体" w:hAnsi="宋体" w:cs="宋体"/>
          <w:color w:val="000000" w:themeColor="text1"/>
          <w:kern w:val="0"/>
          <w:szCs w:val="21"/>
          <w:highlight w:val="none"/>
          <w:u w:val="single"/>
          <w14:textFill>
            <w14:solidFill>
              <w14:schemeClr w14:val="tx1"/>
            </w14:solidFill>
          </w14:textFill>
        </w:rPr>
        <w:t>（分包供应商1名称）</w:t>
      </w: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（分包供应商2名称），</w:t>
      </w:r>
      <w:r>
        <w:rPr>
          <w:rFonts w:hint="eastAsia" w:ascii="宋体" w:hAnsi="宋体" w:cs="宋体"/>
          <w:color w:val="000000" w:themeColor="text1"/>
          <w:kern w:val="0"/>
          <w:szCs w:val="21"/>
          <w:highlight w:val="none"/>
          <w:lang w:val="zh-CN"/>
          <w14:textFill>
            <w14:solidFill>
              <w14:schemeClr w14:val="tx1"/>
            </w14:solidFill>
          </w14:textFill>
        </w:rPr>
        <w:t>具备承</w:t>
      </w:r>
      <w:r>
        <w:rPr>
          <w:rFonts w:hint="eastAsia" w:ascii="宋体" w:hAnsi="宋体" w:cs="宋体"/>
          <w:color w:val="000000" w:themeColor="text1"/>
          <w:kern w:val="0"/>
          <w:szCs w:val="21"/>
          <w:highlight w:val="none"/>
          <w14:textFill>
            <w14:solidFill>
              <w14:schemeClr w14:val="tx1"/>
            </w14:solidFill>
          </w14:textFill>
        </w:rPr>
        <w:t>担</w:t>
      </w:r>
      <w:r>
        <w:rPr>
          <w:rFonts w:hint="eastAsia" w:ascii="宋体" w:hAnsi="宋体" w:cs="宋体"/>
          <w:color w:val="000000" w:themeColor="text1"/>
          <w:kern w:val="0"/>
          <w:szCs w:val="21"/>
          <w:highlight w:val="none"/>
          <w:u w:val="single"/>
          <w:lang w:val="zh-CN"/>
          <w14:textFill>
            <w14:solidFill>
              <w14:schemeClr w14:val="tx1"/>
            </w14:solidFill>
          </w14:textFill>
        </w:rPr>
        <w:t>XX工作内容</w:t>
      </w:r>
      <w:r>
        <w:rPr>
          <w:rFonts w:hint="eastAsia" w:ascii="宋体" w:hAnsi="宋体" w:cs="宋体"/>
          <w:color w:val="000000" w:themeColor="text1"/>
          <w:kern w:val="0"/>
          <w:szCs w:val="21"/>
          <w:highlight w:val="none"/>
          <w:lang w:val="zh-CN"/>
          <w14:textFill>
            <w14:solidFill>
              <w14:schemeClr w14:val="tx1"/>
            </w14:solidFill>
          </w14:textFill>
        </w:rPr>
        <w:t>相应资质条件且不得再次分包；</w:t>
      </w:r>
    </w:p>
    <w:p w14:paraId="7D5FDDC4">
      <w:pPr>
        <w:widowControl/>
        <w:spacing w:line="48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p w14:paraId="5212DBC3">
      <w:pPr>
        <w:widowControl/>
        <w:numPr>
          <w:ilvl w:val="0"/>
          <w:numId w:val="5"/>
        </w:numPr>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分包供应商中小企业合同份额（如果有）</w:t>
      </w:r>
    </w:p>
    <w:p w14:paraId="5A8AE438">
      <w:pPr>
        <w:widowControl/>
        <w:numPr>
          <w:ilvl w:val="0"/>
          <w:numId w:val="6"/>
        </w:numPr>
        <w:spacing w:line="480" w:lineRule="exact"/>
        <w:ind w:firstLine="420" w:firstLineChars="200"/>
        <w:jc w:val="left"/>
        <w:rPr>
          <w:rFonts w:ascii="宋体" w:hAnsi="宋体" w:cs="宋体"/>
          <w:b/>
          <w:bCs/>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（分包供应商X</w:t>
      </w:r>
      <w:r>
        <w:rPr>
          <w:rFonts w:ascii="宋体" w:hAnsi="宋体" w:cs="宋体"/>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……）提供的服务全部由小微企业承接，</w:t>
      </w:r>
      <w:r>
        <w:rPr>
          <w:rFonts w:hint="eastAsia" w:ascii="宋体" w:hAnsi="宋体" w:cs="宋体"/>
          <w:color w:val="000000" w:themeColor="text1"/>
          <w:kern w:val="0"/>
          <w:szCs w:val="21"/>
          <w:highlight w:val="none"/>
          <w14:textFill>
            <w14:solidFill>
              <w14:schemeClr w14:val="tx1"/>
            </w14:solidFill>
          </w14:textFill>
        </w:rPr>
        <w:t>其合同份额占到合同总金额%以上</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000000" w:themeColor="text1"/>
          <w:kern w:val="0"/>
          <w:szCs w:val="21"/>
          <w:highlight w:val="none"/>
          <w14:textFill>
            <w14:solidFill>
              <w14:schemeClr w14:val="tx1"/>
            </w14:solidFill>
          </w14:textFill>
        </w:rPr>
        <w:t>4</w:t>
      </w:r>
      <w:r>
        <w:rPr>
          <w:rFonts w:hint="eastAsia" w:ascii="宋体" w:hAnsi="宋体" w:cs="宋体"/>
          <w:b/>
          <w:color w:val="000000" w:themeColor="text1"/>
          <w:kern w:val="0"/>
          <w:szCs w:val="21"/>
          <w:highlight w:val="none"/>
          <w:lang w:val="zh-CN"/>
          <w14:textFill>
            <w14:solidFill>
              <w14:schemeClr w14:val="tx1"/>
            </w14:solidFill>
          </w14:textFill>
        </w:rPr>
        <w:t>%的扣除。供应商</w:t>
      </w:r>
      <w:r>
        <w:rPr>
          <w:rFonts w:hint="eastAsia" w:ascii="宋体" w:hAnsi="宋体" w:cs="宋体"/>
          <w:b/>
          <w:color w:val="000000" w:themeColor="text1"/>
          <w:szCs w:val="21"/>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Cs w:val="21"/>
          <w:highlight w:val="none"/>
          <w:lang w:val="zh-CN"/>
          <w14:textFill>
            <w14:solidFill>
              <w14:schemeClr w14:val="tx1"/>
            </w14:solidFill>
          </w14:textFill>
        </w:rPr>
        <w:t>）</w:t>
      </w:r>
    </w:p>
    <w:p w14:paraId="3042191F">
      <w:pPr>
        <w:widowControl/>
        <w:numPr>
          <w:ilvl w:val="0"/>
          <w:numId w:val="6"/>
        </w:numPr>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中小企业合同金额达到%，小微企业合同金额达到%</w:t>
      </w: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b/>
          <w:bCs/>
          <w:color w:val="000000" w:themeColor="text1"/>
          <w:kern w:val="0"/>
          <w:szCs w:val="21"/>
          <w:highlight w:val="none"/>
          <w:lang w:val="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Cs w:val="21"/>
          <w:highlight w:val="none"/>
          <w:lang w:val="zh-CN"/>
          <w14:textFill>
            <w14:solidFill>
              <w14:schemeClr w14:val="tx1"/>
            </w14:solidFill>
          </w14:textFill>
        </w:rPr>
        <w:t>分包意向协议</w:t>
      </w:r>
      <w:r>
        <w:rPr>
          <w:rFonts w:hint="eastAsia" w:ascii="宋体" w:hAnsi="宋体" w:cs="宋体"/>
          <w:b/>
          <w:bCs/>
          <w:color w:val="000000" w:themeColor="text1"/>
          <w:szCs w:val="21"/>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Cs w:val="21"/>
          <w:highlight w:val="none"/>
          <w:lang w:val="zh-CN"/>
          <w14:textFill>
            <w14:solidFill>
              <w14:schemeClr w14:val="tx1"/>
            </w14:solidFill>
          </w14:textFill>
        </w:rPr>
        <w:t>）</w:t>
      </w:r>
    </w:p>
    <w:p w14:paraId="05EBD4A8">
      <w:pPr>
        <w:widowControl/>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三、分包工作履行期限、地点、方式</w:t>
      </w:r>
    </w:p>
    <w:p w14:paraId="6AAB1953">
      <w:pPr>
        <w:widowControl/>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四、质量</w:t>
      </w:r>
    </w:p>
    <w:p w14:paraId="5F607305">
      <w:pPr>
        <w:widowControl/>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五、价款或者报酬</w:t>
      </w:r>
    </w:p>
    <w:p w14:paraId="628EA82F">
      <w:pPr>
        <w:widowControl/>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六、违约责任</w:t>
      </w:r>
    </w:p>
    <w:p w14:paraId="0F2C730E">
      <w:pPr>
        <w:widowControl/>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七、争议解决的办法</w:t>
      </w:r>
    </w:p>
    <w:p w14:paraId="24630714">
      <w:pPr>
        <w:widowControl/>
        <w:spacing w:line="480" w:lineRule="exact"/>
        <w:ind w:firstLine="420" w:firstLineChars="200"/>
        <w:jc w:val="left"/>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八、其他</w:t>
      </w:r>
    </w:p>
    <w:p w14:paraId="5D5FAB7F">
      <w:pPr>
        <w:snapToGrid w:val="0"/>
        <w:spacing w:line="360" w:lineRule="auto"/>
        <w:ind w:firstLine="5250" w:firstLineChars="25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投标人名称(</w:t>
      </w:r>
      <w:r>
        <w:rPr>
          <w:rFonts w:hint="eastAsia" w:ascii="宋体" w:hAnsi="宋体" w:cs="宋体"/>
          <w:color w:val="000000" w:themeColor="text1"/>
          <w:kern w:val="0"/>
          <w:szCs w:val="21"/>
          <w:highlight w:val="none"/>
          <w14:textFill>
            <w14:solidFill>
              <w14:schemeClr w14:val="tx1"/>
            </w14:solidFill>
          </w14:textFill>
        </w:rPr>
        <w:t>公章</w:t>
      </w:r>
      <w:r>
        <w:rPr>
          <w:rFonts w:hint="eastAsia" w:ascii="宋体" w:hAnsi="宋体" w:cs="宋体"/>
          <w:color w:val="000000" w:themeColor="text1"/>
          <w:kern w:val="0"/>
          <w:szCs w:val="21"/>
          <w:highlight w:val="none"/>
          <w:lang w:val="zh-CN"/>
          <w14:textFill>
            <w14:solidFill>
              <w14:schemeClr w14:val="tx1"/>
            </w14:solidFill>
          </w14:textFill>
        </w:rPr>
        <w:t>)：</w:t>
      </w:r>
    </w:p>
    <w:p w14:paraId="0057A315">
      <w:pPr>
        <w:snapToGrid w:val="0"/>
        <w:spacing w:line="360" w:lineRule="auto"/>
        <w:ind w:firstLine="5250" w:firstLineChars="250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分包供应商名称：</w:t>
      </w:r>
    </w:p>
    <w:p w14:paraId="3889FF70">
      <w:pPr>
        <w:snapToGrid w:val="0"/>
        <w:spacing w:line="360" w:lineRule="auto"/>
        <w:ind w:firstLine="5250" w:firstLineChars="250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w:t>
      </w:r>
    </w:p>
    <w:p w14:paraId="70BEF4BB">
      <w:pPr>
        <w:snapToGrid w:val="0"/>
        <w:spacing w:line="360" w:lineRule="auto"/>
        <w:ind w:left="5355" w:leftChars="2500" w:hanging="105" w:hangingChars="50"/>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日期：  年  月   日</w:t>
      </w:r>
    </w:p>
    <w:p w14:paraId="6968A213">
      <w:pPr>
        <w:pStyle w:val="4"/>
        <w:spacing w:line="380" w:lineRule="exact"/>
        <w:rPr>
          <w:rFonts w:asciiTheme="minorEastAsia" w:hAnsiTheme="minorEastAsia" w:eastAsiaTheme="minorEastAsia"/>
          <w:color w:val="000000" w:themeColor="text1"/>
          <w:sz w:val="28"/>
          <w:szCs w:val="28"/>
          <w:highlight w:val="none"/>
          <w14:textFill>
            <w14:solidFill>
              <w14:schemeClr w14:val="tx1"/>
            </w14:solidFill>
          </w14:textFill>
        </w:rPr>
      </w:pPr>
    </w:p>
    <w:p w14:paraId="2B8522F1">
      <w:pPr>
        <w:pStyle w:val="4"/>
        <w:spacing w:line="380" w:lineRule="exact"/>
        <w:rPr>
          <w:rFonts w:asciiTheme="minorEastAsia" w:hAnsiTheme="minorEastAsia" w:eastAsiaTheme="minorEastAsia"/>
          <w:color w:val="000000" w:themeColor="text1"/>
          <w:sz w:val="28"/>
          <w:szCs w:val="28"/>
          <w:highlight w:val="none"/>
          <w14:textFill>
            <w14:solidFill>
              <w14:schemeClr w14:val="tx1"/>
            </w14:solidFill>
          </w14:textFill>
        </w:rPr>
      </w:pPr>
      <w:bookmarkStart w:id="147" w:name="_Toc5191"/>
      <w:bookmarkStart w:id="148" w:name="_Toc136345118"/>
      <w:bookmarkStart w:id="149" w:name="_Toc136017657"/>
      <w:r>
        <w:rPr>
          <w:rFonts w:hint="eastAsia" w:asciiTheme="minorEastAsia" w:hAnsiTheme="minorEastAsia" w:eastAsiaTheme="minorEastAsia"/>
          <w:color w:val="000000" w:themeColor="text1"/>
          <w:sz w:val="28"/>
          <w:szCs w:val="28"/>
          <w:highlight w:val="none"/>
          <w14:textFill>
            <w14:solidFill>
              <w14:schemeClr w14:val="tx1"/>
            </w14:solidFill>
          </w14:textFill>
        </w:rPr>
        <w:t>（四）投标人的特定条件的证明文件</w:t>
      </w:r>
      <w:bookmarkEnd w:id="147"/>
      <w:bookmarkEnd w:id="148"/>
      <w:bookmarkEnd w:id="149"/>
    </w:p>
    <w:p w14:paraId="010BF049">
      <w:pPr>
        <w:pStyle w:val="4"/>
        <w:spacing w:line="380" w:lineRule="exact"/>
        <w:rPr>
          <w:rFonts w:cs="仿宋_GB2312" w:asciiTheme="minorEastAsia" w:hAnsiTheme="minorEastAsia" w:eastAsiaTheme="minorEastAsia"/>
          <w:b w:val="0"/>
          <w:bCs w:val="0"/>
          <w:color w:val="000000" w:themeColor="text1"/>
          <w:kern w:val="2"/>
          <w:sz w:val="24"/>
          <w:szCs w:val="20"/>
          <w:highlight w:val="none"/>
          <w14:textFill>
            <w14:solidFill>
              <w14:schemeClr w14:val="tx1"/>
            </w14:solidFill>
          </w14:textFill>
        </w:rPr>
      </w:pPr>
      <w:bookmarkStart w:id="150" w:name="_Toc136345119"/>
      <w:bookmarkStart w:id="151" w:name="_Toc5570"/>
      <w:bookmarkStart w:id="152" w:name="_Toc136017658"/>
      <w:r>
        <w:rPr>
          <w:rFonts w:hint="eastAsia" w:cs="仿宋_GB2312" w:asciiTheme="minorEastAsia" w:hAnsiTheme="minorEastAsia" w:eastAsiaTheme="minorEastAsia"/>
          <w:b w:val="0"/>
          <w:bCs w:val="0"/>
          <w:color w:val="000000" w:themeColor="text1"/>
          <w:kern w:val="2"/>
          <w:sz w:val="24"/>
          <w:szCs w:val="20"/>
          <w:highlight w:val="none"/>
          <w14:textFill>
            <w14:solidFill>
              <w14:schemeClr w14:val="tx1"/>
            </w14:solidFill>
          </w14:textFill>
        </w:rPr>
        <w:t>（根据招标公告本项目的特定资格要求提供相应的材料；未要求的，无需提供）</w:t>
      </w:r>
      <w:bookmarkEnd w:id="150"/>
      <w:bookmarkEnd w:id="151"/>
      <w:bookmarkEnd w:id="152"/>
    </w:p>
    <w:p w14:paraId="6DA00C78">
      <w:pPr>
        <w:widowControl/>
        <w:jc w:val="left"/>
        <w:rPr>
          <w:rFonts w:asciiTheme="minorEastAsia" w:hAnsiTheme="minorEastAsia" w:eastAsiaTheme="minorEastAsia"/>
          <w:b/>
          <w:bCs/>
          <w:color w:val="000000" w:themeColor="text1"/>
          <w:sz w:val="24"/>
          <w:szCs w:val="24"/>
          <w:highlight w:val="none"/>
          <w14:textFill>
            <w14:solidFill>
              <w14:schemeClr w14:val="tx1"/>
            </w14:solidFill>
          </w14:textFill>
        </w:rPr>
      </w:pPr>
    </w:p>
    <w:p w14:paraId="46FE4C1C">
      <w:pPr>
        <w:widowControl/>
        <w:jc w:val="left"/>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Cs/>
          <w:color w:val="000000" w:themeColor="text1"/>
          <w:sz w:val="24"/>
          <w:szCs w:val="24"/>
          <w:highlight w:val="none"/>
          <w14:textFill>
            <w14:solidFill>
              <w14:schemeClr w14:val="tx1"/>
            </w14:solidFill>
          </w14:textFill>
        </w:rPr>
        <w:br w:type="page"/>
      </w:r>
    </w:p>
    <w:p w14:paraId="3B312504">
      <w:pPr>
        <w:widowControl/>
        <w:spacing w:line="360" w:lineRule="auto"/>
        <w:jc w:val="left"/>
        <w:rPr>
          <w:rFonts w:asciiTheme="minorEastAsia" w:hAnsiTheme="minorEastAsia" w:eastAsiaTheme="minorEastAsia"/>
          <w:bCs/>
          <w:color w:val="000000" w:themeColor="text1"/>
          <w:sz w:val="24"/>
          <w:szCs w:val="24"/>
          <w:highlight w:val="none"/>
          <w14:textFill>
            <w14:solidFill>
              <w14:schemeClr w14:val="tx1"/>
            </w14:solidFill>
          </w14:textFill>
        </w:rPr>
      </w:pPr>
    </w:p>
    <w:p w14:paraId="5B19526F">
      <w:pPr>
        <w:widowControl/>
        <w:spacing w:line="360" w:lineRule="auto"/>
        <w:jc w:val="left"/>
        <w:rPr>
          <w:rFonts w:hint="eastAsia" w:cs="宋体" w:asciiTheme="minorEastAsia" w:hAnsiTheme="minorEastAsia" w:eastAsiaTheme="minorEastAsia"/>
          <w:b/>
          <w:bCs/>
          <w:color w:val="000000" w:themeColor="text1"/>
          <w:kern w:val="0"/>
          <w:szCs w:val="21"/>
          <w:highlight w:val="none"/>
          <w:lang w:eastAsia="zh-CN"/>
          <w14:textFill>
            <w14:solidFill>
              <w14:schemeClr w14:val="tx1"/>
            </w14:solidFill>
          </w14:textFill>
        </w:rPr>
      </w:pPr>
    </w:p>
    <w:p w14:paraId="127BC433">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 xml:space="preserve">商务技术文件组成： </w:t>
      </w:r>
    </w:p>
    <w:p w14:paraId="4B7CD74E">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（1）单位负责人的身份证明或单位负责人授权书（投标人的代表若不为单位负责人的，必须提交单位负责人授权书），并提供单位负责人和授权代表的身份证正反两面复印件；</w:t>
      </w:r>
    </w:p>
    <w:p w14:paraId="20EB557A">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（2）投标人基本情况表；</w:t>
      </w:r>
    </w:p>
    <w:p w14:paraId="56B23DEA">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（3）联合协议（如有）；</w:t>
      </w:r>
    </w:p>
    <w:p w14:paraId="1B4005B7">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（4）分包意向协议（如有）；</w:t>
      </w:r>
    </w:p>
    <w:p w14:paraId="68BD1090">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（5）技术条款偏离表；</w:t>
      </w:r>
    </w:p>
    <w:p w14:paraId="3B001D22">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（6）商务条款偏离表；</w:t>
      </w:r>
    </w:p>
    <w:p w14:paraId="21AA2CA5">
      <w:pPr>
        <w:widowControl/>
        <w:spacing w:line="360" w:lineRule="auto"/>
        <w:ind w:firstLine="420" w:firstLineChars="20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（7）第五部分“评标办法”中“评分标准”要求提供的资料（如有需提供）。</w:t>
      </w:r>
    </w:p>
    <w:p w14:paraId="2AFF30DF">
      <w:pPr>
        <w:widowControl/>
        <w:spacing w:line="360" w:lineRule="auto"/>
        <w:ind w:firstLine="48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p>
    <w:p w14:paraId="6A74FFF2">
      <w:pPr>
        <w:widowControl/>
        <w:ind w:firstLine="484" w:firstLineChars="202"/>
        <w:jc w:val="left"/>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Cs/>
          <w:color w:val="000000" w:themeColor="text1"/>
          <w:sz w:val="24"/>
          <w:szCs w:val="24"/>
          <w:highlight w:val="none"/>
          <w14:textFill>
            <w14:solidFill>
              <w14:schemeClr w14:val="tx1"/>
            </w14:solidFill>
          </w14:textFill>
        </w:rPr>
        <w:br w:type="page"/>
      </w:r>
    </w:p>
    <w:p w14:paraId="36C41FB8">
      <w:pPr>
        <w:pStyle w:val="3"/>
        <w:spacing w:line="380" w:lineRule="exact"/>
        <w:rPr>
          <w:rFonts w:asciiTheme="minorEastAsia" w:hAnsiTheme="minorEastAsia" w:eastAsiaTheme="minorEastAsia"/>
          <w:bCs w:val="0"/>
          <w:color w:val="000000" w:themeColor="text1"/>
          <w:sz w:val="24"/>
          <w:szCs w:val="24"/>
          <w:highlight w:val="none"/>
          <w14:textFill>
            <w14:solidFill>
              <w14:schemeClr w14:val="tx1"/>
            </w14:solidFill>
          </w14:textFill>
        </w:rPr>
      </w:pPr>
    </w:p>
    <w:p w14:paraId="4E10FF25">
      <w:pPr>
        <w:pStyle w:val="3"/>
        <w:spacing w:line="380" w:lineRule="exact"/>
        <w:rPr>
          <w:rFonts w:asciiTheme="minorEastAsia" w:hAnsiTheme="minorEastAsia" w:eastAsiaTheme="minorEastAsia"/>
          <w:bCs w:val="0"/>
          <w:color w:val="000000" w:themeColor="text1"/>
          <w:sz w:val="24"/>
          <w:szCs w:val="24"/>
          <w:highlight w:val="none"/>
          <w14:textFill>
            <w14:solidFill>
              <w14:schemeClr w14:val="tx1"/>
            </w14:solidFill>
          </w14:textFill>
        </w:rPr>
      </w:pPr>
      <w:bookmarkStart w:id="153" w:name="_Toc136345120"/>
      <w:bookmarkStart w:id="154" w:name="_Toc31823"/>
      <w:bookmarkStart w:id="155" w:name="_Toc136017659"/>
      <w:r>
        <w:rPr>
          <w:rFonts w:hint="eastAsia" w:asciiTheme="minorEastAsia" w:hAnsiTheme="minorEastAsia" w:eastAsiaTheme="minorEastAsia"/>
          <w:bCs w:val="0"/>
          <w:color w:val="000000" w:themeColor="text1"/>
          <w:sz w:val="24"/>
          <w:szCs w:val="24"/>
          <w:highlight w:val="none"/>
          <w14:textFill>
            <w14:solidFill>
              <w14:schemeClr w14:val="tx1"/>
            </w14:solidFill>
          </w14:textFill>
        </w:rPr>
        <w:t>（一）单位负责人授权书</w:t>
      </w:r>
      <w:bookmarkEnd w:id="153"/>
      <w:bookmarkEnd w:id="154"/>
      <w:bookmarkEnd w:id="155"/>
    </w:p>
    <w:p w14:paraId="7C617921">
      <w:pPr>
        <w:pStyle w:val="16"/>
        <w:ind w:firstLine="0"/>
        <w:jc w:val="center"/>
        <w:rPr>
          <w:rFonts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bCs/>
          <w:color w:val="000000" w:themeColor="text1"/>
          <w:sz w:val="24"/>
          <w:highlight w:val="none"/>
          <w14:textFill>
            <w14:solidFill>
              <w14:schemeClr w14:val="tx1"/>
            </w14:solidFill>
          </w14:textFill>
        </w:rPr>
        <w:t>（单位负责人来投标的，此表不用）</w:t>
      </w:r>
    </w:p>
    <w:p w14:paraId="651B870A">
      <w:pPr>
        <w:pStyle w:val="16"/>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 xml:space="preserve">  致 （</w:t>
      </w:r>
      <w:r>
        <w:rPr>
          <w:rFonts w:hint="eastAsia" w:asciiTheme="minorEastAsia" w:hAnsiTheme="minorEastAsia" w:eastAsiaTheme="minorEastAsia"/>
          <w:i/>
          <w:color w:val="000000" w:themeColor="text1"/>
          <w:sz w:val="21"/>
          <w:szCs w:val="21"/>
          <w:highlight w:val="none"/>
          <w:u w:val="single"/>
          <w14:textFill>
            <w14:solidFill>
              <w14:schemeClr w14:val="tx1"/>
            </w14:solidFill>
          </w14:textFill>
        </w:rPr>
        <w:t>采购代理机构</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14:paraId="08284AC3">
      <w:pPr>
        <w:pStyle w:val="16"/>
        <w:ind w:firstLine="0"/>
        <w:rPr>
          <w:rFonts w:asciiTheme="minorEastAsia" w:hAnsiTheme="minorEastAsia" w:eastAsiaTheme="minorEastAsia"/>
          <w:color w:val="000000" w:themeColor="text1"/>
          <w:sz w:val="21"/>
          <w:szCs w:val="21"/>
          <w:highlight w:val="none"/>
          <w14:textFill>
            <w14:solidFill>
              <w14:schemeClr w14:val="tx1"/>
            </w14:solidFill>
          </w14:textFill>
        </w:rPr>
      </w:pPr>
    </w:p>
    <w:p w14:paraId="64F2A21E">
      <w:pPr>
        <w:snapToGrid w:val="0"/>
        <w:spacing w:line="360" w:lineRule="auto"/>
        <w:ind w:firstLine="420" w:firstLineChars="200"/>
        <w:rPr>
          <w:rFonts w:cs="仿宋_GB2312" w:asciiTheme="minorEastAsia" w:hAnsiTheme="minorEastAsia" w:eastAsiaTheme="minorEastAsia"/>
          <w:color w:val="000000" w:themeColor="text1"/>
          <w:kern w:val="0"/>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t>现</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委托（姓名）为我方代理人（身份证号码：，手机：），以我方名义处理</w:t>
      </w:r>
      <w:r>
        <w:rPr>
          <w:rFonts w:hint="eastAsia" w:asciiTheme="minorEastAsia" w:hAnsiTheme="minorEastAsia" w:eastAsiaTheme="minorEastAsia"/>
          <w:color w:val="000000" w:themeColor="text1"/>
          <w:szCs w:val="21"/>
          <w:highlight w:val="none"/>
          <w14:textFill>
            <w14:solidFill>
              <w14:schemeClr w14:val="tx1"/>
            </w14:solidFill>
          </w14:textFill>
        </w:rPr>
        <w:t>项目</w:t>
      </w:r>
      <w:r>
        <w:rPr>
          <w:rFonts w:hint="eastAsia" w:cs="仿宋_GB2312" w:asciiTheme="minorEastAsia" w:hAnsiTheme="minorEastAsia" w:eastAsiaTheme="minorEastAsia"/>
          <w:color w:val="000000" w:themeColor="text1"/>
          <w:szCs w:val="21"/>
          <w:highlight w:val="none"/>
          <w14:textFill>
            <w14:solidFill>
              <w14:schemeClr w14:val="tx1"/>
            </w14:solidFill>
          </w14:textFill>
        </w:rPr>
        <w:t>【招标编号：】</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政府采购投标的一切事项，其法律后果由我方承担。</w:t>
      </w:r>
    </w:p>
    <w:p w14:paraId="4F122FFB">
      <w:pPr>
        <w:snapToGrid w:val="0"/>
        <w:spacing w:line="360" w:lineRule="auto"/>
        <w:rPr>
          <w:rFonts w:cs="仿宋_GB2312" w:asciiTheme="minorEastAsia" w:hAnsiTheme="minorEastAsia" w:eastAsiaTheme="minorEastAsia"/>
          <w:color w:val="000000" w:themeColor="text1"/>
          <w:kern w:val="0"/>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委托期限</w:t>
      </w:r>
      <w:r>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自年月日起至年月日止。</w:t>
      </w:r>
    </w:p>
    <w:p w14:paraId="12C565EB">
      <w:pPr>
        <w:pStyle w:val="16"/>
        <w:ind w:firstLine="420"/>
        <w:rPr>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lang w:val="zh-CN"/>
          <w14:textFill>
            <w14:solidFill>
              <w14:schemeClr w14:val="tx1"/>
            </w14:solidFill>
          </w14:textFill>
        </w:rPr>
        <w:t>特此告知。</w:t>
      </w:r>
    </w:p>
    <w:p w14:paraId="79FAA74D">
      <w:pPr>
        <w:pStyle w:val="33"/>
        <w:ind w:left="0" w:leftChars="0" w:firstLine="0" w:firstLineChars="0"/>
        <w:rPr>
          <w:color w:val="000000" w:themeColor="text1"/>
          <w:highlight w:val="none"/>
          <w14:textFill>
            <w14:solidFill>
              <w14:schemeClr w14:val="tx1"/>
            </w14:solidFill>
          </w14:textFill>
        </w:rPr>
      </w:pPr>
    </w:p>
    <w:p w14:paraId="4D1A7CF1">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w:t>
      </w:r>
    </w:p>
    <w:p w14:paraId="151F7DF7">
      <w:pPr>
        <w:pStyle w:val="15"/>
        <w:spacing w:line="440" w:lineRule="exac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授权代表姓名： 性别：年龄：。</w:t>
      </w:r>
    </w:p>
    <w:p w14:paraId="79F99508">
      <w:pPr>
        <w:spacing w:line="440" w:lineRule="exac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部门：职务：联系电话： </w:t>
      </w:r>
    </w:p>
    <w:p w14:paraId="3C9B0B03">
      <w:pPr>
        <w:pStyle w:val="16"/>
        <w:ind w:firstLine="0"/>
        <w:rPr>
          <w:rFonts w:asciiTheme="minorEastAsia" w:hAnsiTheme="minorEastAsia" w:eastAsiaTheme="minorEastAsia"/>
          <w:color w:val="000000" w:themeColor="text1"/>
          <w:sz w:val="21"/>
          <w:szCs w:val="21"/>
          <w:highlight w:val="none"/>
          <w14:textFill>
            <w14:solidFill>
              <w14:schemeClr w14:val="tx1"/>
            </w14:solidFill>
          </w14:textFill>
        </w:rPr>
      </w:pPr>
    </w:p>
    <w:p w14:paraId="5299B69E">
      <w:pPr>
        <w:pStyle w:val="16"/>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投标人</w:t>
      </w:r>
      <w:r>
        <w:rPr>
          <w:rFonts w:hint="eastAsia" w:asciiTheme="minorEastAsia" w:hAnsiTheme="minorEastAsia" w:eastAsiaTheme="minorEastAsia"/>
          <w:i/>
          <w:iCs/>
          <w:color w:val="000000" w:themeColor="text1"/>
          <w:sz w:val="21"/>
          <w:szCs w:val="21"/>
          <w:highlight w:val="none"/>
          <w14:textFill>
            <w14:solidFill>
              <w14:schemeClr w14:val="tx1"/>
            </w14:solidFill>
          </w14:textFill>
        </w:rPr>
        <w:t>（联合体成员）</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单位全称（公章）：</w:t>
      </w:r>
    </w:p>
    <w:p w14:paraId="7F6FE436">
      <w:pPr>
        <w:pStyle w:val="16"/>
        <w:ind w:firstLine="4410" w:firstLineChars="21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单位负责人（签字或印章）：</w:t>
      </w:r>
    </w:p>
    <w:p w14:paraId="3A06DE7D">
      <w:pPr>
        <w:pStyle w:val="16"/>
        <w:ind w:firstLine="0"/>
        <w:rPr>
          <w:rFonts w:asciiTheme="minorEastAsia" w:hAnsiTheme="minorEastAsia" w:eastAsiaTheme="minorEastAsia"/>
          <w:color w:val="000000" w:themeColor="text1"/>
          <w:sz w:val="21"/>
          <w:szCs w:val="21"/>
          <w:highlight w:val="none"/>
          <w14:textFill>
            <w14:solidFill>
              <w14:schemeClr w14:val="tx1"/>
            </w14:solidFill>
          </w14:textFill>
        </w:rPr>
      </w:pPr>
    </w:p>
    <w:p w14:paraId="7C85483E">
      <w:pPr>
        <w:pStyle w:val="16"/>
        <w:ind w:firstLine="0"/>
        <w:rPr>
          <w:rFonts w:asciiTheme="minorEastAsia" w:hAnsiTheme="minorEastAsia" w:eastAsiaTheme="minorEastAsia"/>
          <w:i/>
          <w:iCs/>
          <w:color w:val="000000" w:themeColor="text1"/>
          <w:sz w:val="21"/>
          <w:szCs w:val="21"/>
          <w:highlight w:val="none"/>
          <w14:textFill>
            <w14:solidFill>
              <w14:schemeClr w14:val="tx1"/>
            </w14:solidFill>
          </w14:textFill>
        </w:rPr>
      </w:pPr>
      <w:r>
        <w:rPr>
          <w:rFonts w:hint="eastAsia" w:asciiTheme="minorEastAsia" w:hAnsiTheme="minorEastAsia" w:eastAsiaTheme="minorEastAsia"/>
          <w:i/>
          <w:iCs/>
          <w:color w:val="000000" w:themeColor="text1"/>
          <w:sz w:val="21"/>
          <w:szCs w:val="21"/>
          <w:highlight w:val="none"/>
          <w14:textFill>
            <w14:solidFill>
              <w14:schemeClr w14:val="tx1"/>
            </w14:solidFill>
          </w14:textFill>
        </w:rPr>
        <w:t xml:space="preserve">                                          投标人（联合体成员）单位全称（公章）：</w:t>
      </w:r>
    </w:p>
    <w:p w14:paraId="3F99E8FF">
      <w:pPr>
        <w:pStyle w:val="16"/>
        <w:ind w:firstLine="4410" w:firstLineChars="2100"/>
        <w:rPr>
          <w:rFonts w:asciiTheme="minorEastAsia" w:hAnsiTheme="minorEastAsia" w:eastAsiaTheme="minorEastAsia"/>
          <w:i/>
          <w:iCs/>
          <w:color w:val="000000" w:themeColor="text1"/>
          <w:sz w:val="21"/>
          <w:szCs w:val="21"/>
          <w:highlight w:val="none"/>
          <w14:textFill>
            <w14:solidFill>
              <w14:schemeClr w14:val="tx1"/>
            </w14:solidFill>
          </w14:textFill>
        </w:rPr>
      </w:pPr>
      <w:r>
        <w:rPr>
          <w:rFonts w:hint="eastAsia" w:asciiTheme="minorEastAsia" w:hAnsiTheme="minorEastAsia" w:eastAsiaTheme="minorEastAsia"/>
          <w:i/>
          <w:iCs/>
          <w:color w:val="000000" w:themeColor="text1"/>
          <w:sz w:val="21"/>
          <w:szCs w:val="21"/>
          <w:highlight w:val="none"/>
          <w14:textFill>
            <w14:solidFill>
              <w14:schemeClr w14:val="tx1"/>
            </w14:solidFill>
          </w14:textFill>
        </w:rPr>
        <w:t>单位负责人（签字或印章）：</w:t>
      </w:r>
    </w:p>
    <w:p w14:paraId="277495FF">
      <w:pPr>
        <w:pStyle w:val="16"/>
        <w:ind w:firstLine="0"/>
        <w:rPr>
          <w:rFonts w:asciiTheme="minorEastAsia" w:hAnsiTheme="minorEastAsia" w:eastAsiaTheme="minorEastAsia"/>
          <w:color w:val="000000" w:themeColor="text1"/>
          <w:sz w:val="21"/>
          <w:szCs w:val="21"/>
          <w:highlight w:val="none"/>
          <w14:textFill>
            <w14:solidFill>
              <w14:schemeClr w14:val="tx1"/>
            </w14:solidFill>
          </w14:textFill>
        </w:rPr>
      </w:pPr>
    </w:p>
    <w:p w14:paraId="06AA63DF">
      <w:pPr>
        <w:pStyle w:val="16"/>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日  期：</w:t>
      </w:r>
    </w:p>
    <w:p w14:paraId="1413511D">
      <w:pPr>
        <w:ind w:firstLine="417" w:firstLineChars="198"/>
        <w:rPr>
          <w:rFonts w:asciiTheme="minorEastAsia" w:hAnsiTheme="minorEastAsia" w:eastAsiaTheme="minorEastAsia"/>
          <w:b/>
          <w:color w:val="000000" w:themeColor="text1"/>
          <w:szCs w:val="21"/>
          <w:highlight w:val="none"/>
          <w14:textFill>
            <w14:solidFill>
              <w14:schemeClr w14:val="tx1"/>
            </w14:solidFill>
          </w14:textFill>
        </w:rPr>
      </w:pPr>
    </w:p>
    <w:p w14:paraId="09A4D42E">
      <w:pPr>
        <w:rPr>
          <w:rFonts w:asciiTheme="minorEastAsia" w:hAnsiTheme="minorEastAsia" w:eastAsiaTheme="minorEastAsia"/>
          <w:b/>
          <w:color w:val="000000" w:themeColor="text1"/>
          <w:szCs w:val="21"/>
          <w:highlight w:val="none"/>
          <w14:textFill>
            <w14:solidFill>
              <w14:schemeClr w14:val="tx1"/>
            </w14:solidFill>
          </w14:textFill>
        </w:rPr>
      </w:pPr>
    </w:p>
    <w:p w14:paraId="205D8154">
      <w:pP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附：被授权人身份证复印件</w:t>
      </w:r>
    </w:p>
    <w:p w14:paraId="7CE227A5">
      <w:pPr>
        <w:widowControl/>
        <w:jc w:val="left"/>
        <w:rPr>
          <w:rFonts w:asciiTheme="minorEastAsia" w:hAnsiTheme="minorEastAsia" w:eastAsiaTheme="minorEastAsia"/>
          <w:b/>
          <w:color w:val="000000" w:themeColor="text1"/>
          <w:szCs w:val="21"/>
          <w:highlight w:val="none"/>
          <w14:textFill>
            <w14:solidFill>
              <w14:schemeClr w14:val="tx1"/>
            </w14:solidFill>
          </w14:textFill>
        </w:rPr>
      </w:pPr>
    </w:p>
    <w:p w14:paraId="539E3115">
      <w:pPr>
        <w:widowControl/>
        <w:jc w:val="left"/>
        <w:rPr>
          <w:rFonts w:asciiTheme="minorEastAsia" w:hAnsiTheme="minorEastAsia" w:eastAsiaTheme="minorEastAsia"/>
          <w:b/>
          <w:color w:val="000000" w:themeColor="text1"/>
          <w:szCs w:val="21"/>
          <w:highlight w:val="none"/>
          <w14:textFill>
            <w14:solidFill>
              <w14:schemeClr w14:val="tx1"/>
            </w14:solidFill>
          </w14:textFill>
        </w:rPr>
      </w:pPr>
    </w:p>
    <w:p w14:paraId="2FE37401">
      <w:pPr>
        <w:widowControl/>
        <w:jc w:val="left"/>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（若为联合体投标，联合体须同时盖章提供）</w:t>
      </w:r>
      <w:r>
        <w:rPr>
          <w:rFonts w:asciiTheme="minorEastAsia" w:hAnsiTheme="minorEastAsia" w:eastAsiaTheme="minorEastAsia"/>
          <w:b/>
          <w:color w:val="000000" w:themeColor="text1"/>
          <w:szCs w:val="21"/>
          <w:highlight w:val="none"/>
          <w14:textFill>
            <w14:solidFill>
              <w14:schemeClr w14:val="tx1"/>
            </w14:solidFill>
          </w14:textFill>
        </w:rPr>
        <w:br w:type="page"/>
      </w:r>
    </w:p>
    <w:p w14:paraId="0E5C2C6B">
      <w:pPr>
        <w:pStyle w:val="3"/>
        <w:spacing w:line="380" w:lineRule="exact"/>
        <w:rPr>
          <w:rFonts w:asciiTheme="minorEastAsia" w:hAnsiTheme="minorEastAsia" w:eastAsiaTheme="minorEastAsia"/>
          <w:bCs w:val="0"/>
          <w:color w:val="000000" w:themeColor="text1"/>
          <w:sz w:val="24"/>
          <w:szCs w:val="24"/>
          <w:highlight w:val="none"/>
          <w14:textFill>
            <w14:solidFill>
              <w14:schemeClr w14:val="tx1"/>
            </w14:solidFill>
          </w14:textFill>
        </w:rPr>
      </w:pPr>
    </w:p>
    <w:p w14:paraId="2421E710">
      <w:pPr>
        <w:pStyle w:val="3"/>
        <w:spacing w:line="380" w:lineRule="exact"/>
        <w:rPr>
          <w:rFonts w:asciiTheme="minorEastAsia" w:hAnsiTheme="minorEastAsia" w:eastAsiaTheme="minorEastAsia"/>
          <w:bCs w:val="0"/>
          <w:color w:val="000000" w:themeColor="text1"/>
          <w:sz w:val="24"/>
          <w:szCs w:val="24"/>
          <w:highlight w:val="none"/>
          <w14:textFill>
            <w14:solidFill>
              <w14:schemeClr w14:val="tx1"/>
            </w14:solidFill>
          </w14:textFill>
        </w:rPr>
      </w:pPr>
      <w:bookmarkStart w:id="156" w:name="_Toc22681"/>
      <w:bookmarkStart w:id="157" w:name="_Toc136017660"/>
      <w:bookmarkStart w:id="158" w:name="_Toc136345121"/>
      <w:r>
        <w:rPr>
          <w:rFonts w:hint="eastAsia" w:asciiTheme="minorEastAsia" w:hAnsiTheme="minorEastAsia" w:eastAsiaTheme="minorEastAsia"/>
          <w:bCs w:val="0"/>
          <w:color w:val="000000" w:themeColor="text1"/>
          <w:sz w:val="24"/>
          <w:szCs w:val="24"/>
          <w:highlight w:val="none"/>
          <w14:textFill>
            <w14:solidFill>
              <w14:schemeClr w14:val="tx1"/>
            </w14:solidFill>
          </w14:textFill>
        </w:rPr>
        <w:t>单位负责人身份证明</w:t>
      </w:r>
      <w:bookmarkEnd w:id="156"/>
      <w:bookmarkEnd w:id="157"/>
      <w:bookmarkEnd w:id="158"/>
    </w:p>
    <w:p w14:paraId="25EC7BA8">
      <w:pPr>
        <w:pStyle w:val="16"/>
        <w:ind w:firstLine="0"/>
        <w:jc w:val="center"/>
        <w:rPr>
          <w:rFonts w:cs="宋体" w:asciiTheme="minorEastAsia" w:hAnsiTheme="minorEastAsia" w:eastAsiaTheme="minorEastAsia"/>
          <w:bCs/>
          <w:color w:val="000000" w:themeColor="text1"/>
          <w:sz w:val="24"/>
          <w:highlight w:val="none"/>
          <w14:textFill>
            <w14:solidFill>
              <w14:schemeClr w14:val="tx1"/>
            </w14:solidFill>
          </w14:textFill>
        </w:rPr>
      </w:pPr>
      <w:r>
        <w:rPr>
          <w:rFonts w:hint="eastAsia" w:cs="宋体" w:asciiTheme="minorEastAsia" w:hAnsiTheme="minorEastAsia" w:eastAsiaTheme="minorEastAsia"/>
          <w:bCs/>
          <w:color w:val="000000" w:themeColor="text1"/>
          <w:sz w:val="24"/>
          <w:highlight w:val="none"/>
          <w14:textFill>
            <w14:solidFill>
              <w14:schemeClr w14:val="tx1"/>
            </w14:solidFill>
          </w14:textFill>
        </w:rPr>
        <w:t>（单位负责人不来投标的，此表不用）</w:t>
      </w:r>
    </w:p>
    <w:p w14:paraId="768F7AD4">
      <w:pPr>
        <w:spacing w:line="48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p>
    <w:p w14:paraId="1A53A048">
      <w:pPr>
        <w:spacing w:line="48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投标人名称：</w:t>
      </w:r>
    </w:p>
    <w:p w14:paraId="4859E82D">
      <w:pPr>
        <w:spacing w:line="48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单位性质：</w:t>
      </w:r>
    </w:p>
    <w:p w14:paraId="4A653529">
      <w:pPr>
        <w:spacing w:line="48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地址：</w:t>
      </w:r>
    </w:p>
    <w:p w14:paraId="17815FCC">
      <w:pPr>
        <w:spacing w:line="48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成立时间：年月＿日</w:t>
      </w:r>
    </w:p>
    <w:p w14:paraId="16319A9A">
      <w:pPr>
        <w:spacing w:line="48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经营期限：</w:t>
      </w:r>
    </w:p>
    <w:p w14:paraId="3AFDCE45">
      <w:pPr>
        <w:spacing w:line="48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姓名：性别：年龄：</w:t>
      </w:r>
      <w:r>
        <w:rPr>
          <w:rFonts w:hint="eastAsia" w:cs="宋体" w:asciiTheme="minorEastAsia" w:hAnsiTheme="minorEastAsia" w:eastAsiaTheme="minorEastAsia"/>
          <w:color w:val="000000" w:themeColor="text1"/>
          <w:szCs w:val="21"/>
          <w:highlight w:val="none"/>
          <w:u w:val="single"/>
          <w14:textFill>
            <w14:solidFill>
              <w14:schemeClr w14:val="tx1"/>
            </w14:solidFill>
          </w14:textFill>
        </w:rPr>
        <w:t xml:space="preserve">    周岁  </w:t>
      </w:r>
      <w:r>
        <w:rPr>
          <w:rFonts w:hint="eastAsia" w:cs="宋体" w:asciiTheme="minorEastAsia" w:hAnsiTheme="minorEastAsia" w:eastAsiaTheme="minorEastAsia"/>
          <w:color w:val="000000" w:themeColor="text1"/>
          <w:szCs w:val="21"/>
          <w:highlight w:val="none"/>
          <w14:textFill>
            <w14:solidFill>
              <w14:schemeClr w14:val="tx1"/>
            </w14:solidFill>
          </w14:textFill>
        </w:rPr>
        <w:t>职务：_</w:t>
      </w:r>
    </w:p>
    <w:p w14:paraId="340D0B34">
      <w:pPr>
        <w:spacing w:line="480" w:lineRule="auto"/>
        <w:ind w:firstLine="420" w:firstLineChars="200"/>
        <w:rPr>
          <w:rFonts w:cs="宋体" w:asciiTheme="minorEastAsia" w:hAnsiTheme="minorEastAsia" w:eastAsiaTheme="minorEastAsia"/>
          <w:color w:val="000000" w:themeColor="text1"/>
          <w:szCs w:val="21"/>
          <w:highlight w:val="none"/>
          <w:u w:val="singl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身份证号码：</w:t>
      </w:r>
    </w:p>
    <w:p w14:paraId="1F75B483">
      <w:pPr>
        <w:spacing w:line="48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系（投标人名称）的法定代表人（或单位负责人）。</w:t>
      </w:r>
    </w:p>
    <w:p w14:paraId="1A76962E">
      <w:pPr>
        <w:spacing w:line="480" w:lineRule="auto"/>
        <w:ind w:firstLine="840" w:firstLineChars="4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特此证明。</w:t>
      </w:r>
    </w:p>
    <w:p w14:paraId="1A6A8A23">
      <w:pPr>
        <w:spacing w:line="36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p>
    <w:p w14:paraId="79997EE7">
      <w:pPr>
        <w:spacing w:line="36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p>
    <w:p w14:paraId="69EE431A">
      <w:pPr>
        <w:wordWrap w:val="0"/>
        <w:spacing w:line="360" w:lineRule="auto"/>
        <w:jc w:val="righ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投标人：（盖单位公章）</w:t>
      </w:r>
    </w:p>
    <w:p w14:paraId="6A6A3F77">
      <w:pPr>
        <w:spacing w:line="360" w:lineRule="auto"/>
        <w:ind w:firstLine="4515" w:firstLineChars="2150"/>
        <w:rPr>
          <w:rFonts w:cs="宋体" w:asciiTheme="minorEastAsia" w:hAnsiTheme="minorEastAsia" w:eastAsiaTheme="minorEastAsia"/>
          <w:color w:val="000000" w:themeColor="text1"/>
          <w:szCs w:val="21"/>
          <w:highlight w:val="none"/>
          <w:u w:val="single"/>
          <w14:textFill>
            <w14:solidFill>
              <w14:schemeClr w14:val="tx1"/>
            </w14:solidFill>
          </w14:textFill>
        </w:rPr>
      </w:pPr>
    </w:p>
    <w:p w14:paraId="306C171A">
      <w:pPr>
        <w:spacing w:line="360" w:lineRule="auto"/>
        <w:ind w:firstLine="3675" w:firstLineChars="175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年月日</w:t>
      </w:r>
    </w:p>
    <w:p w14:paraId="11FC2781">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p>
    <w:p w14:paraId="472A42E9">
      <w:pPr>
        <w:spacing w:line="360" w:lineRule="auto"/>
        <w:rPr>
          <w:rFonts w:cs="宋体" w:asciiTheme="minorEastAsia" w:hAnsiTheme="minorEastAsia" w:eastAsiaTheme="minorEastAsia"/>
          <w:b/>
          <w:color w:val="000000" w:themeColor="text1"/>
          <w:szCs w:val="21"/>
          <w:highlight w:val="none"/>
          <w14:textFill>
            <w14:solidFill>
              <w14:schemeClr w14:val="tx1"/>
            </w14:solidFill>
          </w14:textFill>
        </w:rPr>
      </w:pPr>
    </w:p>
    <w:p w14:paraId="7F33BFA8">
      <w:pPr>
        <w:spacing w:line="360" w:lineRule="auto"/>
        <w:rPr>
          <w:rFonts w:cs="宋体" w:asciiTheme="minorEastAsia" w:hAnsiTheme="minorEastAsia" w:eastAsiaTheme="minorEastAsia"/>
          <w:b/>
          <w:color w:val="000000" w:themeColor="text1"/>
          <w:szCs w:val="21"/>
          <w:highlight w:val="none"/>
          <w14:textFill>
            <w14:solidFill>
              <w14:schemeClr w14:val="tx1"/>
            </w14:solidFill>
          </w14:textFill>
        </w:rPr>
      </w:pPr>
    </w:p>
    <w:p w14:paraId="42DE3CD6">
      <w:pPr>
        <w:spacing w:line="360" w:lineRule="auto"/>
        <w:rPr>
          <w:rFonts w:cs="宋体" w:asciiTheme="minorEastAsia" w:hAnsiTheme="minorEastAsia" w:eastAsiaTheme="minorEastAsia"/>
          <w:b/>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附法定代表人身份证复印件（正反面）：</w:t>
      </w:r>
    </w:p>
    <w:p w14:paraId="5FEF5020">
      <w:pPr>
        <w:rPr>
          <w:rFonts w:cs="宋体" w:asciiTheme="minorEastAsia" w:hAnsiTheme="minorEastAsia" w:eastAsiaTheme="minorEastAsia"/>
          <w:color w:val="000000" w:themeColor="text1"/>
          <w:highlight w:val="none"/>
          <w14:textFill>
            <w14:solidFill>
              <w14:schemeClr w14:val="tx1"/>
            </w14:solidFill>
          </w14:textFill>
        </w:rPr>
      </w:pPr>
    </w:p>
    <w:p w14:paraId="66B6F679">
      <w:pPr>
        <w:rPr>
          <w:rFonts w:cs="宋体" w:asciiTheme="minorEastAsia" w:hAnsiTheme="minorEastAsia" w:eastAsiaTheme="minorEastAsia"/>
          <w:b/>
          <w:color w:val="000000" w:themeColor="text1"/>
          <w:sz w:val="32"/>
          <w:szCs w:val="32"/>
          <w:highlight w:val="none"/>
          <w14:textFill>
            <w14:solidFill>
              <w14:schemeClr w14:val="tx1"/>
            </w14:solidFill>
          </w14:textFill>
        </w:rPr>
      </w:pPr>
    </w:p>
    <w:p w14:paraId="656398B9">
      <w:pPr>
        <w:rPr>
          <w:rFonts w:cs="宋体" w:asciiTheme="minorEastAsia" w:hAnsiTheme="minorEastAsia" w:eastAsiaTheme="minorEastAsia"/>
          <w:b/>
          <w:color w:val="000000" w:themeColor="text1"/>
          <w:sz w:val="32"/>
          <w:szCs w:val="32"/>
          <w:highlight w:val="none"/>
          <w14:textFill>
            <w14:solidFill>
              <w14:schemeClr w14:val="tx1"/>
            </w14:solidFill>
          </w14:textFill>
        </w:rPr>
      </w:pPr>
    </w:p>
    <w:p w14:paraId="305B6111">
      <w:pPr>
        <w:ind w:firstLine="205" w:firstLineChars="98"/>
        <w:rPr>
          <w:rFonts w:asciiTheme="minorEastAsia" w:hAnsiTheme="minorEastAsia" w:eastAsiaTheme="minorEastAsia"/>
          <w:color w:val="000000" w:themeColor="text1"/>
          <w:highlight w:val="none"/>
          <w14:textFill>
            <w14:solidFill>
              <w14:schemeClr w14:val="tx1"/>
            </w14:solidFill>
          </w14:textFill>
        </w:rPr>
      </w:pPr>
    </w:p>
    <w:p w14:paraId="7C2A7543">
      <w:pPr>
        <w:rPr>
          <w:rFonts w:asciiTheme="minorEastAsia" w:hAnsiTheme="minorEastAsia" w:eastAsiaTheme="minorEastAsia"/>
          <w:color w:val="000000" w:themeColor="text1"/>
          <w:highlight w:val="none"/>
          <w14:textFill>
            <w14:solidFill>
              <w14:schemeClr w14:val="tx1"/>
            </w14:solidFill>
          </w14:textFill>
        </w:rPr>
        <w:sectPr>
          <w:headerReference r:id="rId16" w:type="default"/>
          <w:pgSz w:w="11907" w:h="16840"/>
          <w:pgMar w:top="1304" w:right="1588" w:bottom="1418" w:left="1588" w:header="720" w:footer="720" w:gutter="0"/>
          <w:cols w:space="720" w:num="1"/>
          <w:docGrid w:linePitch="285" w:charSpace="0"/>
        </w:sectPr>
      </w:pPr>
    </w:p>
    <w:p w14:paraId="5888D2D9">
      <w:pPr>
        <w:rPr>
          <w:rFonts w:asciiTheme="minorEastAsia" w:hAnsiTheme="minorEastAsia" w:eastAsiaTheme="minorEastAsia"/>
          <w:color w:val="000000" w:themeColor="text1"/>
          <w:highlight w:val="none"/>
          <w14:textFill>
            <w14:solidFill>
              <w14:schemeClr w14:val="tx1"/>
            </w14:solidFill>
          </w14:textFill>
        </w:rPr>
      </w:pPr>
    </w:p>
    <w:p w14:paraId="20074C74">
      <w:pPr>
        <w:pStyle w:val="3"/>
        <w:spacing w:line="380" w:lineRule="exact"/>
        <w:rPr>
          <w:rFonts w:asciiTheme="minorEastAsia" w:hAnsiTheme="minorEastAsia" w:eastAsiaTheme="minorEastAsia"/>
          <w:bCs w:val="0"/>
          <w:color w:val="000000" w:themeColor="text1"/>
          <w:sz w:val="24"/>
          <w:szCs w:val="24"/>
          <w:highlight w:val="none"/>
          <w14:textFill>
            <w14:solidFill>
              <w14:schemeClr w14:val="tx1"/>
            </w14:solidFill>
          </w14:textFill>
        </w:rPr>
      </w:pPr>
      <w:bookmarkStart w:id="159" w:name="_Toc24856"/>
      <w:bookmarkStart w:id="160" w:name="_Toc136345122"/>
      <w:bookmarkStart w:id="161" w:name="_Toc136017661"/>
      <w:r>
        <w:rPr>
          <w:rFonts w:hint="eastAsia" w:asciiTheme="minorEastAsia" w:hAnsiTheme="minorEastAsia" w:eastAsiaTheme="minorEastAsia"/>
          <w:bCs w:val="0"/>
          <w:color w:val="000000" w:themeColor="text1"/>
          <w:sz w:val="24"/>
          <w:szCs w:val="24"/>
          <w:highlight w:val="none"/>
          <w14:textFill>
            <w14:solidFill>
              <w14:schemeClr w14:val="tx1"/>
            </w14:solidFill>
          </w14:textFill>
        </w:rPr>
        <w:t>（二）投标人基本情况表</w:t>
      </w:r>
      <w:bookmarkEnd w:id="159"/>
      <w:bookmarkEnd w:id="160"/>
      <w:bookmarkEnd w:id="161"/>
    </w:p>
    <w:tbl>
      <w:tblPr>
        <w:tblStyle w:val="34"/>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851"/>
        <w:gridCol w:w="1276"/>
        <w:gridCol w:w="1220"/>
        <w:gridCol w:w="892"/>
        <w:gridCol w:w="376"/>
        <w:gridCol w:w="794"/>
        <w:gridCol w:w="545"/>
        <w:gridCol w:w="1195"/>
      </w:tblGrid>
      <w:tr w14:paraId="620F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2061" w:type="dxa"/>
            <w:vAlign w:val="center"/>
          </w:tcPr>
          <w:p w14:paraId="2A77F186">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投标人名称</w:t>
            </w:r>
          </w:p>
        </w:tc>
        <w:tc>
          <w:tcPr>
            <w:tcW w:w="7149" w:type="dxa"/>
            <w:gridSpan w:val="8"/>
            <w:vAlign w:val="center"/>
          </w:tcPr>
          <w:p w14:paraId="73DED6D2">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58E2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61" w:type="dxa"/>
            <w:vAlign w:val="center"/>
          </w:tcPr>
          <w:p w14:paraId="5097D422">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注册地址</w:t>
            </w:r>
          </w:p>
        </w:tc>
        <w:tc>
          <w:tcPr>
            <w:tcW w:w="3347" w:type="dxa"/>
            <w:gridSpan w:val="3"/>
            <w:vAlign w:val="center"/>
          </w:tcPr>
          <w:p w14:paraId="6C4E817C">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1268" w:type="dxa"/>
            <w:gridSpan w:val="2"/>
            <w:vAlign w:val="center"/>
          </w:tcPr>
          <w:p w14:paraId="7B2973AE">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邮政编码</w:t>
            </w:r>
          </w:p>
        </w:tc>
        <w:tc>
          <w:tcPr>
            <w:tcW w:w="2534" w:type="dxa"/>
            <w:gridSpan w:val="3"/>
            <w:vAlign w:val="center"/>
          </w:tcPr>
          <w:p w14:paraId="61CAA2B5">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40C2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061" w:type="dxa"/>
            <w:vMerge w:val="restart"/>
            <w:vAlign w:val="center"/>
          </w:tcPr>
          <w:p w14:paraId="5B507A18">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联系方式</w:t>
            </w:r>
          </w:p>
        </w:tc>
        <w:tc>
          <w:tcPr>
            <w:tcW w:w="851" w:type="dxa"/>
            <w:vAlign w:val="center"/>
          </w:tcPr>
          <w:p w14:paraId="09E33007">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联系人</w:t>
            </w:r>
          </w:p>
        </w:tc>
        <w:tc>
          <w:tcPr>
            <w:tcW w:w="2496" w:type="dxa"/>
            <w:gridSpan w:val="2"/>
            <w:vAlign w:val="center"/>
          </w:tcPr>
          <w:p w14:paraId="4588B183">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1268" w:type="dxa"/>
            <w:gridSpan w:val="2"/>
            <w:vAlign w:val="center"/>
          </w:tcPr>
          <w:p w14:paraId="576463E3">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电话</w:t>
            </w:r>
          </w:p>
        </w:tc>
        <w:tc>
          <w:tcPr>
            <w:tcW w:w="2534" w:type="dxa"/>
            <w:gridSpan w:val="3"/>
            <w:vAlign w:val="center"/>
          </w:tcPr>
          <w:p w14:paraId="1B0455D1">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73E1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061" w:type="dxa"/>
            <w:vMerge w:val="continue"/>
            <w:vAlign w:val="center"/>
          </w:tcPr>
          <w:p w14:paraId="3571EE61">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851" w:type="dxa"/>
            <w:vAlign w:val="center"/>
          </w:tcPr>
          <w:p w14:paraId="4F840980">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传真</w:t>
            </w:r>
          </w:p>
        </w:tc>
        <w:tc>
          <w:tcPr>
            <w:tcW w:w="2496" w:type="dxa"/>
            <w:gridSpan w:val="2"/>
            <w:vAlign w:val="center"/>
          </w:tcPr>
          <w:p w14:paraId="1305B307">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1268" w:type="dxa"/>
            <w:gridSpan w:val="2"/>
            <w:vAlign w:val="center"/>
          </w:tcPr>
          <w:p w14:paraId="4278F8D1">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电子邮址</w:t>
            </w:r>
          </w:p>
        </w:tc>
        <w:tc>
          <w:tcPr>
            <w:tcW w:w="2534" w:type="dxa"/>
            <w:gridSpan w:val="3"/>
            <w:vAlign w:val="center"/>
          </w:tcPr>
          <w:p w14:paraId="45466517">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03C3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61" w:type="dxa"/>
            <w:vAlign w:val="center"/>
          </w:tcPr>
          <w:p w14:paraId="470DF41C">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法定代表人</w:t>
            </w:r>
          </w:p>
        </w:tc>
        <w:tc>
          <w:tcPr>
            <w:tcW w:w="851" w:type="dxa"/>
            <w:vAlign w:val="center"/>
          </w:tcPr>
          <w:p w14:paraId="44980AAD">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姓名</w:t>
            </w:r>
          </w:p>
        </w:tc>
        <w:tc>
          <w:tcPr>
            <w:tcW w:w="1276" w:type="dxa"/>
            <w:vAlign w:val="center"/>
          </w:tcPr>
          <w:p w14:paraId="0698CF4F">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1220" w:type="dxa"/>
            <w:vAlign w:val="center"/>
          </w:tcPr>
          <w:p w14:paraId="2D94B03B">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技术职称</w:t>
            </w:r>
          </w:p>
        </w:tc>
        <w:tc>
          <w:tcPr>
            <w:tcW w:w="1268" w:type="dxa"/>
            <w:gridSpan w:val="2"/>
            <w:vAlign w:val="center"/>
          </w:tcPr>
          <w:p w14:paraId="61B2DC9C">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794" w:type="dxa"/>
            <w:vAlign w:val="center"/>
          </w:tcPr>
          <w:p w14:paraId="2FE90B1A">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电话</w:t>
            </w:r>
          </w:p>
        </w:tc>
        <w:tc>
          <w:tcPr>
            <w:tcW w:w="1740" w:type="dxa"/>
            <w:gridSpan w:val="2"/>
            <w:vAlign w:val="center"/>
          </w:tcPr>
          <w:p w14:paraId="09060904">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3DC8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61" w:type="dxa"/>
            <w:vAlign w:val="center"/>
          </w:tcPr>
          <w:p w14:paraId="41514612">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技术负责人</w:t>
            </w:r>
          </w:p>
        </w:tc>
        <w:tc>
          <w:tcPr>
            <w:tcW w:w="851" w:type="dxa"/>
            <w:vAlign w:val="center"/>
          </w:tcPr>
          <w:p w14:paraId="16C1EFC7">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姓名</w:t>
            </w:r>
          </w:p>
        </w:tc>
        <w:tc>
          <w:tcPr>
            <w:tcW w:w="1276" w:type="dxa"/>
            <w:vAlign w:val="center"/>
          </w:tcPr>
          <w:p w14:paraId="5846F114">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1220" w:type="dxa"/>
            <w:vAlign w:val="center"/>
          </w:tcPr>
          <w:p w14:paraId="5436CBC6">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技术职称</w:t>
            </w:r>
          </w:p>
        </w:tc>
        <w:tc>
          <w:tcPr>
            <w:tcW w:w="1268" w:type="dxa"/>
            <w:gridSpan w:val="2"/>
            <w:vAlign w:val="center"/>
          </w:tcPr>
          <w:p w14:paraId="5AAC9E8F">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794" w:type="dxa"/>
            <w:vAlign w:val="center"/>
          </w:tcPr>
          <w:p w14:paraId="2744A42A">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电话</w:t>
            </w:r>
          </w:p>
        </w:tc>
        <w:tc>
          <w:tcPr>
            <w:tcW w:w="1740" w:type="dxa"/>
            <w:gridSpan w:val="2"/>
            <w:vAlign w:val="center"/>
          </w:tcPr>
          <w:p w14:paraId="5CFD8B5A">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697B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061" w:type="dxa"/>
            <w:vAlign w:val="center"/>
          </w:tcPr>
          <w:p w14:paraId="7DFF0B8B">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成立时间</w:t>
            </w:r>
          </w:p>
        </w:tc>
        <w:tc>
          <w:tcPr>
            <w:tcW w:w="3347" w:type="dxa"/>
            <w:gridSpan w:val="3"/>
            <w:vAlign w:val="center"/>
          </w:tcPr>
          <w:p w14:paraId="62261F06">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3802" w:type="dxa"/>
            <w:gridSpan w:val="5"/>
            <w:vAlign w:val="center"/>
          </w:tcPr>
          <w:p w14:paraId="01764D2C">
            <w:pPr>
              <w:jc w:val="center"/>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员工总人数：</w:t>
            </w:r>
          </w:p>
        </w:tc>
      </w:tr>
      <w:tr w14:paraId="6093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061" w:type="dxa"/>
            <w:vMerge w:val="restart"/>
            <w:vAlign w:val="center"/>
          </w:tcPr>
          <w:p w14:paraId="5D19DB4C">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asciiTheme="minorEastAsia" w:hAnsiTheme="minorEastAsia" w:eastAsiaTheme="minorEastAsia"/>
                <w:color w:val="000000" w:themeColor="text1"/>
                <w:sz w:val="24"/>
                <w:szCs w:val="24"/>
                <w:highlight w:val="none"/>
                <w:lang w:val="en-US"/>
                <w14:textFill>
                  <w14:solidFill>
                    <w14:schemeClr w14:val="tx1"/>
                  </w14:solidFill>
                </w14:textFill>
              </w:rPr>
              <w:t>资质</w:t>
            </w: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资格与业务范围</w:t>
            </w:r>
          </w:p>
        </w:tc>
        <w:tc>
          <w:tcPr>
            <w:tcW w:w="3347" w:type="dxa"/>
            <w:gridSpan w:val="3"/>
            <w:vMerge w:val="restart"/>
            <w:vAlign w:val="center"/>
          </w:tcPr>
          <w:p w14:paraId="7F758069">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892" w:type="dxa"/>
            <w:vMerge w:val="restart"/>
            <w:vAlign w:val="center"/>
          </w:tcPr>
          <w:p w14:paraId="1D21F59C">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其中</w:t>
            </w:r>
          </w:p>
        </w:tc>
        <w:tc>
          <w:tcPr>
            <w:tcW w:w="1715" w:type="dxa"/>
            <w:gridSpan w:val="3"/>
            <w:vAlign w:val="center"/>
          </w:tcPr>
          <w:p w14:paraId="57A6514B">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高级职称</w:t>
            </w:r>
          </w:p>
        </w:tc>
        <w:tc>
          <w:tcPr>
            <w:tcW w:w="1195" w:type="dxa"/>
            <w:vAlign w:val="center"/>
          </w:tcPr>
          <w:p w14:paraId="1F08584D">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7AC5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61" w:type="dxa"/>
            <w:vMerge w:val="continue"/>
            <w:vAlign w:val="center"/>
          </w:tcPr>
          <w:p w14:paraId="6D0AD178">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3347" w:type="dxa"/>
            <w:gridSpan w:val="3"/>
            <w:vMerge w:val="continue"/>
            <w:vAlign w:val="center"/>
          </w:tcPr>
          <w:p w14:paraId="71B84189">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892" w:type="dxa"/>
            <w:vMerge w:val="continue"/>
            <w:vAlign w:val="center"/>
          </w:tcPr>
          <w:p w14:paraId="4108AF7D">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1715" w:type="dxa"/>
            <w:gridSpan w:val="3"/>
            <w:vAlign w:val="center"/>
          </w:tcPr>
          <w:p w14:paraId="1FA08B4E">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中级职称</w:t>
            </w:r>
          </w:p>
        </w:tc>
        <w:tc>
          <w:tcPr>
            <w:tcW w:w="1195" w:type="dxa"/>
            <w:vAlign w:val="center"/>
          </w:tcPr>
          <w:p w14:paraId="0693D416">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3A4C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2061" w:type="dxa"/>
            <w:vAlign w:val="center"/>
          </w:tcPr>
          <w:p w14:paraId="7726445A">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营业执照号</w:t>
            </w:r>
          </w:p>
        </w:tc>
        <w:tc>
          <w:tcPr>
            <w:tcW w:w="3347" w:type="dxa"/>
            <w:gridSpan w:val="3"/>
            <w:vAlign w:val="center"/>
          </w:tcPr>
          <w:p w14:paraId="3AE7886D">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892" w:type="dxa"/>
            <w:vMerge w:val="continue"/>
            <w:vAlign w:val="center"/>
          </w:tcPr>
          <w:p w14:paraId="67817560">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1715" w:type="dxa"/>
            <w:gridSpan w:val="3"/>
            <w:vAlign w:val="center"/>
          </w:tcPr>
          <w:p w14:paraId="28527619">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各类注册人员</w:t>
            </w:r>
          </w:p>
        </w:tc>
        <w:tc>
          <w:tcPr>
            <w:tcW w:w="1195" w:type="dxa"/>
            <w:vAlign w:val="center"/>
          </w:tcPr>
          <w:p w14:paraId="23C536F6">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46FA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2B47CFD7">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注册资金</w:t>
            </w:r>
          </w:p>
        </w:tc>
        <w:tc>
          <w:tcPr>
            <w:tcW w:w="7149" w:type="dxa"/>
            <w:gridSpan w:val="8"/>
            <w:vAlign w:val="center"/>
          </w:tcPr>
          <w:p w14:paraId="722AB5C7">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1B34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54104B19">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基本账户开户银行</w:t>
            </w:r>
          </w:p>
        </w:tc>
        <w:tc>
          <w:tcPr>
            <w:tcW w:w="7149" w:type="dxa"/>
            <w:gridSpan w:val="8"/>
            <w:vAlign w:val="center"/>
          </w:tcPr>
          <w:p w14:paraId="5E4DA9AC">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74C2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0DD88D15">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基本账户账号</w:t>
            </w:r>
          </w:p>
        </w:tc>
        <w:tc>
          <w:tcPr>
            <w:tcW w:w="7149" w:type="dxa"/>
            <w:gridSpan w:val="8"/>
            <w:vAlign w:val="center"/>
          </w:tcPr>
          <w:p w14:paraId="2A23BB33">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78EF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2061" w:type="dxa"/>
            <w:vAlign w:val="center"/>
          </w:tcPr>
          <w:p w14:paraId="1CF54144">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经营范围</w:t>
            </w:r>
          </w:p>
        </w:tc>
        <w:tc>
          <w:tcPr>
            <w:tcW w:w="7149" w:type="dxa"/>
            <w:gridSpan w:val="8"/>
            <w:vAlign w:val="center"/>
          </w:tcPr>
          <w:p w14:paraId="542BF9D9">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62E6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61" w:type="dxa"/>
            <w:vAlign w:val="center"/>
          </w:tcPr>
          <w:p w14:paraId="5AF10D0A">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备注</w:t>
            </w:r>
          </w:p>
        </w:tc>
        <w:tc>
          <w:tcPr>
            <w:tcW w:w="7149" w:type="dxa"/>
            <w:gridSpan w:val="8"/>
            <w:vAlign w:val="center"/>
          </w:tcPr>
          <w:p w14:paraId="2CC234AC">
            <w:pPr>
              <w:pStyle w:val="123"/>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bl>
    <w:p w14:paraId="5D510ABC">
      <w:pPr>
        <w:spacing w:line="380" w:lineRule="exact"/>
        <w:rPr>
          <w:rFonts w:asciiTheme="minorEastAsia" w:hAnsiTheme="minorEastAsia" w:eastAsiaTheme="minorEastAsia"/>
          <w:color w:val="000000" w:themeColor="text1"/>
          <w:sz w:val="22"/>
          <w:szCs w:val="22"/>
          <w:highlight w:val="none"/>
          <w14:textFill>
            <w14:solidFill>
              <w14:schemeClr w14:val="tx1"/>
            </w14:solidFill>
          </w14:textFill>
        </w:rPr>
      </w:pPr>
    </w:p>
    <w:p w14:paraId="629813C5">
      <w:pPr>
        <w:spacing w:line="380" w:lineRule="exact"/>
        <w:rPr>
          <w:rFonts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投标人（公章）：</w:t>
      </w:r>
    </w:p>
    <w:p w14:paraId="7A337954">
      <w:pPr>
        <w:spacing w:line="380" w:lineRule="exact"/>
        <w:rPr>
          <w:rFonts w:asciiTheme="minorEastAsia" w:hAnsiTheme="minorEastAsia" w:eastAsiaTheme="minorEastAsia"/>
          <w:color w:val="000000" w:themeColor="text1"/>
          <w:sz w:val="22"/>
          <w:szCs w:val="22"/>
          <w:highlight w:val="none"/>
          <w:u w:val="singl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投标人代表（签字或印章）：</w:t>
      </w:r>
    </w:p>
    <w:p w14:paraId="4AEEB4DC">
      <w:pPr>
        <w:spacing w:line="380" w:lineRule="exact"/>
        <w:rPr>
          <w:rFonts w:asciiTheme="minorEastAsia" w:hAnsiTheme="minorEastAsia" w:eastAsiaTheme="minorEastAsia"/>
          <w:color w:val="000000" w:themeColor="text1"/>
          <w:sz w:val="22"/>
          <w:szCs w:val="22"/>
          <w:highlight w:val="none"/>
          <w:u w:val="singl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日期：</w:t>
      </w:r>
    </w:p>
    <w:p w14:paraId="230F18C0">
      <w:pPr>
        <w:rPr>
          <w:rFonts w:asciiTheme="minorEastAsia" w:hAnsiTheme="minorEastAsia" w:eastAsiaTheme="minorEastAsia"/>
          <w:color w:val="000000" w:themeColor="text1"/>
          <w:highlight w:val="none"/>
          <w14:textFill>
            <w14:solidFill>
              <w14:schemeClr w14:val="tx1"/>
            </w14:solidFill>
          </w14:textFill>
        </w:rPr>
      </w:pPr>
    </w:p>
    <w:p w14:paraId="26DFCBBB">
      <w:pPr>
        <w:rPr>
          <w:rFonts w:asciiTheme="minorEastAsia" w:hAnsiTheme="minorEastAsia" w:eastAsiaTheme="minorEastAsia"/>
          <w:color w:val="000000" w:themeColor="text1"/>
          <w:highlight w:val="none"/>
          <w14:textFill>
            <w14:solidFill>
              <w14:schemeClr w14:val="tx1"/>
            </w14:solidFill>
          </w14:textFill>
        </w:rPr>
      </w:pPr>
    </w:p>
    <w:p w14:paraId="78A575F7">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（若为联合体投标，联合体各方须单独提供并盖章）</w:t>
      </w:r>
    </w:p>
    <w:p w14:paraId="0BED2222">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br w:type="page"/>
      </w:r>
    </w:p>
    <w:p w14:paraId="1E2EA349">
      <w:pPr>
        <w:autoSpaceDE w:val="0"/>
        <w:autoSpaceDN w:val="0"/>
        <w:jc w:val="center"/>
        <w:rPr>
          <w:rFonts w:ascii="宋体" w:hAnsi="宋体" w:cs="宋体"/>
          <w:b/>
          <w:color w:val="000000" w:themeColor="text1"/>
          <w:kern w:val="0"/>
          <w:sz w:val="28"/>
          <w:szCs w:val="28"/>
          <w:highlight w:val="none"/>
          <w:lang w:val="zh-CN"/>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（三）</w:t>
      </w:r>
      <w:r>
        <w:rPr>
          <w:rFonts w:hint="eastAsia" w:asciiTheme="minorEastAsia" w:hAnsiTheme="minorEastAsia" w:eastAsiaTheme="minorEastAsia"/>
          <w:b/>
          <w:color w:val="000000" w:themeColor="text1"/>
          <w:sz w:val="24"/>
          <w:szCs w:val="24"/>
          <w:highlight w:val="none"/>
          <w:lang w:val="zh-CN"/>
          <w14:textFill>
            <w14:solidFill>
              <w14:schemeClr w14:val="tx1"/>
            </w14:solidFill>
          </w14:textFill>
        </w:rPr>
        <w:t>联合协议</w:t>
      </w:r>
    </w:p>
    <w:p w14:paraId="7D0778A5">
      <w:pPr>
        <w:widowControl/>
        <w:spacing w:line="480" w:lineRule="exact"/>
        <w:ind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（以联合体形式投标的，提供联合协议；本项目不接受联合体投标或者投标人不以联合体形式投标的，则不需要提供；如资格文件中已提供《联合协议》的，商务技术文件中无需重复提供）</w:t>
      </w:r>
    </w:p>
    <w:p w14:paraId="0844C3F8">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（联合体所有成员名称）</w:t>
      </w:r>
      <w:r>
        <w:rPr>
          <w:rFonts w:hint="eastAsia" w:ascii="宋体" w:hAnsi="宋体" w:cs="宋体"/>
          <w:color w:val="000000" w:themeColor="text1"/>
          <w:kern w:val="0"/>
          <w:szCs w:val="21"/>
          <w:highlight w:val="none"/>
          <w14:textFill>
            <w14:solidFill>
              <w14:schemeClr w14:val="tx1"/>
            </w14:solidFill>
          </w14:textFill>
        </w:rPr>
        <w:t>自愿</w:t>
      </w:r>
      <w:r>
        <w:rPr>
          <w:rFonts w:hint="eastAsia" w:ascii="宋体" w:hAnsi="宋体" w:cs="宋体"/>
          <w:color w:val="000000" w:themeColor="text1"/>
          <w:kern w:val="0"/>
          <w:szCs w:val="21"/>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Cs w:val="21"/>
          <w:highlight w:val="none"/>
          <w14:textFill>
            <w14:solidFill>
              <w14:schemeClr w14:val="tx1"/>
            </w14:solidFill>
          </w14:textFill>
        </w:rPr>
        <w:t>参加</w:t>
      </w:r>
      <w:r>
        <w:rPr>
          <w:rFonts w:hint="eastAsia" w:ascii="宋体" w:hAnsi="宋体" w:cs="宋体"/>
          <w:color w:val="000000" w:themeColor="text1"/>
          <w:szCs w:val="21"/>
          <w:highlight w:val="none"/>
          <w14:textFill>
            <w14:solidFill>
              <w14:schemeClr w14:val="tx1"/>
            </w14:solidFill>
          </w14:textFill>
        </w:rPr>
        <w:t>项目【招标编号：        】</w:t>
      </w:r>
      <w:r>
        <w:rPr>
          <w:rFonts w:hint="eastAsia" w:ascii="宋体" w:hAnsi="宋体" w:cs="宋体"/>
          <w:color w:val="000000" w:themeColor="text1"/>
          <w:kern w:val="0"/>
          <w:szCs w:val="21"/>
          <w:highlight w:val="none"/>
          <w:lang w:val="zh-CN"/>
          <w14:textFill>
            <w14:solidFill>
              <w14:schemeClr w14:val="tx1"/>
            </w14:solidFill>
          </w14:textFill>
        </w:rPr>
        <w:t xml:space="preserve">投标。 </w:t>
      </w:r>
    </w:p>
    <w:p w14:paraId="094F9FE3">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一、各方一致决定，</w:t>
      </w:r>
      <w:r>
        <w:rPr>
          <w:rFonts w:hint="eastAsia" w:ascii="宋体" w:hAnsi="宋体" w:cs="宋体"/>
          <w:color w:val="000000" w:themeColor="text1"/>
          <w:kern w:val="0"/>
          <w:szCs w:val="21"/>
          <w:highlight w:val="none"/>
          <w:u w:val="single"/>
          <w14:textFill>
            <w14:solidFill>
              <w14:schemeClr w14:val="tx1"/>
            </w14:solidFill>
          </w14:textFill>
        </w:rPr>
        <w:t>（某联合体成员名称）</w:t>
      </w:r>
      <w:r>
        <w:rPr>
          <w:rFonts w:hint="eastAsia" w:ascii="宋体" w:hAnsi="宋体" w:cs="宋体"/>
          <w:color w:val="000000" w:themeColor="text1"/>
          <w:kern w:val="0"/>
          <w:szCs w:val="21"/>
          <w:highlight w:val="none"/>
          <w14:textFill>
            <w14:solidFill>
              <w14:schemeClr w14:val="tx1"/>
            </w14:solidFill>
          </w14:textFill>
        </w:rPr>
        <w:t>为联合体</w:t>
      </w:r>
      <w:r>
        <w:rPr>
          <w:rFonts w:hint="eastAsia" w:ascii="宋体" w:hAnsi="宋体" w:cs="宋体"/>
          <w:color w:val="000000" w:themeColor="text1"/>
          <w:kern w:val="0"/>
          <w:szCs w:val="21"/>
          <w:highlight w:val="none"/>
          <w:lang w:val="zh-CN"/>
          <w14:textFill>
            <w14:solidFill>
              <w14:schemeClr w14:val="tx1"/>
            </w14:solidFill>
          </w14:textFill>
        </w:rPr>
        <w:t>牵头人</w:t>
      </w:r>
      <w:r>
        <w:rPr>
          <w:rFonts w:hint="eastAsia" w:ascii="宋体" w:hAnsi="宋体" w:cs="宋体"/>
          <w:color w:val="000000" w:themeColor="text1"/>
          <w:szCs w:val="21"/>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Cs w:val="21"/>
          <w:highlight w:val="none"/>
          <w:lang w:val="zh-CN"/>
          <w14:textFill>
            <w14:solidFill>
              <w14:schemeClr w14:val="tx1"/>
            </w14:solidFill>
          </w14:textFill>
        </w:rPr>
        <w:t>。</w:t>
      </w:r>
    </w:p>
    <w:p w14:paraId="118A4490">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二、</w:t>
      </w:r>
      <w:r>
        <w:rPr>
          <w:rFonts w:hint="eastAsia" w:ascii="宋体" w:hAnsi="宋体" w:cs="宋体"/>
          <w:color w:val="000000" w:themeColor="text1"/>
          <w:szCs w:val="21"/>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Cs w:val="21"/>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4B606CEF">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三、本次联合投标中，分工如下：</w:t>
      </w:r>
    </w:p>
    <w:p w14:paraId="386002C6">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（联合体成员1）</w:t>
      </w:r>
      <w:r>
        <w:rPr>
          <w:rFonts w:hint="eastAsia" w:ascii="宋体" w:hAnsi="宋体" w:cs="宋体"/>
          <w:color w:val="000000" w:themeColor="text1"/>
          <w:kern w:val="0"/>
          <w:szCs w:val="21"/>
          <w:highlight w:val="none"/>
          <w:lang w:val="zh-CN"/>
          <w14:textFill>
            <w14:solidFill>
              <w14:schemeClr w14:val="tx1"/>
            </w14:solidFill>
          </w14:textFill>
        </w:rPr>
        <w:t>承担的工作和义务为：；</w:t>
      </w:r>
    </w:p>
    <w:p w14:paraId="0468DFA4">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（联合体成员</w:t>
      </w:r>
      <w:r>
        <w:rPr>
          <w:rFonts w:ascii="宋体" w:hAnsi="宋体" w:cs="宋体"/>
          <w:color w:val="000000" w:themeColor="text1"/>
          <w:kern w:val="0"/>
          <w:szCs w:val="21"/>
          <w:highlight w:val="none"/>
          <w:u w:val="single"/>
          <w14:textFill>
            <w14:solidFill>
              <w14:schemeClr w14:val="tx1"/>
            </w14:solidFill>
          </w14:textFill>
        </w:rPr>
        <w:t>2</w:t>
      </w:r>
      <w:r>
        <w:rPr>
          <w:rFonts w:hint="eastAsia" w:ascii="宋体" w:hAnsi="宋体" w:cs="宋体"/>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lang w:val="zh-CN"/>
          <w14:textFill>
            <w14:solidFill>
              <w14:schemeClr w14:val="tx1"/>
            </w14:solidFill>
          </w14:textFill>
        </w:rPr>
        <w:t>承担的工作和义务为：；</w:t>
      </w:r>
    </w:p>
    <w:p w14:paraId="7C21B0D7">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w:t>
      </w:r>
    </w:p>
    <w:p w14:paraId="204850E4">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四、联合体成员中小企业合同份额（如果有）。</w:t>
      </w:r>
    </w:p>
    <w:p w14:paraId="4D85334A">
      <w:pPr>
        <w:snapToGrid w:val="0"/>
        <w:spacing w:line="480" w:lineRule="exact"/>
        <w:ind w:firstLine="576"/>
        <w:rPr>
          <w:rFonts w:ascii="宋体" w:hAnsi="宋体" w:cs="宋体"/>
          <w:b/>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1、</w:t>
      </w:r>
      <w:r>
        <w:rPr>
          <w:rFonts w:hint="eastAsia" w:ascii="宋体" w:hAnsi="宋体" w:cs="宋体"/>
          <w:color w:val="000000" w:themeColor="text1"/>
          <w:kern w:val="0"/>
          <w:szCs w:val="21"/>
          <w:highlight w:val="none"/>
          <w:u w:val="single"/>
          <w14:textFill>
            <w14:solidFill>
              <w14:schemeClr w14:val="tx1"/>
            </w14:solidFill>
          </w14:textFill>
        </w:rPr>
        <w:t>（联合体成员</w:t>
      </w:r>
      <w:r>
        <w:rPr>
          <w:rFonts w:ascii="宋体" w:hAnsi="宋体" w:cs="宋体"/>
          <w:color w:val="000000" w:themeColor="text1"/>
          <w:kern w:val="0"/>
          <w:szCs w:val="21"/>
          <w:highlight w:val="none"/>
          <w:u w:val="single"/>
          <w14:textFill>
            <w14:solidFill>
              <w14:schemeClr w14:val="tx1"/>
            </w14:solidFill>
          </w14:textFill>
        </w:rPr>
        <w:t>X,</w:t>
      </w:r>
      <w:r>
        <w:rPr>
          <w:rFonts w:hint="eastAsia" w:ascii="宋体" w:hAnsi="宋体" w:cs="宋体"/>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提供的全部服务由小微企业承接，其合同份额占到合同总金额%以上；</w:t>
      </w: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b/>
          <w:color w:val="000000" w:themeColor="text1"/>
          <w:kern w:val="0"/>
          <w:szCs w:val="21"/>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（未预留份额专门面向中小企业采购的的采购项目，以及预留份额中的非预留部分采购包，接受联合体投标的，联合协议约定小微企业的合同份额占到合同总金额30%以上的，对联合体报价给予6%的扣除。</w:t>
      </w:r>
      <w:r>
        <w:rPr>
          <w:rFonts w:hint="eastAsia" w:ascii="宋体" w:hAnsi="宋体" w:cs="宋体"/>
          <w:b/>
          <w:color w:val="000000" w:themeColor="text1"/>
          <w:kern w:val="0"/>
          <w:szCs w:val="21"/>
          <w:highlight w:val="none"/>
          <w14:textFill>
            <w14:solidFill>
              <w14:schemeClr w14:val="tx1"/>
            </w14:solidFill>
          </w14:textFill>
        </w:rPr>
        <w:t>投标人</w:t>
      </w:r>
      <w:r>
        <w:rPr>
          <w:rFonts w:hint="eastAsia" w:ascii="宋体" w:hAnsi="宋体" w:cs="宋体"/>
          <w:b/>
          <w:color w:val="000000" w:themeColor="text1"/>
          <w:szCs w:val="21"/>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Cs w:val="21"/>
          <w:highlight w:val="none"/>
          <w:lang w:val="zh-CN"/>
          <w14:textFill>
            <w14:solidFill>
              <w14:schemeClr w14:val="tx1"/>
            </w14:solidFill>
          </w14:textFill>
        </w:rPr>
        <w:t>）</w:t>
      </w:r>
    </w:p>
    <w:p w14:paraId="20F92A46">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2、中小企业合同金额达到%，小微企业合同金额达到%</w:t>
      </w: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b/>
          <w:bCs/>
          <w:color w:val="000000" w:themeColor="text1"/>
          <w:kern w:val="0"/>
          <w:szCs w:val="21"/>
          <w:highlight w:val="none"/>
          <w:lang w:val="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Cs w:val="21"/>
          <w:highlight w:val="none"/>
          <w:lang w:val="zh-CN"/>
          <w14:textFill>
            <w14:solidFill>
              <w14:schemeClr w14:val="tx1"/>
            </w14:solidFill>
          </w14:textFill>
        </w:rPr>
        <w:t>）</w:t>
      </w:r>
    </w:p>
    <w:p w14:paraId="709980CC">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五、如果中标，</w:t>
      </w:r>
      <w:r>
        <w:rPr>
          <w:rFonts w:hint="eastAsia" w:ascii="宋体" w:hAnsi="宋体" w:cs="宋体"/>
          <w:color w:val="000000" w:themeColor="text1"/>
          <w:szCs w:val="21"/>
          <w:highlight w:val="none"/>
          <w14:textFill>
            <w14:solidFill>
              <w14:schemeClr w14:val="tx1"/>
            </w14:solidFill>
          </w14:textFill>
        </w:rPr>
        <w:t>联合体各成员方共同与采购人签订合同，并就采购合同约定的事项对采购人承担连带责任。</w:t>
      </w:r>
    </w:p>
    <w:p w14:paraId="3602D847">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六、有关本次联合投标的其他事宜：</w:t>
      </w:r>
    </w:p>
    <w:p w14:paraId="0015F3F1">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1、联合体各方不再单独参加或者与其他供应商另外组成联合体参加同一合同项下的政府采购活动。</w:t>
      </w:r>
    </w:p>
    <w:p w14:paraId="3516FE18">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2、联合体中有同类资质的各方按照联合体分工承担相同工作的，按照资质等级较低的供应商确定资质等级。</w:t>
      </w:r>
    </w:p>
    <w:p w14:paraId="39F3A5E4">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3、本协议提交采购人、采购机构后，联合体各方不得以任何形式对上述内容进行修改或撤销。</w:t>
      </w:r>
    </w:p>
    <w:p w14:paraId="2BF5DDD8">
      <w:pPr>
        <w:snapToGrid w:val="0"/>
        <w:spacing w:line="480" w:lineRule="exact"/>
        <w:ind w:firstLine="5040" w:firstLineChars="240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联合体成员名称(公章)：</w:t>
      </w:r>
    </w:p>
    <w:p w14:paraId="0022DF26">
      <w:pPr>
        <w:pStyle w:val="3"/>
        <w:spacing w:line="480" w:lineRule="exact"/>
        <w:rPr>
          <w:rFonts w:ascii="宋体" w:hAnsi="宋体" w:cs="宋体"/>
          <w:b w:val="0"/>
          <w:bCs w:val="0"/>
          <w:color w:val="000000" w:themeColor="text1"/>
          <w:kern w:val="0"/>
          <w:sz w:val="21"/>
          <w:szCs w:val="21"/>
          <w:highlight w:val="none"/>
          <w:lang w:val="zh-CN"/>
          <w14:textFill>
            <w14:solidFill>
              <w14:schemeClr w14:val="tx1"/>
            </w14:solidFill>
          </w14:textFill>
        </w:rPr>
      </w:pPr>
      <w:bookmarkStart w:id="162" w:name="_Toc18425"/>
      <w:bookmarkStart w:id="163" w:name="_Toc136345123"/>
      <w:bookmarkStart w:id="164" w:name="_Toc136017662"/>
      <w:r>
        <w:rPr>
          <w:rFonts w:hint="eastAsia" w:ascii="宋体" w:hAnsi="宋体" w:cs="宋体"/>
          <w:b w:val="0"/>
          <w:bCs w:val="0"/>
          <w:color w:val="000000" w:themeColor="text1"/>
          <w:kern w:val="0"/>
          <w:sz w:val="21"/>
          <w:szCs w:val="21"/>
          <w:highlight w:val="none"/>
          <w:lang w:val="zh-CN"/>
          <w14:textFill>
            <w14:solidFill>
              <w14:schemeClr w14:val="tx1"/>
            </w14:solidFill>
          </w14:textFill>
        </w:rPr>
        <w:t>联合体成员名称(公章)：</w:t>
      </w:r>
      <w:bookmarkEnd w:id="162"/>
      <w:bookmarkEnd w:id="163"/>
      <w:bookmarkEnd w:id="164"/>
    </w:p>
    <w:p w14:paraId="493524F2">
      <w:pPr>
        <w:spacing w:line="480" w:lineRule="exact"/>
        <w:rPr>
          <w:color w:val="000000" w:themeColor="text1"/>
          <w:szCs w:val="21"/>
          <w:highlight w:val="none"/>
          <w:lang w:val="zh-CN"/>
          <w14:textFill>
            <w14:solidFill>
              <w14:schemeClr w14:val="tx1"/>
            </w14:solidFill>
          </w14:textFill>
        </w:rPr>
      </w:pPr>
    </w:p>
    <w:p w14:paraId="2BB3DE3F">
      <w:pPr>
        <w:snapToGrid w:val="0"/>
        <w:spacing w:line="480" w:lineRule="exac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 xml:space="preserve">                                               日期：  年  月   日</w:t>
      </w:r>
    </w:p>
    <w:p w14:paraId="21499DAA">
      <w:pPr>
        <w:pStyle w:val="3"/>
        <w:spacing w:line="380" w:lineRule="exact"/>
        <w:jc w:val="both"/>
        <w:rPr>
          <w:rFonts w:ascii="宋体" w:hAnsi="宋体" w:cs="宋体"/>
          <w:b w:val="0"/>
          <w:bCs w:val="0"/>
          <w:color w:val="000000" w:themeColor="text1"/>
          <w:kern w:val="0"/>
          <w:sz w:val="21"/>
          <w:szCs w:val="21"/>
          <w:highlight w:val="none"/>
          <w:lang w:val="zh-CN"/>
          <w14:textFill>
            <w14:solidFill>
              <w14:schemeClr w14:val="tx1"/>
            </w14:solidFill>
          </w14:textFill>
        </w:rPr>
      </w:pPr>
      <w:bookmarkStart w:id="165" w:name="_Toc136345124"/>
      <w:bookmarkStart w:id="166" w:name="_Toc136017663"/>
      <w:bookmarkStart w:id="167" w:name="_Toc18667"/>
      <w:r>
        <w:rPr>
          <w:rFonts w:hint="eastAsia" w:ascii="宋体" w:hAnsi="宋体" w:cs="宋体"/>
          <w:b w:val="0"/>
          <w:bCs w:val="0"/>
          <w:color w:val="000000" w:themeColor="text1"/>
          <w:kern w:val="0"/>
          <w:sz w:val="21"/>
          <w:szCs w:val="21"/>
          <w:highlight w:val="none"/>
          <w:lang w:val="zh-CN"/>
          <w14:textFill>
            <w14:solidFill>
              <w14:schemeClr w14:val="tx1"/>
            </w14:solidFill>
          </w14:textFill>
        </w:rPr>
        <w:t>注：按本格式和要求提供。</w:t>
      </w:r>
      <w:bookmarkEnd w:id="165"/>
      <w:bookmarkEnd w:id="166"/>
      <w:bookmarkEnd w:id="167"/>
    </w:p>
    <w:p w14:paraId="7D642EDD">
      <w:pPr>
        <w:rPr>
          <w:color w:val="000000" w:themeColor="text1"/>
          <w:highlight w:val="none"/>
          <w14:textFill>
            <w14:solidFill>
              <w14:schemeClr w14:val="tx1"/>
            </w14:solidFill>
          </w14:textFill>
        </w:rPr>
      </w:pPr>
    </w:p>
    <w:p w14:paraId="643FA70B">
      <w:pPr>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br w:type="page"/>
      </w:r>
    </w:p>
    <w:p w14:paraId="434FEA1F">
      <w:pPr>
        <w:autoSpaceDE w:val="0"/>
        <w:autoSpaceDN w:val="0"/>
        <w:jc w:val="center"/>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（四）分包意向协议</w:t>
      </w:r>
    </w:p>
    <w:p w14:paraId="3B83874C">
      <w:pPr>
        <w:widowControl/>
        <w:spacing w:line="480" w:lineRule="exact"/>
        <w:ind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（中标后以分包方式履行合同的，提供分包意向协议；采购人不同意分包或者投标人中标后不以分包方式履行合同的，则不需要提供。）</w:t>
      </w:r>
    </w:p>
    <w:p w14:paraId="3A9556AD">
      <w:pPr>
        <w:widowControl/>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（投标人名称）</w:t>
      </w:r>
      <w:r>
        <w:rPr>
          <w:rFonts w:hint="eastAsia" w:ascii="宋体" w:hAnsi="宋体" w:cs="宋体"/>
          <w:color w:val="000000" w:themeColor="text1"/>
          <w:kern w:val="0"/>
          <w:szCs w:val="21"/>
          <w:highlight w:val="none"/>
          <w:lang w:val="zh-CN"/>
          <w14:textFill>
            <w14:solidFill>
              <w14:schemeClr w14:val="tx1"/>
            </w14:solidFill>
          </w14:textFill>
        </w:rPr>
        <w:t>若成为</w:t>
      </w:r>
      <w:r>
        <w:rPr>
          <w:rFonts w:hint="eastAsia" w:ascii="宋体" w:hAnsi="宋体" w:cs="宋体"/>
          <w:color w:val="000000" w:themeColor="text1"/>
          <w:szCs w:val="21"/>
          <w:highlight w:val="none"/>
          <w14:textFill>
            <w14:solidFill>
              <w14:schemeClr w14:val="tx1"/>
            </w14:solidFill>
          </w14:textFill>
        </w:rPr>
        <w:t>项目【招标编号：       】</w:t>
      </w:r>
      <w:r>
        <w:rPr>
          <w:rFonts w:hint="eastAsia" w:ascii="宋体" w:hAnsi="宋体" w:cs="宋体"/>
          <w:color w:val="000000" w:themeColor="text1"/>
          <w:kern w:val="0"/>
          <w:szCs w:val="21"/>
          <w:highlight w:val="none"/>
          <w:lang w:val="zh-CN"/>
          <w14:textFill>
            <w14:solidFill>
              <w14:schemeClr w14:val="tx1"/>
            </w14:solidFill>
          </w14:textFill>
        </w:rPr>
        <w:t>的中标人，将依法采取分包方式履行合同。</w:t>
      </w:r>
      <w:r>
        <w:rPr>
          <w:rFonts w:hint="eastAsia" w:ascii="宋体" w:hAnsi="宋体" w:cs="宋体"/>
          <w:color w:val="000000" w:themeColor="text1"/>
          <w:kern w:val="0"/>
          <w:szCs w:val="21"/>
          <w:highlight w:val="none"/>
          <w:u w:val="single"/>
          <w14:textFill>
            <w14:solidFill>
              <w14:schemeClr w14:val="tx1"/>
            </w14:solidFill>
          </w14:textFill>
        </w:rPr>
        <w:t>（投标人名称）</w:t>
      </w:r>
      <w:r>
        <w:rPr>
          <w:rFonts w:hint="eastAsia" w:ascii="宋体" w:hAnsi="宋体" w:cs="宋体"/>
          <w:color w:val="000000" w:themeColor="text1"/>
          <w:kern w:val="0"/>
          <w:szCs w:val="21"/>
          <w:highlight w:val="none"/>
          <w14:textFill>
            <w14:solidFill>
              <w14:schemeClr w14:val="tx1"/>
            </w14:solidFill>
          </w14:textFill>
        </w:rPr>
        <w:t>与</w:t>
      </w:r>
      <w:r>
        <w:rPr>
          <w:rFonts w:hint="eastAsia" w:ascii="宋体" w:hAnsi="宋体" w:cs="宋体"/>
          <w:color w:val="000000" w:themeColor="text1"/>
          <w:kern w:val="0"/>
          <w:szCs w:val="21"/>
          <w:highlight w:val="none"/>
          <w:u w:val="single"/>
          <w14:textFill>
            <w14:solidFill>
              <w14:schemeClr w14:val="tx1"/>
            </w14:solidFill>
          </w14:textFill>
        </w:rPr>
        <w:t>（所有分包供应商名称）</w:t>
      </w:r>
      <w:r>
        <w:rPr>
          <w:rFonts w:hint="eastAsia" w:ascii="宋体" w:hAnsi="宋体" w:cs="宋体"/>
          <w:color w:val="000000" w:themeColor="text1"/>
          <w:kern w:val="0"/>
          <w:szCs w:val="21"/>
          <w:highlight w:val="none"/>
          <w14:textFill>
            <w14:solidFill>
              <w14:schemeClr w14:val="tx1"/>
            </w14:solidFill>
          </w14:textFill>
        </w:rPr>
        <w:t>达成分包意向协议</w:t>
      </w:r>
      <w:r>
        <w:rPr>
          <w:rFonts w:hint="eastAsia" w:ascii="宋体" w:hAnsi="宋体" w:cs="宋体"/>
          <w:color w:val="000000" w:themeColor="text1"/>
          <w:kern w:val="0"/>
          <w:szCs w:val="21"/>
          <w:highlight w:val="none"/>
          <w:lang w:val="zh-CN"/>
          <w14:textFill>
            <w14:solidFill>
              <w14:schemeClr w14:val="tx1"/>
            </w14:solidFill>
          </w14:textFill>
        </w:rPr>
        <w:t xml:space="preserve">。 </w:t>
      </w:r>
    </w:p>
    <w:p w14:paraId="4D9CA8B8">
      <w:pPr>
        <w:widowControl/>
        <w:numPr>
          <w:ilvl w:val="0"/>
          <w:numId w:val="5"/>
        </w:numPr>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分包标的及数量</w:t>
      </w:r>
    </w:p>
    <w:p w14:paraId="69327447">
      <w:pPr>
        <w:widowControl/>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（投标人名称）</w:t>
      </w:r>
      <w:r>
        <w:rPr>
          <w:rFonts w:hint="eastAsia" w:ascii="宋体" w:hAnsi="宋体" w:cs="宋体"/>
          <w:color w:val="000000" w:themeColor="text1"/>
          <w:kern w:val="0"/>
          <w:szCs w:val="21"/>
          <w:highlight w:val="none"/>
          <w:lang w:val="zh-CN"/>
          <w14:textFill>
            <w14:solidFill>
              <w14:schemeClr w14:val="tx1"/>
            </w14:solidFill>
          </w14:textFill>
        </w:rPr>
        <w:t>将</w:t>
      </w:r>
      <w:r>
        <w:rPr>
          <w:rFonts w:ascii="宋体" w:hAnsi="宋体" w:cs="宋体"/>
          <w:color w:val="000000" w:themeColor="text1"/>
          <w:kern w:val="0"/>
          <w:szCs w:val="21"/>
          <w:highlight w:val="none"/>
          <w:u w:val="single"/>
          <w14:textFill>
            <w14:solidFill>
              <w14:schemeClr w14:val="tx1"/>
            </w14:solidFill>
          </w14:textFill>
        </w:rPr>
        <w:t xml:space="preserve"> XX工作内容   </w:t>
      </w:r>
      <w:r>
        <w:rPr>
          <w:rFonts w:hint="eastAsia" w:ascii="宋体" w:hAnsi="宋体" w:cs="宋体"/>
          <w:color w:val="000000" w:themeColor="text1"/>
          <w:szCs w:val="21"/>
          <w:highlight w:val="none"/>
          <w14:textFill>
            <w14:solidFill>
              <w14:schemeClr w14:val="tx1"/>
            </w14:solidFill>
          </w14:textFill>
        </w:rPr>
        <w:t>分包给</w:t>
      </w:r>
      <w:r>
        <w:rPr>
          <w:rFonts w:hint="eastAsia" w:ascii="宋体" w:hAnsi="宋体" w:cs="宋体"/>
          <w:color w:val="000000" w:themeColor="text1"/>
          <w:kern w:val="0"/>
          <w:szCs w:val="21"/>
          <w:highlight w:val="none"/>
          <w:u w:val="single"/>
          <w14:textFill>
            <w14:solidFill>
              <w14:schemeClr w14:val="tx1"/>
            </w14:solidFill>
          </w14:textFill>
        </w:rPr>
        <w:t>（分包供应商1名称）</w:t>
      </w: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（分包供应商2名称），</w:t>
      </w:r>
      <w:r>
        <w:rPr>
          <w:rFonts w:hint="eastAsia" w:ascii="宋体" w:hAnsi="宋体" w:cs="宋体"/>
          <w:color w:val="000000" w:themeColor="text1"/>
          <w:kern w:val="0"/>
          <w:szCs w:val="21"/>
          <w:highlight w:val="none"/>
          <w:lang w:val="zh-CN"/>
          <w14:textFill>
            <w14:solidFill>
              <w14:schemeClr w14:val="tx1"/>
            </w14:solidFill>
          </w14:textFill>
        </w:rPr>
        <w:t>具备承</w:t>
      </w:r>
      <w:r>
        <w:rPr>
          <w:rFonts w:hint="eastAsia" w:ascii="宋体" w:hAnsi="宋体" w:cs="宋体"/>
          <w:color w:val="000000" w:themeColor="text1"/>
          <w:kern w:val="0"/>
          <w:szCs w:val="21"/>
          <w:highlight w:val="none"/>
          <w14:textFill>
            <w14:solidFill>
              <w14:schemeClr w14:val="tx1"/>
            </w14:solidFill>
          </w14:textFill>
        </w:rPr>
        <w:t>担</w:t>
      </w:r>
      <w:r>
        <w:rPr>
          <w:rFonts w:hint="eastAsia" w:ascii="宋体" w:hAnsi="宋体" w:cs="宋体"/>
          <w:color w:val="000000" w:themeColor="text1"/>
          <w:kern w:val="0"/>
          <w:szCs w:val="21"/>
          <w:highlight w:val="none"/>
          <w:u w:val="single"/>
          <w:lang w:val="zh-CN"/>
          <w14:textFill>
            <w14:solidFill>
              <w14:schemeClr w14:val="tx1"/>
            </w14:solidFill>
          </w14:textFill>
        </w:rPr>
        <w:t>XX工作内容</w:t>
      </w:r>
      <w:r>
        <w:rPr>
          <w:rFonts w:hint="eastAsia" w:ascii="宋体" w:hAnsi="宋体" w:cs="宋体"/>
          <w:color w:val="000000" w:themeColor="text1"/>
          <w:kern w:val="0"/>
          <w:szCs w:val="21"/>
          <w:highlight w:val="none"/>
          <w:lang w:val="zh-CN"/>
          <w14:textFill>
            <w14:solidFill>
              <w14:schemeClr w14:val="tx1"/>
            </w14:solidFill>
          </w14:textFill>
        </w:rPr>
        <w:t>相应资质条件且不得再次分包；</w:t>
      </w:r>
    </w:p>
    <w:p w14:paraId="568F8BB8">
      <w:pPr>
        <w:widowControl/>
        <w:spacing w:line="48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p w14:paraId="26D26F1C">
      <w:pPr>
        <w:widowControl/>
        <w:numPr>
          <w:ilvl w:val="0"/>
          <w:numId w:val="5"/>
        </w:numPr>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分包供应商中小企业合同份额（如果有）</w:t>
      </w:r>
    </w:p>
    <w:p w14:paraId="4EF8105A">
      <w:pPr>
        <w:widowControl/>
        <w:numPr>
          <w:ilvl w:val="0"/>
          <w:numId w:val="6"/>
        </w:numPr>
        <w:spacing w:line="480" w:lineRule="exact"/>
        <w:ind w:firstLine="420" w:firstLineChars="200"/>
        <w:jc w:val="left"/>
        <w:rPr>
          <w:rFonts w:ascii="宋体" w:hAnsi="宋体" w:cs="宋体"/>
          <w:b/>
          <w:bCs/>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（分包供应商X</w:t>
      </w:r>
      <w:r>
        <w:rPr>
          <w:rFonts w:ascii="宋体" w:hAnsi="宋体" w:cs="宋体"/>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……）提供的服务全部由小微企业承接，</w:t>
      </w:r>
      <w:r>
        <w:rPr>
          <w:rFonts w:hint="eastAsia" w:ascii="宋体" w:hAnsi="宋体" w:cs="宋体"/>
          <w:color w:val="000000" w:themeColor="text1"/>
          <w:kern w:val="0"/>
          <w:szCs w:val="21"/>
          <w:highlight w:val="none"/>
          <w14:textFill>
            <w14:solidFill>
              <w14:schemeClr w14:val="tx1"/>
            </w14:solidFill>
          </w14:textFill>
        </w:rPr>
        <w:t>其合同份额占到合同总金额%以上</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000000" w:themeColor="text1"/>
          <w:kern w:val="0"/>
          <w:szCs w:val="21"/>
          <w:highlight w:val="none"/>
          <w14:textFill>
            <w14:solidFill>
              <w14:schemeClr w14:val="tx1"/>
            </w14:solidFill>
          </w14:textFill>
        </w:rPr>
        <w:t>4</w:t>
      </w:r>
      <w:r>
        <w:rPr>
          <w:rFonts w:hint="eastAsia" w:ascii="宋体" w:hAnsi="宋体" w:cs="宋体"/>
          <w:b/>
          <w:color w:val="000000" w:themeColor="text1"/>
          <w:kern w:val="0"/>
          <w:szCs w:val="21"/>
          <w:highlight w:val="none"/>
          <w:lang w:val="zh-CN"/>
          <w14:textFill>
            <w14:solidFill>
              <w14:schemeClr w14:val="tx1"/>
            </w14:solidFill>
          </w14:textFill>
        </w:rPr>
        <w:t>%的扣除。供应商</w:t>
      </w:r>
      <w:r>
        <w:rPr>
          <w:rFonts w:hint="eastAsia" w:ascii="宋体" w:hAnsi="宋体" w:cs="宋体"/>
          <w:b/>
          <w:color w:val="000000" w:themeColor="text1"/>
          <w:szCs w:val="21"/>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Cs w:val="21"/>
          <w:highlight w:val="none"/>
          <w:lang w:val="zh-CN"/>
          <w14:textFill>
            <w14:solidFill>
              <w14:schemeClr w14:val="tx1"/>
            </w14:solidFill>
          </w14:textFill>
        </w:rPr>
        <w:t>）</w:t>
      </w:r>
    </w:p>
    <w:p w14:paraId="4F4F507E">
      <w:pPr>
        <w:widowControl/>
        <w:numPr>
          <w:ilvl w:val="0"/>
          <w:numId w:val="6"/>
        </w:numPr>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中小企业合同金额达到%，小微企业合同金额达到%</w:t>
      </w: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b/>
          <w:bCs/>
          <w:color w:val="000000" w:themeColor="text1"/>
          <w:kern w:val="0"/>
          <w:szCs w:val="21"/>
          <w:highlight w:val="none"/>
          <w:lang w:val="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Cs w:val="21"/>
          <w:highlight w:val="none"/>
          <w:lang w:val="zh-CN"/>
          <w14:textFill>
            <w14:solidFill>
              <w14:schemeClr w14:val="tx1"/>
            </w14:solidFill>
          </w14:textFill>
        </w:rPr>
        <w:t>分包意向协议</w:t>
      </w:r>
      <w:r>
        <w:rPr>
          <w:rFonts w:hint="eastAsia" w:ascii="宋体" w:hAnsi="宋体" w:cs="宋体"/>
          <w:b/>
          <w:bCs/>
          <w:color w:val="000000" w:themeColor="text1"/>
          <w:szCs w:val="21"/>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Cs w:val="21"/>
          <w:highlight w:val="none"/>
          <w:lang w:val="zh-CN"/>
          <w14:textFill>
            <w14:solidFill>
              <w14:schemeClr w14:val="tx1"/>
            </w14:solidFill>
          </w14:textFill>
        </w:rPr>
        <w:t>）</w:t>
      </w:r>
    </w:p>
    <w:p w14:paraId="56BF0754">
      <w:pPr>
        <w:widowControl/>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三、分包工作履行期限、地点、方式</w:t>
      </w:r>
    </w:p>
    <w:p w14:paraId="5013B4ED">
      <w:pPr>
        <w:widowControl/>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四、质量</w:t>
      </w:r>
    </w:p>
    <w:p w14:paraId="4573F7DB">
      <w:pPr>
        <w:widowControl/>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五、价款或者报酬</w:t>
      </w:r>
    </w:p>
    <w:p w14:paraId="12BE5D44">
      <w:pPr>
        <w:widowControl/>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六、违约责任</w:t>
      </w:r>
    </w:p>
    <w:p w14:paraId="5817F6B0">
      <w:pPr>
        <w:widowControl/>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七、争议解决的办法</w:t>
      </w:r>
    </w:p>
    <w:p w14:paraId="243C90F9">
      <w:pPr>
        <w:widowControl/>
        <w:spacing w:line="480" w:lineRule="exact"/>
        <w:ind w:firstLine="420" w:firstLineChars="200"/>
        <w:jc w:val="left"/>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八、其他</w:t>
      </w:r>
    </w:p>
    <w:p w14:paraId="0BCCFD47">
      <w:pPr>
        <w:snapToGrid w:val="0"/>
        <w:spacing w:line="360" w:lineRule="auto"/>
        <w:ind w:firstLine="5250" w:firstLineChars="2500"/>
        <w:jc w:val="left"/>
        <w:rPr>
          <w:rFonts w:ascii="宋体" w:hAnsi="宋体" w:cs="宋体"/>
          <w:color w:val="000000" w:themeColor="text1"/>
          <w:kern w:val="0"/>
          <w:szCs w:val="21"/>
          <w:highlight w:val="none"/>
          <w:lang w:val="zh-CN"/>
          <w14:textFill>
            <w14:solidFill>
              <w14:schemeClr w14:val="tx1"/>
            </w14:solidFill>
          </w14:textFill>
        </w:rPr>
      </w:pPr>
    </w:p>
    <w:p w14:paraId="4687346D">
      <w:pPr>
        <w:pStyle w:val="15"/>
        <w:rPr>
          <w:color w:val="000000" w:themeColor="text1"/>
          <w:highlight w:val="none"/>
          <w:lang w:val="zh-CN"/>
          <w14:textFill>
            <w14:solidFill>
              <w14:schemeClr w14:val="tx1"/>
            </w14:solidFill>
          </w14:textFill>
        </w:rPr>
      </w:pPr>
    </w:p>
    <w:p w14:paraId="26F2AF77">
      <w:pPr>
        <w:snapToGrid w:val="0"/>
        <w:spacing w:line="360" w:lineRule="auto"/>
        <w:ind w:firstLine="5250" w:firstLineChars="25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投标人名称(</w:t>
      </w:r>
      <w:r>
        <w:rPr>
          <w:rFonts w:hint="eastAsia" w:ascii="宋体" w:hAnsi="宋体" w:cs="宋体"/>
          <w:color w:val="000000" w:themeColor="text1"/>
          <w:kern w:val="0"/>
          <w:szCs w:val="21"/>
          <w:highlight w:val="none"/>
          <w14:textFill>
            <w14:solidFill>
              <w14:schemeClr w14:val="tx1"/>
            </w14:solidFill>
          </w14:textFill>
        </w:rPr>
        <w:t>公章</w:t>
      </w:r>
      <w:r>
        <w:rPr>
          <w:rFonts w:hint="eastAsia" w:ascii="宋体" w:hAnsi="宋体" w:cs="宋体"/>
          <w:color w:val="000000" w:themeColor="text1"/>
          <w:kern w:val="0"/>
          <w:szCs w:val="21"/>
          <w:highlight w:val="none"/>
          <w:lang w:val="zh-CN"/>
          <w14:textFill>
            <w14:solidFill>
              <w14:schemeClr w14:val="tx1"/>
            </w14:solidFill>
          </w14:textFill>
        </w:rPr>
        <w:t>)：</w:t>
      </w:r>
    </w:p>
    <w:p w14:paraId="0B65FAFA">
      <w:pPr>
        <w:snapToGrid w:val="0"/>
        <w:spacing w:line="360" w:lineRule="auto"/>
        <w:ind w:firstLine="5250" w:firstLineChars="250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分包供应商名称：</w:t>
      </w:r>
    </w:p>
    <w:p w14:paraId="5C00BD94">
      <w:pPr>
        <w:snapToGrid w:val="0"/>
        <w:spacing w:line="360" w:lineRule="auto"/>
        <w:ind w:firstLine="5250" w:firstLineChars="250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w:t>
      </w:r>
    </w:p>
    <w:p w14:paraId="0FC283E5">
      <w:pPr>
        <w:spacing w:line="360" w:lineRule="auto"/>
        <w:jc w:val="center"/>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日期：  年  月   日</w:t>
      </w:r>
    </w:p>
    <w:p w14:paraId="0A4AF6F4">
      <w:pP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br w:type="page"/>
      </w:r>
    </w:p>
    <w:p w14:paraId="7414AC15">
      <w:pPr>
        <w:pStyle w:val="3"/>
        <w:spacing w:line="380" w:lineRule="exact"/>
        <w:rPr>
          <w:rFonts w:asciiTheme="minorEastAsia" w:hAnsiTheme="minorEastAsia" w:eastAsiaTheme="minorEastAsia"/>
          <w:bCs w:val="0"/>
          <w:color w:val="000000" w:themeColor="text1"/>
          <w:sz w:val="24"/>
          <w:szCs w:val="24"/>
          <w:highlight w:val="none"/>
          <w14:textFill>
            <w14:solidFill>
              <w14:schemeClr w14:val="tx1"/>
            </w14:solidFill>
          </w14:textFill>
        </w:rPr>
      </w:pPr>
      <w:bookmarkStart w:id="168" w:name="_Toc136017664"/>
      <w:bookmarkStart w:id="169" w:name="_Toc136345125"/>
      <w:bookmarkStart w:id="170" w:name="_Toc16708"/>
      <w:r>
        <w:rPr>
          <w:rFonts w:hint="eastAsia" w:asciiTheme="minorEastAsia" w:hAnsiTheme="minorEastAsia" w:eastAsiaTheme="minorEastAsia"/>
          <w:bCs w:val="0"/>
          <w:color w:val="000000" w:themeColor="text1"/>
          <w:sz w:val="24"/>
          <w:szCs w:val="24"/>
          <w:highlight w:val="none"/>
          <w14:textFill>
            <w14:solidFill>
              <w14:schemeClr w14:val="tx1"/>
            </w14:solidFill>
          </w14:textFill>
        </w:rPr>
        <w:t>（五）技术条款偏离表</w:t>
      </w:r>
      <w:bookmarkEnd w:id="168"/>
      <w:bookmarkEnd w:id="169"/>
      <w:bookmarkEnd w:id="170"/>
    </w:p>
    <w:p w14:paraId="1E5A711D">
      <w:pPr>
        <w:spacing w:line="380" w:lineRule="exact"/>
        <w:rPr>
          <w:rFonts w:asciiTheme="minorEastAsia" w:hAnsiTheme="minorEastAsia" w:eastAsiaTheme="minorEastAsia"/>
          <w:color w:val="000000" w:themeColor="text1"/>
          <w:szCs w:val="21"/>
          <w:highlight w:val="none"/>
          <w14:textFill>
            <w14:solidFill>
              <w14:schemeClr w14:val="tx1"/>
            </w14:solidFill>
          </w14:textFill>
        </w:rPr>
      </w:pPr>
    </w:p>
    <w:tbl>
      <w:tblPr>
        <w:tblStyle w:val="34"/>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14:paraId="0AC4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09DE368D">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序号</w:t>
            </w:r>
          </w:p>
        </w:tc>
        <w:tc>
          <w:tcPr>
            <w:tcW w:w="3360" w:type="dxa"/>
            <w:vAlign w:val="center"/>
          </w:tcPr>
          <w:p w14:paraId="23343384">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招标文件技术要求</w:t>
            </w:r>
          </w:p>
        </w:tc>
        <w:tc>
          <w:tcPr>
            <w:tcW w:w="2908" w:type="dxa"/>
            <w:vAlign w:val="center"/>
          </w:tcPr>
          <w:p w14:paraId="144C3A8C">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投标文件对应规格</w:t>
            </w:r>
          </w:p>
        </w:tc>
        <w:tc>
          <w:tcPr>
            <w:tcW w:w="1578" w:type="dxa"/>
            <w:vAlign w:val="center"/>
          </w:tcPr>
          <w:p w14:paraId="6729729D">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说明</w:t>
            </w:r>
          </w:p>
        </w:tc>
      </w:tr>
      <w:tr w14:paraId="5CEB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483ECD92">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3360" w:type="dxa"/>
            <w:vAlign w:val="center"/>
          </w:tcPr>
          <w:p w14:paraId="2BDA2062">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2908" w:type="dxa"/>
            <w:vAlign w:val="center"/>
          </w:tcPr>
          <w:p w14:paraId="6BC9E7BA">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1578" w:type="dxa"/>
            <w:vAlign w:val="center"/>
          </w:tcPr>
          <w:p w14:paraId="7632E08E">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r>
      <w:tr w14:paraId="3AAE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08A1EEA8">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3360" w:type="dxa"/>
            <w:vAlign w:val="center"/>
          </w:tcPr>
          <w:p w14:paraId="754B7C91">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2908" w:type="dxa"/>
            <w:vAlign w:val="center"/>
          </w:tcPr>
          <w:p w14:paraId="7C751A64">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1578" w:type="dxa"/>
            <w:vAlign w:val="center"/>
          </w:tcPr>
          <w:p w14:paraId="7DDAC0C8">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r>
      <w:tr w14:paraId="38C0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20BE5191">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3360" w:type="dxa"/>
            <w:vAlign w:val="center"/>
          </w:tcPr>
          <w:p w14:paraId="13E1D9E4">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2908" w:type="dxa"/>
            <w:vAlign w:val="center"/>
          </w:tcPr>
          <w:p w14:paraId="4EFFC6CF">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1578" w:type="dxa"/>
            <w:vAlign w:val="center"/>
          </w:tcPr>
          <w:p w14:paraId="2364F78F">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r>
    </w:tbl>
    <w:p w14:paraId="108276FB">
      <w:pPr>
        <w:spacing w:line="360" w:lineRule="auto"/>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备注：1、本表应列明投标人对技术规格的偏离条款（正偏离或负偏离）；</w:t>
      </w:r>
    </w:p>
    <w:p w14:paraId="05973226">
      <w:pPr>
        <w:spacing w:line="360" w:lineRule="auto"/>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2、无偏离应在本表“说明”处醒目地注明“无条款偏离”的字样。</w:t>
      </w:r>
    </w:p>
    <w:p w14:paraId="21CC3BC3">
      <w:pPr>
        <w:spacing w:line="360" w:lineRule="auto"/>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3、本表格供参考，投标人可根据项目实际情况自拟（增减）表格。</w:t>
      </w:r>
    </w:p>
    <w:p w14:paraId="5E0E4023">
      <w:pPr>
        <w:spacing w:line="360" w:lineRule="auto"/>
        <w:rPr>
          <w:rFonts w:asciiTheme="minorEastAsia" w:hAnsiTheme="minorEastAsia" w:eastAsiaTheme="minorEastAsia"/>
          <w:color w:val="000000" w:themeColor="text1"/>
          <w:highlight w:val="none"/>
          <w14:textFill>
            <w14:solidFill>
              <w14:schemeClr w14:val="tx1"/>
            </w14:solidFill>
          </w14:textFill>
        </w:rPr>
      </w:pPr>
    </w:p>
    <w:p w14:paraId="77851703">
      <w:pPr>
        <w:spacing w:line="380" w:lineRule="exact"/>
        <w:rPr>
          <w:rFonts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投标人（公章）：</w:t>
      </w:r>
    </w:p>
    <w:p w14:paraId="35D1CD85">
      <w:pPr>
        <w:spacing w:line="380" w:lineRule="exact"/>
        <w:rPr>
          <w:rFonts w:asciiTheme="minorEastAsia" w:hAnsiTheme="minorEastAsia" w:eastAsiaTheme="minorEastAsia"/>
          <w:color w:val="000000" w:themeColor="text1"/>
          <w:sz w:val="22"/>
          <w:szCs w:val="22"/>
          <w:highlight w:val="none"/>
          <w:u w:val="singl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投标人代表（签字或印章）：</w:t>
      </w:r>
    </w:p>
    <w:p w14:paraId="74541FB9">
      <w:pPr>
        <w:spacing w:line="380" w:lineRule="exact"/>
        <w:rPr>
          <w:rFonts w:asciiTheme="minorEastAsia" w:hAnsiTheme="minorEastAsia" w:eastAsiaTheme="minorEastAsia"/>
          <w:color w:val="000000" w:themeColor="text1"/>
          <w:sz w:val="22"/>
          <w:szCs w:val="22"/>
          <w:highlight w:val="none"/>
          <w:u w:val="singl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日期：</w:t>
      </w:r>
    </w:p>
    <w:p w14:paraId="7810EFEB">
      <w:pPr>
        <w:spacing w:line="380" w:lineRule="exact"/>
        <w:rPr>
          <w:rFonts w:asciiTheme="minorEastAsia" w:hAnsiTheme="minorEastAsia" w:eastAsiaTheme="minorEastAsia"/>
          <w:color w:val="000000" w:themeColor="text1"/>
          <w:sz w:val="24"/>
          <w:highlight w:val="none"/>
          <w14:textFill>
            <w14:solidFill>
              <w14:schemeClr w14:val="tx1"/>
            </w14:solidFill>
          </w14:textFill>
        </w:rPr>
      </w:pPr>
    </w:p>
    <w:p w14:paraId="205A11C4">
      <w:pPr>
        <w:pStyle w:val="3"/>
        <w:spacing w:line="380" w:lineRule="exact"/>
        <w:rPr>
          <w:rFonts w:asciiTheme="minorEastAsia" w:hAnsiTheme="minorEastAsia" w:eastAsiaTheme="minorEastAsia"/>
          <w:bCs w:val="0"/>
          <w:color w:val="000000" w:themeColor="text1"/>
          <w:sz w:val="24"/>
          <w:szCs w:val="24"/>
          <w:highlight w:val="none"/>
          <w14:textFill>
            <w14:solidFill>
              <w14:schemeClr w14:val="tx1"/>
            </w14:solidFill>
          </w14:textFill>
        </w:rPr>
      </w:pPr>
      <w:bookmarkStart w:id="171" w:name="_Toc21217"/>
      <w:bookmarkStart w:id="172" w:name="_Toc136345126"/>
      <w:bookmarkStart w:id="173" w:name="_Toc136017665"/>
      <w:r>
        <w:rPr>
          <w:rFonts w:hint="eastAsia" w:asciiTheme="minorEastAsia" w:hAnsiTheme="minorEastAsia" w:eastAsiaTheme="minorEastAsia"/>
          <w:bCs w:val="0"/>
          <w:color w:val="000000" w:themeColor="text1"/>
          <w:sz w:val="24"/>
          <w:szCs w:val="24"/>
          <w:highlight w:val="none"/>
          <w14:textFill>
            <w14:solidFill>
              <w14:schemeClr w14:val="tx1"/>
            </w14:solidFill>
          </w14:textFill>
        </w:rPr>
        <w:t>（六）商务条款偏离表</w:t>
      </w:r>
      <w:bookmarkEnd w:id="171"/>
      <w:bookmarkEnd w:id="172"/>
      <w:bookmarkEnd w:id="173"/>
    </w:p>
    <w:p w14:paraId="576FB8B8">
      <w:pPr>
        <w:spacing w:line="380" w:lineRule="exact"/>
        <w:rPr>
          <w:rFonts w:asciiTheme="minorEastAsia" w:hAnsiTheme="minorEastAsia" w:eastAsiaTheme="minorEastAsia"/>
          <w:color w:val="000000" w:themeColor="text1"/>
          <w:sz w:val="24"/>
          <w:highlight w:val="none"/>
          <w14:textFill>
            <w14:solidFill>
              <w14:schemeClr w14:val="tx1"/>
            </w14:solidFill>
          </w14:textFill>
        </w:rPr>
      </w:pPr>
    </w:p>
    <w:tbl>
      <w:tblPr>
        <w:tblStyle w:val="34"/>
        <w:tblW w:w="87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418"/>
        <w:gridCol w:w="2891"/>
        <w:gridCol w:w="1618"/>
      </w:tblGrid>
      <w:tr w14:paraId="2554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7F8DD354">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序号</w:t>
            </w:r>
          </w:p>
        </w:tc>
        <w:tc>
          <w:tcPr>
            <w:tcW w:w="3418" w:type="dxa"/>
            <w:vAlign w:val="center"/>
          </w:tcPr>
          <w:p w14:paraId="651070AC">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招标文件的商务条款</w:t>
            </w:r>
          </w:p>
        </w:tc>
        <w:tc>
          <w:tcPr>
            <w:tcW w:w="2891" w:type="dxa"/>
            <w:vAlign w:val="center"/>
          </w:tcPr>
          <w:p w14:paraId="4E41E351">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投标文件的商务条款</w:t>
            </w:r>
          </w:p>
        </w:tc>
        <w:tc>
          <w:tcPr>
            <w:tcW w:w="1618" w:type="dxa"/>
            <w:vAlign w:val="center"/>
          </w:tcPr>
          <w:p w14:paraId="1BD7E92A">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说明</w:t>
            </w:r>
          </w:p>
        </w:tc>
      </w:tr>
      <w:tr w14:paraId="5DC4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49DFAF2B">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3418" w:type="dxa"/>
            <w:vAlign w:val="center"/>
          </w:tcPr>
          <w:p w14:paraId="43291690">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2891" w:type="dxa"/>
            <w:vAlign w:val="center"/>
          </w:tcPr>
          <w:p w14:paraId="52E25E58">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1618" w:type="dxa"/>
            <w:vAlign w:val="center"/>
          </w:tcPr>
          <w:p w14:paraId="4DA6765F">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r>
      <w:tr w14:paraId="68E1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0286A535">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3418" w:type="dxa"/>
            <w:vAlign w:val="center"/>
          </w:tcPr>
          <w:p w14:paraId="5961C97E">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2891" w:type="dxa"/>
            <w:vAlign w:val="center"/>
          </w:tcPr>
          <w:p w14:paraId="7ED01123">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1618" w:type="dxa"/>
            <w:vAlign w:val="center"/>
          </w:tcPr>
          <w:p w14:paraId="0CE580C9">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r>
      <w:tr w14:paraId="3129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0F141760">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3418" w:type="dxa"/>
            <w:vAlign w:val="center"/>
          </w:tcPr>
          <w:p w14:paraId="23DAFFED">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2891" w:type="dxa"/>
            <w:vAlign w:val="center"/>
          </w:tcPr>
          <w:p w14:paraId="703407F7">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1618" w:type="dxa"/>
            <w:vAlign w:val="center"/>
          </w:tcPr>
          <w:p w14:paraId="6752D41D">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r>
    </w:tbl>
    <w:p w14:paraId="7EDFFCD3">
      <w:pPr>
        <w:spacing w:line="360" w:lineRule="auto"/>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备注：1、列明招标文件的商务条款与投标文件对应响应，并说明偏离状况（正偏离或负偏离）；2、无偏离应在本表“说明”处醒目地注明“无条款偏离”的字样。</w:t>
      </w:r>
    </w:p>
    <w:p w14:paraId="2CE49DD5">
      <w:pPr>
        <w:spacing w:line="360" w:lineRule="auto"/>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3、本表格供参考，投标人可根据项目实际情况自拟（增减）表格。</w:t>
      </w:r>
    </w:p>
    <w:p w14:paraId="5871D34D">
      <w:pPr>
        <w:spacing w:line="380" w:lineRule="exact"/>
        <w:rPr>
          <w:rFonts w:asciiTheme="minorEastAsia" w:hAnsiTheme="minorEastAsia" w:eastAsiaTheme="minorEastAsia"/>
          <w:color w:val="000000" w:themeColor="text1"/>
          <w:sz w:val="22"/>
          <w:szCs w:val="22"/>
          <w:highlight w:val="none"/>
          <w14:textFill>
            <w14:solidFill>
              <w14:schemeClr w14:val="tx1"/>
            </w14:solidFill>
          </w14:textFill>
        </w:rPr>
      </w:pPr>
    </w:p>
    <w:p w14:paraId="5BE60B70">
      <w:pPr>
        <w:spacing w:line="380" w:lineRule="exact"/>
        <w:rPr>
          <w:rFonts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投标人（公章）：</w:t>
      </w:r>
    </w:p>
    <w:p w14:paraId="28EC3F17">
      <w:pPr>
        <w:spacing w:line="380" w:lineRule="exact"/>
        <w:rPr>
          <w:rFonts w:asciiTheme="minorEastAsia" w:hAnsiTheme="minorEastAsia" w:eastAsiaTheme="minorEastAsia"/>
          <w:color w:val="000000" w:themeColor="text1"/>
          <w:sz w:val="22"/>
          <w:szCs w:val="22"/>
          <w:highlight w:val="none"/>
          <w:u w:val="singl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投标人代表（签字或印章）：</w:t>
      </w:r>
    </w:p>
    <w:p w14:paraId="4071A026">
      <w:pPr>
        <w:spacing w:line="380" w:lineRule="exact"/>
        <w:rPr>
          <w:rFonts w:asciiTheme="minorEastAsia" w:hAnsiTheme="minorEastAsia" w:eastAsiaTheme="minorEastAsia"/>
          <w:color w:val="000000" w:themeColor="text1"/>
          <w:sz w:val="22"/>
          <w:szCs w:val="22"/>
          <w:highlight w:val="none"/>
          <w:u w:val="singl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日期：</w:t>
      </w:r>
    </w:p>
    <w:p w14:paraId="73E518EC">
      <w:pPr>
        <w:spacing w:line="380" w:lineRule="exact"/>
        <w:rPr>
          <w:rFonts w:asciiTheme="minorEastAsia" w:hAnsiTheme="minorEastAsia" w:eastAsiaTheme="minorEastAsia"/>
          <w:color w:val="000000" w:themeColor="text1"/>
          <w:sz w:val="24"/>
          <w:highlight w:val="none"/>
          <w:u w:val="single"/>
          <w14:textFill>
            <w14:solidFill>
              <w14:schemeClr w14:val="tx1"/>
            </w14:solidFill>
          </w14:textFill>
        </w:rPr>
      </w:pPr>
    </w:p>
    <w:p w14:paraId="271DAEE8">
      <w:pPr>
        <w:pStyle w:val="3"/>
        <w:spacing w:line="380" w:lineRule="exact"/>
        <w:rPr>
          <w:rFonts w:asciiTheme="minorEastAsia" w:hAnsiTheme="minorEastAsia" w:eastAsiaTheme="minorEastAsia"/>
          <w:color w:val="000000" w:themeColor="text1"/>
          <w:sz w:val="24"/>
          <w:szCs w:val="24"/>
          <w:highlight w:val="none"/>
          <w14:textFill>
            <w14:solidFill>
              <w14:schemeClr w14:val="tx1"/>
            </w14:solidFill>
          </w14:textFill>
        </w:rPr>
      </w:pPr>
      <w:bookmarkStart w:id="174" w:name="_Toc136345127"/>
      <w:bookmarkStart w:id="175" w:name="_Toc10625"/>
      <w:bookmarkStart w:id="176" w:name="_Toc136017666"/>
      <w:r>
        <w:rPr>
          <w:rFonts w:hint="eastAsia" w:asciiTheme="minorEastAsia" w:hAnsiTheme="minorEastAsia" w:eastAsiaTheme="minorEastAsia"/>
          <w:color w:val="000000" w:themeColor="text1"/>
          <w:sz w:val="24"/>
          <w:szCs w:val="24"/>
          <w:highlight w:val="none"/>
          <w14:textFill>
            <w14:solidFill>
              <w14:schemeClr w14:val="tx1"/>
            </w14:solidFill>
          </w14:textFill>
        </w:rPr>
        <w:t>（七）第五部分“评标办法”中“评分标准”要求提供的资料（如有需提供）</w:t>
      </w:r>
      <w:bookmarkEnd w:id="174"/>
      <w:bookmarkEnd w:id="175"/>
      <w:bookmarkEnd w:id="176"/>
    </w:p>
    <w:p w14:paraId="03AF5000">
      <w:pPr>
        <w:jc w:val="center"/>
        <w:rPr>
          <w:rFonts w:asciiTheme="minorEastAsia" w:hAnsiTheme="minorEastAsia" w:eastAsiaTheme="minorEastAsia"/>
          <w:b/>
          <w:color w:val="000000" w:themeColor="text1"/>
          <w:sz w:val="24"/>
          <w:szCs w:val="24"/>
          <w:highlight w:val="none"/>
          <w14:textFill>
            <w14:solidFill>
              <w14:schemeClr w14:val="tx1"/>
            </w14:solidFill>
          </w14:textFill>
        </w:rPr>
      </w:pPr>
    </w:p>
    <w:p w14:paraId="1C5C68B7">
      <w:pPr>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1.1投标人自2021年1月1日以来同类安全生产、消防安全、应急救援、值班值守、联勤保障第三方服务项目业绩汇总表</w:t>
      </w:r>
    </w:p>
    <w:tbl>
      <w:tblPr>
        <w:tblStyle w:val="3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2268"/>
        <w:gridCol w:w="2977"/>
      </w:tblGrid>
      <w:tr w14:paraId="73E8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14:paraId="18484CFA">
            <w:pPr>
              <w:pStyle w:val="123"/>
              <w:jc w:val="center"/>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项目序号</w:t>
            </w:r>
          </w:p>
        </w:tc>
        <w:tc>
          <w:tcPr>
            <w:tcW w:w="2268" w:type="dxa"/>
            <w:vAlign w:val="center"/>
          </w:tcPr>
          <w:p w14:paraId="21DC2B5B">
            <w:pPr>
              <w:pStyle w:val="123"/>
              <w:jc w:val="center"/>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项目名称</w:t>
            </w:r>
          </w:p>
        </w:tc>
        <w:tc>
          <w:tcPr>
            <w:tcW w:w="2268" w:type="dxa"/>
            <w:vAlign w:val="center"/>
          </w:tcPr>
          <w:p w14:paraId="7272CBC9">
            <w:pPr>
              <w:pStyle w:val="123"/>
              <w:jc w:val="center"/>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发包人名称</w:t>
            </w:r>
          </w:p>
        </w:tc>
        <w:tc>
          <w:tcPr>
            <w:tcW w:w="2977" w:type="dxa"/>
            <w:vAlign w:val="center"/>
          </w:tcPr>
          <w:p w14:paraId="4699A280">
            <w:pPr>
              <w:pStyle w:val="123"/>
              <w:jc w:val="center"/>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服务开始和完成日期</w:t>
            </w:r>
          </w:p>
        </w:tc>
      </w:tr>
      <w:tr w14:paraId="3A22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0A7D376D">
            <w:pPr>
              <w:pStyle w:val="123"/>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27EC8DD1">
            <w:pPr>
              <w:pStyle w:val="123"/>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05915565">
            <w:pPr>
              <w:pStyle w:val="123"/>
              <w:jc w:val="center"/>
              <w:rPr>
                <w:bCs w:val="0"/>
                <w:color w:val="000000" w:themeColor="text1"/>
                <w:sz w:val="24"/>
                <w:szCs w:val="24"/>
                <w:highlight w:val="none"/>
                <w:lang w:val="en-US"/>
                <w14:textFill>
                  <w14:solidFill>
                    <w14:schemeClr w14:val="tx1"/>
                  </w14:solidFill>
                </w14:textFill>
              </w:rPr>
            </w:pPr>
          </w:p>
        </w:tc>
        <w:tc>
          <w:tcPr>
            <w:tcW w:w="2977" w:type="dxa"/>
            <w:vAlign w:val="center"/>
          </w:tcPr>
          <w:p w14:paraId="62256358">
            <w:pPr>
              <w:pStyle w:val="123"/>
              <w:jc w:val="center"/>
              <w:rPr>
                <w:bCs w:val="0"/>
                <w:color w:val="000000" w:themeColor="text1"/>
                <w:sz w:val="24"/>
                <w:szCs w:val="24"/>
                <w:highlight w:val="none"/>
                <w:lang w:val="en-US"/>
                <w14:textFill>
                  <w14:solidFill>
                    <w14:schemeClr w14:val="tx1"/>
                  </w14:solidFill>
                </w14:textFill>
              </w:rPr>
            </w:pPr>
          </w:p>
        </w:tc>
      </w:tr>
      <w:tr w14:paraId="6B1E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6F912EEA">
            <w:pPr>
              <w:pStyle w:val="123"/>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71F3A2C1">
            <w:pPr>
              <w:pStyle w:val="123"/>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4DA30695">
            <w:pPr>
              <w:pStyle w:val="123"/>
              <w:jc w:val="center"/>
              <w:rPr>
                <w:bCs w:val="0"/>
                <w:color w:val="000000" w:themeColor="text1"/>
                <w:sz w:val="24"/>
                <w:szCs w:val="24"/>
                <w:highlight w:val="none"/>
                <w:lang w:val="en-US"/>
                <w14:textFill>
                  <w14:solidFill>
                    <w14:schemeClr w14:val="tx1"/>
                  </w14:solidFill>
                </w14:textFill>
              </w:rPr>
            </w:pPr>
          </w:p>
        </w:tc>
        <w:tc>
          <w:tcPr>
            <w:tcW w:w="2977" w:type="dxa"/>
            <w:vAlign w:val="center"/>
          </w:tcPr>
          <w:p w14:paraId="6395225F">
            <w:pPr>
              <w:pStyle w:val="123"/>
              <w:jc w:val="center"/>
              <w:rPr>
                <w:bCs w:val="0"/>
                <w:color w:val="000000" w:themeColor="text1"/>
                <w:sz w:val="24"/>
                <w:szCs w:val="24"/>
                <w:highlight w:val="none"/>
                <w:lang w:val="en-US"/>
                <w14:textFill>
                  <w14:solidFill>
                    <w14:schemeClr w14:val="tx1"/>
                  </w14:solidFill>
                </w14:textFill>
              </w:rPr>
            </w:pPr>
          </w:p>
        </w:tc>
      </w:tr>
      <w:tr w14:paraId="6C4B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204CFB89">
            <w:pPr>
              <w:pStyle w:val="123"/>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6A0EB984">
            <w:pPr>
              <w:pStyle w:val="123"/>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78198DB4">
            <w:pPr>
              <w:pStyle w:val="123"/>
              <w:jc w:val="center"/>
              <w:rPr>
                <w:bCs w:val="0"/>
                <w:color w:val="000000" w:themeColor="text1"/>
                <w:sz w:val="24"/>
                <w:szCs w:val="24"/>
                <w:highlight w:val="none"/>
                <w:lang w:val="en-US"/>
                <w14:textFill>
                  <w14:solidFill>
                    <w14:schemeClr w14:val="tx1"/>
                  </w14:solidFill>
                </w14:textFill>
              </w:rPr>
            </w:pPr>
          </w:p>
        </w:tc>
        <w:tc>
          <w:tcPr>
            <w:tcW w:w="2977" w:type="dxa"/>
            <w:vAlign w:val="center"/>
          </w:tcPr>
          <w:p w14:paraId="66E35100">
            <w:pPr>
              <w:pStyle w:val="123"/>
              <w:jc w:val="center"/>
              <w:rPr>
                <w:bCs w:val="0"/>
                <w:color w:val="000000" w:themeColor="text1"/>
                <w:sz w:val="24"/>
                <w:szCs w:val="24"/>
                <w:highlight w:val="none"/>
                <w:lang w:val="en-US"/>
                <w14:textFill>
                  <w14:solidFill>
                    <w14:schemeClr w14:val="tx1"/>
                  </w14:solidFill>
                </w14:textFill>
              </w:rPr>
            </w:pPr>
          </w:p>
        </w:tc>
      </w:tr>
      <w:tr w14:paraId="4A18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623915D6">
            <w:pPr>
              <w:pStyle w:val="123"/>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6B2923F9">
            <w:pPr>
              <w:pStyle w:val="123"/>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639D981F">
            <w:pPr>
              <w:pStyle w:val="123"/>
              <w:jc w:val="center"/>
              <w:rPr>
                <w:bCs w:val="0"/>
                <w:color w:val="000000" w:themeColor="text1"/>
                <w:sz w:val="24"/>
                <w:szCs w:val="24"/>
                <w:highlight w:val="none"/>
                <w:lang w:val="en-US"/>
                <w14:textFill>
                  <w14:solidFill>
                    <w14:schemeClr w14:val="tx1"/>
                  </w14:solidFill>
                </w14:textFill>
              </w:rPr>
            </w:pPr>
          </w:p>
        </w:tc>
        <w:tc>
          <w:tcPr>
            <w:tcW w:w="2977" w:type="dxa"/>
            <w:vAlign w:val="center"/>
          </w:tcPr>
          <w:p w14:paraId="72B66FB1">
            <w:pPr>
              <w:pStyle w:val="123"/>
              <w:jc w:val="center"/>
              <w:rPr>
                <w:bCs w:val="0"/>
                <w:color w:val="000000" w:themeColor="text1"/>
                <w:sz w:val="24"/>
                <w:szCs w:val="24"/>
                <w:highlight w:val="none"/>
                <w:lang w:val="en-US"/>
                <w14:textFill>
                  <w14:solidFill>
                    <w14:schemeClr w14:val="tx1"/>
                  </w14:solidFill>
                </w14:textFill>
              </w:rPr>
            </w:pPr>
          </w:p>
        </w:tc>
      </w:tr>
      <w:tr w14:paraId="7D4C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7B59F4EB">
            <w:pPr>
              <w:pStyle w:val="123"/>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69CBE9C8">
            <w:pPr>
              <w:pStyle w:val="123"/>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76087DEB">
            <w:pPr>
              <w:pStyle w:val="123"/>
              <w:jc w:val="center"/>
              <w:rPr>
                <w:bCs w:val="0"/>
                <w:color w:val="000000" w:themeColor="text1"/>
                <w:sz w:val="24"/>
                <w:szCs w:val="24"/>
                <w:highlight w:val="none"/>
                <w:lang w:val="en-US"/>
                <w14:textFill>
                  <w14:solidFill>
                    <w14:schemeClr w14:val="tx1"/>
                  </w14:solidFill>
                </w14:textFill>
              </w:rPr>
            </w:pPr>
          </w:p>
        </w:tc>
        <w:tc>
          <w:tcPr>
            <w:tcW w:w="2977" w:type="dxa"/>
            <w:vAlign w:val="center"/>
          </w:tcPr>
          <w:p w14:paraId="78849EFA">
            <w:pPr>
              <w:pStyle w:val="123"/>
              <w:jc w:val="center"/>
              <w:rPr>
                <w:bCs w:val="0"/>
                <w:color w:val="000000" w:themeColor="text1"/>
                <w:sz w:val="24"/>
                <w:szCs w:val="24"/>
                <w:highlight w:val="none"/>
                <w:lang w:val="en-US"/>
                <w14:textFill>
                  <w14:solidFill>
                    <w14:schemeClr w14:val="tx1"/>
                  </w14:solidFill>
                </w14:textFill>
              </w:rPr>
            </w:pPr>
          </w:p>
        </w:tc>
      </w:tr>
      <w:tr w14:paraId="71B70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651602C0">
            <w:pPr>
              <w:pStyle w:val="123"/>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56085EE7">
            <w:pPr>
              <w:pStyle w:val="123"/>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7D2DCA57">
            <w:pPr>
              <w:pStyle w:val="123"/>
              <w:jc w:val="center"/>
              <w:rPr>
                <w:bCs w:val="0"/>
                <w:color w:val="000000" w:themeColor="text1"/>
                <w:sz w:val="24"/>
                <w:szCs w:val="24"/>
                <w:highlight w:val="none"/>
                <w:lang w:val="en-US"/>
                <w14:textFill>
                  <w14:solidFill>
                    <w14:schemeClr w14:val="tx1"/>
                  </w14:solidFill>
                </w14:textFill>
              </w:rPr>
            </w:pPr>
          </w:p>
        </w:tc>
        <w:tc>
          <w:tcPr>
            <w:tcW w:w="2977" w:type="dxa"/>
            <w:vAlign w:val="center"/>
          </w:tcPr>
          <w:p w14:paraId="1C426168">
            <w:pPr>
              <w:pStyle w:val="123"/>
              <w:jc w:val="center"/>
              <w:rPr>
                <w:bCs w:val="0"/>
                <w:color w:val="000000" w:themeColor="text1"/>
                <w:sz w:val="24"/>
                <w:szCs w:val="24"/>
                <w:highlight w:val="none"/>
                <w:lang w:val="en-US"/>
                <w14:textFill>
                  <w14:solidFill>
                    <w14:schemeClr w14:val="tx1"/>
                  </w14:solidFill>
                </w14:textFill>
              </w:rPr>
            </w:pPr>
          </w:p>
        </w:tc>
      </w:tr>
      <w:tr w14:paraId="3AD4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34D76BD1">
            <w:pPr>
              <w:pStyle w:val="123"/>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4373F097">
            <w:pPr>
              <w:pStyle w:val="123"/>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2B7CA724">
            <w:pPr>
              <w:pStyle w:val="123"/>
              <w:jc w:val="center"/>
              <w:rPr>
                <w:bCs w:val="0"/>
                <w:color w:val="000000" w:themeColor="text1"/>
                <w:sz w:val="24"/>
                <w:szCs w:val="24"/>
                <w:highlight w:val="none"/>
                <w:lang w:val="en-US"/>
                <w14:textFill>
                  <w14:solidFill>
                    <w14:schemeClr w14:val="tx1"/>
                  </w14:solidFill>
                </w14:textFill>
              </w:rPr>
            </w:pPr>
          </w:p>
        </w:tc>
        <w:tc>
          <w:tcPr>
            <w:tcW w:w="2977" w:type="dxa"/>
            <w:vAlign w:val="center"/>
          </w:tcPr>
          <w:p w14:paraId="1700FCE2">
            <w:pPr>
              <w:pStyle w:val="123"/>
              <w:jc w:val="center"/>
              <w:rPr>
                <w:bCs w:val="0"/>
                <w:color w:val="000000" w:themeColor="text1"/>
                <w:sz w:val="24"/>
                <w:szCs w:val="24"/>
                <w:highlight w:val="none"/>
                <w:lang w:val="en-US"/>
                <w14:textFill>
                  <w14:solidFill>
                    <w14:schemeClr w14:val="tx1"/>
                  </w14:solidFill>
                </w14:textFill>
              </w:rPr>
            </w:pPr>
          </w:p>
        </w:tc>
      </w:tr>
      <w:tr w14:paraId="7A98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14:paraId="3B439146">
            <w:pPr>
              <w:pStyle w:val="123"/>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466ED0B6">
            <w:pPr>
              <w:pStyle w:val="123"/>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36E92566">
            <w:pPr>
              <w:pStyle w:val="123"/>
              <w:jc w:val="center"/>
              <w:rPr>
                <w:bCs w:val="0"/>
                <w:color w:val="000000" w:themeColor="text1"/>
                <w:sz w:val="24"/>
                <w:szCs w:val="24"/>
                <w:highlight w:val="none"/>
                <w:lang w:val="en-US"/>
                <w14:textFill>
                  <w14:solidFill>
                    <w14:schemeClr w14:val="tx1"/>
                  </w14:solidFill>
                </w14:textFill>
              </w:rPr>
            </w:pPr>
          </w:p>
        </w:tc>
        <w:tc>
          <w:tcPr>
            <w:tcW w:w="2977" w:type="dxa"/>
            <w:vAlign w:val="center"/>
          </w:tcPr>
          <w:p w14:paraId="687EC100">
            <w:pPr>
              <w:pStyle w:val="123"/>
              <w:jc w:val="center"/>
              <w:rPr>
                <w:bCs w:val="0"/>
                <w:color w:val="000000" w:themeColor="text1"/>
                <w:sz w:val="24"/>
                <w:szCs w:val="24"/>
                <w:highlight w:val="none"/>
                <w:lang w:val="en-US"/>
                <w14:textFill>
                  <w14:solidFill>
                    <w14:schemeClr w14:val="tx1"/>
                  </w14:solidFill>
                </w14:textFill>
              </w:rPr>
            </w:pPr>
          </w:p>
        </w:tc>
      </w:tr>
      <w:tr w14:paraId="4951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42" w:type="dxa"/>
            <w:vAlign w:val="center"/>
          </w:tcPr>
          <w:p w14:paraId="578B67B5">
            <w:pPr>
              <w:pStyle w:val="123"/>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3282C2C5">
            <w:pPr>
              <w:pStyle w:val="123"/>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02EEFB33">
            <w:pPr>
              <w:pStyle w:val="123"/>
              <w:jc w:val="center"/>
              <w:rPr>
                <w:bCs w:val="0"/>
                <w:color w:val="000000" w:themeColor="text1"/>
                <w:sz w:val="24"/>
                <w:szCs w:val="24"/>
                <w:highlight w:val="none"/>
                <w:lang w:val="en-US"/>
                <w14:textFill>
                  <w14:solidFill>
                    <w14:schemeClr w14:val="tx1"/>
                  </w14:solidFill>
                </w14:textFill>
              </w:rPr>
            </w:pPr>
          </w:p>
        </w:tc>
        <w:tc>
          <w:tcPr>
            <w:tcW w:w="2977" w:type="dxa"/>
            <w:vAlign w:val="center"/>
          </w:tcPr>
          <w:p w14:paraId="6B29603E">
            <w:pPr>
              <w:pStyle w:val="123"/>
              <w:jc w:val="center"/>
              <w:rPr>
                <w:bCs w:val="0"/>
                <w:color w:val="000000" w:themeColor="text1"/>
                <w:sz w:val="24"/>
                <w:szCs w:val="24"/>
                <w:highlight w:val="none"/>
                <w:lang w:val="en-US"/>
                <w14:textFill>
                  <w14:solidFill>
                    <w14:schemeClr w14:val="tx1"/>
                  </w14:solidFill>
                </w14:textFill>
              </w:rPr>
            </w:pPr>
          </w:p>
        </w:tc>
      </w:tr>
    </w:tbl>
    <w:p w14:paraId="69E6921B">
      <w:pPr>
        <w:spacing w:line="38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投标人（公章）：</w:t>
      </w:r>
    </w:p>
    <w:p w14:paraId="641C0D35">
      <w:pPr>
        <w:spacing w:line="380" w:lineRule="exact"/>
        <w:rPr>
          <w:rFonts w:ascii="宋体" w:hAnsi="宋体"/>
          <w:color w:val="000000" w:themeColor="text1"/>
          <w:sz w:val="22"/>
          <w:szCs w:val="22"/>
          <w:highlight w:val="none"/>
          <w:u w:val="singl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投标人代表（签字或印章）：</w:t>
      </w:r>
    </w:p>
    <w:p w14:paraId="660F82A1">
      <w:pPr>
        <w:spacing w:line="380" w:lineRule="exact"/>
        <w:rPr>
          <w:rFonts w:ascii="宋体" w:hAnsi="宋体"/>
          <w:color w:val="000000" w:themeColor="text1"/>
          <w:sz w:val="22"/>
          <w:szCs w:val="22"/>
          <w:highlight w:val="none"/>
          <w:u w:val="singl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日期：</w:t>
      </w:r>
    </w:p>
    <w:p w14:paraId="75023ADE">
      <w:pPr>
        <w:spacing w:after="120" w:afterLines="50"/>
        <w:jc w:val="center"/>
        <w:rPr>
          <w:rFonts w:asci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r>
        <w:rPr>
          <w:rFonts w:hint="eastAsia" w:ascii="宋体" w:hAnsi="宋体"/>
          <w:b/>
          <w:color w:val="000000" w:themeColor="text1"/>
          <w:sz w:val="24"/>
          <w:szCs w:val="24"/>
          <w:highlight w:val="none"/>
          <w14:textFill>
            <w14:solidFill>
              <w14:schemeClr w14:val="tx1"/>
            </w14:solidFill>
          </w14:textFill>
        </w:rPr>
        <w:t>1.2投标人自2021年1月1日以来同类安全生产、消防安全、应急救援、值班值守、联勤保障第三方服务项目业绩详细情况表</w:t>
      </w:r>
    </w:p>
    <w:p w14:paraId="5A1FE3B4">
      <w:pPr>
        <w:spacing w:after="120" w:afterLines="50"/>
        <w:jc w:val="left"/>
        <w:rPr>
          <w:rFonts w:asci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项目序号：</w:t>
      </w:r>
    </w:p>
    <w:tbl>
      <w:tblPr>
        <w:tblStyle w:val="34"/>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3"/>
        <w:gridCol w:w="6086"/>
      </w:tblGrid>
      <w:tr w14:paraId="3509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713" w:type="dxa"/>
            <w:vAlign w:val="center"/>
          </w:tcPr>
          <w:p w14:paraId="109FB446">
            <w:pPr>
              <w:pStyle w:val="123"/>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项目名称</w:t>
            </w:r>
          </w:p>
        </w:tc>
        <w:tc>
          <w:tcPr>
            <w:tcW w:w="6086" w:type="dxa"/>
          </w:tcPr>
          <w:p w14:paraId="6DFD9601">
            <w:pPr>
              <w:pStyle w:val="123"/>
              <w:spacing w:line="360" w:lineRule="auto"/>
              <w:rPr>
                <w:bCs w:val="0"/>
                <w:color w:val="000000" w:themeColor="text1"/>
                <w:sz w:val="24"/>
                <w:szCs w:val="24"/>
                <w:highlight w:val="none"/>
                <w:lang w:val="en-US"/>
                <w14:textFill>
                  <w14:solidFill>
                    <w14:schemeClr w14:val="tx1"/>
                  </w14:solidFill>
                </w14:textFill>
              </w:rPr>
            </w:pPr>
          </w:p>
        </w:tc>
      </w:tr>
      <w:tr w14:paraId="721B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13" w:type="dxa"/>
            <w:vAlign w:val="center"/>
          </w:tcPr>
          <w:p w14:paraId="76FFB00F">
            <w:pPr>
              <w:pStyle w:val="123"/>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项目所在地</w:t>
            </w:r>
          </w:p>
        </w:tc>
        <w:tc>
          <w:tcPr>
            <w:tcW w:w="6086" w:type="dxa"/>
          </w:tcPr>
          <w:p w14:paraId="14FC8F44">
            <w:pPr>
              <w:pStyle w:val="123"/>
              <w:spacing w:line="360" w:lineRule="auto"/>
              <w:rPr>
                <w:bCs w:val="0"/>
                <w:color w:val="000000" w:themeColor="text1"/>
                <w:sz w:val="24"/>
                <w:szCs w:val="24"/>
                <w:highlight w:val="none"/>
                <w:lang w:val="en-US"/>
                <w14:textFill>
                  <w14:solidFill>
                    <w14:schemeClr w14:val="tx1"/>
                  </w14:solidFill>
                </w14:textFill>
              </w:rPr>
            </w:pPr>
          </w:p>
        </w:tc>
      </w:tr>
      <w:tr w14:paraId="70FF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71D413BF">
            <w:pPr>
              <w:pStyle w:val="123"/>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发包人名称</w:t>
            </w:r>
          </w:p>
        </w:tc>
        <w:tc>
          <w:tcPr>
            <w:tcW w:w="6086" w:type="dxa"/>
          </w:tcPr>
          <w:p w14:paraId="0606A380">
            <w:pPr>
              <w:pStyle w:val="123"/>
              <w:spacing w:line="360" w:lineRule="auto"/>
              <w:rPr>
                <w:bCs w:val="0"/>
                <w:color w:val="000000" w:themeColor="text1"/>
                <w:sz w:val="24"/>
                <w:szCs w:val="24"/>
                <w:highlight w:val="none"/>
                <w:lang w:val="en-US"/>
                <w14:textFill>
                  <w14:solidFill>
                    <w14:schemeClr w14:val="tx1"/>
                  </w14:solidFill>
                </w14:textFill>
              </w:rPr>
            </w:pPr>
          </w:p>
        </w:tc>
      </w:tr>
      <w:tr w14:paraId="4502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2F9FFE4E">
            <w:pPr>
              <w:pStyle w:val="123"/>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发包人地址</w:t>
            </w:r>
          </w:p>
        </w:tc>
        <w:tc>
          <w:tcPr>
            <w:tcW w:w="6086" w:type="dxa"/>
          </w:tcPr>
          <w:p w14:paraId="10791CC6">
            <w:pPr>
              <w:pStyle w:val="123"/>
              <w:spacing w:line="360" w:lineRule="auto"/>
              <w:rPr>
                <w:bCs w:val="0"/>
                <w:color w:val="000000" w:themeColor="text1"/>
                <w:sz w:val="24"/>
                <w:szCs w:val="24"/>
                <w:highlight w:val="none"/>
                <w:lang w:val="en-US"/>
                <w14:textFill>
                  <w14:solidFill>
                    <w14:schemeClr w14:val="tx1"/>
                  </w14:solidFill>
                </w14:textFill>
              </w:rPr>
            </w:pPr>
          </w:p>
        </w:tc>
      </w:tr>
      <w:tr w14:paraId="3408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754EA431">
            <w:pPr>
              <w:pStyle w:val="123"/>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发包人电话</w:t>
            </w:r>
          </w:p>
        </w:tc>
        <w:tc>
          <w:tcPr>
            <w:tcW w:w="6086" w:type="dxa"/>
          </w:tcPr>
          <w:p w14:paraId="40A06955">
            <w:pPr>
              <w:pStyle w:val="123"/>
              <w:spacing w:line="360" w:lineRule="auto"/>
              <w:rPr>
                <w:bCs w:val="0"/>
                <w:color w:val="000000" w:themeColor="text1"/>
                <w:sz w:val="24"/>
                <w:szCs w:val="24"/>
                <w:highlight w:val="none"/>
                <w:lang w:val="en-US"/>
                <w14:textFill>
                  <w14:solidFill>
                    <w14:schemeClr w14:val="tx1"/>
                  </w14:solidFill>
                </w14:textFill>
              </w:rPr>
            </w:pPr>
          </w:p>
        </w:tc>
      </w:tr>
      <w:tr w14:paraId="44F2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5AC54774">
            <w:pPr>
              <w:pStyle w:val="123"/>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主要服务内容</w:t>
            </w:r>
          </w:p>
        </w:tc>
        <w:tc>
          <w:tcPr>
            <w:tcW w:w="6086" w:type="dxa"/>
          </w:tcPr>
          <w:p w14:paraId="5A173815">
            <w:pPr>
              <w:pStyle w:val="123"/>
              <w:spacing w:line="360" w:lineRule="auto"/>
              <w:rPr>
                <w:bCs w:val="0"/>
                <w:color w:val="000000" w:themeColor="text1"/>
                <w:sz w:val="24"/>
                <w:szCs w:val="24"/>
                <w:highlight w:val="none"/>
                <w:lang w:val="en-US"/>
                <w14:textFill>
                  <w14:solidFill>
                    <w14:schemeClr w14:val="tx1"/>
                  </w14:solidFill>
                </w14:textFill>
              </w:rPr>
            </w:pPr>
          </w:p>
        </w:tc>
      </w:tr>
      <w:tr w14:paraId="3723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713" w:type="dxa"/>
            <w:vAlign w:val="center"/>
          </w:tcPr>
          <w:p w14:paraId="3B354C51">
            <w:pPr>
              <w:pStyle w:val="123"/>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项目金额</w:t>
            </w:r>
          </w:p>
        </w:tc>
        <w:tc>
          <w:tcPr>
            <w:tcW w:w="6086" w:type="dxa"/>
          </w:tcPr>
          <w:p w14:paraId="1BF34327">
            <w:pPr>
              <w:pStyle w:val="123"/>
              <w:spacing w:line="360" w:lineRule="auto"/>
              <w:rPr>
                <w:bCs w:val="0"/>
                <w:color w:val="000000" w:themeColor="text1"/>
                <w:sz w:val="24"/>
                <w:szCs w:val="24"/>
                <w:highlight w:val="none"/>
                <w:lang w:val="en-US"/>
                <w14:textFill>
                  <w14:solidFill>
                    <w14:schemeClr w14:val="tx1"/>
                  </w14:solidFill>
                </w14:textFill>
              </w:rPr>
            </w:pPr>
          </w:p>
        </w:tc>
      </w:tr>
      <w:tr w14:paraId="7B1D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28B45DA2">
            <w:pPr>
              <w:pStyle w:val="123"/>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执行总编辑</w:t>
            </w:r>
          </w:p>
        </w:tc>
        <w:tc>
          <w:tcPr>
            <w:tcW w:w="6086" w:type="dxa"/>
          </w:tcPr>
          <w:p w14:paraId="7AE6922C">
            <w:pPr>
              <w:pStyle w:val="123"/>
              <w:spacing w:line="360" w:lineRule="auto"/>
              <w:rPr>
                <w:bCs w:val="0"/>
                <w:color w:val="000000" w:themeColor="text1"/>
                <w:sz w:val="24"/>
                <w:szCs w:val="24"/>
                <w:highlight w:val="none"/>
                <w:lang w:val="en-US"/>
                <w14:textFill>
                  <w14:solidFill>
                    <w14:schemeClr w14:val="tx1"/>
                  </w14:solidFill>
                </w14:textFill>
              </w:rPr>
            </w:pPr>
          </w:p>
        </w:tc>
      </w:tr>
      <w:tr w14:paraId="3CC6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13" w:type="dxa"/>
            <w:vAlign w:val="center"/>
          </w:tcPr>
          <w:p w14:paraId="33E653D1">
            <w:pPr>
              <w:pStyle w:val="123"/>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执行主编</w:t>
            </w:r>
          </w:p>
        </w:tc>
        <w:tc>
          <w:tcPr>
            <w:tcW w:w="6086" w:type="dxa"/>
          </w:tcPr>
          <w:p w14:paraId="1852FA5C">
            <w:pPr>
              <w:pStyle w:val="123"/>
              <w:spacing w:line="360" w:lineRule="auto"/>
              <w:rPr>
                <w:bCs w:val="0"/>
                <w:color w:val="000000" w:themeColor="text1"/>
                <w:sz w:val="24"/>
                <w:szCs w:val="24"/>
                <w:highlight w:val="none"/>
                <w:lang w:val="en-US"/>
                <w14:textFill>
                  <w14:solidFill>
                    <w14:schemeClr w14:val="tx1"/>
                  </w14:solidFill>
                </w14:textFill>
              </w:rPr>
            </w:pPr>
          </w:p>
        </w:tc>
      </w:tr>
      <w:tr w14:paraId="6489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13" w:type="dxa"/>
            <w:vAlign w:val="center"/>
          </w:tcPr>
          <w:p w14:paraId="59A86C3C">
            <w:pPr>
              <w:pStyle w:val="123"/>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服务开始和完成时间</w:t>
            </w:r>
          </w:p>
        </w:tc>
        <w:tc>
          <w:tcPr>
            <w:tcW w:w="6086" w:type="dxa"/>
          </w:tcPr>
          <w:p w14:paraId="4EE9F5B6">
            <w:pPr>
              <w:pStyle w:val="123"/>
              <w:spacing w:line="360" w:lineRule="auto"/>
              <w:rPr>
                <w:bCs w:val="0"/>
                <w:color w:val="000000" w:themeColor="text1"/>
                <w:sz w:val="24"/>
                <w:szCs w:val="24"/>
                <w:highlight w:val="none"/>
                <w:lang w:val="en-US"/>
                <w14:textFill>
                  <w14:solidFill>
                    <w14:schemeClr w14:val="tx1"/>
                  </w14:solidFill>
                </w14:textFill>
              </w:rPr>
            </w:pPr>
          </w:p>
        </w:tc>
      </w:tr>
      <w:tr w14:paraId="7B6E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653BC7C0">
            <w:pPr>
              <w:pStyle w:val="123"/>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服务完成情况</w:t>
            </w:r>
          </w:p>
        </w:tc>
        <w:tc>
          <w:tcPr>
            <w:tcW w:w="6086" w:type="dxa"/>
          </w:tcPr>
          <w:p w14:paraId="78323538">
            <w:pPr>
              <w:pStyle w:val="123"/>
              <w:spacing w:line="360" w:lineRule="auto"/>
              <w:rPr>
                <w:bCs w:val="0"/>
                <w:color w:val="000000" w:themeColor="text1"/>
                <w:sz w:val="24"/>
                <w:szCs w:val="24"/>
                <w:highlight w:val="none"/>
                <w:lang w:val="en-US"/>
                <w14:textFill>
                  <w14:solidFill>
                    <w14:schemeClr w14:val="tx1"/>
                  </w14:solidFill>
                </w14:textFill>
              </w:rPr>
            </w:pPr>
          </w:p>
        </w:tc>
      </w:tr>
      <w:tr w14:paraId="20F7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713" w:type="dxa"/>
            <w:vAlign w:val="center"/>
          </w:tcPr>
          <w:p w14:paraId="2379DE19">
            <w:pPr>
              <w:pStyle w:val="123"/>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备注</w:t>
            </w:r>
          </w:p>
        </w:tc>
        <w:tc>
          <w:tcPr>
            <w:tcW w:w="6086" w:type="dxa"/>
          </w:tcPr>
          <w:p w14:paraId="7DA482DD">
            <w:pPr>
              <w:pStyle w:val="123"/>
              <w:spacing w:line="360" w:lineRule="auto"/>
              <w:rPr>
                <w:bCs w:val="0"/>
                <w:color w:val="000000" w:themeColor="text1"/>
                <w:sz w:val="24"/>
                <w:szCs w:val="24"/>
                <w:highlight w:val="none"/>
                <w:lang w:val="en-US"/>
                <w14:textFill>
                  <w14:solidFill>
                    <w14:schemeClr w14:val="tx1"/>
                  </w14:solidFill>
                </w14:textFill>
              </w:rPr>
            </w:pPr>
          </w:p>
        </w:tc>
      </w:tr>
    </w:tbl>
    <w:p w14:paraId="1E0A1855">
      <w:pPr>
        <w:pStyle w:val="125"/>
        <w:spacing w:line="240" w:lineRule="atLeas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注：</w:t>
      </w:r>
      <w:r>
        <w:rPr>
          <w:rFonts w:hint="eastAsia"/>
          <w:color w:val="000000" w:themeColor="text1"/>
          <w:spacing w:val="0"/>
          <w:kern w:val="2"/>
          <w:sz w:val="24"/>
          <w:szCs w:val="24"/>
          <w:highlight w:val="none"/>
          <w:lang w:val="en-US"/>
          <w14:textFill>
            <w14:solidFill>
              <w14:schemeClr w14:val="tx1"/>
            </w14:solidFill>
          </w14:textFill>
        </w:rPr>
        <w:t>本表应与表1.1“</w:t>
      </w:r>
      <w:r>
        <w:rPr>
          <w:rFonts w:hint="eastAsia"/>
          <w:b/>
          <w:color w:val="000000" w:themeColor="text1"/>
          <w:sz w:val="24"/>
          <w:szCs w:val="24"/>
          <w:highlight w:val="none"/>
          <w14:textFill>
            <w14:solidFill>
              <w14:schemeClr w14:val="tx1"/>
            </w14:solidFill>
          </w14:textFill>
        </w:rPr>
        <w:t>投标人自202</w:t>
      </w:r>
      <w:r>
        <w:rPr>
          <w:rFonts w:hint="eastAsia"/>
          <w:b/>
          <w:color w:val="000000" w:themeColor="text1"/>
          <w:sz w:val="24"/>
          <w:szCs w:val="24"/>
          <w:highlight w:val="none"/>
          <w:lang w:val="en-US"/>
          <w14:textFill>
            <w14:solidFill>
              <w14:schemeClr w14:val="tx1"/>
            </w14:solidFill>
          </w14:textFill>
        </w:rPr>
        <w:t>1</w:t>
      </w:r>
      <w:r>
        <w:rPr>
          <w:rFonts w:hint="eastAsia"/>
          <w:b/>
          <w:color w:val="000000" w:themeColor="text1"/>
          <w:sz w:val="24"/>
          <w:szCs w:val="24"/>
          <w:highlight w:val="none"/>
          <w14:textFill>
            <w14:solidFill>
              <w14:schemeClr w14:val="tx1"/>
            </w14:solidFill>
          </w14:textFill>
        </w:rPr>
        <w:t>年1月1日以来同类安全生产、消防安全、应急救援、值班值守、联勤保障第三方服务项目业绩汇总表</w:t>
      </w:r>
      <w:r>
        <w:rPr>
          <w:rFonts w:hint="eastAsia"/>
          <w:color w:val="000000" w:themeColor="text1"/>
          <w:spacing w:val="0"/>
          <w:kern w:val="2"/>
          <w:sz w:val="24"/>
          <w:szCs w:val="24"/>
          <w:highlight w:val="none"/>
          <w:lang w:val="en-US"/>
          <w14:textFill>
            <w14:solidFill>
              <w14:schemeClr w14:val="tx1"/>
            </w14:solidFill>
          </w14:textFill>
        </w:rPr>
        <w:t>”相对应，</w:t>
      </w:r>
      <w:r>
        <w:rPr>
          <w:rFonts w:hint="eastAsia"/>
          <w:color w:val="000000" w:themeColor="text1"/>
          <w:sz w:val="24"/>
          <w:szCs w:val="24"/>
          <w:highlight w:val="none"/>
          <w14:textFill>
            <w14:solidFill>
              <w14:schemeClr w14:val="tx1"/>
            </w14:solidFill>
          </w14:textFill>
        </w:rPr>
        <w:t>后应附</w:t>
      </w:r>
      <w:r>
        <w:rPr>
          <w:rFonts w:hint="eastAsia"/>
          <w:b/>
          <w:color w:val="000000" w:themeColor="text1"/>
          <w:sz w:val="24"/>
          <w:szCs w:val="24"/>
          <w:highlight w:val="none"/>
          <w14:textFill>
            <w14:solidFill>
              <w14:schemeClr w14:val="tx1"/>
            </w14:solidFill>
          </w14:textFill>
        </w:rPr>
        <w:t>合同的复印件并加盖公章</w:t>
      </w:r>
      <w:r>
        <w:rPr>
          <w:rFonts w:hint="eastAsia"/>
          <w:color w:val="000000" w:themeColor="text1"/>
          <w:sz w:val="24"/>
          <w:szCs w:val="24"/>
          <w:highlight w:val="none"/>
          <w14:textFill>
            <w14:solidFill>
              <w14:schemeClr w14:val="tx1"/>
            </w14:solidFill>
          </w14:textFill>
        </w:rPr>
        <w:t>。</w:t>
      </w:r>
    </w:p>
    <w:p w14:paraId="6A1A6DFA">
      <w:pPr>
        <w:spacing w:line="380" w:lineRule="exact"/>
        <w:rPr>
          <w:rFonts w:ascii="宋体" w:hAnsi="宋体"/>
          <w:color w:val="000000" w:themeColor="text1"/>
          <w:sz w:val="22"/>
          <w:szCs w:val="22"/>
          <w:highlight w:val="none"/>
          <w14:textFill>
            <w14:solidFill>
              <w14:schemeClr w14:val="tx1"/>
            </w14:solidFill>
          </w14:textFill>
        </w:rPr>
      </w:pPr>
    </w:p>
    <w:p w14:paraId="64749358">
      <w:pPr>
        <w:spacing w:line="380" w:lineRule="exact"/>
        <w:rPr>
          <w:rFonts w:ascii="宋体" w:hAnsi="宋体"/>
          <w:color w:val="000000" w:themeColor="text1"/>
          <w:sz w:val="22"/>
          <w:szCs w:val="22"/>
          <w:highlight w:val="none"/>
          <w14:textFill>
            <w14:solidFill>
              <w14:schemeClr w14:val="tx1"/>
            </w14:solidFill>
          </w14:textFill>
        </w:rPr>
      </w:pPr>
    </w:p>
    <w:p w14:paraId="43AD2538">
      <w:pPr>
        <w:spacing w:line="38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投标人（公章）：</w:t>
      </w:r>
    </w:p>
    <w:p w14:paraId="3C78B5A1">
      <w:pPr>
        <w:spacing w:line="380" w:lineRule="exact"/>
        <w:rPr>
          <w:rFonts w:ascii="宋体" w:hAnsi="宋体"/>
          <w:color w:val="000000" w:themeColor="text1"/>
          <w:sz w:val="22"/>
          <w:szCs w:val="22"/>
          <w:highlight w:val="none"/>
          <w:u w:val="singl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投标人代表（签字或印章）：</w:t>
      </w:r>
    </w:p>
    <w:p w14:paraId="03EE9865">
      <w:pPr>
        <w:spacing w:line="380" w:lineRule="exact"/>
        <w:rPr>
          <w:rFonts w:ascii="宋体" w:hAnsi="宋体"/>
          <w:color w:val="000000" w:themeColor="text1"/>
          <w:sz w:val="22"/>
          <w:szCs w:val="22"/>
          <w:highlight w:val="none"/>
          <w:u w:val="singl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日期：</w:t>
      </w:r>
    </w:p>
    <w:p w14:paraId="6744EBAA">
      <w:pPr>
        <w:rPr>
          <w:color w:val="000000" w:themeColor="text1"/>
          <w:highlight w:val="none"/>
          <w14:textFill>
            <w14:solidFill>
              <w14:schemeClr w14:val="tx1"/>
            </w14:solidFill>
          </w14:textFill>
        </w:rPr>
      </w:pPr>
    </w:p>
    <w:p w14:paraId="0F6890C6">
      <w:pPr>
        <w:rPr>
          <w:color w:val="000000" w:themeColor="text1"/>
          <w:highlight w:val="none"/>
          <w14:textFill>
            <w14:solidFill>
              <w14:schemeClr w14:val="tx1"/>
            </w14:solidFill>
          </w14:textFill>
        </w:rPr>
      </w:pPr>
    </w:p>
    <w:p w14:paraId="1FD858EA">
      <w:pPr>
        <w:jc w:val="center"/>
        <w:rPr>
          <w:color w:val="000000" w:themeColor="text1"/>
          <w:highlight w:val="none"/>
          <w14:textFill>
            <w14:solidFill>
              <w14:schemeClr w14:val="tx1"/>
            </w14:solidFill>
          </w14:textFill>
        </w:rPr>
      </w:pPr>
    </w:p>
    <w:p w14:paraId="2B0D87C7">
      <w:pPr>
        <w:jc w:val="center"/>
        <w:rPr>
          <w:color w:val="000000" w:themeColor="text1"/>
          <w:highlight w:val="none"/>
          <w14:textFill>
            <w14:solidFill>
              <w14:schemeClr w14:val="tx1"/>
            </w14:solidFill>
          </w14:textFill>
        </w:rPr>
      </w:pPr>
    </w:p>
    <w:p w14:paraId="3D5E66DC">
      <w:pPr>
        <w:widowControl/>
        <w:jc w:val="center"/>
        <w:rPr>
          <w:rFonts w:asci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r>
        <w:rPr>
          <w:rFonts w:hint="eastAsia" w:ascii="宋体" w:hAnsi="宋体"/>
          <w:b/>
          <w:color w:val="000000" w:themeColor="text1"/>
          <w:sz w:val="24"/>
          <w:szCs w:val="24"/>
          <w:highlight w:val="none"/>
          <w14:textFill>
            <w14:solidFill>
              <w14:schemeClr w14:val="tx1"/>
            </w14:solidFill>
          </w14:textFill>
        </w:rPr>
        <w:t>2.1、项目负责人资历表</w:t>
      </w:r>
    </w:p>
    <w:p w14:paraId="2BB6EE32">
      <w:pPr>
        <w:jc w:val="center"/>
        <w:rPr>
          <w:rFonts w:ascii="宋体"/>
          <w:color w:val="000000" w:themeColor="text1"/>
          <w:highlight w:val="none"/>
          <w14:textFill>
            <w14:solidFill>
              <w14:schemeClr w14:val="tx1"/>
            </w14:solidFill>
          </w14:textFill>
        </w:rPr>
      </w:pPr>
    </w:p>
    <w:tbl>
      <w:tblPr>
        <w:tblStyle w:val="34"/>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886"/>
        <w:gridCol w:w="886"/>
        <w:gridCol w:w="886"/>
        <w:gridCol w:w="886"/>
      </w:tblGrid>
      <w:tr w14:paraId="4C0E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2BBF10ED">
            <w:pPr>
              <w:pStyle w:val="123"/>
              <w:spacing w:line="360" w:lineRule="auto"/>
              <w:rPr>
                <w:bCs w:val="0"/>
                <w:color w:val="000000" w:themeColor="text1"/>
                <w:sz w:val="24"/>
                <w:szCs w:val="24"/>
                <w:highlight w:val="none"/>
                <w:lang w:val="en-US"/>
                <w14:textFill>
                  <w14:solidFill>
                    <w14:schemeClr w14:val="tx1"/>
                  </w14:solidFill>
                </w14:textFill>
              </w:rPr>
            </w:pPr>
            <w:r>
              <w:rPr>
                <w:bCs w:val="0"/>
                <w:color w:val="000000" w:themeColor="text1"/>
                <w:sz w:val="24"/>
                <w:szCs w:val="24"/>
                <w:highlight w:val="none"/>
                <w:lang w:val="en-US"/>
                <w14:textFill>
                  <w14:solidFill>
                    <w14:schemeClr w14:val="tx1"/>
                  </w14:solidFill>
                </w14:textFill>
              </w:rPr>
              <w:t>1.</w:t>
            </w:r>
            <w:r>
              <w:rPr>
                <w:rFonts w:hint="eastAsia"/>
                <w:bCs w:val="0"/>
                <w:color w:val="000000" w:themeColor="text1"/>
                <w:sz w:val="24"/>
                <w:szCs w:val="24"/>
                <w:highlight w:val="none"/>
                <w:lang w:val="en-US"/>
                <w14:textFill>
                  <w14:solidFill>
                    <w14:schemeClr w14:val="tx1"/>
                  </w14:solidFill>
                </w14:textFill>
              </w:rPr>
              <w:t>一般情况</w:t>
            </w:r>
          </w:p>
        </w:tc>
      </w:tr>
      <w:tr w14:paraId="281D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7F5C840">
            <w:pPr>
              <w:pStyle w:val="123"/>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姓名</w:t>
            </w:r>
          </w:p>
        </w:tc>
        <w:tc>
          <w:tcPr>
            <w:tcW w:w="885" w:type="dxa"/>
          </w:tcPr>
          <w:p w14:paraId="3D2EE1D1">
            <w:pPr>
              <w:pStyle w:val="123"/>
              <w:spacing w:line="360" w:lineRule="auto"/>
              <w:rPr>
                <w:bCs w:val="0"/>
                <w:color w:val="000000" w:themeColor="text1"/>
                <w:sz w:val="24"/>
                <w:szCs w:val="24"/>
                <w:highlight w:val="none"/>
                <w:lang w:val="en-US"/>
                <w14:textFill>
                  <w14:solidFill>
                    <w14:schemeClr w14:val="tx1"/>
                  </w14:solidFill>
                </w14:textFill>
              </w:rPr>
            </w:pPr>
          </w:p>
        </w:tc>
        <w:tc>
          <w:tcPr>
            <w:tcW w:w="885" w:type="dxa"/>
          </w:tcPr>
          <w:p w14:paraId="2A13079F">
            <w:pPr>
              <w:pStyle w:val="123"/>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性别</w:t>
            </w:r>
          </w:p>
        </w:tc>
        <w:tc>
          <w:tcPr>
            <w:tcW w:w="885" w:type="dxa"/>
          </w:tcPr>
          <w:p w14:paraId="4E255012">
            <w:pPr>
              <w:pStyle w:val="123"/>
              <w:spacing w:line="360" w:lineRule="auto"/>
              <w:rPr>
                <w:bCs w:val="0"/>
                <w:color w:val="000000" w:themeColor="text1"/>
                <w:sz w:val="24"/>
                <w:szCs w:val="24"/>
                <w:highlight w:val="none"/>
                <w:lang w:val="en-US"/>
                <w14:textFill>
                  <w14:solidFill>
                    <w14:schemeClr w14:val="tx1"/>
                  </w14:solidFill>
                </w14:textFill>
              </w:rPr>
            </w:pPr>
          </w:p>
        </w:tc>
        <w:tc>
          <w:tcPr>
            <w:tcW w:w="886" w:type="dxa"/>
          </w:tcPr>
          <w:p w14:paraId="113A9918">
            <w:pPr>
              <w:pStyle w:val="123"/>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年龄</w:t>
            </w:r>
          </w:p>
        </w:tc>
        <w:tc>
          <w:tcPr>
            <w:tcW w:w="886" w:type="dxa"/>
          </w:tcPr>
          <w:p w14:paraId="17953A8A">
            <w:pPr>
              <w:pStyle w:val="123"/>
              <w:spacing w:line="360" w:lineRule="auto"/>
              <w:rPr>
                <w:bCs w:val="0"/>
                <w:color w:val="000000" w:themeColor="text1"/>
                <w:sz w:val="24"/>
                <w:szCs w:val="24"/>
                <w:highlight w:val="none"/>
                <w:lang w:val="en-US"/>
                <w14:textFill>
                  <w14:solidFill>
                    <w14:schemeClr w14:val="tx1"/>
                  </w14:solidFill>
                </w14:textFill>
              </w:rPr>
            </w:pPr>
          </w:p>
        </w:tc>
        <w:tc>
          <w:tcPr>
            <w:tcW w:w="886" w:type="dxa"/>
          </w:tcPr>
          <w:p w14:paraId="330F9819">
            <w:pPr>
              <w:pStyle w:val="123"/>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学位</w:t>
            </w:r>
          </w:p>
        </w:tc>
        <w:tc>
          <w:tcPr>
            <w:tcW w:w="886" w:type="dxa"/>
          </w:tcPr>
          <w:p w14:paraId="35236F7E">
            <w:pPr>
              <w:pStyle w:val="123"/>
              <w:spacing w:line="360" w:lineRule="auto"/>
              <w:rPr>
                <w:bCs w:val="0"/>
                <w:color w:val="000000" w:themeColor="text1"/>
                <w:sz w:val="24"/>
                <w:szCs w:val="24"/>
                <w:highlight w:val="none"/>
                <w:lang w:val="en-US"/>
                <w14:textFill>
                  <w14:solidFill>
                    <w14:schemeClr w14:val="tx1"/>
                  </w14:solidFill>
                </w14:textFill>
              </w:rPr>
            </w:pPr>
          </w:p>
        </w:tc>
        <w:tc>
          <w:tcPr>
            <w:tcW w:w="886" w:type="dxa"/>
          </w:tcPr>
          <w:p w14:paraId="6C6ACE5F">
            <w:pPr>
              <w:pStyle w:val="123"/>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身份证号</w:t>
            </w:r>
          </w:p>
        </w:tc>
        <w:tc>
          <w:tcPr>
            <w:tcW w:w="886" w:type="dxa"/>
          </w:tcPr>
          <w:p w14:paraId="7371BF36">
            <w:pPr>
              <w:pStyle w:val="123"/>
              <w:spacing w:line="360" w:lineRule="auto"/>
              <w:rPr>
                <w:bCs w:val="0"/>
                <w:color w:val="000000" w:themeColor="text1"/>
                <w:sz w:val="24"/>
                <w:szCs w:val="24"/>
                <w:highlight w:val="none"/>
                <w:lang w:val="en-US"/>
                <w14:textFill>
                  <w14:solidFill>
                    <w14:schemeClr w14:val="tx1"/>
                  </w14:solidFill>
                </w14:textFill>
              </w:rPr>
            </w:pPr>
          </w:p>
        </w:tc>
      </w:tr>
      <w:tr w14:paraId="4314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874C2F5">
            <w:pPr>
              <w:pStyle w:val="123"/>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职称</w:t>
            </w:r>
          </w:p>
        </w:tc>
        <w:tc>
          <w:tcPr>
            <w:tcW w:w="885" w:type="dxa"/>
          </w:tcPr>
          <w:p w14:paraId="4DBF2669">
            <w:pPr>
              <w:pStyle w:val="123"/>
              <w:spacing w:line="360" w:lineRule="auto"/>
              <w:rPr>
                <w:bCs w:val="0"/>
                <w:color w:val="000000" w:themeColor="text1"/>
                <w:sz w:val="24"/>
                <w:szCs w:val="24"/>
                <w:highlight w:val="none"/>
                <w:lang w:val="en-US"/>
                <w14:textFill>
                  <w14:solidFill>
                    <w14:schemeClr w14:val="tx1"/>
                  </w14:solidFill>
                </w14:textFill>
              </w:rPr>
            </w:pPr>
          </w:p>
        </w:tc>
        <w:tc>
          <w:tcPr>
            <w:tcW w:w="885" w:type="dxa"/>
          </w:tcPr>
          <w:p w14:paraId="4675B604">
            <w:pPr>
              <w:pStyle w:val="123"/>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执业资格</w:t>
            </w:r>
          </w:p>
        </w:tc>
        <w:tc>
          <w:tcPr>
            <w:tcW w:w="885" w:type="dxa"/>
          </w:tcPr>
          <w:p w14:paraId="24E80A61">
            <w:pPr>
              <w:pStyle w:val="123"/>
              <w:spacing w:line="360" w:lineRule="auto"/>
              <w:rPr>
                <w:bCs w:val="0"/>
                <w:color w:val="000000" w:themeColor="text1"/>
                <w:sz w:val="24"/>
                <w:szCs w:val="24"/>
                <w:highlight w:val="none"/>
                <w:lang w:val="en-US"/>
                <w14:textFill>
                  <w14:solidFill>
                    <w14:schemeClr w14:val="tx1"/>
                  </w14:solidFill>
                </w14:textFill>
              </w:rPr>
            </w:pPr>
          </w:p>
        </w:tc>
        <w:tc>
          <w:tcPr>
            <w:tcW w:w="1772" w:type="dxa"/>
            <w:gridSpan w:val="2"/>
          </w:tcPr>
          <w:p w14:paraId="73B68B90">
            <w:pPr>
              <w:pStyle w:val="123"/>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为投标人服务年限（年）</w:t>
            </w:r>
          </w:p>
        </w:tc>
        <w:tc>
          <w:tcPr>
            <w:tcW w:w="886" w:type="dxa"/>
          </w:tcPr>
          <w:p w14:paraId="74729262">
            <w:pPr>
              <w:pStyle w:val="123"/>
              <w:spacing w:line="360" w:lineRule="auto"/>
              <w:rPr>
                <w:bCs w:val="0"/>
                <w:color w:val="000000" w:themeColor="text1"/>
                <w:sz w:val="24"/>
                <w:szCs w:val="24"/>
                <w:highlight w:val="none"/>
                <w:lang w:val="en-US"/>
                <w14:textFill>
                  <w14:solidFill>
                    <w14:schemeClr w14:val="tx1"/>
                  </w14:solidFill>
                </w14:textFill>
              </w:rPr>
            </w:pPr>
          </w:p>
        </w:tc>
        <w:tc>
          <w:tcPr>
            <w:tcW w:w="1772" w:type="dxa"/>
            <w:gridSpan w:val="2"/>
          </w:tcPr>
          <w:p w14:paraId="31BC9AE3">
            <w:pPr>
              <w:pStyle w:val="123"/>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在本项目中拟任职</w:t>
            </w:r>
          </w:p>
        </w:tc>
        <w:tc>
          <w:tcPr>
            <w:tcW w:w="886" w:type="dxa"/>
          </w:tcPr>
          <w:p w14:paraId="5550EBAB">
            <w:pPr>
              <w:pStyle w:val="123"/>
              <w:spacing w:line="360" w:lineRule="auto"/>
              <w:rPr>
                <w:bCs w:val="0"/>
                <w:color w:val="000000" w:themeColor="text1"/>
                <w:sz w:val="24"/>
                <w:szCs w:val="24"/>
                <w:highlight w:val="none"/>
                <w:lang w:val="en-US"/>
                <w14:textFill>
                  <w14:solidFill>
                    <w14:schemeClr w14:val="tx1"/>
                  </w14:solidFill>
                </w14:textFill>
              </w:rPr>
            </w:pPr>
          </w:p>
        </w:tc>
      </w:tr>
      <w:tr w14:paraId="058C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AE17900">
            <w:pPr>
              <w:pStyle w:val="123"/>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学历</w:t>
            </w:r>
          </w:p>
        </w:tc>
        <w:tc>
          <w:tcPr>
            <w:tcW w:w="7971" w:type="dxa"/>
            <w:gridSpan w:val="9"/>
          </w:tcPr>
          <w:p w14:paraId="3616A51C">
            <w:pPr>
              <w:pStyle w:val="123"/>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年毕业于（学校）（专业）</w:t>
            </w:r>
          </w:p>
        </w:tc>
      </w:tr>
      <w:tr w14:paraId="7336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681B0D9F">
            <w:pPr>
              <w:pStyle w:val="123"/>
              <w:spacing w:line="360" w:lineRule="auto"/>
              <w:rPr>
                <w:bCs w:val="0"/>
                <w:color w:val="000000" w:themeColor="text1"/>
                <w:sz w:val="24"/>
                <w:szCs w:val="24"/>
                <w:highlight w:val="none"/>
                <w:lang w:val="en-US"/>
                <w14:textFill>
                  <w14:solidFill>
                    <w14:schemeClr w14:val="tx1"/>
                  </w14:solidFill>
                </w14:textFill>
              </w:rPr>
            </w:pPr>
            <w:r>
              <w:rPr>
                <w:bCs w:val="0"/>
                <w:color w:val="000000" w:themeColor="text1"/>
                <w:sz w:val="24"/>
                <w:szCs w:val="24"/>
                <w:highlight w:val="none"/>
                <w:lang w:val="en-US"/>
                <w14:textFill>
                  <w14:solidFill>
                    <w14:schemeClr w14:val="tx1"/>
                  </w14:solidFill>
                </w14:textFill>
              </w:rPr>
              <w:t>2.</w:t>
            </w:r>
            <w:r>
              <w:rPr>
                <w:rFonts w:hint="eastAsia"/>
                <w:bCs w:val="0"/>
                <w:color w:val="000000" w:themeColor="text1"/>
                <w:sz w:val="24"/>
                <w:szCs w:val="24"/>
                <w:highlight w:val="none"/>
                <w:lang w:val="en-US"/>
                <w14:textFill>
                  <w14:solidFill>
                    <w14:schemeClr w14:val="tx1"/>
                  </w14:solidFill>
                </w14:textFill>
              </w:rPr>
              <w:t>经历</w:t>
            </w:r>
          </w:p>
        </w:tc>
      </w:tr>
      <w:tr w14:paraId="715A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5DE22DF">
            <w:pPr>
              <w:pStyle w:val="123"/>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时间</w:t>
            </w:r>
          </w:p>
        </w:tc>
        <w:tc>
          <w:tcPr>
            <w:tcW w:w="4427" w:type="dxa"/>
            <w:gridSpan w:val="5"/>
          </w:tcPr>
          <w:p w14:paraId="2F300C68">
            <w:pPr>
              <w:pStyle w:val="123"/>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负责过的主要项目（类型和金额）</w:t>
            </w:r>
          </w:p>
        </w:tc>
        <w:tc>
          <w:tcPr>
            <w:tcW w:w="1772" w:type="dxa"/>
            <w:gridSpan w:val="2"/>
          </w:tcPr>
          <w:p w14:paraId="6E946BBC">
            <w:pPr>
              <w:pStyle w:val="123"/>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该项目中任职</w:t>
            </w:r>
          </w:p>
        </w:tc>
        <w:tc>
          <w:tcPr>
            <w:tcW w:w="1772" w:type="dxa"/>
            <w:gridSpan w:val="2"/>
          </w:tcPr>
          <w:p w14:paraId="4673E2B2">
            <w:pPr>
              <w:pStyle w:val="123"/>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发包人及</w:t>
            </w:r>
          </w:p>
          <w:p w14:paraId="380FC7B9">
            <w:pPr>
              <w:pStyle w:val="123"/>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联系电话</w:t>
            </w:r>
          </w:p>
        </w:tc>
      </w:tr>
      <w:tr w14:paraId="5600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885" w:type="dxa"/>
          </w:tcPr>
          <w:p w14:paraId="2550AC2F">
            <w:pPr>
              <w:pStyle w:val="123"/>
              <w:spacing w:line="360" w:lineRule="auto"/>
              <w:rPr>
                <w:bCs w:val="0"/>
                <w:color w:val="000000" w:themeColor="text1"/>
                <w:sz w:val="24"/>
                <w:szCs w:val="24"/>
                <w:highlight w:val="none"/>
                <w:lang w:val="en-US"/>
                <w14:textFill>
                  <w14:solidFill>
                    <w14:schemeClr w14:val="tx1"/>
                  </w14:solidFill>
                </w14:textFill>
              </w:rPr>
            </w:pPr>
          </w:p>
        </w:tc>
        <w:tc>
          <w:tcPr>
            <w:tcW w:w="4427" w:type="dxa"/>
            <w:gridSpan w:val="5"/>
          </w:tcPr>
          <w:p w14:paraId="4B0337AA">
            <w:pPr>
              <w:pStyle w:val="123"/>
              <w:spacing w:line="360" w:lineRule="auto"/>
              <w:rPr>
                <w:bCs w:val="0"/>
                <w:color w:val="000000" w:themeColor="text1"/>
                <w:sz w:val="24"/>
                <w:szCs w:val="24"/>
                <w:highlight w:val="none"/>
                <w:lang w:val="en-US"/>
                <w14:textFill>
                  <w14:solidFill>
                    <w14:schemeClr w14:val="tx1"/>
                  </w14:solidFill>
                </w14:textFill>
              </w:rPr>
            </w:pPr>
          </w:p>
        </w:tc>
        <w:tc>
          <w:tcPr>
            <w:tcW w:w="1772" w:type="dxa"/>
            <w:gridSpan w:val="2"/>
          </w:tcPr>
          <w:p w14:paraId="26204BE8">
            <w:pPr>
              <w:pStyle w:val="123"/>
              <w:spacing w:line="360" w:lineRule="auto"/>
              <w:rPr>
                <w:bCs w:val="0"/>
                <w:color w:val="000000" w:themeColor="text1"/>
                <w:sz w:val="24"/>
                <w:szCs w:val="24"/>
                <w:highlight w:val="none"/>
                <w:lang w:val="en-US"/>
                <w14:textFill>
                  <w14:solidFill>
                    <w14:schemeClr w14:val="tx1"/>
                  </w14:solidFill>
                </w14:textFill>
              </w:rPr>
            </w:pPr>
          </w:p>
        </w:tc>
        <w:tc>
          <w:tcPr>
            <w:tcW w:w="1772" w:type="dxa"/>
            <w:gridSpan w:val="2"/>
          </w:tcPr>
          <w:p w14:paraId="715FBE47">
            <w:pPr>
              <w:pStyle w:val="123"/>
              <w:spacing w:line="360" w:lineRule="auto"/>
              <w:rPr>
                <w:bCs w:val="0"/>
                <w:color w:val="000000" w:themeColor="text1"/>
                <w:sz w:val="24"/>
                <w:szCs w:val="24"/>
                <w:highlight w:val="none"/>
                <w:lang w:val="en-US"/>
                <w14:textFill>
                  <w14:solidFill>
                    <w14:schemeClr w14:val="tx1"/>
                  </w14:solidFill>
                </w14:textFill>
              </w:rPr>
            </w:pPr>
          </w:p>
        </w:tc>
      </w:tr>
      <w:tr w14:paraId="0568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52A639C3">
            <w:pPr>
              <w:pStyle w:val="123"/>
              <w:spacing w:line="360" w:lineRule="auto"/>
              <w:rPr>
                <w:bCs w:val="0"/>
                <w:color w:val="000000" w:themeColor="text1"/>
                <w:sz w:val="24"/>
                <w:szCs w:val="24"/>
                <w:highlight w:val="none"/>
                <w:lang w:val="en-US"/>
                <w14:textFill>
                  <w14:solidFill>
                    <w14:schemeClr w14:val="tx1"/>
                  </w14:solidFill>
                </w14:textFill>
              </w:rPr>
            </w:pPr>
            <w:r>
              <w:rPr>
                <w:bCs w:val="0"/>
                <w:color w:val="000000" w:themeColor="text1"/>
                <w:sz w:val="24"/>
                <w:szCs w:val="24"/>
                <w:highlight w:val="none"/>
                <w:lang w:val="en-US"/>
                <w14:textFill>
                  <w14:solidFill>
                    <w14:schemeClr w14:val="tx1"/>
                  </w14:solidFill>
                </w14:textFill>
              </w:rPr>
              <w:t>3.</w:t>
            </w:r>
            <w:r>
              <w:rPr>
                <w:rFonts w:hint="eastAsia"/>
                <w:bCs w:val="0"/>
                <w:color w:val="000000" w:themeColor="text1"/>
                <w:sz w:val="24"/>
                <w:szCs w:val="24"/>
                <w:highlight w:val="none"/>
                <w:lang w:val="en-US"/>
                <w14:textFill>
                  <w14:solidFill>
                    <w14:schemeClr w14:val="tx1"/>
                  </w14:solidFill>
                </w14:textFill>
              </w:rPr>
              <w:t>获奖情况</w:t>
            </w:r>
          </w:p>
        </w:tc>
      </w:tr>
      <w:tr w14:paraId="7895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8856" w:type="dxa"/>
            <w:gridSpan w:val="10"/>
          </w:tcPr>
          <w:p w14:paraId="18F9D071">
            <w:pPr>
              <w:pStyle w:val="123"/>
              <w:spacing w:line="360" w:lineRule="auto"/>
              <w:rPr>
                <w:bCs w:val="0"/>
                <w:color w:val="000000" w:themeColor="text1"/>
                <w:sz w:val="24"/>
                <w:szCs w:val="24"/>
                <w:highlight w:val="none"/>
                <w:lang w:val="en-US"/>
                <w14:textFill>
                  <w14:solidFill>
                    <w14:schemeClr w14:val="tx1"/>
                  </w14:solidFill>
                </w14:textFill>
              </w:rPr>
            </w:pPr>
          </w:p>
        </w:tc>
      </w:tr>
      <w:tr w14:paraId="1C1EA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6F6BA36E">
            <w:pPr>
              <w:pStyle w:val="123"/>
              <w:spacing w:line="360" w:lineRule="auto"/>
              <w:rPr>
                <w:bCs w:val="0"/>
                <w:color w:val="000000" w:themeColor="text1"/>
                <w:sz w:val="24"/>
                <w:szCs w:val="24"/>
                <w:highlight w:val="none"/>
                <w:lang w:val="en-US"/>
                <w14:textFill>
                  <w14:solidFill>
                    <w14:schemeClr w14:val="tx1"/>
                  </w14:solidFill>
                </w14:textFill>
              </w:rPr>
            </w:pPr>
            <w:r>
              <w:rPr>
                <w:bCs w:val="0"/>
                <w:color w:val="000000" w:themeColor="text1"/>
                <w:sz w:val="24"/>
                <w:szCs w:val="24"/>
                <w:highlight w:val="none"/>
                <w:lang w:val="en-US"/>
                <w14:textFill>
                  <w14:solidFill>
                    <w14:schemeClr w14:val="tx1"/>
                  </w14:solidFill>
                </w14:textFill>
              </w:rPr>
              <w:t>4.</w:t>
            </w:r>
            <w:r>
              <w:rPr>
                <w:rFonts w:hint="eastAsia"/>
                <w:bCs w:val="0"/>
                <w:color w:val="000000" w:themeColor="text1"/>
                <w:sz w:val="24"/>
                <w:szCs w:val="24"/>
                <w:highlight w:val="none"/>
                <w:lang w:val="en-US"/>
                <w14:textFill>
                  <w14:solidFill>
                    <w14:schemeClr w14:val="tx1"/>
                  </w14:solidFill>
                </w14:textFill>
              </w:rPr>
              <w:t>目前负责的项目</w:t>
            </w:r>
          </w:p>
        </w:tc>
      </w:tr>
      <w:tr w14:paraId="3D45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856" w:type="dxa"/>
            <w:gridSpan w:val="10"/>
          </w:tcPr>
          <w:p w14:paraId="6746B8A4">
            <w:pPr>
              <w:pStyle w:val="123"/>
              <w:spacing w:line="360" w:lineRule="auto"/>
              <w:rPr>
                <w:bCs w:val="0"/>
                <w:color w:val="000000" w:themeColor="text1"/>
                <w:sz w:val="24"/>
                <w:szCs w:val="24"/>
                <w:highlight w:val="none"/>
                <w:lang w:val="en-US"/>
                <w14:textFill>
                  <w14:solidFill>
                    <w14:schemeClr w14:val="tx1"/>
                  </w14:solidFill>
                </w14:textFill>
              </w:rPr>
            </w:pPr>
          </w:p>
        </w:tc>
      </w:tr>
    </w:tbl>
    <w:p w14:paraId="1C61A2E3">
      <w:pPr>
        <w:pStyle w:val="3"/>
        <w:spacing w:line="380" w:lineRule="exact"/>
        <w:rPr>
          <w:rFonts w:ascii="宋体"/>
          <w:b w:val="0"/>
          <w:color w:val="000000" w:themeColor="text1"/>
          <w:sz w:val="24"/>
          <w:szCs w:val="24"/>
          <w:highlight w:val="none"/>
          <w14:textFill>
            <w14:solidFill>
              <w14:schemeClr w14:val="tx1"/>
            </w14:solidFill>
          </w14:textFill>
        </w:rPr>
      </w:pPr>
    </w:p>
    <w:p w14:paraId="5FA539AC">
      <w:pPr>
        <w:jc w:val="center"/>
        <w:rPr>
          <w:rFonts w:ascii="宋体" w:hAnsi="宋体"/>
          <w:b/>
          <w:color w:val="000000" w:themeColor="text1"/>
          <w:sz w:val="24"/>
          <w:szCs w:val="24"/>
          <w:highlight w:val="none"/>
          <w14:textFill>
            <w14:solidFill>
              <w14:schemeClr w14:val="tx1"/>
            </w14:solidFill>
          </w14:textFill>
        </w:rPr>
      </w:pPr>
    </w:p>
    <w:p w14:paraId="3283684F">
      <w:pPr>
        <w:spacing w:line="38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投标人（公章）：</w:t>
      </w:r>
    </w:p>
    <w:p w14:paraId="36B356C9">
      <w:pPr>
        <w:spacing w:line="380" w:lineRule="exact"/>
        <w:rPr>
          <w:rFonts w:ascii="宋体" w:hAnsi="宋体"/>
          <w:color w:val="000000" w:themeColor="text1"/>
          <w:sz w:val="22"/>
          <w:szCs w:val="22"/>
          <w:highlight w:val="none"/>
          <w:u w:val="singl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投标人代表（签字或印章）：</w:t>
      </w:r>
    </w:p>
    <w:p w14:paraId="54B1E126">
      <w:pPr>
        <w:spacing w:line="380" w:lineRule="exact"/>
        <w:rPr>
          <w:rFonts w:ascii="宋体" w:hAnsi="宋体"/>
          <w:color w:val="000000" w:themeColor="text1"/>
          <w:sz w:val="22"/>
          <w:szCs w:val="22"/>
          <w:highlight w:val="none"/>
          <w:u w:val="singl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日期：</w:t>
      </w:r>
    </w:p>
    <w:p w14:paraId="0EB1E8AC">
      <w:pPr>
        <w:widowControl/>
        <w:jc w:val="center"/>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p>
    <w:p w14:paraId="47120D6F">
      <w:pPr>
        <w:jc w:val="center"/>
        <w:rPr>
          <w:rFonts w:ascii="宋体" w:hAnsi="宋体"/>
          <w:b/>
          <w:color w:val="000000" w:themeColor="text1"/>
          <w:sz w:val="24"/>
          <w:szCs w:val="24"/>
          <w:highlight w:val="none"/>
          <w14:textFill>
            <w14:solidFill>
              <w14:schemeClr w14:val="tx1"/>
            </w14:solidFill>
          </w14:textFill>
        </w:rPr>
      </w:pPr>
    </w:p>
    <w:p w14:paraId="5E711D3D">
      <w:pPr>
        <w:widowControl/>
        <w:jc w:val="center"/>
        <w:rPr>
          <w:bCs/>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2.2、拟委任的其他团队成员汇总表</w:t>
      </w:r>
    </w:p>
    <w:p w14:paraId="1440017C">
      <w:pPr>
        <w:widowControl/>
        <w:jc w:val="center"/>
        <w:rPr>
          <w:bCs/>
          <w:color w:val="000000" w:themeColor="text1"/>
          <w:sz w:val="24"/>
          <w:szCs w:val="24"/>
          <w:highlight w:val="none"/>
          <w14:textFill>
            <w14:solidFill>
              <w14:schemeClr w14:val="tx1"/>
            </w14:solidFill>
          </w14:textFill>
        </w:rPr>
      </w:pPr>
    </w:p>
    <w:tbl>
      <w:tblPr>
        <w:tblStyle w:val="34"/>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997"/>
        <w:gridCol w:w="1545"/>
        <w:gridCol w:w="831"/>
        <w:gridCol w:w="1270"/>
        <w:gridCol w:w="955"/>
        <w:gridCol w:w="1731"/>
      </w:tblGrid>
      <w:tr w14:paraId="233B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531A0A4A">
            <w:pPr>
              <w:pStyle w:val="123"/>
              <w:spacing w:line="360" w:lineRule="auto"/>
              <w:rPr>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姓名</w:t>
            </w:r>
          </w:p>
        </w:tc>
        <w:tc>
          <w:tcPr>
            <w:tcW w:w="997" w:type="dxa"/>
          </w:tcPr>
          <w:p w14:paraId="7231460D">
            <w:pPr>
              <w:pStyle w:val="123"/>
              <w:spacing w:line="360" w:lineRule="auto"/>
              <w:rPr>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年龄</w:t>
            </w:r>
          </w:p>
        </w:tc>
        <w:tc>
          <w:tcPr>
            <w:tcW w:w="1545" w:type="dxa"/>
          </w:tcPr>
          <w:p w14:paraId="1964FFD7">
            <w:pPr>
              <w:pStyle w:val="123"/>
              <w:spacing w:line="360" w:lineRule="auto"/>
              <w:rPr>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拟在本项目中担任的职务</w:t>
            </w:r>
          </w:p>
        </w:tc>
        <w:tc>
          <w:tcPr>
            <w:tcW w:w="831" w:type="dxa"/>
          </w:tcPr>
          <w:p w14:paraId="3F223DB4">
            <w:pPr>
              <w:pStyle w:val="123"/>
              <w:spacing w:line="360" w:lineRule="auto"/>
              <w:rPr>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职称</w:t>
            </w:r>
          </w:p>
        </w:tc>
        <w:tc>
          <w:tcPr>
            <w:tcW w:w="1270" w:type="dxa"/>
          </w:tcPr>
          <w:p w14:paraId="60DCDE87">
            <w:pPr>
              <w:pStyle w:val="123"/>
              <w:spacing w:line="360" w:lineRule="auto"/>
              <w:rPr>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执业资格</w:t>
            </w:r>
          </w:p>
        </w:tc>
        <w:tc>
          <w:tcPr>
            <w:tcW w:w="955" w:type="dxa"/>
          </w:tcPr>
          <w:p w14:paraId="32A16112">
            <w:pPr>
              <w:pStyle w:val="123"/>
              <w:spacing w:line="360" w:lineRule="auto"/>
              <w:rPr>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工作年限</w:t>
            </w:r>
          </w:p>
        </w:tc>
        <w:tc>
          <w:tcPr>
            <w:tcW w:w="1731" w:type="dxa"/>
          </w:tcPr>
          <w:p w14:paraId="6C1D96B5">
            <w:pPr>
              <w:pStyle w:val="123"/>
              <w:spacing w:line="360" w:lineRule="auto"/>
              <w:rPr>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类似项目经验年限</w:t>
            </w:r>
          </w:p>
        </w:tc>
      </w:tr>
      <w:tr w14:paraId="1D28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3BFBFFB4">
            <w:pPr>
              <w:pStyle w:val="123"/>
              <w:spacing w:line="360" w:lineRule="auto"/>
              <w:rPr>
                <w:color w:val="000000" w:themeColor="text1"/>
                <w:sz w:val="24"/>
                <w:szCs w:val="24"/>
                <w:highlight w:val="none"/>
                <w:lang w:val="en-US"/>
                <w14:textFill>
                  <w14:solidFill>
                    <w14:schemeClr w14:val="tx1"/>
                  </w14:solidFill>
                </w14:textFill>
              </w:rPr>
            </w:pPr>
          </w:p>
        </w:tc>
        <w:tc>
          <w:tcPr>
            <w:tcW w:w="997" w:type="dxa"/>
          </w:tcPr>
          <w:p w14:paraId="268E5824">
            <w:pPr>
              <w:pStyle w:val="123"/>
              <w:spacing w:line="360" w:lineRule="auto"/>
              <w:rPr>
                <w:color w:val="000000" w:themeColor="text1"/>
                <w:sz w:val="24"/>
                <w:szCs w:val="24"/>
                <w:highlight w:val="none"/>
                <w:lang w:val="en-US"/>
                <w14:textFill>
                  <w14:solidFill>
                    <w14:schemeClr w14:val="tx1"/>
                  </w14:solidFill>
                </w14:textFill>
              </w:rPr>
            </w:pPr>
          </w:p>
        </w:tc>
        <w:tc>
          <w:tcPr>
            <w:tcW w:w="1545" w:type="dxa"/>
          </w:tcPr>
          <w:p w14:paraId="73C8BCDC">
            <w:pPr>
              <w:pStyle w:val="123"/>
              <w:spacing w:line="360" w:lineRule="auto"/>
              <w:rPr>
                <w:color w:val="000000" w:themeColor="text1"/>
                <w:sz w:val="24"/>
                <w:szCs w:val="24"/>
                <w:highlight w:val="none"/>
                <w:lang w:val="en-US"/>
                <w14:textFill>
                  <w14:solidFill>
                    <w14:schemeClr w14:val="tx1"/>
                  </w14:solidFill>
                </w14:textFill>
              </w:rPr>
            </w:pPr>
          </w:p>
        </w:tc>
        <w:tc>
          <w:tcPr>
            <w:tcW w:w="831" w:type="dxa"/>
          </w:tcPr>
          <w:p w14:paraId="49903373">
            <w:pPr>
              <w:pStyle w:val="123"/>
              <w:spacing w:line="360" w:lineRule="auto"/>
              <w:rPr>
                <w:color w:val="000000" w:themeColor="text1"/>
                <w:sz w:val="24"/>
                <w:szCs w:val="24"/>
                <w:highlight w:val="none"/>
                <w:lang w:val="en-US"/>
                <w14:textFill>
                  <w14:solidFill>
                    <w14:schemeClr w14:val="tx1"/>
                  </w14:solidFill>
                </w14:textFill>
              </w:rPr>
            </w:pPr>
          </w:p>
        </w:tc>
        <w:tc>
          <w:tcPr>
            <w:tcW w:w="1270" w:type="dxa"/>
          </w:tcPr>
          <w:p w14:paraId="397D2A31">
            <w:pPr>
              <w:pStyle w:val="123"/>
              <w:spacing w:line="360" w:lineRule="auto"/>
              <w:rPr>
                <w:color w:val="000000" w:themeColor="text1"/>
                <w:sz w:val="24"/>
                <w:szCs w:val="24"/>
                <w:highlight w:val="none"/>
                <w:lang w:val="en-US"/>
                <w14:textFill>
                  <w14:solidFill>
                    <w14:schemeClr w14:val="tx1"/>
                  </w14:solidFill>
                </w14:textFill>
              </w:rPr>
            </w:pPr>
          </w:p>
        </w:tc>
        <w:tc>
          <w:tcPr>
            <w:tcW w:w="955" w:type="dxa"/>
          </w:tcPr>
          <w:p w14:paraId="09131839">
            <w:pPr>
              <w:pStyle w:val="123"/>
              <w:spacing w:line="360" w:lineRule="auto"/>
              <w:rPr>
                <w:color w:val="000000" w:themeColor="text1"/>
                <w:sz w:val="24"/>
                <w:szCs w:val="24"/>
                <w:highlight w:val="none"/>
                <w:lang w:val="en-US"/>
                <w14:textFill>
                  <w14:solidFill>
                    <w14:schemeClr w14:val="tx1"/>
                  </w14:solidFill>
                </w14:textFill>
              </w:rPr>
            </w:pPr>
          </w:p>
        </w:tc>
        <w:tc>
          <w:tcPr>
            <w:tcW w:w="1731" w:type="dxa"/>
          </w:tcPr>
          <w:p w14:paraId="1C1F327B">
            <w:pPr>
              <w:pStyle w:val="123"/>
              <w:spacing w:line="360" w:lineRule="auto"/>
              <w:rPr>
                <w:color w:val="000000" w:themeColor="text1"/>
                <w:sz w:val="24"/>
                <w:szCs w:val="24"/>
                <w:highlight w:val="none"/>
                <w:lang w:val="en-US"/>
                <w14:textFill>
                  <w14:solidFill>
                    <w14:schemeClr w14:val="tx1"/>
                  </w14:solidFill>
                </w14:textFill>
              </w:rPr>
            </w:pPr>
          </w:p>
        </w:tc>
      </w:tr>
      <w:tr w14:paraId="3A7E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050086DA">
            <w:pPr>
              <w:pStyle w:val="123"/>
              <w:spacing w:line="360" w:lineRule="auto"/>
              <w:rPr>
                <w:color w:val="000000" w:themeColor="text1"/>
                <w:sz w:val="24"/>
                <w:szCs w:val="24"/>
                <w:highlight w:val="none"/>
                <w:lang w:val="en-US"/>
                <w14:textFill>
                  <w14:solidFill>
                    <w14:schemeClr w14:val="tx1"/>
                  </w14:solidFill>
                </w14:textFill>
              </w:rPr>
            </w:pPr>
          </w:p>
        </w:tc>
        <w:tc>
          <w:tcPr>
            <w:tcW w:w="997" w:type="dxa"/>
          </w:tcPr>
          <w:p w14:paraId="1BFBA17B">
            <w:pPr>
              <w:pStyle w:val="123"/>
              <w:spacing w:line="360" w:lineRule="auto"/>
              <w:rPr>
                <w:color w:val="000000" w:themeColor="text1"/>
                <w:sz w:val="24"/>
                <w:szCs w:val="24"/>
                <w:highlight w:val="none"/>
                <w:lang w:val="en-US"/>
                <w14:textFill>
                  <w14:solidFill>
                    <w14:schemeClr w14:val="tx1"/>
                  </w14:solidFill>
                </w14:textFill>
              </w:rPr>
            </w:pPr>
          </w:p>
        </w:tc>
        <w:tc>
          <w:tcPr>
            <w:tcW w:w="1545" w:type="dxa"/>
          </w:tcPr>
          <w:p w14:paraId="7D2C8F88">
            <w:pPr>
              <w:pStyle w:val="123"/>
              <w:spacing w:line="360" w:lineRule="auto"/>
              <w:rPr>
                <w:color w:val="000000" w:themeColor="text1"/>
                <w:sz w:val="24"/>
                <w:szCs w:val="24"/>
                <w:highlight w:val="none"/>
                <w:lang w:val="en-US"/>
                <w14:textFill>
                  <w14:solidFill>
                    <w14:schemeClr w14:val="tx1"/>
                  </w14:solidFill>
                </w14:textFill>
              </w:rPr>
            </w:pPr>
          </w:p>
        </w:tc>
        <w:tc>
          <w:tcPr>
            <w:tcW w:w="831" w:type="dxa"/>
          </w:tcPr>
          <w:p w14:paraId="1F7C7EC4">
            <w:pPr>
              <w:pStyle w:val="123"/>
              <w:spacing w:line="360" w:lineRule="auto"/>
              <w:rPr>
                <w:color w:val="000000" w:themeColor="text1"/>
                <w:sz w:val="24"/>
                <w:szCs w:val="24"/>
                <w:highlight w:val="none"/>
                <w:lang w:val="en-US"/>
                <w14:textFill>
                  <w14:solidFill>
                    <w14:schemeClr w14:val="tx1"/>
                  </w14:solidFill>
                </w14:textFill>
              </w:rPr>
            </w:pPr>
          </w:p>
        </w:tc>
        <w:tc>
          <w:tcPr>
            <w:tcW w:w="1270" w:type="dxa"/>
          </w:tcPr>
          <w:p w14:paraId="4078BDC7">
            <w:pPr>
              <w:pStyle w:val="123"/>
              <w:spacing w:line="360" w:lineRule="auto"/>
              <w:rPr>
                <w:color w:val="000000" w:themeColor="text1"/>
                <w:sz w:val="24"/>
                <w:szCs w:val="24"/>
                <w:highlight w:val="none"/>
                <w:lang w:val="en-US"/>
                <w14:textFill>
                  <w14:solidFill>
                    <w14:schemeClr w14:val="tx1"/>
                  </w14:solidFill>
                </w14:textFill>
              </w:rPr>
            </w:pPr>
          </w:p>
        </w:tc>
        <w:tc>
          <w:tcPr>
            <w:tcW w:w="955" w:type="dxa"/>
          </w:tcPr>
          <w:p w14:paraId="2F79A830">
            <w:pPr>
              <w:pStyle w:val="123"/>
              <w:spacing w:line="360" w:lineRule="auto"/>
              <w:rPr>
                <w:color w:val="000000" w:themeColor="text1"/>
                <w:sz w:val="24"/>
                <w:szCs w:val="24"/>
                <w:highlight w:val="none"/>
                <w:lang w:val="en-US"/>
                <w14:textFill>
                  <w14:solidFill>
                    <w14:schemeClr w14:val="tx1"/>
                  </w14:solidFill>
                </w14:textFill>
              </w:rPr>
            </w:pPr>
          </w:p>
        </w:tc>
        <w:tc>
          <w:tcPr>
            <w:tcW w:w="1731" w:type="dxa"/>
          </w:tcPr>
          <w:p w14:paraId="140AF944">
            <w:pPr>
              <w:pStyle w:val="123"/>
              <w:spacing w:line="360" w:lineRule="auto"/>
              <w:rPr>
                <w:color w:val="000000" w:themeColor="text1"/>
                <w:sz w:val="24"/>
                <w:szCs w:val="24"/>
                <w:highlight w:val="none"/>
                <w:lang w:val="en-US"/>
                <w14:textFill>
                  <w14:solidFill>
                    <w14:schemeClr w14:val="tx1"/>
                  </w14:solidFill>
                </w14:textFill>
              </w:rPr>
            </w:pPr>
          </w:p>
        </w:tc>
      </w:tr>
      <w:tr w14:paraId="1F65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4D39E82A">
            <w:pPr>
              <w:pStyle w:val="123"/>
              <w:spacing w:line="360" w:lineRule="auto"/>
              <w:rPr>
                <w:color w:val="000000" w:themeColor="text1"/>
                <w:sz w:val="24"/>
                <w:szCs w:val="24"/>
                <w:highlight w:val="none"/>
                <w:lang w:val="en-US"/>
                <w14:textFill>
                  <w14:solidFill>
                    <w14:schemeClr w14:val="tx1"/>
                  </w14:solidFill>
                </w14:textFill>
              </w:rPr>
            </w:pPr>
          </w:p>
        </w:tc>
        <w:tc>
          <w:tcPr>
            <w:tcW w:w="997" w:type="dxa"/>
          </w:tcPr>
          <w:p w14:paraId="06381500">
            <w:pPr>
              <w:pStyle w:val="123"/>
              <w:spacing w:line="360" w:lineRule="auto"/>
              <w:rPr>
                <w:color w:val="000000" w:themeColor="text1"/>
                <w:sz w:val="24"/>
                <w:szCs w:val="24"/>
                <w:highlight w:val="none"/>
                <w:lang w:val="en-US"/>
                <w14:textFill>
                  <w14:solidFill>
                    <w14:schemeClr w14:val="tx1"/>
                  </w14:solidFill>
                </w14:textFill>
              </w:rPr>
            </w:pPr>
          </w:p>
        </w:tc>
        <w:tc>
          <w:tcPr>
            <w:tcW w:w="1545" w:type="dxa"/>
          </w:tcPr>
          <w:p w14:paraId="0242DCAB">
            <w:pPr>
              <w:pStyle w:val="123"/>
              <w:spacing w:line="360" w:lineRule="auto"/>
              <w:rPr>
                <w:color w:val="000000" w:themeColor="text1"/>
                <w:sz w:val="24"/>
                <w:szCs w:val="24"/>
                <w:highlight w:val="none"/>
                <w:lang w:val="en-US"/>
                <w14:textFill>
                  <w14:solidFill>
                    <w14:schemeClr w14:val="tx1"/>
                  </w14:solidFill>
                </w14:textFill>
              </w:rPr>
            </w:pPr>
          </w:p>
        </w:tc>
        <w:tc>
          <w:tcPr>
            <w:tcW w:w="831" w:type="dxa"/>
          </w:tcPr>
          <w:p w14:paraId="688B7F25">
            <w:pPr>
              <w:pStyle w:val="123"/>
              <w:spacing w:line="360" w:lineRule="auto"/>
              <w:rPr>
                <w:color w:val="000000" w:themeColor="text1"/>
                <w:sz w:val="24"/>
                <w:szCs w:val="24"/>
                <w:highlight w:val="none"/>
                <w:lang w:val="en-US"/>
                <w14:textFill>
                  <w14:solidFill>
                    <w14:schemeClr w14:val="tx1"/>
                  </w14:solidFill>
                </w14:textFill>
              </w:rPr>
            </w:pPr>
          </w:p>
        </w:tc>
        <w:tc>
          <w:tcPr>
            <w:tcW w:w="1270" w:type="dxa"/>
          </w:tcPr>
          <w:p w14:paraId="5435AE51">
            <w:pPr>
              <w:pStyle w:val="123"/>
              <w:spacing w:line="360" w:lineRule="auto"/>
              <w:rPr>
                <w:color w:val="000000" w:themeColor="text1"/>
                <w:sz w:val="24"/>
                <w:szCs w:val="24"/>
                <w:highlight w:val="none"/>
                <w:lang w:val="en-US"/>
                <w14:textFill>
                  <w14:solidFill>
                    <w14:schemeClr w14:val="tx1"/>
                  </w14:solidFill>
                </w14:textFill>
              </w:rPr>
            </w:pPr>
          </w:p>
        </w:tc>
        <w:tc>
          <w:tcPr>
            <w:tcW w:w="955" w:type="dxa"/>
          </w:tcPr>
          <w:p w14:paraId="300E4B08">
            <w:pPr>
              <w:pStyle w:val="123"/>
              <w:spacing w:line="360" w:lineRule="auto"/>
              <w:rPr>
                <w:color w:val="000000" w:themeColor="text1"/>
                <w:sz w:val="24"/>
                <w:szCs w:val="24"/>
                <w:highlight w:val="none"/>
                <w:lang w:val="en-US"/>
                <w14:textFill>
                  <w14:solidFill>
                    <w14:schemeClr w14:val="tx1"/>
                  </w14:solidFill>
                </w14:textFill>
              </w:rPr>
            </w:pPr>
          </w:p>
        </w:tc>
        <w:tc>
          <w:tcPr>
            <w:tcW w:w="1731" w:type="dxa"/>
          </w:tcPr>
          <w:p w14:paraId="4B2E3566">
            <w:pPr>
              <w:pStyle w:val="123"/>
              <w:spacing w:line="360" w:lineRule="auto"/>
              <w:rPr>
                <w:color w:val="000000" w:themeColor="text1"/>
                <w:sz w:val="24"/>
                <w:szCs w:val="24"/>
                <w:highlight w:val="none"/>
                <w:lang w:val="en-US"/>
                <w14:textFill>
                  <w14:solidFill>
                    <w14:schemeClr w14:val="tx1"/>
                  </w14:solidFill>
                </w14:textFill>
              </w:rPr>
            </w:pPr>
          </w:p>
        </w:tc>
      </w:tr>
      <w:tr w14:paraId="46C6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0C04B1F6">
            <w:pPr>
              <w:pStyle w:val="123"/>
              <w:spacing w:line="360" w:lineRule="auto"/>
              <w:rPr>
                <w:color w:val="000000" w:themeColor="text1"/>
                <w:sz w:val="24"/>
                <w:szCs w:val="24"/>
                <w:highlight w:val="none"/>
                <w:lang w:val="en-US"/>
                <w14:textFill>
                  <w14:solidFill>
                    <w14:schemeClr w14:val="tx1"/>
                  </w14:solidFill>
                </w14:textFill>
              </w:rPr>
            </w:pPr>
          </w:p>
        </w:tc>
        <w:tc>
          <w:tcPr>
            <w:tcW w:w="997" w:type="dxa"/>
          </w:tcPr>
          <w:p w14:paraId="4408A79A">
            <w:pPr>
              <w:pStyle w:val="123"/>
              <w:spacing w:line="360" w:lineRule="auto"/>
              <w:rPr>
                <w:color w:val="000000" w:themeColor="text1"/>
                <w:sz w:val="24"/>
                <w:szCs w:val="24"/>
                <w:highlight w:val="none"/>
                <w:lang w:val="en-US"/>
                <w14:textFill>
                  <w14:solidFill>
                    <w14:schemeClr w14:val="tx1"/>
                  </w14:solidFill>
                </w14:textFill>
              </w:rPr>
            </w:pPr>
          </w:p>
        </w:tc>
        <w:tc>
          <w:tcPr>
            <w:tcW w:w="1545" w:type="dxa"/>
          </w:tcPr>
          <w:p w14:paraId="46F0B4DE">
            <w:pPr>
              <w:pStyle w:val="123"/>
              <w:spacing w:line="360" w:lineRule="auto"/>
              <w:rPr>
                <w:color w:val="000000" w:themeColor="text1"/>
                <w:sz w:val="24"/>
                <w:szCs w:val="24"/>
                <w:highlight w:val="none"/>
                <w:lang w:val="en-US"/>
                <w14:textFill>
                  <w14:solidFill>
                    <w14:schemeClr w14:val="tx1"/>
                  </w14:solidFill>
                </w14:textFill>
              </w:rPr>
            </w:pPr>
          </w:p>
        </w:tc>
        <w:tc>
          <w:tcPr>
            <w:tcW w:w="831" w:type="dxa"/>
          </w:tcPr>
          <w:p w14:paraId="77002611">
            <w:pPr>
              <w:pStyle w:val="123"/>
              <w:spacing w:line="360" w:lineRule="auto"/>
              <w:rPr>
                <w:color w:val="000000" w:themeColor="text1"/>
                <w:sz w:val="24"/>
                <w:szCs w:val="24"/>
                <w:highlight w:val="none"/>
                <w:lang w:val="en-US"/>
                <w14:textFill>
                  <w14:solidFill>
                    <w14:schemeClr w14:val="tx1"/>
                  </w14:solidFill>
                </w14:textFill>
              </w:rPr>
            </w:pPr>
          </w:p>
        </w:tc>
        <w:tc>
          <w:tcPr>
            <w:tcW w:w="1270" w:type="dxa"/>
          </w:tcPr>
          <w:p w14:paraId="0F5F4D2F">
            <w:pPr>
              <w:pStyle w:val="123"/>
              <w:spacing w:line="360" w:lineRule="auto"/>
              <w:rPr>
                <w:color w:val="000000" w:themeColor="text1"/>
                <w:sz w:val="24"/>
                <w:szCs w:val="24"/>
                <w:highlight w:val="none"/>
                <w:lang w:val="en-US"/>
                <w14:textFill>
                  <w14:solidFill>
                    <w14:schemeClr w14:val="tx1"/>
                  </w14:solidFill>
                </w14:textFill>
              </w:rPr>
            </w:pPr>
          </w:p>
        </w:tc>
        <w:tc>
          <w:tcPr>
            <w:tcW w:w="955" w:type="dxa"/>
          </w:tcPr>
          <w:p w14:paraId="1168177C">
            <w:pPr>
              <w:pStyle w:val="123"/>
              <w:spacing w:line="360" w:lineRule="auto"/>
              <w:rPr>
                <w:color w:val="000000" w:themeColor="text1"/>
                <w:sz w:val="24"/>
                <w:szCs w:val="24"/>
                <w:highlight w:val="none"/>
                <w:lang w:val="en-US"/>
                <w14:textFill>
                  <w14:solidFill>
                    <w14:schemeClr w14:val="tx1"/>
                  </w14:solidFill>
                </w14:textFill>
              </w:rPr>
            </w:pPr>
          </w:p>
        </w:tc>
        <w:tc>
          <w:tcPr>
            <w:tcW w:w="1731" w:type="dxa"/>
          </w:tcPr>
          <w:p w14:paraId="01A0F85C">
            <w:pPr>
              <w:pStyle w:val="123"/>
              <w:spacing w:line="360" w:lineRule="auto"/>
              <w:rPr>
                <w:color w:val="000000" w:themeColor="text1"/>
                <w:sz w:val="24"/>
                <w:szCs w:val="24"/>
                <w:highlight w:val="none"/>
                <w:lang w:val="en-US"/>
                <w14:textFill>
                  <w14:solidFill>
                    <w14:schemeClr w14:val="tx1"/>
                  </w14:solidFill>
                </w14:textFill>
              </w:rPr>
            </w:pPr>
          </w:p>
        </w:tc>
      </w:tr>
      <w:tr w14:paraId="51A6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7522E676">
            <w:pPr>
              <w:pStyle w:val="123"/>
              <w:spacing w:line="360" w:lineRule="auto"/>
              <w:rPr>
                <w:color w:val="000000" w:themeColor="text1"/>
                <w:sz w:val="24"/>
                <w:szCs w:val="24"/>
                <w:highlight w:val="none"/>
                <w:lang w:val="en-US"/>
                <w14:textFill>
                  <w14:solidFill>
                    <w14:schemeClr w14:val="tx1"/>
                  </w14:solidFill>
                </w14:textFill>
              </w:rPr>
            </w:pPr>
          </w:p>
        </w:tc>
        <w:tc>
          <w:tcPr>
            <w:tcW w:w="997" w:type="dxa"/>
          </w:tcPr>
          <w:p w14:paraId="547AE02F">
            <w:pPr>
              <w:pStyle w:val="123"/>
              <w:spacing w:line="360" w:lineRule="auto"/>
              <w:rPr>
                <w:color w:val="000000" w:themeColor="text1"/>
                <w:sz w:val="24"/>
                <w:szCs w:val="24"/>
                <w:highlight w:val="none"/>
                <w:lang w:val="en-US"/>
                <w14:textFill>
                  <w14:solidFill>
                    <w14:schemeClr w14:val="tx1"/>
                  </w14:solidFill>
                </w14:textFill>
              </w:rPr>
            </w:pPr>
          </w:p>
        </w:tc>
        <w:tc>
          <w:tcPr>
            <w:tcW w:w="1545" w:type="dxa"/>
          </w:tcPr>
          <w:p w14:paraId="03B87357">
            <w:pPr>
              <w:pStyle w:val="123"/>
              <w:spacing w:line="360" w:lineRule="auto"/>
              <w:rPr>
                <w:color w:val="000000" w:themeColor="text1"/>
                <w:sz w:val="24"/>
                <w:szCs w:val="24"/>
                <w:highlight w:val="none"/>
                <w:lang w:val="en-US"/>
                <w14:textFill>
                  <w14:solidFill>
                    <w14:schemeClr w14:val="tx1"/>
                  </w14:solidFill>
                </w14:textFill>
              </w:rPr>
            </w:pPr>
          </w:p>
        </w:tc>
        <w:tc>
          <w:tcPr>
            <w:tcW w:w="831" w:type="dxa"/>
          </w:tcPr>
          <w:p w14:paraId="71E7D206">
            <w:pPr>
              <w:pStyle w:val="123"/>
              <w:spacing w:line="360" w:lineRule="auto"/>
              <w:rPr>
                <w:color w:val="000000" w:themeColor="text1"/>
                <w:sz w:val="24"/>
                <w:szCs w:val="24"/>
                <w:highlight w:val="none"/>
                <w:lang w:val="en-US"/>
                <w14:textFill>
                  <w14:solidFill>
                    <w14:schemeClr w14:val="tx1"/>
                  </w14:solidFill>
                </w14:textFill>
              </w:rPr>
            </w:pPr>
          </w:p>
        </w:tc>
        <w:tc>
          <w:tcPr>
            <w:tcW w:w="1270" w:type="dxa"/>
          </w:tcPr>
          <w:p w14:paraId="103652AD">
            <w:pPr>
              <w:pStyle w:val="123"/>
              <w:spacing w:line="360" w:lineRule="auto"/>
              <w:rPr>
                <w:color w:val="000000" w:themeColor="text1"/>
                <w:sz w:val="24"/>
                <w:szCs w:val="24"/>
                <w:highlight w:val="none"/>
                <w:lang w:val="en-US"/>
                <w14:textFill>
                  <w14:solidFill>
                    <w14:schemeClr w14:val="tx1"/>
                  </w14:solidFill>
                </w14:textFill>
              </w:rPr>
            </w:pPr>
          </w:p>
        </w:tc>
        <w:tc>
          <w:tcPr>
            <w:tcW w:w="955" w:type="dxa"/>
          </w:tcPr>
          <w:p w14:paraId="3C883F9C">
            <w:pPr>
              <w:pStyle w:val="123"/>
              <w:spacing w:line="360" w:lineRule="auto"/>
              <w:rPr>
                <w:color w:val="000000" w:themeColor="text1"/>
                <w:sz w:val="24"/>
                <w:szCs w:val="24"/>
                <w:highlight w:val="none"/>
                <w:lang w:val="en-US"/>
                <w14:textFill>
                  <w14:solidFill>
                    <w14:schemeClr w14:val="tx1"/>
                  </w14:solidFill>
                </w14:textFill>
              </w:rPr>
            </w:pPr>
          </w:p>
        </w:tc>
        <w:tc>
          <w:tcPr>
            <w:tcW w:w="1731" w:type="dxa"/>
          </w:tcPr>
          <w:p w14:paraId="78F40046">
            <w:pPr>
              <w:pStyle w:val="123"/>
              <w:spacing w:line="360" w:lineRule="auto"/>
              <w:rPr>
                <w:color w:val="000000" w:themeColor="text1"/>
                <w:sz w:val="24"/>
                <w:szCs w:val="24"/>
                <w:highlight w:val="none"/>
                <w:lang w:val="en-US"/>
                <w14:textFill>
                  <w14:solidFill>
                    <w14:schemeClr w14:val="tx1"/>
                  </w14:solidFill>
                </w14:textFill>
              </w:rPr>
            </w:pPr>
          </w:p>
        </w:tc>
      </w:tr>
      <w:tr w14:paraId="4035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4A61CF67">
            <w:pPr>
              <w:pStyle w:val="123"/>
              <w:spacing w:line="360" w:lineRule="auto"/>
              <w:rPr>
                <w:color w:val="000000" w:themeColor="text1"/>
                <w:sz w:val="24"/>
                <w:szCs w:val="24"/>
                <w:highlight w:val="none"/>
                <w:lang w:val="en-US"/>
                <w14:textFill>
                  <w14:solidFill>
                    <w14:schemeClr w14:val="tx1"/>
                  </w14:solidFill>
                </w14:textFill>
              </w:rPr>
            </w:pPr>
          </w:p>
        </w:tc>
        <w:tc>
          <w:tcPr>
            <w:tcW w:w="997" w:type="dxa"/>
          </w:tcPr>
          <w:p w14:paraId="552FAC72">
            <w:pPr>
              <w:pStyle w:val="123"/>
              <w:spacing w:line="360" w:lineRule="auto"/>
              <w:rPr>
                <w:color w:val="000000" w:themeColor="text1"/>
                <w:sz w:val="24"/>
                <w:szCs w:val="24"/>
                <w:highlight w:val="none"/>
                <w:lang w:val="en-US"/>
                <w14:textFill>
                  <w14:solidFill>
                    <w14:schemeClr w14:val="tx1"/>
                  </w14:solidFill>
                </w14:textFill>
              </w:rPr>
            </w:pPr>
          </w:p>
        </w:tc>
        <w:tc>
          <w:tcPr>
            <w:tcW w:w="1545" w:type="dxa"/>
          </w:tcPr>
          <w:p w14:paraId="72FE7E89">
            <w:pPr>
              <w:pStyle w:val="123"/>
              <w:spacing w:line="360" w:lineRule="auto"/>
              <w:rPr>
                <w:color w:val="000000" w:themeColor="text1"/>
                <w:sz w:val="24"/>
                <w:szCs w:val="24"/>
                <w:highlight w:val="none"/>
                <w:lang w:val="en-US"/>
                <w14:textFill>
                  <w14:solidFill>
                    <w14:schemeClr w14:val="tx1"/>
                  </w14:solidFill>
                </w14:textFill>
              </w:rPr>
            </w:pPr>
          </w:p>
        </w:tc>
        <w:tc>
          <w:tcPr>
            <w:tcW w:w="831" w:type="dxa"/>
          </w:tcPr>
          <w:p w14:paraId="7DC4A5C2">
            <w:pPr>
              <w:pStyle w:val="123"/>
              <w:spacing w:line="360" w:lineRule="auto"/>
              <w:rPr>
                <w:color w:val="000000" w:themeColor="text1"/>
                <w:sz w:val="24"/>
                <w:szCs w:val="24"/>
                <w:highlight w:val="none"/>
                <w:lang w:val="en-US"/>
                <w14:textFill>
                  <w14:solidFill>
                    <w14:schemeClr w14:val="tx1"/>
                  </w14:solidFill>
                </w14:textFill>
              </w:rPr>
            </w:pPr>
          </w:p>
        </w:tc>
        <w:tc>
          <w:tcPr>
            <w:tcW w:w="1270" w:type="dxa"/>
          </w:tcPr>
          <w:p w14:paraId="6F646819">
            <w:pPr>
              <w:pStyle w:val="123"/>
              <w:spacing w:line="360" w:lineRule="auto"/>
              <w:rPr>
                <w:color w:val="000000" w:themeColor="text1"/>
                <w:sz w:val="24"/>
                <w:szCs w:val="24"/>
                <w:highlight w:val="none"/>
                <w:lang w:val="en-US"/>
                <w14:textFill>
                  <w14:solidFill>
                    <w14:schemeClr w14:val="tx1"/>
                  </w14:solidFill>
                </w14:textFill>
              </w:rPr>
            </w:pPr>
          </w:p>
        </w:tc>
        <w:tc>
          <w:tcPr>
            <w:tcW w:w="955" w:type="dxa"/>
          </w:tcPr>
          <w:p w14:paraId="3BD6B983">
            <w:pPr>
              <w:pStyle w:val="123"/>
              <w:spacing w:line="360" w:lineRule="auto"/>
              <w:rPr>
                <w:color w:val="000000" w:themeColor="text1"/>
                <w:sz w:val="24"/>
                <w:szCs w:val="24"/>
                <w:highlight w:val="none"/>
                <w:lang w:val="en-US"/>
                <w14:textFill>
                  <w14:solidFill>
                    <w14:schemeClr w14:val="tx1"/>
                  </w14:solidFill>
                </w14:textFill>
              </w:rPr>
            </w:pPr>
          </w:p>
        </w:tc>
        <w:tc>
          <w:tcPr>
            <w:tcW w:w="1731" w:type="dxa"/>
          </w:tcPr>
          <w:p w14:paraId="78F4592A">
            <w:pPr>
              <w:pStyle w:val="123"/>
              <w:spacing w:line="360" w:lineRule="auto"/>
              <w:rPr>
                <w:color w:val="000000" w:themeColor="text1"/>
                <w:sz w:val="24"/>
                <w:szCs w:val="24"/>
                <w:highlight w:val="none"/>
                <w:lang w:val="en-US"/>
                <w14:textFill>
                  <w14:solidFill>
                    <w14:schemeClr w14:val="tx1"/>
                  </w14:solidFill>
                </w14:textFill>
              </w:rPr>
            </w:pPr>
          </w:p>
        </w:tc>
      </w:tr>
      <w:tr w14:paraId="6651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00ED69F1">
            <w:pPr>
              <w:pStyle w:val="123"/>
              <w:spacing w:line="360" w:lineRule="auto"/>
              <w:rPr>
                <w:color w:val="000000" w:themeColor="text1"/>
                <w:sz w:val="24"/>
                <w:szCs w:val="24"/>
                <w:highlight w:val="none"/>
                <w:lang w:val="en-US"/>
                <w14:textFill>
                  <w14:solidFill>
                    <w14:schemeClr w14:val="tx1"/>
                  </w14:solidFill>
                </w14:textFill>
              </w:rPr>
            </w:pPr>
          </w:p>
        </w:tc>
        <w:tc>
          <w:tcPr>
            <w:tcW w:w="997" w:type="dxa"/>
          </w:tcPr>
          <w:p w14:paraId="341B42EB">
            <w:pPr>
              <w:pStyle w:val="123"/>
              <w:spacing w:line="360" w:lineRule="auto"/>
              <w:rPr>
                <w:color w:val="000000" w:themeColor="text1"/>
                <w:sz w:val="24"/>
                <w:szCs w:val="24"/>
                <w:highlight w:val="none"/>
                <w:lang w:val="en-US"/>
                <w14:textFill>
                  <w14:solidFill>
                    <w14:schemeClr w14:val="tx1"/>
                  </w14:solidFill>
                </w14:textFill>
              </w:rPr>
            </w:pPr>
          </w:p>
        </w:tc>
        <w:tc>
          <w:tcPr>
            <w:tcW w:w="1545" w:type="dxa"/>
          </w:tcPr>
          <w:p w14:paraId="40D7019B">
            <w:pPr>
              <w:pStyle w:val="123"/>
              <w:spacing w:line="360" w:lineRule="auto"/>
              <w:rPr>
                <w:color w:val="000000" w:themeColor="text1"/>
                <w:sz w:val="24"/>
                <w:szCs w:val="24"/>
                <w:highlight w:val="none"/>
                <w:lang w:val="en-US"/>
                <w14:textFill>
                  <w14:solidFill>
                    <w14:schemeClr w14:val="tx1"/>
                  </w14:solidFill>
                </w14:textFill>
              </w:rPr>
            </w:pPr>
          </w:p>
        </w:tc>
        <w:tc>
          <w:tcPr>
            <w:tcW w:w="831" w:type="dxa"/>
          </w:tcPr>
          <w:p w14:paraId="4187CFD0">
            <w:pPr>
              <w:pStyle w:val="123"/>
              <w:spacing w:line="360" w:lineRule="auto"/>
              <w:rPr>
                <w:color w:val="000000" w:themeColor="text1"/>
                <w:sz w:val="24"/>
                <w:szCs w:val="24"/>
                <w:highlight w:val="none"/>
                <w:lang w:val="en-US"/>
                <w14:textFill>
                  <w14:solidFill>
                    <w14:schemeClr w14:val="tx1"/>
                  </w14:solidFill>
                </w14:textFill>
              </w:rPr>
            </w:pPr>
          </w:p>
        </w:tc>
        <w:tc>
          <w:tcPr>
            <w:tcW w:w="1270" w:type="dxa"/>
          </w:tcPr>
          <w:p w14:paraId="6BF4EC89">
            <w:pPr>
              <w:pStyle w:val="123"/>
              <w:spacing w:line="360" w:lineRule="auto"/>
              <w:rPr>
                <w:color w:val="000000" w:themeColor="text1"/>
                <w:sz w:val="24"/>
                <w:szCs w:val="24"/>
                <w:highlight w:val="none"/>
                <w:lang w:val="en-US"/>
                <w14:textFill>
                  <w14:solidFill>
                    <w14:schemeClr w14:val="tx1"/>
                  </w14:solidFill>
                </w14:textFill>
              </w:rPr>
            </w:pPr>
          </w:p>
        </w:tc>
        <w:tc>
          <w:tcPr>
            <w:tcW w:w="955" w:type="dxa"/>
          </w:tcPr>
          <w:p w14:paraId="7EEAC100">
            <w:pPr>
              <w:pStyle w:val="123"/>
              <w:spacing w:line="360" w:lineRule="auto"/>
              <w:rPr>
                <w:color w:val="000000" w:themeColor="text1"/>
                <w:sz w:val="24"/>
                <w:szCs w:val="24"/>
                <w:highlight w:val="none"/>
                <w:lang w:val="en-US"/>
                <w14:textFill>
                  <w14:solidFill>
                    <w14:schemeClr w14:val="tx1"/>
                  </w14:solidFill>
                </w14:textFill>
              </w:rPr>
            </w:pPr>
          </w:p>
        </w:tc>
        <w:tc>
          <w:tcPr>
            <w:tcW w:w="1731" w:type="dxa"/>
          </w:tcPr>
          <w:p w14:paraId="4BF857E0">
            <w:pPr>
              <w:pStyle w:val="123"/>
              <w:spacing w:line="360" w:lineRule="auto"/>
              <w:rPr>
                <w:color w:val="000000" w:themeColor="text1"/>
                <w:sz w:val="24"/>
                <w:szCs w:val="24"/>
                <w:highlight w:val="none"/>
                <w:lang w:val="en-US"/>
                <w14:textFill>
                  <w14:solidFill>
                    <w14:schemeClr w14:val="tx1"/>
                  </w14:solidFill>
                </w14:textFill>
              </w:rPr>
            </w:pPr>
          </w:p>
        </w:tc>
      </w:tr>
      <w:tr w14:paraId="686C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19141BDB">
            <w:pPr>
              <w:pStyle w:val="123"/>
              <w:spacing w:line="360" w:lineRule="auto"/>
              <w:rPr>
                <w:color w:val="000000" w:themeColor="text1"/>
                <w:sz w:val="24"/>
                <w:szCs w:val="24"/>
                <w:highlight w:val="none"/>
                <w:lang w:val="en-US"/>
                <w14:textFill>
                  <w14:solidFill>
                    <w14:schemeClr w14:val="tx1"/>
                  </w14:solidFill>
                </w14:textFill>
              </w:rPr>
            </w:pPr>
          </w:p>
        </w:tc>
        <w:tc>
          <w:tcPr>
            <w:tcW w:w="997" w:type="dxa"/>
          </w:tcPr>
          <w:p w14:paraId="30DB48DA">
            <w:pPr>
              <w:pStyle w:val="123"/>
              <w:spacing w:line="360" w:lineRule="auto"/>
              <w:rPr>
                <w:color w:val="000000" w:themeColor="text1"/>
                <w:sz w:val="24"/>
                <w:szCs w:val="24"/>
                <w:highlight w:val="none"/>
                <w:lang w:val="en-US"/>
                <w14:textFill>
                  <w14:solidFill>
                    <w14:schemeClr w14:val="tx1"/>
                  </w14:solidFill>
                </w14:textFill>
              </w:rPr>
            </w:pPr>
          </w:p>
        </w:tc>
        <w:tc>
          <w:tcPr>
            <w:tcW w:w="1545" w:type="dxa"/>
          </w:tcPr>
          <w:p w14:paraId="50D2A9A6">
            <w:pPr>
              <w:pStyle w:val="123"/>
              <w:spacing w:line="360" w:lineRule="auto"/>
              <w:rPr>
                <w:color w:val="000000" w:themeColor="text1"/>
                <w:sz w:val="24"/>
                <w:szCs w:val="24"/>
                <w:highlight w:val="none"/>
                <w:lang w:val="en-US"/>
                <w14:textFill>
                  <w14:solidFill>
                    <w14:schemeClr w14:val="tx1"/>
                  </w14:solidFill>
                </w14:textFill>
              </w:rPr>
            </w:pPr>
          </w:p>
        </w:tc>
        <w:tc>
          <w:tcPr>
            <w:tcW w:w="831" w:type="dxa"/>
          </w:tcPr>
          <w:p w14:paraId="7EEE45BD">
            <w:pPr>
              <w:pStyle w:val="123"/>
              <w:spacing w:line="360" w:lineRule="auto"/>
              <w:rPr>
                <w:color w:val="000000" w:themeColor="text1"/>
                <w:sz w:val="24"/>
                <w:szCs w:val="24"/>
                <w:highlight w:val="none"/>
                <w:lang w:val="en-US"/>
                <w14:textFill>
                  <w14:solidFill>
                    <w14:schemeClr w14:val="tx1"/>
                  </w14:solidFill>
                </w14:textFill>
              </w:rPr>
            </w:pPr>
          </w:p>
        </w:tc>
        <w:tc>
          <w:tcPr>
            <w:tcW w:w="1270" w:type="dxa"/>
          </w:tcPr>
          <w:p w14:paraId="7824F407">
            <w:pPr>
              <w:pStyle w:val="123"/>
              <w:spacing w:line="360" w:lineRule="auto"/>
              <w:rPr>
                <w:color w:val="000000" w:themeColor="text1"/>
                <w:sz w:val="24"/>
                <w:szCs w:val="24"/>
                <w:highlight w:val="none"/>
                <w:lang w:val="en-US"/>
                <w14:textFill>
                  <w14:solidFill>
                    <w14:schemeClr w14:val="tx1"/>
                  </w14:solidFill>
                </w14:textFill>
              </w:rPr>
            </w:pPr>
          </w:p>
        </w:tc>
        <w:tc>
          <w:tcPr>
            <w:tcW w:w="955" w:type="dxa"/>
          </w:tcPr>
          <w:p w14:paraId="4E184228">
            <w:pPr>
              <w:pStyle w:val="123"/>
              <w:spacing w:line="360" w:lineRule="auto"/>
              <w:rPr>
                <w:color w:val="000000" w:themeColor="text1"/>
                <w:sz w:val="24"/>
                <w:szCs w:val="24"/>
                <w:highlight w:val="none"/>
                <w:lang w:val="en-US"/>
                <w14:textFill>
                  <w14:solidFill>
                    <w14:schemeClr w14:val="tx1"/>
                  </w14:solidFill>
                </w14:textFill>
              </w:rPr>
            </w:pPr>
          </w:p>
        </w:tc>
        <w:tc>
          <w:tcPr>
            <w:tcW w:w="1731" w:type="dxa"/>
          </w:tcPr>
          <w:p w14:paraId="3E37CE00">
            <w:pPr>
              <w:pStyle w:val="123"/>
              <w:spacing w:line="360" w:lineRule="auto"/>
              <w:rPr>
                <w:color w:val="000000" w:themeColor="text1"/>
                <w:sz w:val="24"/>
                <w:szCs w:val="24"/>
                <w:highlight w:val="none"/>
                <w:lang w:val="en-US"/>
                <w14:textFill>
                  <w14:solidFill>
                    <w14:schemeClr w14:val="tx1"/>
                  </w14:solidFill>
                </w14:textFill>
              </w:rPr>
            </w:pPr>
          </w:p>
        </w:tc>
      </w:tr>
      <w:tr w14:paraId="3AF6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23F9BD63">
            <w:pPr>
              <w:pStyle w:val="123"/>
              <w:spacing w:line="360" w:lineRule="auto"/>
              <w:rPr>
                <w:color w:val="000000" w:themeColor="text1"/>
                <w:sz w:val="24"/>
                <w:szCs w:val="24"/>
                <w:highlight w:val="none"/>
                <w:lang w:val="en-US"/>
                <w14:textFill>
                  <w14:solidFill>
                    <w14:schemeClr w14:val="tx1"/>
                  </w14:solidFill>
                </w14:textFill>
              </w:rPr>
            </w:pPr>
          </w:p>
        </w:tc>
        <w:tc>
          <w:tcPr>
            <w:tcW w:w="997" w:type="dxa"/>
          </w:tcPr>
          <w:p w14:paraId="18F661B9">
            <w:pPr>
              <w:pStyle w:val="123"/>
              <w:spacing w:line="360" w:lineRule="auto"/>
              <w:rPr>
                <w:color w:val="000000" w:themeColor="text1"/>
                <w:sz w:val="24"/>
                <w:szCs w:val="24"/>
                <w:highlight w:val="none"/>
                <w:lang w:val="en-US"/>
                <w14:textFill>
                  <w14:solidFill>
                    <w14:schemeClr w14:val="tx1"/>
                  </w14:solidFill>
                </w14:textFill>
              </w:rPr>
            </w:pPr>
          </w:p>
        </w:tc>
        <w:tc>
          <w:tcPr>
            <w:tcW w:w="1545" w:type="dxa"/>
          </w:tcPr>
          <w:p w14:paraId="216BE5E8">
            <w:pPr>
              <w:pStyle w:val="123"/>
              <w:spacing w:line="360" w:lineRule="auto"/>
              <w:rPr>
                <w:color w:val="000000" w:themeColor="text1"/>
                <w:sz w:val="24"/>
                <w:szCs w:val="24"/>
                <w:highlight w:val="none"/>
                <w:lang w:val="en-US"/>
                <w14:textFill>
                  <w14:solidFill>
                    <w14:schemeClr w14:val="tx1"/>
                  </w14:solidFill>
                </w14:textFill>
              </w:rPr>
            </w:pPr>
          </w:p>
        </w:tc>
        <w:tc>
          <w:tcPr>
            <w:tcW w:w="831" w:type="dxa"/>
          </w:tcPr>
          <w:p w14:paraId="315F1E49">
            <w:pPr>
              <w:pStyle w:val="123"/>
              <w:spacing w:line="360" w:lineRule="auto"/>
              <w:rPr>
                <w:color w:val="000000" w:themeColor="text1"/>
                <w:sz w:val="24"/>
                <w:szCs w:val="24"/>
                <w:highlight w:val="none"/>
                <w:lang w:val="en-US"/>
                <w14:textFill>
                  <w14:solidFill>
                    <w14:schemeClr w14:val="tx1"/>
                  </w14:solidFill>
                </w14:textFill>
              </w:rPr>
            </w:pPr>
          </w:p>
        </w:tc>
        <w:tc>
          <w:tcPr>
            <w:tcW w:w="1270" w:type="dxa"/>
          </w:tcPr>
          <w:p w14:paraId="5EBE8AB5">
            <w:pPr>
              <w:pStyle w:val="123"/>
              <w:spacing w:line="360" w:lineRule="auto"/>
              <w:rPr>
                <w:color w:val="000000" w:themeColor="text1"/>
                <w:sz w:val="24"/>
                <w:szCs w:val="24"/>
                <w:highlight w:val="none"/>
                <w:lang w:val="en-US"/>
                <w14:textFill>
                  <w14:solidFill>
                    <w14:schemeClr w14:val="tx1"/>
                  </w14:solidFill>
                </w14:textFill>
              </w:rPr>
            </w:pPr>
          </w:p>
        </w:tc>
        <w:tc>
          <w:tcPr>
            <w:tcW w:w="955" w:type="dxa"/>
          </w:tcPr>
          <w:p w14:paraId="776DCE79">
            <w:pPr>
              <w:pStyle w:val="123"/>
              <w:spacing w:line="360" w:lineRule="auto"/>
              <w:rPr>
                <w:color w:val="000000" w:themeColor="text1"/>
                <w:sz w:val="24"/>
                <w:szCs w:val="24"/>
                <w:highlight w:val="none"/>
                <w:lang w:val="en-US"/>
                <w14:textFill>
                  <w14:solidFill>
                    <w14:schemeClr w14:val="tx1"/>
                  </w14:solidFill>
                </w14:textFill>
              </w:rPr>
            </w:pPr>
          </w:p>
        </w:tc>
        <w:tc>
          <w:tcPr>
            <w:tcW w:w="1731" w:type="dxa"/>
          </w:tcPr>
          <w:p w14:paraId="42BF1CCD">
            <w:pPr>
              <w:pStyle w:val="123"/>
              <w:spacing w:line="360" w:lineRule="auto"/>
              <w:rPr>
                <w:color w:val="000000" w:themeColor="text1"/>
                <w:sz w:val="24"/>
                <w:szCs w:val="24"/>
                <w:highlight w:val="none"/>
                <w:lang w:val="en-US"/>
                <w14:textFill>
                  <w14:solidFill>
                    <w14:schemeClr w14:val="tx1"/>
                  </w14:solidFill>
                </w14:textFill>
              </w:rPr>
            </w:pPr>
          </w:p>
        </w:tc>
      </w:tr>
      <w:tr w14:paraId="74CA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19740A76">
            <w:pPr>
              <w:pStyle w:val="123"/>
              <w:spacing w:line="360" w:lineRule="auto"/>
              <w:rPr>
                <w:color w:val="000000" w:themeColor="text1"/>
                <w:sz w:val="24"/>
                <w:szCs w:val="24"/>
                <w:highlight w:val="none"/>
                <w:lang w:val="en-US"/>
                <w14:textFill>
                  <w14:solidFill>
                    <w14:schemeClr w14:val="tx1"/>
                  </w14:solidFill>
                </w14:textFill>
              </w:rPr>
            </w:pPr>
          </w:p>
        </w:tc>
        <w:tc>
          <w:tcPr>
            <w:tcW w:w="997" w:type="dxa"/>
          </w:tcPr>
          <w:p w14:paraId="1214035C">
            <w:pPr>
              <w:pStyle w:val="123"/>
              <w:spacing w:line="360" w:lineRule="auto"/>
              <w:rPr>
                <w:color w:val="000000" w:themeColor="text1"/>
                <w:sz w:val="24"/>
                <w:szCs w:val="24"/>
                <w:highlight w:val="none"/>
                <w:lang w:val="en-US"/>
                <w14:textFill>
                  <w14:solidFill>
                    <w14:schemeClr w14:val="tx1"/>
                  </w14:solidFill>
                </w14:textFill>
              </w:rPr>
            </w:pPr>
          </w:p>
        </w:tc>
        <w:tc>
          <w:tcPr>
            <w:tcW w:w="1545" w:type="dxa"/>
          </w:tcPr>
          <w:p w14:paraId="08EEF374">
            <w:pPr>
              <w:pStyle w:val="123"/>
              <w:spacing w:line="360" w:lineRule="auto"/>
              <w:rPr>
                <w:color w:val="000000" w:themeColor="text1"/>
                <w:sz w:val="24"/>
                <w:szCs w:val="24"/>
                <w:highlight w:val="none"/>
                <w:lang w:val="en-US"/>
                <w14:textFill>
                  <w14:solidFill>
                    <w14:schemeClr w14:val="tx1"/>
                  </w14:solidFill>
                </w14:textFill>
              </w:rPr>
            </w:pPr>
          </w:p>
        </w:tc>
        <w:tc>
          <w:tcPr>
            <w:tcW w:w="831" w:type="dxa"/>
          </w:tcPr>
          <w:p w14:paraId="6F344EDA">
            <w:pPr>
              <w:pStyle w:val="123"/>
              <w:spacing w:line="360" w:lineRule="auto"/>
              <w:rPr>
                <w:color w:val="000000" w:themeColor="text1"/>
                <w:sz w:val="24"/>
                <w:szCs w:val="24"/>
                <w:highlight w:val="none"/>
                <w:lang w:val="en-US"/>
                <w14:textFill>
                  <w14:solidFill>
                    <w14:schemeClr w14:val="tx1"/>
                  </w14:solidFill>
                </w14:textFill>
              </w:rPr>
            </w:pPr>
          </w:p>
        </w:tc>
        <w:tc>
          <w:tcPr>
            <w:tcW w:w="1270" w:type="dxa"/>
          </w:tcPr>
          <w:p w14:paraId="347FBD09">
            <w:pPr>
              <w:pStyle w:val="123"/>
              <w:spacing w:line="360" w:lineRule="auto"/>
              <w:rPr>
                <w:color w:val="000000" w:themeColor="text1"/>
                <w:sz w:val="24"/>
                <w:szCs w:val="24"/>
                <w:highlight w:val="none"/>
                <w:lang w:val="en-US"/>
                <w14:textFill>
                  <w14:solidFill>
                    <w14:schemeClr w14:val="tx1"/>
                  </w14:solidFill>
                </w14:textFill>
              </w:rPr>
            </w:pPr>
          </w:p>
        </w:tc>
        <w:tc>
          <w:tcPr>
            <w:tcW w:w="955" w:type="dxa"/>
          </w:tcPr>
          <w:p w14:paraId="4B4089B9">
            <w:pPr>
              <w:pStyle w:val="123"/>
              <w:spacing w:line="360" w:lineRule="auto"/>
              <w:rPr>
                <w:color w:val="000000" w:themeColor="text1"/>
                <w:sz w:val="24"/>
                <w:szCs w:val="24"/>
                <w:highlight w:val="none"/>
                <w:lang w:val="en-US"/>
                <w14:textFill>
                  <w14:solidFill>
                    <w14:schemeClr w14:val="tx1"/>
                  </w14:solidFill>
                </w14:textFill>
              </w:rPr>
            </w:pPr>
          </w:p>
        </w:tc>
        <w:tc>
          <w:tcPr>
            <w:tcW w:w="1731" w:type="dxa"/>
          </w:tcPr>
          <w:p w14:paraId="65D0F4C2">
            <w:pPr>
              <w:pStyle w:val="123"/>
              <w:spacing w:line="360" w:lineRule="auto"/>
              <w:rPr>
                <w:color w:val="000000" w:themeColor="text1"/>
                <w:sz w:val="24"/>
                <w:szCs w:val="24"/>
                <w:highlight w:val="none"/>
                <w:lang w:val="en-US"/>
                <w14:textFill>
                  <w14:solidFill>
                    <w14:schemeClr w14:val="tx1"/>
                  </w14:solidFill>
                </w14:textFill>
              </w:rPr>
            </w:pPr>
          </w:p>
        </w:tc>
      </w:tr>
      <w:tr w14:paraId="172C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24886BD8">
            <w:pPr>
              <w:pStyle w:val="123"/>
              <w:spacing w:line="360" w:lineRule="auto"/>
              <w:rPr>
                <w:color w:val="000000" w:themeColor="text1"/>
                <w:sz w:val="24"/>
                <w:szCs w:val="24"/>
                <w:highlight w:val="none"/>
                <w:lang w:val="en-US"/>
                <w14:textFill>
                  <w14:solidFill>
                    <w14:schemeClr w14:val="tx1"/>
                  </w14:solidFill>
                </w14:textFill>
              </w:rPr>
            </w:pPr>
          </w:p>
        </w:tc>
        <w:tc>
          <w:tcPr>
            <w:tcW w:w="997" w:type="dxa"/>
          </w:tcPr>
          <w:p w14:paraId="23A9CBEE">
            <w:pPr>
              <w:pStyle w:val="123"/>
              <w:spacing w:line="360" w:lineRule="auto"/>
              <w:rPr>
                <w:color w:val="000000" w:themeColor="text1"/>
                <w:sz w:val="24"/>
                <w:szCs w:val="24"/>
                <w:highlight w:val="none"/>
                <w:lang w:val="en-US"/>
                <w14:textFill>
                  <w14:solidFill>
                    <w14:schemeClr w14:val="tx1"/>
                  </w14:solidFill>
                </w14:textFill>
              </w:rPr>
            </w:pPr>
          </w:p>
        </w:tc>
        <w:tc>
          <w:tcPr>
            <w:tcW w:w="1545" w:type="dxa"/>
          </w:tcPr>
          <w:p w14:paraId="63FCB7F3">
            <w:pPr>
              <w:pStyle w:val="123"/>
              <w:spacing w:line="360" w:lineRule="auto"/>
              <w:rPr>
                <w:color w:val="000000" w:themeColor="text1"/>
                <w:sz w:val="24"/>
                <w:szCs w:val="24"/>
                <w:highlight w:val="none"/>
                <w:lang w:val="en-US"/>
                <w14:textFill>
                  <w14:solidFill>
                    <w14:schemeClr w14:val="tx1"/>
                  </w14:solidFill>
                </w14:textFill>
              </w:rPr>
            </w:pPr>
          </w:p>
        </w:tc>
        <w:tc>
          <w:tcPr>
            <w:tcW w:w="831" w:type="dxa"/>
          </w:tcPr>
          <w:p w14:paraId="235114A6">
            <w:pPr>
              <w:pStyle w:val="123"/>
              <w:spacing w:line="360" w:lineRule="auto"/>
              <w:rPr>
                <w:color w:val="000000" w:themeColor="text1"/>
                <w:sz w:val="24"/>
                <w:szCs w:val="24"/>
                <w:highlight w:val="none"/>
                <w:lang w:val="en-US"/>
                <w14:textFill>
                  <w14:solidFill>
                    <w14:schemeClr w14:val="tx1"/>
                  </w14:solidFill>
                </w14:textFill>
              </w:rPr>
            </w:pPr>
          </w:p>
        </w:tc>
        <w:tc>
          <w:tcPr>
            <w:tcW w:w="1270" w:type="dxa"/>
          </w:tcPr>
          <w:p w14:paraId="6D1C37B1">
            <w:pPr>
              <w:pStyle w:val="123"/>
              <w:spacing w:line="360" w:lineRule="auto"/>
              <w:rPr>
                <w:color w:val="000000" w:themeColor="text1"/>
                <w:sz w:val="24"/>
                <w:szCs w:val="24"/>
                <w:highlight w:val="none"/>
                <w:lang w:val="en-US"/>
                <w14:textFill>
                  <w14:solidFill>
                    <w14:schemeClr w14:val="tx1"/>
                  </w14:solidFill>
                </w14:textFill>
              </w:rPr>
            </w:pPr>
          </w:p>
        </w:tc>
        <w:tc>
          <w:tcPr>
            <w:tcW w:w="955" w:type="dxa"/>
          </w:tcPr>
          <w:p w14:paraId="76694689">
            <w:pPr>
              <w:pStyle w:val="123"/>
              <w:spacing w:line="360" w:lineRule="auto"/>
              <w:rPr>
                <w:color w:val="000000" w:themeColor="text1"/>
                <w:sz w:val="24"/>
                <w:szCs w:val="24"/>
                <w:highlight w:val="none"/>
                <w:lang w:val="en-US"/>
                <w14:textFill>
                  <w14:solidFill>
                    <w14:schemeClr w14:val="tx1"/>
                  </w14:solidFill>
                </w14:textFill>
              </w:rPr>
            </w:pPr>
          </w:p>
        </w:tc>
        <w:tc>
          <w:tcPr>
            <w:tcW w:w="1731" w:type="dxa"/>
          </w:tcPr>
          <w:p w14:paraId="6868FD38">
            <w:pPr>
              <w:pStyle w:val="123"/>
              <w:spacing w:line="360" w:lineRule="auto"/>
              <w:rPr>
                <w:color w:val="000000" w:themeColor="text1"/>
                <w:sz w:val="24"/>
                <w:szCs w:val="24"/>
                <w:highlight w:val="none"/>
                <w:lang w:val="en-US"/>
                <w14:textFill>
                  <w14:solidFill>
                    <w14:schemeClr w14:val="tx1"/>
                  </w14:solidFill>
                </w14:textFill>
              </w:rPr>
            </w:pPr>
          </w:p>
        </w:tc>
      </w:tr>
    </w:tbl>
    <w:p w14:paraId="727C886C">
      <w:pPr>
        <w:spacing w:after="120" w:afterLines="50"/>
        <w:jc w:val="left"/>
        <w:rPr>
          <w:b/>
          <w:color w:val="000000" w:themeColor="text1"/>
          <w:sz w:val="23"/>
          <w:szCs w:val="23"/>
          <w:highlight w:val="none"/>
          <w14:textFill>
            <w14:solidFill>
              <w14:schemeClr w14:val="tx1"/>
            </w14:solidFill>
          </w14:textFill>
        </w:rPr>
      </w:pPr>
    </w:p>
    <w:p w14:paraId="7402CFC2">
      <w:pPr>
        <w:spacing w:line="38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投标人（公章）：</w:t>
      </w:r>
    </w:p>
    <w:p w14:paraId="52F41151">
      <w:pPr>
        <w:spacing w:line="380" w:lineRule="exact"/>
        <w:rPr>
          <w:rFonts w:ascii="宋体" w:hAnsi="宋体"/>
          <w:color w:val="000000" w:themeColor="text1"/>
          <w:sz w:val="22"/>
          <w:szCs w:val="22"/>
          <w:highlight w:val="none"/>
          <w:u w:val="singl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投标人代表（签字或印章）：</w:t>
      </w:r>
    </w:p>
    <w:p w14:paraId="5CC7494D">
      <w:pPr>
        <w:jc w:val="center"/>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日期：</w:t>
      </w:r>
    </w:p>
    <w:p w14:paraId="00DD270D">
      <w:pPr>
        <w:jc w:val="center"/>
        <w:rPr>
          <w:rFonts w:asciiTheme="minorEastAsia" w:hAnsiTheme="minorEastAsia" w:eastAsiaTheme="minorEastAsia"/>
          <w:b/>
          <w:color w:val="000000" w:themeColor="text1"/>
          <w:sz w:val="24"/>
          <w:szCs w:val="24"/>
          <w:highlight w:val="none"/>
          <w14:textFill>
            <w14:solidFill>
              <w14:schemeClr w14:val="tx1"/>
            </w14:solidFill>
          </w14:textFill>
        </w:rPr>
      </w:pPr>
    </w:p>
    <w:p w14:paraId="3C21D86F">
      <w:pPr>
        <w:jc w:val="center"/>
        <w:rPr>
          <w:rFonts w:asciiTheme="minorEastAsia" w:hAnsiTheme="minorEastAsia" w:eastAsiaTheme="minorEastAsia"/>
          <w:b/>
          <w:color w:val="000000" w:themeColor="text1"/>
          <w:sz w:val="24"/>
          <w:szCs w:val="24"/>
          <w:highlight w:val="none"/>
          <w14:textFill>
            <w14:solidFill>
              <w14:schemeClr w14:val="tx1"/>
            </w14:solidFill>
          </w14:textFill>
        </w:rPr>
      </w:pPr>
    </w:p>
    <w:p w14:paraId="76FD5443">
      <w:pPr>
        <w:spacing w:line="380" w:lineRule="exact"/>
        <w:rPr>
          <w:rFonts w:asciiTheme="minorEastAsia" w:hAnsiTheme="minorEastAsia" w:eastAsiaTheme="minorEastAsia"/>
          <w:color w:val="000000" w:themeColor="text1"/>
          <w:sz w:val="22"/>
          <w:szCs w:val="22"/>
          <w:highlight w:val="none"/>
          <w:u w:val="single"/>
          <w14:textFill>
            <w14:solidFill>
              <w14:schemeClr w14:val="tx1"/>
            </w14:solidFill>
          </w14:textFill>
        </w:rPr>
      </w:pPr>
    </w:p>
    <w:p w14:paraId="2EC6AE6C">
      <w:pPr>
        <w:spacing w:after="120" w:afterLines="50"/>
        <w:jc w:val="left"/>
        <w:rPr>
          <w:rFonts w:asciiTheme="minorEastAsia" w:hAnsiTheme="minorEastAsia" w:eastAsiaTheme="minorEastAsia"/>
          <w:color w:val="000000" w:themeColor="text1"/>
          <w:sz w:val="22"/>
          <w:szCs w:val="22"/>
          <w:highlight w:val="none"/>
          <w:u w:val="single"/>
          <w14:textFill>
            <w14:solidFill>
              <w14:schemeClr w14:val="tx1"/>
            </w14:solidFill>
          </w14:textFill>
        </w:rPr>
        <w:sectPr>
          <w:pgSz w:w="11907" w:h="16840"/>
          <w:pgMar w:top="1304" w:right="1588" w:bottom="1560" w:left="1588" w:header="720" w:footer="720" w:gutter="0"/>
          <w:cols w:space="720" w:num="1"/>
          <w:docGrid w:linePitch="285" w:charSpace="0"/>
        </w:sectPr>
      </w:pPr>
    </w:p>
    <w:p w14:paraId="576CBCF0">
      <w:pPr>
        <w:spacing w:after="120" w:afterLines="50"/>
        <w:jc w:val="center"/>
        <w:rPr>
          <w:rFonts w:asciiTheme="minorEastAsia" w:hAnsiTheme="minorEastAsia" w:eastAsiaTheme="minorEastAsia"/>
          <w:b/>
          <w:color w:val="000000" w:themeColor="text1"/>
          <w:sz w:val="24"/>
          <w:szCs w:val="24"/>
          <w:highlight w:val="none"/>
          <w14:textFill>
            <w14:solidFill>
              <w14:schemeClr w14:val="tx1"/>
            </w14:solidFill>
          </w14:textFill>
        </w:rPr>
      </w:pPr>
    </w:p>
    <w:p w14:paraId="42E7C150">
      <w:pPr>
        <w:spacing w:after="120" w:afterLines="50"/>
        <w:jc w:val="center"/>
        <w:rPr>
          <w:rFonts w:asci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3、服务方案</w:t>
      </w:r>
    </w:p>
    <w:p w14:paraId="23E211FC">
      <w:pPr>
        <w:pStyle w:val="121"/>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主要内容包括，但不限于：</w:t>
      </w:r>
    </w:p>
    <w:p w14:paraId="1A80CAD1">
      <w:pPr>
        <w:spacing w:after="120" w:afterLines="50"/>
        <w:jc w:val="center"/>
        <w:rPr>
          <w:rFonts w:asciiTheme="minorEastAsia" w:hAnsiTheme="minorEastAsia" w:eastAsiaTheme="minorEastAsia"/>
          <w:b/>
          <w:color w:val="000000" w:themeColor="text1"/>
          <w:sz w:val="24"/>
          <w:szCs w:val="24"/>
          <w:highlight w:val="none"/>
          <w14:textFill>
            <w14:solidFill>
              <w14:schemeClr w14:val="tx1"/>
            </w14:solidFill>
          </w14:textFill>
        </w:rPr>
      </w:pPr>
    </w:p>
    <w:p w14:paraId="2C746DC2">
      <w:pPr>
        <w:spacing w:line="360" w:lineRule="auto"/>
        <w:jc w:val="left"/>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
          <w:color w:val="000000" w:themeColor="text1"/>
          <w:sz w:val="24"/>
          <w:szCs w:val="24"/>
          <w:highlight w:val="none"/>
          <w14:textFill>
            <w14:solidFill>
              <w14:schemeClr w14:val="tx1"/>
            </w14:solidFill>
          </w14:textFill>
        </w:rPr>
        <w:br w:type="page"/>
      </w:r>
    </w:p>
    <w:p w14:paraId="7E832BF6">
      <w:pPr>
        <w:spacing w:after="120" w:afterLines="50"/>
        <w:jc w:val="center"/>
        <w:rPr>
          <w:rFonts w:asciiTheme="minorEastAsia" w:hAnsiTheme="minorEastAsia" w:eastAsiaTheme="minorEastAsia"/>
          <w:b/>
          <w:color w:val="000000" w:themeColor="text1"/>
          <w:sz w:val="24"/>
          <w:szCs w:val="24"/>
          <w:highlight w:val="none"/>
          <w14:textFill>
            <w14:solidFill>
              <w14:schemeClr w14:val="tx1"/>
            </w14:solidFill>
          </w14:textFill>
        </w:rPr>
      </w:pPr>
    </w:p>
    <w:p w14:paraId="31BD1623">
      <w:pPr>
        <w:widowControl/>
        <w:jc w:val="left"/>
        <w:rPr>
          <w:rFonts w:cs="宋体" w:asciiTheme="minorEastAsia" w:hAnsiTheme="minorEastAsia" w:eastAsiaTheme="minorEastAsia"/>
          <w:b/>
          <w:bCs/>
          <w:color w:val="000000" w:themeColor="text1"/>
          <w:kern w:val="0"/>
          <w:szCs w:val="21"/>
          <w:highlight w:val="none"/>
          <w14:textFill>
            <w14:solidFill>
              <w14:schemeClr w14:val="tx1"/>
            </w14:solidFill>
          </w14:textFill>
        </w:rPr>
      </w:pPr>
    </w:p>
    <w:p w14:paraId="240DD8BF">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报价文件组成：</w:t>
      </w:r>
    </w:p>
    <w:p w14:paraId="6355B3C6">
      <w:pPr>
        <w:tabs>
          <w:tab w:val="left" w:pos="1418"/>
        </w:tabs>
        <w:spacing w:line="360" w:lineRule="auto"/>
        <w:ind w:firstLine="420" w:firstLineChars="200"/>
        <w:contextualSpacing/>
        <w:rPr>
          <w:rFonts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投标函；</w:t>
      </w:r>
    </w:p>
    <w:p w14:paraId="553AA2CF">
      <w:pPr>
        <w:tabs>
          <w:tab w:val="left" w:pos="1418"/>
        </w:tabs>
        <w:spacing w:line="360" w:lineRule="auto"/>
        <w:ind w:firstLine="420" w:firstLineChars="200"/>
        <w:contextualSpacing/>
        <w:rPr>
          <w:rFonts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开标一览表；</w:t>
      </w:r>
    </w:p>
    <w:p w14:paraId="1AB8BAF4">
      <w:pPr>
        <w:tabs>
          <w:tab w:val="left" w:pos="1418"/>
        </w:tabs>
        <w:spacing w:line="360" w:lineRule="auto"/>
        <w:ind w:firstLine="420" w:firstLineChars="200"/>
        <w:contextualSpacing/>
        <w:rPr>
          <w:rFonts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w:t>
      </w:r>
      <w:r>
        <w:rPr>
          <w:rFonts w:hint="eastAsia" w:asciiTheme="minorEastAsia" w:hAnsiTheme="minorEastAsia" w:eastAsiaTheme="minorEastAsia"/>
          <w:color w:val="000000" w:themeColor="text1"/>
          <w:szCs w:val="21"/>
          <w:highlight w:val="none"/>
          <w14:textFill>
            <w14:solidFill>
              <w14:schemeClr w14:val="tx1"/>
            </w14:solidFill>
          </w14:textFill>
        </w:rPr>
        <w:t>投标分项报价表；</w:t>
      </w:r>
    </w:p>
    <w:p w14:paraId="333FECDF">
      <w:pPr>
        <w:tabs>
          <w:tab w:val="left" w:pos="1418"/>
        </w:tabs>
        <w:spacing w:line="360" w:lineRule="auto"/>
        <w:ind w:firstLine="420" w:firstLineChars="200"/>
        <w:contextualSpacing/>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（4）享受政府采购价格优惠政策需提供的证明资料（如有)</w:t>
      </w:r>
    </w:p>
    <w:p w14:paraId="1A68B24C">
      <w:pPr>
        <w:tabs>
          <w:tab w:val="left" w:pos="1418"/>
        </w:tabs>
        <w:spacing w:line="360" w:lineRule="auto"/>
        <w:ind w:firstLine="420" w:firstLineChars="200"/>
        <w:contextualSpacing/>
        <w:rPr>
          <w:rFonts w:asciiTheme="minorEastAsia" w:hAnsiTheme="minorEastAsia" w:eastAsiaTheme="minorEastAsia"/>
          <w:color w:val="000000" w:themeColor="text1"/>
          <w:szCs w:val="21"/>
          <w:highlight w:val="none"/>
          <w14:textFill>
            <w14:solidFill>
              <w14:schemeClr w14:val="tx1"/>
            </w14:solidFill>
          </w14:textFill>
        </w:rPr>
      </w:pPr>
    </w:p>
    <w:p w14:paraId="7FBD3A6D">
      <w:pPr>
        <w:pStyle w:val="3"/>
        <w:spacing w:line="380" w:lineRule="exact"/>
        <w:rPr>
          <w:rFonts w:asciiTheme="minorEastAsia" w:hAnsiTheme="minorEastAsia" w:eastAsiaTheme="minorEastAsia"/>
          <w:bCs w:val="0"/>
          <w:color w:val="000000" w:themeColor="text1"/>
          <w:sz w:val="24"/>
          <w:szCs w:val="24"/>
          <w:highlight w:val="none"/>
          <w14:textFill>
            <w14:solidFill>
              <w14:schemeClr w14:val="tx1"/>
            </w14:solidFill>
          </w14:textFill>
        </w:rPr>
      </w:pPr>
    </w:p>
    <w:p w14:paraId="31F0F343">
      <w:pPr>
        <w:widowControl/>
        <w:jc w:val="left"/>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Cs/>
          <w:color w:val="000000" w:themeColor="text1"/>
          <w:sz w:val="24"/>
          <w:szCs w:val="24"/>
          <w:highlight w:val="none"/>
          <w14:textFill>
            <w14:solidFill>
              <w14:schemeClr w14:val="tx1"/>
            </w14:solidFill>
          </w14:textFill>
        </w:rPr>
        <w:br w:type="page"/>
      </w:r>
    </w:p>
    <w:p w14:paraId="5405B833">
      <w:pPr>
        <w:pStyle w:val="3"/>
        <w:spacing w:line="380" w:lineRule="exact"/>
        <w:rPr>
          <w:rFonts w:asciiTheme="minorEastAsia" w:hAnsiTheme="minorEastAsia" w:eastAsiaTheme="minorEastAsia"/>
          <w:bCs w:val="0"/>
          <w:color w:val="000000" w:themeColor="text1"/>
          <w:sz w:val="24"/>
          <w:szCs w:val="24"/>
          <w:highlight w:val="none"/>
          <w14:textFill>
            <w14:solidFill>
              <w14:schemeClr w14:val="tx1"/>
            </w14:solidFill>
          </w14:textFill>
        </w:rPr>
      </w:pPr>
    </w:p>
    <w:p w14:paraId="78A7EE0D">
      <w:pPr>
        <w:pStyle w:val="3"/>
        <w:spacing w:line="380" w:lineRule="exact"/>
        <w:rPr>
          <w:rFonts w:asciiTheme="minorEastAsia" w:hAnsiTheme="minorEastAsia" w:eastAsiaTheme="minorEastAsia"/>
          <w:b w:val="0"/>
          <w:color w:val="000000" w:themeColor="text1"/>
          <w:sz w:val="24"/>
          <w:szCs w:val="24"/>
          <w:highlight w:val="none"/>
          <w14:textFill>
            <w14:solidFill>
              <w14:schemeClr w14:val="tx1"/>
            </w14:solidFill>
          </w14:textFill>
        </w:rPr>
      </w:pPr>
      <w:bookmarkStart w:id="177" w:name="_Toc136345128"/>
      <w:bookmarkStart w:id="178" w:name="_Toc136017667"/>
      <w:bookmarkStart w:id="179" w:name="_Toc20714"/>
      <w:r>
        <w:rPr>
          <w:rFonts w:hint="eastAsia" w:asciiTheme="minorEastAsia" w:hAnsiTheme="minorEastAsia" w:eastAsiaTheme="minorEastAsia"/>
          <w:bCs w:val="0"/>
          <w:color w:val="000000" w:themeColor="text1"/>
          <w:sz w:val="24"/>
          <w:szCs w:val="24"/>
          <w:highlight w:val="none"/>
          <w14:textFill>
            <w14:solidFill>
              <w14:schemeClr w14:val="tx1"/>
            </w14:solidFill>
          </w14:textFill>
        </w:rPr>
        <w:t>（一） 投 标 函</w:t>
      </w:r>
      <w:bookmarkEnd w:id="177"/>
      <w:bookmarkEnd w:id="178"/>
      <w:bookmarkEnd w:id="179"/>
    </w:p>
    <w:p w14:paraId="497FD6EA">
      <w:pPr>
        <w:pStyle w:val="16"/>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 xml:space="preserve">   致</w:t>
      </w:r>
      <w:r>
        <w:rPr>
          <w:rFonts w:hint="eastAsia" w:asciiTheme="minorEastAsia" w:hAnsiTheme="minorEastAsia" w:eastAsiaTheme="minorEastAsia"/>
          <w:i/>
          <w:color w:val="000000" w:themeColor="text1"/>
          <w:sz w:val="21"/>
          <w:szCs w:val="21"/>
          <w:highlight w:val="none"/>
          <w:u w:val="single"/>
          <w14:textFill>
            <w14:solidFill>
              <w14:schemeClr w14:val="tx1"/>
            </w14:solidFill>
          </w14:textFill>
        </w:rPr>
        <w:t xml:space="preserve">（采购人） </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14:paraId="4429F30D">
      <w:pPr>
        <w:pStyle w:val="16"/>
        <w:ind w:firstLine="0"/>
        <w:rPr>
          <w:rFonts w:asciiTheme="minorEastAsia" w:hAnsiTheme="minorEastAsia" w:eastAsia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i/>
          <w:color w:val="000000" w:themeColor="text1"/>
          <w:sz w:val="21"/>
          <w:szCs w:val="21"/>
          <w:highlight w:val="none"/>
          <w:u w:val="single"/>
          <w14:textFill>
            <w14:solidFill>
              <w14:schemeClr w14:val="tx1"/>
            </w14:solidFill>
          </w14:textFill>
        </w:rPr>
        <w:t xml:space="preserve"> （投标人全称）</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参加贵方组织的 </w:t>
      </w:r>
      <w:r>
        <w:rPr>
          <w:rFonts w:hint="eastAsia" w:asciiTheme="minorEastAsia" w:hAnsiTheme="minorEastAsia" w:eastAsiaTheme="minorEastAsia"/>
          <w:i/>
          <w:color w:val="000000" w:themeColor="text1"/>
          <w:sz w:val="21"/>
          <w:szCs w:val="21"/>
          <w:highlight w:val="none"/>
          <w:u w:val="single"/>
          <w14:textFill>
            <w14:solidFill>
              <w14:schemeClr w14:val="tx1"/>
            </w14:solidFill>
          </w14:textFill>
        </w:rPr>
        <w:t>（招标编号、招标项目名称）</w:t>
      </w:r>
      <w:r>
        <w:rPr>
          <w:rFonts w:hint="eastAsia" w:asciiTheme="minorEastAsia" w:hAnsiTheme="minorEastAsia" w:eastAsiaTheme="minorEastAsia"/>
          <w:color w:val="000000" w:themeColor="text1"/>
          <w:sz w:val="21"/>
          <w:szCs w:val="21"/>
          <w:highlight w:val="none"/>
          <w14:textFill>
            <w14:solidFill>
              <w14:schemeClr w14:val="tx1"/>
            </w14:solidFill>
          </w14:textFill>
        </w:rPr>
        <w:t>招投标活动，代表本公司处理招投标活动中的一切事宜，现对</w:t>
      </w:r>
      <w:r>
        <w:rPr>
          <w:rFonts w:hint="eastAsia" w:asciiTheme="minorEastAsia" w:hAnsiTheme="minorEastAsia" w:eastAsiaTheme="minorEastAsia"/>
          <w:i/>
          <w:color w:val="000000" w:themeColor="text1"/>
          <w:sz w:val="21"/>
          <w:szCs w:val="21"/>
          <w:highlight w:val="none"/>
          <w:u w:val="single"/>
          <w14:textFill>
            <w14:solidFill>
              <w14:schemeClr w14:val="tx1"/>
            </w14:solidFill>
          </w14:textFill>
        </w:rPr>
        <w:t>（项目名称）</w:t>
      </w:r>
      <w:r>
        <w:rPr>
          <w:rFonts w:hint="eastAsia" w:asciiTheme="minorEastAsia" w:hAnsiTheme="minorEastAsia" w:eastAsiaTheme="minorEastAsia"/>
          <w:color w:val="000000" w:themeColor="text1"/>
          <w:sz w:val="21"/>
          <w:szCs w:val="21"/>
          <w:highlight w:val="none"/>
          <w14:textFill>
            <w14:solidFill>
              <w14:schemeClr w14:val="tx1"/>
            </w14:solidFill>
          </w14:textFill>
        </w:rPr>
        <w:t>进行投标，在此：</w:t>
      </w:r>
    </w:p>
    <w:p w14:paraId="2156F143">
      <w:pPr>
        <w:pStyle w:val="16"/>
        <w:numPr>
          <w:ilvl w:val="0"/>
          <w:numId w:val="7"/>
        </w:numPr>
        <w:tabs>
          <w:tab w:val="left" w:pos="525"/>
        </w:tabs>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提供招标文件中“投标人须知”规定的全部投标文件。</w:t>
      </w:r>
    </w:p>
    <w:p w14:paraId="1513C6D3">
      <w:pPr>
        <w:pStyle w:val="16"/>
        <w:tabs>
          <w:tab w:val="left" w:pos="525"/>
        </w:tabs>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2、据此函，签字代表宣布并承诺如下：</w:t>
      </w:r>
    </w:p>
    <w:p w14:paraId="565A8F7C">
      <w:pPr>
        <w:pStyle w:val="16"/>
        <w:numPr>
          <w:ilvl w:val="0"/>
          <w:numId w:val="8"/>
        </w:num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投标总价为（大写）：人民币元。</w:t>
      </w:r>
    </w:p>
    <w:p w14:paraId="00A1C2A4">
      <w:pPr>
        <w:pStyle w:val="16"/>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本报价已经包含了所供货物及服务应纳的税金及招标文件规定的报价方式应包含的其它费用。本报价在投标有效期内固定不变，并在合同有效期内不受利率波动的影响。</w:t>
      </w:r>
    </w:p>
    <w:p w14:paraId="414F6CA8">
      <w:pPr>
        <w:pStyle w:val="16"/>
        <w:numPr>
          <w:ilvl w:val="0"/>
          <w:numId w:val="8"/>
        </w:num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本投标自开标之日起90天内有效。</w:t>
      </w:r>
    </w:p>
    <w:p w14:paraId="7933F601">
      <w:pPr>
        <w:pStyle w:val="16"/>
        <w:numPr>
          <w:ilvl w:val="0"/>
          <w:numId w:val="8"/>
        </w:num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我们已详细审查全部招标文件及有关的澄清/修改文件(若有的话)，我们完全理解并同意放弃对这方面提出任何异议的权利，保证遵守招标文件有关条款规定。</w:t>
      </w:r>
    </w:p>
    <w:p w14:paraId="5603781E">
      <w:pPr>
        <w:pStyle w:val="16"/>
        <w:numPr>
          <w:ilvl w:val="0"/>
          <w:numId w:val="8"/>
        </w:num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保证遵守招标文件有关条款规定。</w:t>
      </w:r>
    </w:p>
    <w:p w14:paraId="3ADD0D83">
      <w:pPr>
        <w:pStyle w:val="16"/>
        <w:numPr>
          <w:ilvl w:val="0"/>
          <w:numId w:val="8"/>
        </w:num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保证在中标后忠实地执行与采购人所签署的合同，并承担合同规定的责任义务。保证在中标后按照招标文件的规定支付中标服务费。</w:t>
      </w:r>
    </w:p>
    <w:p w14:paraId="59451E8D">
      <w:pPr>
        <w:pStyle w:val="16"/>
        <w:numPr>
          <w:ilvl w:val="0"/>
          <w:numId w:val="8"/>
        </w:num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承诺应贵方要求提供任何与该项目投标有关的数据、情况和技术资料。</w:t>
      </w:r>
    </w:p>
    <w:p w14:paraId="1486FD1C">
      <w:pPr>
        <w:pStyle w:val="16"/>
        <w:numPr>
          <w:ilvl w:val="0"/>
          <w:numId w:val="8"/>
        </w:num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我们承诺，与为采购人采购本项目进行设计、编制规范和其他文件所委托的咨询公司或其附属机构无任何直接或间接的关联。</w:t>
      </w:r>
    </w:p>
    <w:p w14:paraId="0A320002">
      <w:pPr>
        <w:pStyle w:val="16"/>
        <w:numPr>
          <w:ilvl w:val="0"/>
          <w:numId w:val="8"/>
        </w:num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我们郑重声明：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本次采购活动前的三年内，在经营活动中没有重大违法记录。</w:t>
      </w:r>
    </w:p>
    <w:p w14:paraId="56E78AE3">
      <w:pPr>
        <w:pStyle w:val="16"/>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4、与本投标有关的一切往来通讯请寄：</w:t>
      </w:r>
    </w:p>
    <w:p w14:paraId="253E6CC2">
      <w:pPr>
        <w:pStyle w:val="16"/>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地址：</w:t>
      </w:r>
    </w:p>
    <w:p w14:paraId="70D14050">
      <w:pPr>
        <w:pStyle w:val="16"/>
        <w:ind w:firstLine="0"/>
        <w:rPr>
          <w:rFonts w:asciiTheme="minorEastAsia" w:hAnsiTheme="minorEastAsia" w:eastAsia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邮编：电话：传真：</w:t>
      </w:r>
    </w:p>
    <w:p w14:paraId="3632F4C9">
      <w:pPr>
        <w:pStyle w:val="16"/>
        <w:ind w:firstLine="0"/>
        <w:rPr>
          <w:rFonts w:asciiTheme="minorEastAsia" w:hAnsiTheme="minorEastAsia" w:eastAsiaTheme="minorEastAsia"/>
          <w:color w:val="000000" w:themeColor="text1"/>
          <w:sz w:val="21"/>
          <w:szCs w:val="21"/>
          <w:highlight w:val="none"/>
          <w14:textFill>
            <w14:solidFill>
              <w14:schemeClr w14:val="tx1"/>
            </w14:solidFill>
          </w14:textFill>
        </w:rPr>
      </w:pPr>
    </w:p>
    <w:p w14:paraId="1989F06C">
      <w:pPr>
        <w:pStyle w:val="16"/>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投标人（公章）：                  投标人代表（签字或印章）：</w:t>
      </w:r>
    </w:p>
    <w:p w14:paraId="09326B9C">
      <w:pPr>
        <w:pStyle w:val="16"/>
        <w:tabs>
          <w:tab w:val="left" w:pos="4841"/>
        </w:tabs>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日      期：     年   月   日</w:t>
      </w:r>
    </w:p>
    <w:p w14:paraId="0F711A5A">
      <w:pPr>
        <w:pStyle w:val="16"/>
        <w:tabs>
          <w:tab w:val="left" w:pos="4841"/>
        </w:tabs>
        <w:ind w:firstLine="0"/>
        <w:rPr>
          <w:rFonts w:asciiTheme="minorEastAsia" w:hAnsiTheme="minorEastAsia" w:eastAsiaTheme="minorEastAsia"/>
          <w:color w:val="000000" w:themeColor="text1"/>
          <w:sz w:val="21"/>
          <w:szCs w:val="21"/>
          <w:highlight w:val="none"/>
          <w14:textFill>
            <w14:solidFill>
              <w14:schemeClr w14:val="tx1"/>
            </w14:solidFill>
          </w14:textFill>
        </w:rPr>
      </w:pPr>
    </w:p>
    <w:p w14:paraId="1CF3F72E">
      <w:pPr>
        <w:pStyle w:val="3"/>
        <w:spacing w:line="380" w:lineRule="exact"/>
        <w:rPr>
          <w:rFonts w:asciiTheme="minorEastAsia" w:hAnsiTheme="minorEastAsia" w:eastAsiaTheme="minorEastAsia"/>
          <w:bCs w:val="0"/>
          <w:color w:val="000000" w:themeColor="text1"/>
          <w:sz w:val="24"/>
          <w:szCs w:val="24"/>
          <w:highlight w:val="none"/>
          <w14:textFill>
            <w14:solidFill>
              <w14:schemeClr w14:val="tx1"/>
            </w14:solidFill>
          </w14:textFill>
        </w:rPr>
      </w:pPr>
      <w:r>
        <w:rPr>
          <w:rFonts w:asciiTheme="minorEastAsia" w:hAnsiTheme="minorEastAsia" w:eastAsiaTheme="minorEastAsia"/>
          <w:bCs w:val="0"/>
          <w:color w:val="000000" w:themeColor="text1"/>
          <w:sz w:val="24"/>
          <w:szCs w:val="24"/>
          <w:highlight w:val="none"/>
          <w14:textFill>
            <w14:solidFill>
              <w14:schemeClr w14:val="tx1"/>
            </w14:solidFill>
          </w14:textFill>
        </w:rPr>
        <w:br w:type="page"/>
      </w:r>
    </w:p>
    <w:p w14:paraId="0DA18F52">
      <w:pPr>
        <w:rPr>
          <w:rFonts w:asciiTheme="minorEastAsia" w:hAnsiTheme="minorEastAsia" w:eastAsiaTheme="minorEastAsia"/>
          <w:color w:val="000000" w:themeColor="text1"/>
          <w:highlight w:val="none"/>
          <w14:textFill>
            <w14:solidFill>
              <w14:schemeClr w14:val="tx1"/>
            </w14:solidFill>
          </w14:textFill>
        </w:rPr>
      </w:pPr>
    </w:p>
    <w:p w14:paraId="4C38F6EC">
      <w:pPr>
        <w:rPr>
          <w:rFonts w:asciiTheme="minorEastAsia" w:hAnsiTheme="minorEastAsia" w:eastAsiaTheme="minorEastAsia"/>
          <w:color w:val="000000" w:themeColor="text1"/>
          <w:highlight w:val="none"/>
          <w14:textFill>
            <w14:solidFill>
              <w14:schemeClr w14:val="tx1"/>
            </w14:solidFill>
          </w14:textFill>
        </w:rPr>
      </w:pPr>
    </w:p>
    <w:p w14:paraId="45DFCE30">
      <w:pPr>
        <w:pStyle w:val="3"/>
        <w:spacing w:line="380" w:lineRule="exact"/>
        <w:rPr>
          <w:rFonts w:asciiTheme="minorEastAsia" w:hAnsiTheme="minorEastAsia" w:eastAsiaTheme="minorEastAsia"/>
          <w:bCs w:val="0"/>
          <w:color w:val="000000" w:themeColor="text1"/>
          <w:sz w:val="24"/>
          <w:szCs w:val="24"/>
          <w:highlight w:val="none"/>
          <w14:textFill>
            <w14:solidFill>
              <w14:schemeClr w14:val="tx1"/>
            </w14:solidFill>
          </w14:textFill>
        </w:rPr>
      </w:pPr>
      <w:bookmarkStart w:id="180" w:name="_Toc136017668"/>
      <w:bookmarkStart w:id="181" w:name="_Toc136345129"/>
      <w:bookmarkStart w:id="182" w:name="_Toc12227"/>
      <w:r>
        <w:rPr>
          <w:rFonts w:hint="eastAsia" w:asciiTheme="minorEastAsia" w:hAnsiTheme="minorEastAsia" w:eastAsiaTheme="minorEastAsia"/>
          <w:bCs w:val="0"/>
          <w:color w:val="000000" w:themeColor="text1"/>
          <w:sz w:val="24"/>
          <w:szCs w:val="24"/>
          <w:highlight w:val="none"/>
          <w14:textFill>
            <w14:solidFill>
              <w14:schemeClr w14:val="tx1"/>
            </w14:solidFill>
          </w14:textFill>
        </w:rPr>
        <w:t>（二）开标一览表</w:t>
      </w:r>
      <w:bookmarkEnd w:id="180"/>
      <w:bookmarkEnd w:id="181"/>
      <w:bookmarkEnd w:id="182"/>
    </w:p>
    <w:p w14:paraId="3878A23B">
      <w:pPr>
        <w:spacing w:line="400" w:lineRule="exact"/>
        <w:ind w:left="525"/>
        <w:rPr>
          <w:rFonts w:asciiTheme="minorEastAsia" w:hAnsiTheme="minorEastAsia" w:eastAsiaTheme="minorEastAsia"/>
          <w:color w:val="000000" w:themeColor="text1"/>
          <w:szCs w:val="21"/>
          <w:highlight w:val="none"/>
          <w14:textFill>
            <w14:solidFill>
              <w14:schemeClr w14:val="tx1"/>
            </w14:solidFill>
          </w14:textFill>
        </w:rPr>
      </w:pPr>
    </w:p>
    <w:p w14:paraId="79444A24">
      <w:pPr>
        <w:rPr>
          <w:rFonts w:asciiTheme="minorEastAsia" w:hAnsiTheme="minorEastAsia" w:eastAsiaTheme="minorEastAsia"/>
          <w:color w:val="000000" w:themeColor="text1"/>
          <w:szCs w:val="21"/>
          <w:highlight w:val="none"/>
          <w14:textFill>
            <w14:solidFill>
              <w14:schemeClr w14:val="tx1"/>
            </w14:solidFill>
          </w14:textFill>
        </w:rPr>
      </w:pPr>
    </w:p>
    <w:p w14:paraId="6A33CB7A">
      <w:pPr>
        <w:rPr>
          <w:rFonts w:asciiTheme="minorEastAsia" w:hAnsiTheme="minorEastAsia" w:eastAsiaTheme="minorEastAsia"/>
          <w:color w:val="000000" w:themeColor="text1"/>
          <w:szCs w:val="21"/>
          <w:highlight w:val="none"/>
          <w14:textFill>
            <w14:solidFill>
              <w14:schemeClr w14:val="tx1"/>
            </w14:solidFill>
          </w14:textFill>
        </w:rPr>
      </w:pPr>
    </w:p>
    <w:p w14:paraId="36F65D2E">
      <w:pPr>
        <w:rPr>
          <w:rFonts w:asciiTheme="minorEastAsia" w:hAnsiTheme="minorEastAsia" w:eastAsiaTheme="minorEastAsia"/>
          <w:color w:val="000000" w:themeColor="text1"/>
          <w:szCs w:val="21"/>
          <w:highlight w:val="none"/>
          <w14:textFill>
            <w14:solidFill>
              <w14:schemeClr w14:val="tx1"/>
            </w14:solidFill>
          </w14:textFill>
        </w:rPr>
      </w:pPr>
    </w:p>
    <w:p w14:paraId="581612F1">
      <w:pPr>
        <w:spacing w:line="380" w:lineRule="exact"/>
        <w:rPr>
          <w:rFonts w:asciiTheme="minorEastAsia" w:hAnsiTheme="minorEastAsia" w:eastAsia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项目名称：招标编号：</w:t>
      </w:r>
    </w:p>
    <w:p w14:paraId="01E5ABF9">
      <w:pPr>
        <w:spacing w:line="380" w:lineRule="exact"/>
        <w:rPr>
          <w:rFonts w:asciiTheme="minorEastAsia" w:hAnsiTheme="minorEastAsia" w:eastAsiaTheme="minorEastAsia"/>
          <w:color w:val="000000" w:themeColor="text1"/>
          <w:szCs w:val="21"/>
          <w:highlight w:val="none"/>
          <w:u w:val="single"/>
          <w14:textFill>
            <w14:solidFill>
              <w14:schemeClr w14:val="tx1"/>
            </w14:solidFill>
          </w14:textFill>
        </w:rPr>
      </w:pPr>
    </w:p>
    <w:tbl>
      <w:tblPr>
        <w:tblStyle w:val="34"/>
        <w:tblW w:w="9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791"/>
        <w:gridCol w:w="2831"/>
        <w:gridCol w:w="2582"/>
        <w:gridCol w:w="1275"/>
      </w:tblGrid>
      <w:tr w14:paraId="15324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72C15650">
            <w:pPr>
              <w:jc w:val="center"/>
              <w:rPr>
                <w:rFonts w:cs="宋体" w:asciiTheme="minorEastAsia" w:hAnsiTheme="minorEastAsia" w:eastAsiaTheme="minorEastAsia"/>
                <w:i/>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标项</w:t>
            </w:r>
          </w:p>
        </w:tc>
        <w:tc>
          <w:tcPr>
            <w:tcW w:w="1791" w:type="dxa"/>
            <w:tcBorders>
              <w:top w:val="single" w:color="000000" w:sz="4" w:space="0"/>
              <w:left w:val="single" w:color="000000" w:sz="4" w:space="0"/>
              <w:bottom w:val="single" w:color="000000" w:sz="4" w:space="0"/>
              <w:right w:val="single" w:color="000000" w:sz="4" w:space="0"/>
            </w:tcBorders>
            <w:vAlign w:val="center"/>
          </w:tcPr>
          <w:p w14:paraId="68B38680">
            <w:pPr>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cs="宋体" w:asciiTheme="minorEastAsia" w:hAnsiTheme="minorEastAsia" w:eastAsiaTheme="minorEastAsia"/>
                <w:color w:val="000000" w:themeColor="text1"/>
                <w:sz w:val="24"/>
                <w:highlight w:val="none"/>
                <w14:textFill>
                  <w14:solidFill>
                    <w14:schemeClr w14:val="tx1"/>
                  </w14:solidFill>
                </w14:textFill>
              </w:rPr>
              <w:t>项目内容</w:t>
            </w:r>
          </w:p>
        </w:tc>
        <w:tc>
          <w:tcPr>
            <w:tcW w:w="2831" w:type="dxa"/>
            <w:tcBorders>
              <w:top w:val="single" w:color="000000" w:sz="4" w:space="0"/>
              <w:left w:val="single" w:color="000000" w:sz="4" w:space="0"/>
              <w:bottom w:val="single" w:color="000000" w:sz="4" w:space="0"/>
              <w:right w:val="single" w:color="000000" w:sz="4" w:space="0"/>
            </w:tcBorders>
            <w:vAlign w:val="center"/>
          </w:tcPr>
          <w:p w14:paraId="33334216">
            <w:pPr>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投标</w:t>
            </w:r>
            <w:r>
              <w:rPr>
                <w:rFonts w:cs="宋体" w:asciiTheme="minorEastAsia" w:hAnsiTheme="minorEastAsia" w:eastAsiaTheme="minorEastAsia"/>
                <w:color w:val="000000" w:themeColor="text1"/>
                <w:sz w:val="24"/>
                <w:highlight w:val="none"/>
                <w14:textFill>
                  <w14:solidFill>
                    <w14:schemeClr w14:val="tx1"/>
                  </w14:solidFill>
                </w14:textFill>
              </w:rPr>
              <w:t>报价（单位：元）</w:t>
            </w:r>
          </w:p>
        </w:tc>
        <w:tc>
          <w:tcPr>
            <w:tcW w:w="2582" w:type="dxa"/>
            <w:tcBorders>
              <w:top w:val="single" w:color="000000" w:sz="4" w:space="0"/>
              <w:left w:val="single" w:color="000000" w:sz="4" w:space="0"/>
              <w:bottom w:val="single" w:color="000000" w:sz="4" w:space="0"/>
              <w:right w:val="single" w:color="000000" w:sz="4" w:space="0"/>
            </w:tcBorders>
            <w:vAlign w:val="center"/>
          </w:tcPr>
          <w:p w14:paraId="12A4EF17">
            <w:pPr>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合同履约期限</w:t>
            </w:r>
          </w:p>
        </w:tc>
        <w:tc>
          <w:tcPr>
            <w:tcW w:w="1275" w:type="dxa"/>
            <w:tcBorders>
              <w:top w:val="single" w:color="000000" w:sz="4" w:space="0"/>
              <w:left w:val="single" w:color="000000" w:sz="4" w:space="0"/>
              <w:bottom w:val="single" w:color="000000" w:sz="4" w:space="0"/>
              <w:right w:val="single" w:color="000000" w:sz="4" w:space="0"/>
            </w:tcBorders>
            <w:vAlign w:val="center"/>
          </w:tcPr>
          <w:p w14:paraId="429D6998">
            <w:pPr>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投标声明</w:t>
            </w:r>
          </w:p>
        </w:tc>
      </w:tr>
      <w:tr w14:paraId="56720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4" w:hRule="atLeast"/>
          <w:jc w:val="center"/>
        </w:trPr>
        <w:tc>
          <w:tcPr>
            <w:tcW w:w="709" w:type="dxa"/>
            <w:tcBorders>
              <w:top w:val="single" w:color="000000" w:sz="4" w:space="0"/>
              <w:left w:val="single" w:color="000000" w:sz="4" w:space="0"/>
              <w:right w:val="single" w:color="000000" w:sz="4" w:space="0"/>
            </w:tcBorders>
            <w:vAlign w:val="center"/>
          </w:tcPr>
          <w:p w14:paraId="0BF520BA">
            <w:pPr>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p>
        </w:tc>
        <w:tc>
          <w:tcPr>
            <w:tcW w:w="1791" w:type="dxa"/>
            <w:tcBorders>
              <w:top w:val="single" w:color="000000" w:sz="4" w:space="0"/>
              <w:left w:val="single" w:color="000000" w:sz="4" w:space="0"/>
              <w:bottom w:val="single" w:color="000000" w:sz="4" w:space="0"/>
              <w:right w:val="single" w:color="000000" w:sz="4" w:space="0"/>
            </w:tcBorders>
            <w:vAlign w:val="center"/>
          </w:tcPr>
          <w:p w14:paraId="6EE5A322">
            <w:pPr>
              <w:snapToGrid w:val="0"/>
              <w:spacing w:line="26" w:lineRule="atLeast"/>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831" w:type="dxa"/>
            <w:tcBorders>
              <w:top w:val="single" w:color="000000" w:sz="4" w:space="0"/>
              <w:left w:val="single" w:color="000000" w:sz="4" w:space="0"/>
              <w:bottom w:val="single" w:color="000000" w:sz="4" w:space="0"/>
              <w:right w:val="single" w:color="000000" w:sz="4" w:space="0"/>
            </w:tcBorders>
            <w:vAlign w:val="center"/>
          </w:tcPr>
          <w:p w14:paraId="61E0EE9B">
            <w:pPr>
              <w:snapToGrid w:val="0"/>
              <w:spacing w:line="26" w:lineRule="atLeas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大</w:t>
            </w:r>
            <w:r>
              <w:rPr>
                <w:rFonts w:asciiTheme="minorEastAsia" w:hAnsiTheme="minorEastAsia" w:eastAsiaTheme="minorEastAsia"/>
                <w:color w:val="000000" w:themeColor="text1"/>
                <w:highlight w:val="none"/>
                <w14:textFill>
                  <w14:solidFill>
                    <w14:schemeClr w14:val="tx1"/>
                  </w14:solidFill>
                </w14:textFill>
              </w:rPr>
              <w:t>写</w:t>
            </w:r>
            <w:r>
              <w:rPr>
                <w:rFonts w:hint="eastAsia" w:asciiTheme="minorEastAsia" w:hAnsiTheme="minorEastAsia" w:eastAsiaTheme="minorEastAsia"/>
                <w:color w:val="000000" w:themeColor="text1"/>
                <w:highlight w:val="none"/>
                <w14:textFill>
                  <w14:solidFill>
                    <w14:schemeClr w14:val="tx1"/>
                  </w14:solidFill>
                </w14:textFill>
              </w:rPr>
              <w:t>：</w:t>
            </w:r>
          </w:p>
          <w:p w14:paraId="2DE86EFE">
            <w:pPr>
              <w:snapToGrid w:val="0"/>
              <w:spacing w:line="26" w:lineRule="atLeast"/>
              <w:ind w:firstLine="210" w:firstLineChars="100"/>
              <w:rPr>
                <w:rFonts w:asciiTheme="minorEastAsia" w:hAnsiTheme="minorEastAsia" w:eastAsiaTheme="minorEastAsia"/>
                <w:color w:val="000000" w:themeColor="text1"/>
                <w:highlight w:val="none"/>
                <w14:textFill>
                  <w14:solidFill>
                    <w14:schemeClr w14:val="tx1"/>
                  </w14:solidFill>
                </w14:textFill>
              </w:rPr>
            </w:pPr>
          </w:p>
          <w:p w14:paraId="4940477F">
            <w:pPr>
              <w:snapToGrid w:val="0"/>
              <w:spacing w:line="26" w:lineRule="atLeas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小写：¥</w:t>
            </w:r>
          </w:p>
        </w:tc>
        <w:tc>
          <w:tcPr>
            <w:tcW w:w="2582" w:type="dxa"/>
            <w:tcBorders>
              <w:top w:val="single" w:color="000000" w:sz="4" w:space="0"/>
              <w:left w:val="single" w:color="000000" w:sz="4" w:space="0"/>
              <w:right w:val="single" w:color="000000" w:sz="4" w:space="0"/>
            </w:tcBorders>
            <w:vAlign w:val="center"/>
          </w:tcPr>
          <w:p w14:paraId="57077C56">
            <w:pPr>
              <w:snapToGrid w:val="0"/>
              <w:spacing w:line="26" w:lineRule="atLeast"/>
              <w:jc w:val="center"/>
              <w:rPr>
                <w:rFonts w:asciiTheme="minorEastAsia" w:hAnsiTheme="minorEastAsia" w:eastAsiaTheme="minorEastAsia"/>
                <w:color w:val="000000" w:themeColor="text1"/>
                <w:highlight w:val="none"/>
                <w14:textFill>
                  <w14:solidFill>
                    <w14:schemeClr w14:val="tx1"/>
                  </w14:solidFill>
                </w14:textFill>
              </w:rPr>
            </w:pPr>
          </w:p>
        </w:tc>
        <w:tc>
          <w:tcPr>
            <w:tcW w:w="1275" w:type="dxa"/>
            <w:tcBorders>
              <w:top w:val="single" w:color="000000" w:sz="4" w:space="0"/>
              <w:left w:val="single" w:color="000000" w:sz="4" w:space="0"/>
              <w:right w:val="single" w:color="000000" w:sz="4" w:space="0"/>
            </w:tcBorders>
            <w:vAlign w:val="center"/>
          </w:tcPr>
          <w:p w14:paraId="0FB7EEA0">
            <w:pPr>
              <w:jc w:val="center"/>
              <w:rPr>
                <w:rFonts w:cs="宋体" w:asciiTheme="minorEastAsia" w:hAnsiTheme="minorEastAsia" w:eastAsiaTheme="minorEastAsia"/>
                <w:color w:val="000000" w:themeColor="text1"/>
                <w:sz w:val="24"/>
                <w:highlight w:val="none"/>
                <w14:textFill>
                  <w14:solidFill>
                    <w14:schemeClr w14:val="tx1"/>
                  </w14:solidFill>
                </w14:textFill>
              </w:rPr>
            </w:pPr>
          </w:p>
        </w:tc>
      </w:tr>
    </w:tbl>
    <w:p w14:paraId="6FC97162">
      <w:pPr>
        <w:spacing w:line="380" w:lineRule="exact"/>
        <w:rPr>
          <w:rFonts w:asciiTheme="minorEastAsia" w:hAnsiTheme="minorEastAsia" w:eastAsiaTheme="minorEastAsia"/>
          <w:color w:val="000000" w:themeColor="text1"/>
          <w:szCs w:val="21"/>
          <w:highlight w:val="none"/>
          <w:u w:val="single"/>
          <w14:textFill>
            <w14:solidFill>
              <w14:schemeClr w14:val="tx1"/>
            </w14:solidFill>
          </w14:textFill>
        </w:rPr>
      </w:pPr>
    </w:p>
    <w:p w14:paraId="5243F180">
      <w:pPr>
        <w:spacing w:line="380" w:lineRule="exact"/>
        <w:rPr>
          <w:rFonts w:asciiTheme="minorEastAsia" w:hAnsiTheme="minorEastAsia" w:eastAsiaTheme="minorEastAsia"/>
          <w:color w:val="000000" w:themeColor="text1"/>
          <w:szCs w:val="21"/>
          <w:highlight w:val="none"/>
          <w14:textFill>
            <w14:solidFill>
              <w14:schemeClr w14:val="tx1"/>
            </w14:solidFill>
          </w14:textFill>
        </w:rPr>
      </w:pPr>
    </w:p>
    <w:p w14:paraId="1D1874A6">
      <w:pPr>
        <w:spacing w:line="38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投  标  人（公章）：</w:t>
      </w:r>
    </w:p>
    <w:p w14:paraId="5FC4C99C">
      <w:pPr>
        <w:spacing w:line="380" w:lineRule="exact"/>
        <w:rPr>
          <w:rFonts w:asciiTheme="minorEastAsia" w:hAnsiTheme="minorEastAsia" w:eastAsiaTheme="minorEastAsia"/>
          <w:color w:val="000000" w:themeColor="text1"/>
          <w:szCs w:val="21"/>
          <w:highlight w:val="none"/>
          <w14:textFill>
            <w14:solidFill>
              <w14:schemeClr w14:val="tx1"/>
            </w14:solidFill>
          </w14:textFill>
        </w:rPr>
      </w:pPr>
    </w:p>
    <w:p w14:paraId="3AC8986A">
      <w:pPr>
        <w:spacing w:line="38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投标人代表（签字或印章）：</w:t>
      </w:r>
    </w:p>
    <w:p w14:paraId="28368B75">
      <w:pPr>
        <w:spacing w:line="380" w:lineRule="exact"/>
        <w:rPr>
          <w:rFonts w:asciiTheme="minorEastAsia" w:hAnsiTheme="minorEastAsia" w:eastAsiaTheme="minorEastAsia"/>
          <w:color w:val="000000" w:themeColor="text1"/>
          <w:szCs w:val="21"/>
          <w:highlight w:val="none"/>
          <w14:textFill>
            <w14:solidFill>
              <w14:schemeClr w14:val="tx1"/>
            </w14:solidFill>
          </w14:textFill>
        </w:rPr>
      </w:pPr>
    </w:p>
    <w:p w14:paraId="736449F1">
      <w:pP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日期：</w:t>
      </w:r>
    </w:p>
    <w:p w14:paraId="6DC3A8DA">
      <w:pPr>
        <w:rPr>
          <w:rFonts w:asciiTheme="minorEastAsia" w:hAnsiTheme="minorEastAsia" w:eastAsiaTheme="minorEastAsia"/>
          <w:color w:val="000000" w:themeColor="text1"/>
          <w:highlight w:val="none"/>
          <w14:textFill>
            <w14:solidFill>
              <w14:schemeClr w14:val="tx1"/>
            </w14:solidFill>
          </w14:textFill>
        </w:rPr>
      </w:pPr>
    </w:p>
    <w:p w14:paraId="3FD111B8">
      <w:pPr>
        <w:rPr>
          <w:rFonts w:asciiTheme="minorEastAsia" w:hAnsiTheme="minorEastAsia" w:eastAsiaTheme="minorEastAsia"/>
          <w:color w:val="000000" w:themeColor="text1"/>
          <w:highlight w:val="none"/>
          <w14:textFill>
            <w14:solidFill>
              <w14:schemeClr w14:val="tx1"/>
            </w14:solidFill>
          </w14:textFill>
        </w:rPr>
      </w:pPr>
    </w:p>
    <w:p w14:paraId="1C597D66">
      <w:pP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br w:type="page"/>
      </w:r>
    </w:p>
    <w:p w14:paraId="3470B6E0">
      <w:pPr>
        <w:rPr>
          <w:rFonts w:asciiTheme="minorEastAsia" w:hAnsiTheme="minorEastAsia" w:eastAsiaTheme="minorEastAsia"/>
          <w:color w:val="000000" w:themeColor="text1"/>
          <w:highlight w:val="none"/>
          <w14:textFill>
            <w14:solidFill>
              <w14:schemeClr w14:val="tx1"/>
            </w14:solidFill>
          </w14:textFill>
        </w:rPr>
      </w:pPr>
    </w:p>
    <w:p w14:paraId="716EC9A6">
      <w:pPr>
        <w:rPr>
          <w:rFonts w:asciiTheme="minorEastAsia" w:hAnsiTheme="minorEastAsia" w:eastAsiaTheme="minorEastAsia"/>
          <w:color w:val="000000" w:themeColor="text1"/>
          <w:highlight w:val="none"/>
          <w14:textFill>
            <w14:solidFill>
              <w14:schemeClr w14:val="tx1"/>
            </w14:solidFill>
          </w14:textFill>
        </w:rPr>
      </w:pPr>
    </w:p>
    <w:p w14:paraId="6DBDB4F3">
      <w:pPr>
        <w:jc w:val="center"/>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（三）投标分项报价表</w:t>
      </w:r>
    </w:p>
    <w:p w14:paraId="7D404BD8">
      <w:pPr>
        <w:ind w:firstLine="3089"/>
        <w:rPr>
          <w:rFonts w:asciiTheme="minorEastAsia" w:hAnsiTheme="minorEastAsia" w:eastAsiaTheme="minorEastAsia"/>
          <w:b/>
          <w:color w:val="000000" w:themeColor="text1"/>
          <w:sz w:val="28"/>
          <w:highlight w:val="none"/>
          <w14:textFill>
            <w14:solidFill>
              <w14:schemeClr w14:val="tx1"/>
            </w14:solidFill>
          </w14:textFill>
        </w:rPr>
      </w:pPr>
    </w:p>
    <w:tbl>
      <w:tblPr>
        <w:tblStyle w:val="34"/>
        <w:tblW w:w="9569" w:type="dxa"/>
        <w:jc w:val="center"/>
        <w:tblLayout w:type="fixed"/>
        <w:tblCellMar>
          <w:top w:w="0" w:type="dxa"/>
          <w:left w:w="108" w:type="dxa"/>
          <w:bottom w:w="0" w:type="dxa"/>
          <w:right w:w="108" w:type="dxa"/>
        </w:tblCellMar>
      </w:tblPr>
      <w:tblGrid>
        <w:gridCol w:w="737"/>
        <w:gridCol w:w="4209"/>
        <w:gridCol w:w="3402"/>
        <w:gridCol w:w="1221"/>
      </w:tblGrid>
      <w:tr w14:paraId="133A77C3">
        <w:tblPrEx>
          <w:tblCellMar>
            <w:top w:w="0" w:type="dxa"/>
            <w:left w:w="108" w:type="dxa"/>
            <w:bottom w:w="0" w:type="dxa"/>
            <w:right w:w="108" w:type="dxa"/>
          </w:tblCellMar>
        </w:tblPrEx>
        <w:trPr>
          <w:trHeight w:val="617" w:hRule="atLeast"/>
          <w:jc w:val="center"/>
        </w:trPr>
        <w:tc>
          <w:tcPr>
            <w:tcW w:w="737" w:type="dxa"/>
            <w:tcBorders>
              <w:top w:val="single" w:color="auto" w:sz="4" w:space="0"/>
              <w:left w:val="single" w:color="auto" w:sz="8" w:space="0"/>
              <w:bottom w:val="single" w:color="auto" w:sz="4" w:space="0"/>
              <w:right w:val="single" w:color="auto" w:sz="4" w:space="0"/>
            </w:tcBorders>
            <w:shd w:val="clear" w:color="auto" w:fill="auto"/>
            <w:noWrap/>
            <w:vAlign w:val="center"/>
          </w:tcPr>
          <w:p w14:paraId="42DFF7DA">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序号</w:t>
            </w:r>
          </w:p>
        </w:tc>
        <w:tc>
          <w:tcPr>
            <w:tcW w:w="4209" w:type="dxa"/>
            <w:tcBorders>
              <w:top w:val="single" w:color="auto" w:sz="4" w:space="0"/>
              <w:left w:val="nil"/>
              <w:bottom w:val="single" w:color="auto" w:sz="4" w:space="0"/>
              <w:right w:val="single" w:color="auto" w:sz="4" w:space="0"/>
            </w:tcBorders>
            <w:shd w:val="clear" w:color="auto" w:fill="auto"/>
            <w:vAlign w:val="center"/>
          </w:tcPr>
          <w:p w14:paraId="4BB0D177">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报价项目名称</w:t>
            </w:r>
          </w:p>
        </w:tc>
        <w:tc>
          <w:tcPr>
            <w:tcW w:w="3402" w:type="dxa"/>
            <w:tcBorders>
              <w:top w:val="single" w:color="auto" w:sz="4" w:space="0"/>
              <w:left w:val="nil"/>
              <w:bottom w:val="single" w:color="auto" w:sz="4" w:space="0"/>
              <w:right w:val="single" w:color="auto" w:sz="4" w:space="0"/>
            </w:tcBorders>
            <w:shd w:val="clear" w:color="auto" w:fill="auto"/>
            <w:vAlign w:val="center"/>
          </w:tcPr>
          <w:p w14:paraId="591EDAED">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投标报价（单位：元）</w:t>
            </w:r>
          </w:p>
        </w:tc>
        <w:tc>
          <w:tcPr>
            <w:tcW w:w="1221" w:type="dxa"/>
            <w:tcBorders>
              <w:top w:val="single" w:color="auto" w:sz="4" w:space="0"/>
              <w:left w:val="nil"/>
              <w:bottom w:val="single" w:color="auto" w:sz="4" w:space="0"/>
              <w:right w:val="single" w:color="auto" w:sz="4" w:space="0"/>
            </w:tcBorders>
            <w:shd w:val="clear" w:color="auto" w:fill="auto"/>
            <w:vAlign w:val="center"/>
          </w:tcPr>
          <w:p w14:paraId="133B63EB">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备注</w:t>
            </w:r>
          </w:p>
        </w:tc>
      </w:tr>
      <w:tr w14:paraId="36ADAF66">
        <w:tblPrEx>
          <w:tblCellMar>
            <w:top w:w="0" w:type="dxa"/>
            <w:left w:w="108" w:type="dxa"/>
            <w:bottom w:w="0" w:type="dxa"/>
            <w:right w:w="108" w:type="dxa"/>
          </w:tblCellMar>
        </w:tblPrEx>
        <w:trPr>
          <w:trHeight w:val="617" w:hRule="atLeast"/>
          <w:jc w:val="center"/>
        </w:trPr>
        <w:tc>
          <w:tcPr>
            <w:tcW w:w="737" w:type="dxa"/>
            <w:tcBorders>
              <w:top w:val="single" w:color="auto" w:sz="4" w:space="0"/>
              <w:left w:val="single" w:color="auto" w:sz="8" w:space="0"/>
              <w:bottom w:val="single" w:color="auto" w:sz="4" w:space="0"/>
              <w:right w:val="single" w:color="auto" w:sz="4" w:space="0"/>
            </w:tcBorders>
            <w:shd w:val="clear" w:color="auto" w:fill="auto"/>
            <w:noWrap/>
            <w:vAlign w:val="center"/>
          </w:tcPr>
          <w:p w14:paraId="5FBB5F6C">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w:t>
            </w:r>
          </w:p>
        </w:tc>
        <w:tc>
          <w:tcPr>
            <w:tcW w:w="4209" w:type="dxa"/>
            <w:tcBorders>
              <w:top w:val="single" w:color="auto" w:sz="4" w:space="0"/>
              <w:left w:val="nil"/>
              <w:bottom w:val="single" w:color="auto" w:sz="4" w:space="0"/>
              <w:right w:val="single" w:color="auto" w:sz="4" w:space="0"/>
            </w:tcBorders>
            <w:shd w:val="clear" w:color="auto" w:fill="auto"/>
            <w:vAlign w:val="center"/>
          </w:tcPr>
          <w:p w14:paraId="0632E2BF">
            <w:pPr>
              <w:keepNext w:val="0"/>
              <w:keepLines w:val="0"/>
              <w:widowControl/>
              <w:suppressLineNumbers w:val="0"/>
              <w:jc w:val="left"/>
              <w:textAlignment w:val="center"/>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工资（包含</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24小时值班费，绩效奖金，加班费、自缴部分的住房公积金</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3402" w:type="dxa"/>
            <w:tcBorders>
              <w:top w:val="single" w:color="auto" w:sz="4" w:space="0"/>
              <w:left w:val="nil"/>
              <w:bottom w:val="single" w:color="auto" w:sz="4" w:space="0"/>
              <w:right w:val="single" w:color="auto" w:sz="4" w:space="0"/>
            </w:tcBorders>
            <w:shd w:val="clear" w:color="auto" w:fill="auto"/>
            <w:vAlign w:val="center"/>
          </w:tcPr>
          <w:p w14:paraId="339FB9A0">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p>
        </w:tc>
        <w:tc>
          <w:tcPr>
            <w:tcW w:w="1221" w:type="dxa"/>
            <w:tcBorders>
              <w:top w:val="single" w:color="auto" w:sz="4" w:space="0"/>
              <w:left w:val="nil"/>
              <w:bottom w:val="single" w:color="auto" w:sz="4" w:space="0"/>
              <w:right w:val="single" w:color="auto" w:sz="4" w:space="0"/>
            </w:tcBorders>
            <w:shd w:val="clear" w:color="auto" w:fill="auto"/>
            <w:vAlign w:val="center"/>
          </w:tcPr>
          <w:p w14:paraId="4E0AF130">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p>
        </w:tc>
      </w:tr>
      <w:tr w14:paraId="52526666">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14:paraId="6AA418AE">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2</w:t>
            </w:r>
          </w:p>
        </w:tc>
        <w:tc>
          <w:tcPr>
            <w:tcW w:w="4209" w:type="dxa"/>
            <w:tcBorders>
              <w:top w:val="nil"/>
              <w:left w:val="nil"/>
              <w:bottom w:val="single" w:color="auto" w:sz="4" w:space="0"/>
              <w:right w:val="single" w:color="auto" w:sz="4" w:space="0"/>
            </w:tcBorders>
            <w:shd w:val="clear" w:color="auto" w:fill="auto"/>
            <w:vAlign w:val="center"/>
          </w:tcPr>
          <w:p w14:paraId="516320BE">
            <w:pPr>
              <w:keepNext w:val="0"/>
              <w:keepLines w:val="0"/>
              <w:widowControl/>
              <w:suppressLineNumbers w:val="0"/>
              <w:jc w:val="left"/>
              <w:textAlignment w:val="center"/>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其他费用（各类福利</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费、</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五险一金）</w:t>
            </w:r>
          </w:p>
        </w:tc>
        <w:tc>
          <w:tcPr>
            <w:tcW w:w="3402" w:type="dxa"/>
            <w:tcBorders>
              <w:top w:val="nil"/>
              <w:left w:val="nil"/>
              <w:bottom w:val="single" w:color="auto" w:sz="4" w:space="0"/>
              <w:right w:val="single" w:color="auto" w:sz="4" w:space="0"/>
            </w:tcBorders>
            <w:shd w:val="clear" w:color="auto" w:fill="auto"/>
            <w:vAlign w:val="center"/>
          </w:tcPr>
          <w:p w14:paraId="0AD4617E">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p>
        </w:tc>
        <w:tc>
          <w:tcPr>
            <w:tcW w:w="1221" w:type="dxa"/>
            <w:tcBorders>
              <w:top w:val="nil"/>
              <w:left w:val="nil"/>
              <w:bottom w:val="single" w:color="auto" w:sz="4" w:space="0"/>
              <w:right w:val="single" w:color="auto" w:sz="4" w:space="0"/>
            </w:tcBorders>
            <w:shd w:val="clear" w:color="auto" w:fill="auto"/>
            <w:vAlign w:val="center"/>
          </w:tcPr>
          <w:p w14:paraId="30AD533D">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p>
        </w:tc>
      </w:tr>
      <w:tr w14:paraId="6E16A047">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14:paraId="1A3A9E7F">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3</w:t>
            </w:r>
          </w:p>
        </w:tc>
        <w:tc>
          <w:tcPr>
            <w:tcW w:w="4209" w:type="dxa"/>
            <w:tcBorders>
              <w:top w:val="nil"/>
              <w:left w:val="nil"/>
              <w:bottom w:val="single" w:color="auto" w:sz="4" w:space="0"/>
              <w:right w:val="single" w:color="auto" w:sz="4" w:space="0"/>
            </w:tcBorders>
            <w:shd w:val="clear" w:color="auto" w:fill="auto"/>
            <w:vAlign w:val="center"/>
          </w:tcPr>
          <w:p w14:paraId="504C4A04">
            <w:pPr>
              <w:keepNext w:val="0"/>
              <w:keepLines w:val="0"/>
              <w:widowControl/>
              <w:suppressLineNumbers w:val="0"/>
              <w:jc w:val="left"/>
              <w:textAlignment w:val="center"/>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残保金</w:t>
            </w:r>
          </w:p>
        </w:tc>
        <w:tc>
          <w:tcPr>
            <w:tcW w:w="3402" w:type="dxa"/>
            <w:tcBorders>
              <w:top w:val="nil"/>
              <w:left w:val="nil"/>
              <w:bottom w:val="single" w:color="auto" w:sz="4" w:space="0"/>
              <w:right w:val="single" w:color="auto" w:sz="4" w:space="0"/>
            </w:tcBorders>
            <w:shd w:val="clear" w:color="auto" w:fill="auto"/>
            <w:vAlign w:val="center"/>
          </w:tcPr>
          <w:p w14:paraId="5026D233">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p>
        </w:tc>
        <w:tc>
          <w:tcPr>
            <w:tcW w:w="1221" w:type="dxa"/>
            <w:tcBorders>
              <w:top w:val="nil"/>
              <w:left w:val="nil"/>
              <w:bottom w:val="single" w:color="auto" w:sz="4" w:space="0"/>
              <w:right w:val="single" w:color="auto" w:sz="4" w:space="0"/>
            </w:tcBorders>
            <w:shd w:val="clear" w:color="auto" w:fill="auto"/>
            <w:vAlign w:val="center"/>
          </w:tcPr>
          <w:p w14:paraId="3EBA7DFE">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p>
        </w:tc>
      </w:tr>
      <w:tr w14:paraId="32A82C0C">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14:paraId="4F4F3C6F">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4</w:t>
            </w:r>
          </w:p>
        </w:tc>
        <w:tc>
          <w:tcPr>
            <w:tcW w:w="4209" w:type="dxa"/>
            <w:tcBorders>
              <w:top w:val="nil"/>
              <w:left w:val="nil"/>
              <w:bottom w:val="single" w:color="auto" w:sz="4" w:space="0"/>
              <w:right w:val="single" w:color="auto" w:sz="4" w:space="0"/>
            </w:tcBorders>
            <w:shd w:val="clear" w:color="auto" w:fill="auto"/>
            <w:vAlign w:val="center"/>
          </w:tcPr>
          <w:p w14:paraId="15561094">
            <w:pPr>
              <w:keepNext w:val="0"/>
              <w:keepLines w:val="0"/>
              <w:widowControl/>
              <w:suppressLineNumbers w:val="0"/>
              <w:jc w:val="left"/>
              <w:textAlignment w:val="center"/>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意外伤害保险</w:t>
            </w:r>
          </w:p>
        </w:tc>
        <w:tc>
          <w:tcPr>
            <w:tcW w:w="3402" w:type="dxa"/>
            <w:tcBorders>
              <w:top w:val="nil"/>
              <w:left w:val="nil"/>
              <w:bottom w:val="single" w:color="auto" w:sz="4" w:space="0"/>
              <w:right w:val="single" w:color="auto" w:sz="4" w:space="0"/>
            </w:tcBorders>
            <w:shd w:val="clear" w:color="auto" w:fill="auto"/>
            <w:vAlign w:val="center"/>
          </w:tcPr>
          <w:p w14:paraId="0E8B9BA4">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p>
        </w:tc>
        <w:tc>
          <w:tcPr>
            <w:tcW w:w="1221" w:type="dxa"/>
            <w:tcBorders>
              <w:top w:val="nil"/>
              <w:left w:val="nil"/>
              <w:bottom w:val="single" w:color="auto" w:sz="4" w:space="0"/>
              <w:right w:val="single" w:color="auto" w:sz="4" w:space="0"/>
            </w:tcBorders>
            <w:shd w:val="clear" w:color="auto" w:fill="auto"/>
            <w:vAlign w:val="center"/>
          </w:tcPr>
          <w:p w14:paraId="43A0E2FB">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p>
        </w:tc>
      </w:tr>
      <w:tr w14:paraId="5C428098">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14:paraId="6044F357">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5</w:t>
            </w:r>
          </w:p>
        </w:tc>
        <w:tc>
          <w:tcPr>
            <w:tcW w:w="4209" w:type="dxa"/>
            <w:tcBorders>
              <w:top w:val="nil"/>
              <w:left w:val="nil"/>
              <w:bottom w:val="single" w:color="auto" w:sz="4" w:space="0"/>
              <w:right w:val="single" w:color="auto" w:sz="4" w:space="0"/>
            </w:tcBorders>
            <w:shd w:val="clear" w:color="auto" w:fill="auto"/>
            <w:vAlign w:val="center"/>
          </w:tcPr>
          <w:p w14:paraId="1AF20E1B">
            <w:pPr>
              <w:keepNext w:val="0"/>
              <w:keepLines w:val="0"/>
              <w:widowControl/>
              <w:suppressLineNumbers w:val="0"/>
              <w:jc w:val="left"/>
              <w:textAlignment w:val="center"/>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车辆</w:t>
            </w:r>
          </w:p>
        </w:tc>
        <w:tc>
          <w:tcPr>
            <w:tcW w:w="3402" w:type="dxa"/>
            <w:tcBorders>
              <w:top w:val="nil"/>
              <w:left w:val="nil"/>
              <w:bottom w:val="single" w:color="auto" w:sz="4" w:space="0"/>
              <w:right w:val="single" w:color="auto" w:sz="4" w:space="0"/>
            </w:tcBorders>
            <w:shd w:val="clear" w:color="auto" w:fill="auto"/>
            <w:vAlign w:val="center"/>
          </w:tcPr>
          <w:p w14:paraId="6253C642">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p>
        </w:tc>
        <w:tc>
          <w:tcPr>
            <w:tcW w:w="1221" w:type="dxa"/>
            <w:tcBorders>
              <w:top w:val="nil"/>
              <w:left w:val="nil"/>
              <w:bottom w:val="single" w:color="auto" w:sz="4" w:space="0"/>
              <w:right w:val="single" w:color="auto" w:sz="4" w:space="0"/>
            </w:tcBorders>
            <w:shd w:val="clear" w:color="auto" w:fill="auto"/>
            <w:vAlign w:val="center"/>
          </w:tcPr>
          <w:p w14:paraId="2931C149">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p>
        </w:tc>
      </w:tr>
      <w:tr w14:paraId="3ECDF566">
        <w:tblPrEx>
          <w:tblCellMar>
            <w:top w:w="0" w:type="dxa"/>
            <w:left w:w="108" w:type="dxa"/>
            <w:bottom w:w="0" w:type="dxa"/>
            <w:right w:w="108" w:type="dxa"/>
          </w:tblCellMar>
        </w:tblPrEx>
        <w:trPr>
          <w:trHeight w:val="588"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14:paraId="720BFDCA">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6</w:t>
            </w:r>
          </w:p>
        </w:tc>
        <w:tc>
          <w:tcPr>
            <w:tcW w:w="4209" w:type="dxa"/>
            <w:tcBorders>
              <w:top w:val="nil"/>
              <w:left w:val="nil"/>
              <w:bottom w:val="single" w:color="auto" w:sz="4" w:space="0"/>
              <w:right w:val="single" w:color="auto" w:sz="4" w:space="0"/>
            </w:tcBorders>
            <w:shd w:val="clear" w:color="auto" w:fill="auto"/>
            <w:vAlign w:val="center"/>
          </w:tcPr>
          <w:p w14:paraId="6635893B">
            <w:pPr>
              <w:keepNext w:val="0"/>
              <w:keepLines w:val="0"/>
              <w:widowControl/>
              <w:suppressLineNumbers w:val="0"/>
              <w:jc w:val="left"/>
              <w:textAlignment w:val="center"/>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服装</w:t>
            </w:r>
          </w:p>
        </w:tc>
        <w:tc>
          <w:tcPr>
            <w:tcW w:w="3402" w:type="dxa"/>
            <w:tcBorders>
              <w:top w:val="nil"/>
              <w:left w:val="nil"/>
              <w:bottom w:val="single" w:color="auto" w:sz="4" w:space="0"/>
              <w:right w:val="single" w:color="auto" w:sz="4" w:space="0"/>
            </w:tcBorders>
            <w:shd w:val="clear" w:color="auto" w:fill="auto"/>
            <w:noWrap/>
            <w:vAlign w:val="center"/>
          </w:tcPr>
          <w:p w14:paraId="151A7081">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p>
        </w:tc>
        <w:tc>
          <w:tcPr>
            <w:tcW w:w="1221" w:type="dxa"/>
            <w:tcBorders>
              <w:top w:val="nil"/>
              <w:left w:val="nil"/>
              <w:bottom w:val="single" w:color="auto" w:sz="4" w:space="0"/>
              <w:right w:val="single" w:color="auto" w:sz="4" w:space="0"/>
            </w:tcBorders>
            <w:shd w:val="clear" w:color="auto" w:fill="auto"/>
            <w:noWrap/>
            <w:vAlign w:val="center"/>
          </w:tcPr>
          <w:p w14:paraId="21366C3D">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p>
        </w:tc>
      </w:tr>
      <w:tr w14:paraId="58C55299">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14:paraId="72467282">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7</w:t>
            </w:r>
          </w:p>
        </w:tc>
        <w:tc>
          <w:tcPr>
            <w:tcW w:w="4209" w:type="dxa"/>
            <w:tcBorders>
              <w:top w:val="nil"/>
              <w:left w:val="nil"/>
              <w:bottom w:val="single" w:color="auto" w:sz="4" w:space="0"/>
              <w:right w:val="single" w:color="auto" w:sz="4" w:space="0"/>
            </w:tcBorders>
            <w:shd w:val="clear" w:color="auto" w:fill="auto"/>
            <w:vAlign w:val="center"/>
          </w:tcPr>
          <w:p w14:paraId="32F2C155">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管理费</w:t>
            </w:r>
          </w:p>
        </w:tc>
        <w:tc>
          <w:tcPr>
            <w:tcW w:w="3402" w:type="dxa"/>
            <w:tcBorders>
              <w:top w:val="nil"/>
              <w:left w:val="nil"/>
              <w:bottom w:val="single" w:color="auto" w:sz="4" w:space="0"/>
              <w:right w:val="single" w:color="auto" w:sz="4" w:space="0"/>
            </w:tcBorders>
            <w:shd w:val="clear" w:color="auto" w:fill="auto"/>
            <w:noWrap/>
            <w:vAlign w:val="center"/>
          </w:tcPr>
          <w:p w14:paraId="244AE7B4">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p>
        </w:tc>
        <w:tc>
          <w:tcPr>
            <w:tcW w:w="1221" w:type="dxa"/>
            <w:tcBorders>
              <w:top w:val="nil"/>
              <w:left w:val="nil"/>
              <w:bottom w:val="nil"/>
              <w:right w:val="single" w:color="auto" w:sz="4" w:space="0"/>
            </w:tcBorders>
            <w:shd w:val="clear" w:color="auto" w:fill="auto"/>
            <w:noWrap/>
            <w:vAlign w:val="center"/>
          </w:tcPr>
          <w:p w14:paraId="2239B6C2">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p>
        </w:tc>
      </w:tr>
      <w:tr w14:paraId="62C5F8EC">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14:paraId="14FC1D24">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8</w:t>
            </w:r>
          </w:p>
        </w:tc>
        <w:tc>
          <w:tcPr>
            <w:tcW w:w="4209" w:type="dxa"/>
            <w:tcBorders>
              <w:top w:val="nil"/>
              <w:left w:val="nil"/>
              <w:bottom w:val="single" w:color="auto" w:sz="4" w:space="0"/>
              <w:right w:val="single" w:color="auto" w:sz="4" w:space="0"/>
            </w:tcBorders>
            <w:shd w:val="clear" w:color="auto" w:fill="auto"/>
            <w:vAlign w:val="center"/>
          </w:tcPr>
          <w:p w14:paraId="5DC998A4">
            <w:pPr>
              <w:keepNext w:val="0"/>
              <w:keepLines w:val="0"/>
              <w:widowControl/>
              <w:suppressLineNumbers w:val="0"/>
              <w:jc w:val="left"/>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税金</w:t>
            </w:r>
          </w:p>
        </w:tc>
        <w:tc>
          <w:tcPr>
            <w:tcW w:w="3402" w:type="dxa"/>
            <w:tcBorders>
              <w:top w:val="nil"/>
              <w:left w:val="nil"/>
              <w:bottom w:val="single" w:color="auto" w:sz="4" w:space="0"/>
              <w:right w:val="single" w:color="auto" w:sz="4" w:space="0"/>
            </w:tcBorders>
            <w:shd w:val="clear" w:color="auto" w:fill="auto"/>
            <w:vAlign w:val="center"/>
          </w:tcPr>
          <w:p w14:paraId="606EDE24">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p>
        </w:tc>
        <w:tc>
          <w:tcPr>
            <w:tcW w:w="1221" w:type="dxa"/>
            <w:tcBorders>
              <w:top w:val="single" w:color="auto" w:sz="4" w:space="0"/>
              <w:left w:val="nil"/>
              <w:bottom w:val="single" w:color="auto" w:sz="4" w:space="0"/>
              <w:right w:val="single" w:color="auto" w:sz="4" w:space="0"/>
            </w:tcBorders>
            <w:shd w:val="clear" w:color="auto" w:fill="auto"/>
            <w:vAlign w:val="center"/>
          </w:tcPr>
          <w:p w14:paraId="46C47B03">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p>
        </w:tc>
      </w:tr>
      <w:tr w14:paraId="3C5BE768">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14:paraId="6C33D953">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9</w:t>
            </w:r>
          </w:p>
        </w:tc>
        <w:tc>
          <w:tcPr>
            <w:tcW w:w="4209" w:type="dxa"/>
            <w:tcBorders>
              <w:top w:val="nil"/>
              <w:left w:val="nil"/>
              <w:bottom w:val="single" w:color="auto" w:sz="4" w:space="0"/>
              <w:right w:val="single" w:color="auto" w:sz="4" w:space="0"/>
            </w:tcBorders>
            <w:shd w:val="clear" w:color="auto" w:fill="auto"/>
            <w:vAlign w:val="center"/>
          </w:tcPr>
          <w:p w14:paraId="7604BA6E">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p>
        </w:tc>
        <w:tc>
          <w:tcPr>
            <w:tcW w:w="3402" w:type="dxa"/>
            <w:tcBorders>
              <w:top w:val="nil"/>
              <w:left w:val="nil"/>
              <w:bottom w:val="single" w:color="auto" w:sz="4" w:space="0"/>
              <w:right w:val="single" w:color="auto" w:sz="4" w:space="0"/>
            </w:tcBorders>
            <w:shd w:val="clear" w:color="auto" w:fill="auto"/>
            <w:vAlign w:val="center"/>
          </w:tcPr>
          <w:p w14:paraId="4E155A38">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p>
        </w:tc>
        <w:tc>
          <w:tcPr>
            <w:tcW w:w="1221" w:type="dxa"/>
            <w:tcBorders>
              <w:top w:val="nil"/>
              <w:left w:val="nil"/>
              <w:bottom w:val="single" w:color="auto" w:sz="4" w:space="0"/>
              <w:right w:val="single" w:color="auto" w:sz="4" w:space="0"/>
            </w:tcBorders>
            <w:shd w:val="clear" w:color="auto" w:fill="auto"/>
            <w:vAlign w:val="center"/>
          </w:tcPr>
          <w:p w14:paraId="35DBB288">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p>
        </w:tc>
      </w:tr>
      <w:tr w14:paraId="6942A7C5">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14:paraId="697068F9">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10</w:t>
            </w:r>
          </w:p>
        </w:tc>
        <w:tc>
          <w:tcPr>
            <w:tcW w:w="4209" w:type="dxa"/>
            <w:tcBorders>
              <w:top w:val="nil"/>
              <w:left w:val="nil"/>
              <w:bottom w:val="single" w:color="auto" w:sz="4" w:space="0"/>
              <w:right w:val="single" w:color="auto" w:sz="4" w:space="0"/>
            </w:tcBorders>
            <w:shd w:val="clear" w:color="auto" w:fill="auto"/>
            <w:vAlign w:val="center"/>
          </w:tcPr>
          <w:p w14:paraId="1E778A0A">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p>
        </w:tc>
        <w:tc>
          <w:tcPr>
            <w:tcW w:w="3402" w:type="dxa"/>
            <w:tcBorders>
              <w:top w:val="nil"/>
              <w:left w:val="nil"/>
              <w:bottom w:val="single" w:color="auto" w:sz="4" w:space="0"/>
              <w:right w:val="single" w:color="auto" w:sz="4" w:space="0"/>
            </w:tcBorders>
            <w:shd w:val="clear" w:color="auto" w:fill="auto"/>
            <w:vAlign w:val="center"/>
          </w:tcPr>
          <w:p w14:paraId="1C82A5AE">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p>
        </w:tc>
        <w:tc>
          <w:tcPr>
            <w:tcW w:w="1221" w:type="dxa"/>
            <w:tcBorders>
              <w:top w:val="nil"/>
              <w:left w:val="nil"/>
              <w:bottom w:val="single" w:color="auto" w:sz="4" w:space="0"/>
              <w:right w:val="single" w:color="auto" w:sz="4" w:space="0"/>
            </w:tcBorders>
            <w:shd w:val="clear" w:color="auto" w:fill="auto"/>
            <w:vAlign w:val="center"/>
          </w:tcPr>
          <w:p w14:paraId="15278E35">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p>
        </w:tc>
      </w:tr>
      <w:tr w14:paraId="3E30CDE6">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14:paraId="00130DAA">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11</w:t>
            </w:r>
          </w:p>
        </w:tc>
        <w:tc>
          <w:tcPr>
            <w:tcW w:w="4209" w:type="dxa"/>
            <w:tcBorders>
              <w:top w:val="nil"/>
              <w:left w:val="nil"/>
              <w:bottom w:val="single" w:color="auto" w:sz="4" w:space="0"/>
              <w:right w:val="single" w:color="auto" w:sz="4" w:space="0"/>
            </w:tcBorders>
            <w:shd w:val="clear" w:color="auto" w:fill="auto"/>
            <w:vAlign w:val="center"/>
          </w:tcPr>
          <w:p w14:paraId="5A11A57C">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p>
        </w:tc>
        <w:tc>
          <w:tcPr>
            <w:tcW w:w="3402" w:type="dxa"/>
            <w:tcBorders>
              <w:top w:val="nil"/>
              <w:left w:val="nil"/>
              <w:bottom w:val="single" w:color="auto" w:sz="4" w:space="0"/>
              <w:right w:val="single" w:color="auto" w:sz="4" w:space="0"/>
            </w:tcBorders>
            <w:shd w:val="clear" w:color="auto" w:fill="auto"/>
            <w:vAlign w:val="center"/>
          </w:tcPr>
          <w:p w14:paraId="2AABF868">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p>
        </w:tc>
        <w:tc>
          <w:tcPr>
            <w:tcW w:w="1221" w:type="dxa"/>
            <w:tcBorders>
              <w:top w:val="nil"/>
              <w:left w:val="nil"/>
              <w:bottom w:val="single" w:color="auto" w:sz="4" w:space="0"/>
              <w:right w:val="single" w:color="auto" w:sz="4" w:space="0"/>
            </w:tcBorders>
            <w:shd w:val="clear" w:color="auto" w:fill="auto"/>
            <w:vAlign w:val="center"/>
          </w:tcPr>
          <w:p w14:paraId="68B98893">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p>
        </w:tc>
      </w:tr>
      <w:tr w14:paraId="7012C30F">
        <w:tblPrEx>
          <w:tblCellMar>
            <w:top w:w="0" w:type="dxa"/>
            <w:left w:w="108" w:type="dxa"/>
            <w:bottom w:w="0" w:type="dxa"/>
            <w:right w:w="108" w:type="dxa"/>
          </w:tblCellMar>
        </w:tblPrEx>
        <w:trPr>
          <w:trHeight w:val="513" w:hRule="atLeast"/>
          <w:jc w:val="center"/>
        </w:trPr>
        <w:tc>
          <w:tcPr>
            <w:tcW w:w="737" w:type="dxa"/>
            <w:tcBorders>
              <w:top w:val="single" w:color="auto" w:sz="4" w:space="0"/>
              <w:left w:val="single" w:color="auto" w:sz="8" w:space="0"/>
              <w:bottom w:val="single" w:color="auto" w:sz="4" w:space="0"/>
              <w:right w:val="single" w:color="auto" w:sz="4" w:space="0"/>
            </w:tcBorders>
            <w:shd w:val="clear" w:color="auto" w:fill="auto"/>
            <w:noWrap/>
            <w:vAlign w:val="center"/>
          </w:tcPr>
          <w:p w14:paraId="427C8FF6">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12</w:t>
            </w:r>
          </w:p>
        </w:tc>
        <w:tc>
          <w:tcPr>
            <w:tcW w:w="4209" w:type="dxa"/>
            <w:tcBorders>
              <w:top w:val="single" w:color="auto" w:sz="4" w:space="0"/>
              <w:left w:val="nil"/>
              <w:bottom w:val="single" w:color="auto" w:sz="4" w:space="0"/>
              <w:right w:val="single" w:color="auto" w:sz="4" w:space="0"/>
            </w:tcBorders>
            <w:shd w:val="clear" w:color="auto" w:fill="auto"/>
            <w:vAlign w:val="center"/>
          </w:tcPr>
          <w:p w14:paraId="77D807F5">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p>
        </w:tc>
        <w:tc>
          <w:tcPr>
            <w:tcW w:w="3402" w:type="dxa"/>
            <w:tcBorders>
              <w:top w:val="single" w:color="auto" w:sz="4" w:space="0"/>
              <w:left w:val="nil"/>
              <w:bottom w:val="single" w:color="auto" w:sz="4" w:space="0"/>
              <w:right w:val="single" w:color="auto" w:sz="4" w:space="0"/>
            </w:tcBorders>
            <w:shd w:val="clear" w:color="auto" w:fill="auto"/>
            <w:vAlign w:val="center"/>
          </w:tcPr>
          <w:p w14:paraId="72F840FC">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p>
        </w:tc>
        <w:tc>
          <w:tcPr>
            <w:tcW w:w="1221" w:type="dxa"/>
            <w:tcBorders>
              <w:top w:val="single" w:color="auto" w:sz="4" w:space="0"/>
              <w:left w:val="nil"/>
              <w:bottom w:val="single" w:color="auto" w:sz="4" w:space="0"/>
              <w:right w:val="single" w:color="auto" w:sz="4" w:space="0"/>
            </w:tcBorders>
            <w:shd w:val="clear" w:color="auto" w:fill="auto"/>
            <w:vAlign w:val="center"/>
          </w:tcPr>
          <w:p w14:paraId="30E3DD6F">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p>
        </w:tc>
      </w:tr>
      <w:tr w14:paraId="5C200D01">
        <w:tblPrEx>
          <w:tblCellMar>
            <w:top w:w="0" w:type="dxa"/>
            <w:left w:w="108" w:type="dxa"/>
            <w:bottom w:w="0" w:type="dxa"/>
            <w:right w:w="108" w:type="dxa"/>
          </w:tblCellMar>
        </w:tblPrEx>
        <w:trPr>
          <w:trHeight w:val="513" w:hRule="atLeast"/>
          <w:jc w:val="center"/>
        </w:trPr>
        <w:tc>
          <w:tcPr>
            <w:tcW w:w="4946"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14:paraId="699EB06E">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合计</w:t>
            </w:r>
          </w:p>
        </w:tc>
        <w:tc>
          <w:tcPr>
            <w:tcW w:w="3402" w:type="dxa"/>
            <w:tcBorders>
              <w:top w:val="single" w:color="auto" w:sz="4" w:space="0"/>
              <w:left w:val="nil"/>
              <w:bottom w:val="single" w:color="auto" w:sz="4" w:space="0"/>
              <w:right w:val="single" w:color="auto" w:sz="4" w:space="0"/>
            </w:tcBorders>
            <w:shd w:val="clear" w:color="auto" w:fill="auto"/>
            <w:vAlign w:val="center"/>
          </w:tcPr>
          <w:p w14:paraId="1A1C22F1">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p>
        </w:tc>
        <w:tc>
          <w:tcPr>
            <w:tcW w:w="1221" w:type="dxa"/>
            <w:tcBorders>
              <w:top w:val="single" w:color="auto" w:sz="4" w:space="0"/>
              <w:left w:val="nil"/>
              <w:bottom w:val="single" w:color="auto" w:sz="4" w:space="0"/>
              <w:right w:val="single" w:color="auto" w:sz="4" w:space="0"/>
            </w:tcBorders>
            <w:shd w:val="clear" w:color="auto" w:fill="auto"/>
            <w:vAlign w:val="center"/>
          </w:tcPr>
          <w:p w14:paraId="233C528D">
            <w:pPr>
              <w:jc w:val="center"/>
              <w:rPr>
                <w:rFonts w:cs="宋体" w:asciiTheme="minorEastAsia" w:hAnsiTheme="minorEastAsia" w:eastAsiaTheme="minorEastAsia"/>
                <w:color w:val="000000" w:themeColor="text1"/>
                <w:sz w:val="24"/>
                <w:szCs w:val="24"/>
                <w:highlight w:val="none"/>
                <w14:textFill>
                  <w14:solidFill>
                    <w14:schemeClr w14:val="tx1"/>
                  </w14:solidFill>
                </w14:textFill>
              </w:rPr>
            </w:pPr>
          </w:p>
        </w:tc>
      </w:tr>
    </w:tbl>
    <w:p w14:paraId="0AF74FFE">
      <w:pPr>
        <w:pStyle w:val="16"/>
        <w:rPr>
          <w:rFonts w:asciiTheme="minorEastAsia" w:hAnsiTheme="minorEastAsia" w:eastAsiaTheme="minorEastAsia"/>
          <w:color w:val="000000" w:themeColor="text1"/>
          <w:sz w:val="21"/>
          <w:szCs w:val="21"/>
          <w:highlight w:val="none"/>
          <w14:textFill>
            <w14:solidFill>
              <w14:schemeClr w14:val="tx1"/>
            </w14:solidFill>
          </w14:textFill>
        </w:rPr>
      </w:pPr>
    </w:p>
    <w:p w14:paraId="0845D3C1">
      <w:pPr>
        <w:pStyle w:val="16"/>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注：1、本表中的“合计”应与“ （一）投标函”及“ （二）投标一览表”中的“投标总价”一致；</w:t>
      </w:r>
    </w:p>
    <w:p w14:paraId="42016E2B">
      <w:pPr>
        <w:pStyle w:val="16"/>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2、表格可自行扩展。</w:t>
      </w:r>
    </w:p>
    <w:p w14:paraId="270EF671">
      <w:pPr>
        <w:pStyle w:val="16"/>
        <w:ind w:left="440"/>
        <w:rPr>
          <w:rFonts w:asciiTheme="minorEastAsia" w:hAnsiTheme="minorEastAsia" w:eastAsiaTheme="minorEastAsia"/>
          <w:color w:val="000000" w:themeColor="text1"/>
          <w:szCs w:val="24"/>
          <w:highlight w:val="none"/>
          <w14:textFill>
            <w14:solidFill>
              <w14:schemeClr w14:val="tx1"/>
            </w14:solidFill>
          </w14:textFill>
        </w:rPr>
      </w:pPr>
    </w:p>
    <w:p w14:paraId="179695E4">
      <w:pPr>
        <w:spacing w:line="38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投  标  人（公章）：</w:t>
      </w:r>
    </w:p>
    <w:p w14:paraId="374CD765">
      <w:pPr>
        <w:spacing w:line="380" w:lineRule="exact"/>
        <w:rPr>
          <w:rFonts w:asciiTheme="minorEastAsia" w:hAnsiTheme="minorEastAsia" w:eastAsiaTheme="minorEastAsia"/>
          <w:color w:val="000000" w:themeColor="text1"/>
          <w:szCs w:val="21"/>
          <w:highlight w:val="none"/>
          <w14:textFill>
            <w14:solidFill>
              <w14:schemeClr w14:val="tx1"/>
            </w14:solidFill>
          </w14:textFill>
        </w:rPr>
      </w:pPr>
    </w:p>
    <w:p w14:paraId="41C385AE">
      <w:pPr>
        <w:spacing w:line="38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投标人代表（签字或印章）：</w:t>
      </w:r>
    </w:p>
    <w:p w14:paraId="265F38C8">
      <w:pPr>
        <w:spacing w:line="380" w:lineRule="exact"/>
        <w:rPr>
          <w:rFonts w:asciiTheme="minorEastAsia" w:hAnsiTheme="minorEastAsia" w:eastAsiaTheme="minorEastAsia"/>
          <w:color w:val="000000" w:themeColor="text1"/>
          <w:szCs w:val="21"/>
          <w:highlight w:val="none"/>
          <w14:textFill>
            <w14:solidFill>
              <w14:schemeClr w14:val="tx1"/>
            </w14:solidFill>
          </w14:textFill>
        </w:rPr>
      </w:pPr>
    </w:p>
    <w:p w14:paraId="1F4243FE">
      <w:pP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日期：</w:t>
      </w:r>
    </w:p>
    <w:p w14:paraId="59B7E8CD">
      <w:pPr>
        <w:pStyle w:val="16"/>
        <w:ind w:right="-315" w:firstLine="482"/>
        <w:jc w:val="center"/>
        <w:rPr>
          <w:rFonts w:asciiTheme="minorEastAsia" w:hAnsiTheme="minorEastAsia" w:eastAsiaTheme="minorEastAsia"/>
          <w:b/>
          <w:bCs/>
          <w:color w:val="000000" w:themeColor="text1"/>
          <w:highlight w:val="none"/>
          <w14:textFill>
            <w14:solidFill>
              <w14:schemeClr w14:val="tx1"/>
            </w14:solidFill>
          </w14:textFill>
        </w:rPr>
      </w:pPr>
    </w:p>
    <w:p w14:paraId="36EEAFBD">
      <w:pPr>
        <w:rPr>
          <w:rFonts w:asciiTheme="minorEastAsia" w:hAnsiTheme="minorEastAsia" w:eastAsiaTheme="minorEastAsia"/>
          <w:b/>
          <w:bCs/>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br w:type="page"/>
      </w:r>
    </w:p>
    <w:p w14:paraId="692F97A9">
      <w:pPr>
        <w:autoSpaceDE w:val="0"/>
        <w:autoSpaceDN w:val="0"/>
        <w:jc w:val="center"/>
        <w:rPr>
          <w:rFonts w:ascii="宋体" w:hAnsi="宋体" w:cs="宋体"/>
          <w:b/>
          <w:color w:val="000000" w:themeColor="text1"/>
          <w:kern w:val="0"/>
          <w:sz w:val="28"/>
          <w:szCs w:val="28"/>
          <w:highlight w:val="none"/>
          <w14:textFill>
            <w14:solidFill>
              <w14:schemeClr w14:val="tx1"/>
            </w14:solidFill>
          </w14:textFill>
        </w:rPr>
      </w:pPr>
    </w:p>
    <w:p w14:paraId="2C1BA772">
      <w:pPr>
        <w:autoSpaceDE w:val="0"/>
        <w:autoSpaceDN w:val="0"/>
        <w:jc w:val="center"/>
        <w:rPr>
          <w:rFonts w:ascii="宋体" w:hAnsi="宋体" w:cs="宋体"/>
          <w:b/>
          <w:color w:val="000000" w:themeColor="text1"/>
          <w:kern w:val="0"/>
          <w:sz w:val="28"/>
          <w:szCs w:val="28"/>
          <w:highlight w:val="none"/>
          <w14:textFill>
            <w14:solidFill>
              <w14:schemeClr w14:val="tx1"/>
            </w14:solidFill>
          </w14:textFill>
        </w:rPr>
      </w:pPr>
    </w:p>
    <w:p w14:paraId="49EAE47C">
      <w:pPr>
        <w:autoSpaceDE w:val="0"/>
        <w:autoSpaceDN w:val="0"/>
        <w:jc w:val="center"/>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（四）享受政府采购价格优惠政策需提供的证明资料</w:t>
      </w:r>
    </w:p>
    <w:p w14:paraId="67C7DB1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29F5EAD6">
      <w:pPr>
        <w:rPr>
          <w:rFonts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w:t>
      </w:r>
      <w:r>
        <w:rPr>
          <w:rFonts w:hint="eastAsia" w:asciiTheme="minorEastAsia" w:hAnsiTheme="minorEastAsia" w:eastAsiaTheme="minorEastAsia"/>
          <w:color w:val="000000" w:themeColor="text1"/>
          <w:sz w:val="24"/>
          <w:highlight w:val="none"/>
          <w14:textFill>
            <w14:solidFill>
              <w14:schemeClr w14:val="tx1"/>
            </w14:solidFill>
          </w14:textFill>
        </w:rPr>
        <w:t>需提供相应的</w:t>
      </w:r>
      <w:r>
        <w:rPr>
          <w:rFonts w:hint="eastAsia" w:cs="仿宋_GB2312" w:asciiTheme="minorEastAsia" w:hAnsiTheme="minorEastAsia" w:eastAsiaTheme="minorEastAsia"/>
          <w:color w:val="000000" w:themeColor="text1"/>
          <w:sz w:val="24"/>
          <w:highlight w:val="none"/>
          <w14:textFill>
            <w14:solidFill>
              <w14:schemeClr w14:val="tx1"/>
            </w14:solidFill>
          </w14:textFill>
        </w:rPr>
        <w:t>中小企业声明函（附件1）、</w:t>
      </w:r>
      <w:r>
        <w:rPr>
          <w:rFonts w:hint="eastAsia" w:asciiTheme="minorEastAsia" w:hAnsiTheme="minorEastAsia" w:eastAsiaTheme="minorEastAsia"/>
          <w:color w:val="000000" w:themeColor="text1"/>
          <w:sz w:val="22"/>
          <w:highlight w:val="none"/>
          <w14:textFill>
            <w14:solidFill>
              <w14:schemeClr w14:val="tx1"/>
            </w14:solidFill>
          </w14:textFill>
        </w:rPr>
        <w:t>残疾人福利性单位声明函（附件2）</w:t>
      </w:r>
      <w:r>
        <w:rPr>
          <w:rFonts w:hint="eastAsia" w:asciiTheme="minorEastAsia" w:hAnsiTheme="minorEastAsia" w:eastAsiaTheme="minorEastAsia"/>
          <w:color w:val="000000" w:themeColor="text1"/>
          <w:sz w:val="24"/>
          <w:highlight w:val="none"/>
          <w14:textFill>
            <w14:solidFill>
              <w14:schemeClr w14:val="tx1"/>
            </w14:solidFill>
          </w14:textFill>
        </w:rPr>
        <w:t>；无法享受的，无需提供</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br w:type="page"/>
      </w:r>
    </w:p>
    <w:p w14:paraId="5D31164C">
      <w:pPr>
        <w:pStyle w:val="3"/>
        <w:rPr>
          <w:color w:val="000000" w:themeColor="text1"/>
          <w:highlight w:val="none"/>
          <w14:textFill>
            <w14:solidFill>
              <w14:schemeClr w14:val="tx1"/>
            </w14:solidFill>
          </w14:textFill>
        </w:rPr>
      </w:pPr>
    </w:p>
    <w:p w14:paraId="3BDB28B6">
      <w:pPr>
        <w:pStyle w:val="3"/>
        <w:spacing w:line="380" w:lineRule="exact"/>
        <w:rPr>
          <w:rFonts w:asciiTheme="minorEastAsia" w:hAnsiTheme="minorEastAsia" w:eastAsiaTheme="minorEastAsia"/>
          <w:color w:val="000000" w:themeColor="text1"/>
          <w:sz w:val="28"/>
          <w:szCs w:val="28"/>
          <w:highlight w:val="none"/>
          <w14:textFill>
            <w14:solidFill>
              <w14:schemeClr w14:val="tx1"/>
            </w14:solidFill>
          </w14:textFill>
        </w:rPr>
      </w:pPr>
      <w:bookmarkStart w:id="183" w:name="_Toc136345130"/>
      <w:bookmarkStart w:id="184" w:name="_Toc136017669"/>
      <w:bookmarkStart w:id="185" w:name="_Toc20265"/>
      <w:r>
        <w:rPr>
          <w:rFonts w:hint="eastAsia" w:asciiTheme="minorEastAsia" w:hAnsiTheme="minorEastAsia" w:eastAsiaTheme="minorEastAsia"/>
          <w:color w:val="000000" w:themeColor="text1"/>
          <w:sz w:val="28"/>
          <w:szCs w:val="28"/>
          <w:highlight w:val="none"/>
          <w14:textFill>
            <w14:solidFill>
              <w14:schemeClr w14:val="tx1"/>
            </w14:solidFill>
          </w14:textFill>
        </w:rPr>
        <w:t>附  件</w:t>
      </w:r>
      <w:bookmarkEnd w:id="183"/>
      <w:bookmarkEnd w:id="184"/>
      <w:bookmarkEnd w:id="185"/>
    </w:p>
    <w:p w14:paraId="69FF295A">
      <w:pPr>
        <w:pStyle w:val="3"/>
        <w:spacing w:line="380" w:lineRule="exact"/>
        <w:rPr>
          <w:rFonts w:asciiTheme="minorEastAsia" w:hAnsiTheme="minorEastAsia" w:eastAsiaTheme="minorEastAsia"/>
          <w:color w:val="000000" w:themeColor="text1"/>
          <w:sz w:val="24"/>
          <w:szCs w:val="24"/>
          <w:highlight w:val="none"/>
          <w14:textFill>
            <w14:solidFill>
              <w14:schemeClr w14:val="tx1"/>
            </w14:solidFill>
          </w14:textFill>
        </w:rPr>
      </w:pPr>
    </w:p>
    <w:p w14:paraId="703C9B7F">
      <w:pPr>
        <w:pStyle w:val="3"/>
        <w:spacing w:line="380" w:lineRule="exact"/>
        <w:jc w:val="both"/>
        <w:rPr>
          <w:rFonts w:asciiTheme="minorEastAsia" w:hAnsiTheme="minorEastAsia" w:eastAsiaTheme="minorEastAsia"/>
          <w:color w:val="000000" w:themeColor="text1"/>
          <w:sz w:val="24"/>
          <w:szCs w:val="24"/>
          <w:highlight w:val="none"/>
          <w14:textFill>
            <w14:solidFill>
              <w14:schemeClr w14:val="tx1"/>
            </w14:solidFill>
          </w14:textFill>
        </w:rPr>
      </w:pPr>
      <w:bookmarkStart w:id="186" w:name="_Toc136345131"/>
      <w:bookmarkStart w:id="187" w:name="_Toc136017670"/>
      <w:bookmarkStart w:id="188" w:name="_Toc19350"/>
      <w:r>
        <w:rPr>
          <w:rFonts w:hint="eastAsia" w:asciiTheme="minorEastAsia" w:hAnsiTheme="minorEastAsia" w:eastAsiaTheme="minorEastAsia"/>
          <w:color w:val="000000" w:themeColor="text1"/>
          <w:sz w:val="24"/>
          <w:szCs w:val="24"/>
          <w:highlight w:val="none"/>
          <w14:textFill>
            <w14:solidFill>
              <w14:schemeClr w14:val="tx1"/>
            </w14:solidFill>
          </w14:textFill>
        </w:rPr>
        <w:t>附件1                       中小企业声明函</w:t>
      </w:r>
      <w:bookmarkEnd w:id="186"/>
      <w:bookmarkEnd w:id="187"/>
      <w:bookmarkEnd w:id="188"/>
    </w:p>
    <w:p w14:paraId="5AD36984">
      <w:pPr>
        <w:rPr>
          <w:rFonts w:asciiTheme="minorEastAsia" w:hAnsiTheme="minorEastAsia" w:eastAsiaTheme="minorEastAsia"/>
          <w:color w:val="000000" w:themeColor="text1"/>
          <w:highlight w:val="none"/>
          <w14:textFill>
            <w14:solidFill>
              <w14:schemeClr w14:val="tx1"/>
            </w14:solidFill>
          </w14:textFill>
        </w:rPr>
      </w:pPr>
    </w:p>
    <w:p w14:paraId="1C06D7E3">
      <w:pPr>
        <w:spacing w:line="360" w:lineRule="auto"/>
        <w:ind w:firstLine="444" w:firstLineChars="200"/>
        <w:rPr>
          <w:rFonts w:asciiTheme="minorEastAsia" w:hAnsiTheme="minorEastAsia" w:eastAsiaTheme="minorEastAsia"/>
          <w:color w:val="000000" w:themeColor="text1"/>
          <w:spacing w:val="6"/>
          <w:szCs w:val="21"/>
          <w:highlight w:val="none"/>
          <w14:textFill>
            <w14:solidFill>
              <w14:schemeClr w14:val="tx1"/>
            </w14:solidFill>
          </w14:textFill>
        </w:rPr>
      </w:pPr>
      <w:r>
        <w:rPr>
          <w:rFonts w:hint="eastAsia" w:asciiTheme="minorEastAsia" w:hAnsiTheme="minorEastAsia" w:eastAsiaTheme="minorEastAsia"/>
          <w:color w:val="000000" w:themeColor="text1"/>
          <w:spacing w:val="6"/>
          <w:szCs w:val="21"/>
          <w:highlight w:val="none"/>
          <w14:textFill>
            <w14:solidFill>
              <w14:schemeClr w14:val="tx1"/>
            </w14:solidFill>
          </w14:textFill>
        </w:rPr>
        <w:t>本公司（</w:t>
      </w:r>
      <w:r>
        <w:rPr>
          <w:rFonts w:hint="eastAsia" w:asciiTheme="minorEastAsia" w:hAnsiTheme="minorEastAsia" w:eastAsiaTheme="minorEastAsia"/>
          <w:i/>
          <w:iCs/>
          <w:color w:val="000000" w:themeColor="text1"/>
          <w:spacing w:val="6"/>
          <w:szCs w:val="21"/>
          <w:highlight w:val="none"/>
          <w14:textFill>
            <w14:solidFill>
              <w14:schemeClr w14:val="tx1"/>
            </w14:solidFill>
          </w14:textFill>
        </w:rPr>
        <w:t>联合体</w:t>
      </w:r>
      <w:r>
        <w:rPr>
          <w:rFonts w:hint="eastAsia" w:asciiTheme="minorEastAsia" w:hAnsiTheme="minorEastAsia" w:eastAsiaTheme="minorEastAsia"/>
          <w:color w:val="000000" w:themeColor="text1"/>
          <w:spacing w:val="6"/>
          <w:szCs w:val="21"/>
          <w:highlight w:val="none"/>
          <w14:textFill>
            <w14:solidFill>
              <w14:schemeClr w14:val="tx1"/>
            </w14:solidFill>
          </w14:textFill>
        </w:rPr>
        <w:t>）郑重声明，根据《政府采购促进中小企业发展管理办法》（财库[2020]46号）的规定，本公司（</w:t>
      </w:r>
      <w:r>
        <w:rPr>
          <w:rFonts w:hint="eastAsia" w:asciiTheme="minorEastAsia" w:hAnsiTheme="minorEastAsia" w:eastAsiaTheme="minorEastAsia"/>
          <w:i/>
          <w:iCs/>
          <w:color w:val="000000" w:themeColor="text1"/>
          <w:spacing w:val="6"/>
          <w:szCs w:val="21"/>
          <w:highlight w:val="none"/>
          <w14:textFill>
            <w14:solidFill>
              <w14:schemeClr w14:val="tx1"/>
            </w14:solidFill>
          </w14:textFill>
        </w:rPr>
        <w:t>联合体</w:t>
      </w:r>
      <w:r>
        <w:rPr>
          <w:rFonts w:hint="eastAsia" w:asciiTheme="minorEastAsia" w:hAnsiTheme="minorEastAsia" w:eastAsiaTheme="minorEastAsia"/>
          <w:color w:val="000000" w:themeColor="text1"/>
          <w:spacing w:val="6"/>
          <w:szCs w:val="21"/>
          <w:highlight w:val="none"/>
          <w14:textFill>
            <w14:solidFill>
              <w14:schemeClr w14:val="tx1"/>
            </w14:solidFill>
          </w14:textFill>
        </w:rPr>
        <w:t>）参加</w:t>
      </w:r>
      <w:r>
        <w:rPr>
          <w:rFonts w:hint="eastAsia" w:asciiTheme="minorEastAsia" w:hAnsiTheme="minorEastAsia" w:eastAsiaTheme="minorEastAsia"/>
          <w:i/>
          <w:color w:val="000000" w:themeColor="text1"/>
          <w:spacing w:val="6"/>
          <w:szCs w:val="21"/>
          <w:highlight w:val="none"/>
          <w:u w:val="single"/>
          <w14:textFill>
            <w14:solidFill>
              <w14:schemeClr w14:val="tx1"/>
            </w14:solidFill>
          </w14:textFill>
        </w:rPr>
        <w:t>（单位名称）</w:t>
      </w:r>
      <w:r>
        <w:rPr>
          <w:rFonts w:hint="eastAsia" w:asciiTheme="minorEastAsia" w:hAnsiTheme="minorEastAsia" w:eastAsiaTheme="minorEastAsia"/>
          <w:color w:val="000000" w:themeColor="text1"/>
          <w:spacing w:val="6"/>
          <w:szCs w:val="21"/>
          <w:highlight w:val="none"/>
          <w14:textFill>
            <w14:solidFill>
              <w14:schemeClr w14:val="tx1"/>
            </w14:solidFill>
          </w14:textFill>
        </w:rPr>
        <w:t>的</w:t>
      </w:r>
      <w:r>
        <w:rPr>
          <w:rFonts w:hint="eastAsia" w:asciiTheme="minorEastAsia" w:hAnsiTheme="minorEastAsia" w:eastAsiaTheme="minorEastAsia"/>
          <w:i/>
          <w:color w:val="000000" w:themeColor="text1"/>
          <w:spacing w:val="6"/>
          <w:szCs w:val="21"/>
          <w:highlight w:val="none"/>
          <w:u w:val="single"/>
          <w14:textFill>
            <w14:solidFill>
              <w14:schemeClr w14:val="tx1"/>
            </w14:solidFill>
          </w14:textFill>
        </w:rPr>
        <w:t>（项目名称）</w:t>
      </w:r>
      <w:r>
        <w:rPr>
          <w:rFonts w:hint="eastAsia" w:asciiTheme="minorEastAsia" w:hAnsiTheme="minorEastAsia" w:eastAsiaTheme="minorEastAsia"/>
          <w:color w:val="000000" w:themeColor="text1"/>
          <w:spacing w:val="6"/>
          <w:szCs w:val="21"/>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12AFE476">
      <w:pPr>
        <w:spacing w:line="360" w:lineRule="auto"/>
        <w:ind w:firstLine="444" w:firstLineChars="200"/>
        <w:rPr>
          <w:rFonts w:asciiTheme="minorEastAsia" w:hAnsiTheme="minorEastAsia" w:eastAsiaTheme="minorEastAsia"/>
          <w:color w:val="000000" w:themeColor="text1"/>
          <w:spacing w:val="6"/>
          <w:szCs w:val="21"/>
          <w:highlight w:val="none"/>
          <w:u w:val="single"/>
          <w14:textFill>
            <w14:solidFill>
              <w14:schemeClr w14:val="tx1"/>
            </w14:solidFill>
          </w14:textFill>
        </w:rPr>
      </w:pPr>
      <w:r>
        <w:rPr>
          <w:rFonts w:hint="eastAsia" w:asciiTheme="minorEastAsia" w:hAnsiTheme="minorEastAsia" w:eastAsiaTheme="minorEastAsia"/>
          <w:color w:val="000000" w:themeColor="text1"/>
          <w:spacing w:val="6"/>
          <w:szCs w:val="21"/>
          <w:highlight w:val="none"/>
          <w14:textFill>
            <w14:solidFill>
              <w14:schemeClr w14:val="tx1"/>
            </w14:solidFill>
          </w14:textFill>
        </w:rPr>
        <w:t>1.</w:t>
      </w:r>
      <w:r>
        <w:rPr>
          <w:rFonts w:hint="eastAsia" w:asciiTheme="minorEastAsia" w:hAnsiTheme="minorEastAsia" w:eastAsiaTheme="minorEastAsia"/>
          <w:color w:val="000000" w:themeColor="text1"/>
          <w:spacing w:val="6"/>
          <w:szCs w:val="21"/>
          <w:highlight w:val="none"/>
          <w:u w:val="single"/>
          <w:lang w:eastAsia="zh-CN"/>
          <w14:textFill>
            <w14:solidFill>
              <w14:schemeClr w14:val="tx1"/>
            </w14:solidFill>
          </w14:textFill>
        </w:rPr>
        <w:t>安全生产和消防安全第三方服务采购项目（梅林街道）（重发）</w:t>
      </w:r>
      <w:r>
        <w:rPr>
          <w:rFonts w:hint="eastAsia" w:asciiTheme="minorEastAsia" w:hAnsiTheme="minorEastAsia" w:eastAsiaTheme="minorEastAsia"/>
          <w:color w:val="000000" w:themeColor="text1"/>
          <w:spacing w:val="6"/>
          <w:szCs w:val="21"/>
          <w:highlight w:val="none"/>
          <w14:textFill>
            <w14:solidFill>
              <w14:schemeClr w14:val="tx1"/>
            </w14:solidFill>
          </w14:textFill>
        </w:rPr>
        <w:t>，属于</w:t>
      </w:r>
      <w:r>
        <w:rPr>
          <w:rFonts w:hint="eastAsia" w:asciiTheme="minorEastAsia" w:hAnsiTheme="minorEastAsia" w:eastAsiaTheme="minorEastAsia"/>
          <w:color w:val="000000" w:themeColor="text1"/>
          <w:spacing w:val="6"/>
          <w:szCs w:val="21"/>
          <w:highlight w:val="none"/>
          <w:u w:val="single"/>
          <w14:textFill>
            <w14:solidFill>
              <w14:schemeClr w14:val="tx1"/>
            </w14:solidFill>
          </w14:textFill>
        </w:rPr>
        <w:t>其他未列明行业</w:t>
      </w:r>
      <w:r>
        <w:rPr>
          <w:rFonts w:hint="eastAsia" w:asciiTheme="minorEastAsia" w:hAnsiTheme="minorEastAsia" w:eastAsiaTheme="minorEastAsia"/>
          <w:color w:val="000000" w:themeColor="text1"/>
          <w:spacing w:val="6"/>
          <w:szCs w:val="21"/>
          <w:highlight w:val="none"/>
          <w14:textFill>
            <w14:solidFill>
              <w14:schemeClr w14:val="tx1"/>
            </w14:solidFill>
          </w14:textFill>
        </w:rPr>
        <w:t>；承建（承接）企业为</w:t>
      </w:r>
      <w:r>
        <w:rPr>
          <w:rFonts w:hint="eastAsia" w:asciiTheme="minorEastAsia" w:hAnsiTheme="minorEastAsia" w:eastAsiaTheme="minorEastAsia"/>
          <w:i/>
          <w:color w:val="000000" w:themeColor="text1"/>
          <w:spacing w:val="6"/>
          <w:szCs w:val="21"/>
          <w:highlight w:val="none"/>
          <w:u w:val="single"/>
          <w14:textFill>
            <w14:solidFill>
              <w14:schemeClr w14:val="tx1"/>
            </w14:solidFill>
          </w14:textFill>
        </w:rPr>
        <w:t>（企业名称）</w:t>
      </w:r>
      <w:r>
        <w:rPr>
          <w:rFonts w:hint="eastAsia" w:asciiTheme="minorEastAsia" w:hAnsiTheme="minorEastAsia" w:eastAsiaTheme="minorEastAsia"/>
          <w:color w:val="000000" w:themeColor="text1"/>
          <w:spacing w:val="6"/>
          <w:szCs w:val="21"/>
          <w:highlight w:val="none"/>
          <w14:textFill>
            <w14:solidFill>
              <w14:schemeClr w14:val="tx1"/>
            </w14:solidFill>
          </w14:textFill>
        </w:rPr>
        <w:t>，从业人员人，营业收入为万元，资产总额为万元，属于</w:t>
      </w:r>
      <w:r>
        <w:rPr>
          <w:rFonts w:hint="eastAsia" w:asciiTheme="minorEastAsia" w:hAnsiTheme="minorEastAsia" w:eastAsiaTheme="minorEastAsia"/>
          <w:i/>
          <w:color w:val="000000" w:themeColor="text1"/>
          <w:spacing w:val="6"/>
          <w:szCs w:val="21"/>
          <w:highlight w:val="none"/>
          <w:u w:val="single"/>
          <w14:textFill>
            <w14:solidFill>
              <w14:schemeClr w14:val="tx1"/>
            </w14:solidFill>
          </w14:textFill>
        </w:rPr>
        <w:t>（中型企业、小型企业、微型企业）</w:t>
      </w:r>
      <w:r>
        <w:rPr>
          <w:rFonts w:hint="eastAsia" w:asciiTheme="minorEastAsia" w:hAnsiTheme="minorEastAsia" w:eastAsiaTheme="minorEastAsia"/>
          <w:color w:val="000000" w:themeColor="text1"/>
          <w:spacing w:val="6"/>
          <w:szCs w:val="21"/>
          <w:highlight w:val="none"/>
          <w14:textFill>
            <w14:solidFill>
              <w14:schemeClr w14:val="tx1"/>
            </w14:solidFill>
          </w14:textFill>
        </w:rPr>
        <w:t>；</w:t>
      </w:r>
    </w:p>
    <w:p w14:paraId="1E8CFBA6">
      <w:pPr>
        <w:spacing w:line="360" w:lineRule="auto"/>
        <w:ind w:firstLine="444" w:firstLineChars="200"/>
        <w:rPr>
          <w:rFonts w:asciiTheme="minorEastAsia" w:hAnsiTheme="minorEastAsia" w:eastAsiaTheme="minorEastAsia"/>
          <w:color w:val="000000" w:themeColor="text1"/>
          <w:spacing w:val="6"/>
          <w:szCs w:val="21"/>
          <w:highlight w:val="none"/>
          <w:u w:val="single"/>
          <w14:textFill>
            <w14:solidFill>
              <w14:schemeClr w14:val="tx1"/>
            </w14:solidFill>
          </w14:textFill>
        </w:rPr>
      </w:pPr>
      <w:r>
        <w:rPr>
          <w:rFonts w:hint="eastAsia" w:asciiTheme="minorEastAsia" w:hAnsiTheme="minorEastAsia" w:eastAsiaTheme="minorEastAsia"/>
          <w:color w:val="000000" w:themeColor="text1"/>
          <w:spacing w:val="6"/>
          <w:szCs w:val="21"/>
          <w:highlight w:val="none"/>
          <w14:textFill>
            <w14:solidFill>
              <w14:schemeClr w14:val="tx1"/>
            </w14:solidFill>
          </w14:textFill>
        </w:rPr>
        <w:t>2.</w:t>
      </w:r>
      <w:r>
        <w:rPr>
          <w:rFonts w:hint="eastAsia" w:asciiTheme="minorEastAsia" w:hAnsiTheme="minorEastAsia" w:eastAsiaTheme="minorEastAsia"/>
          <w:color w:val="000000" w:themeColor="text1"/>
          <w:spacing w:val="6"/>
          <w:szCs w:val="21"/>
          <w:highlight w:val="none"/>
          <w:u w:val="single"/>
          <w:lang w:eastAsia="zh-CN"/>
          <w14:textFill>
            <w14:solidFill>
              <w14:schemeClr w14:val="tx1"/>
            </w14:solidFill>
          </w14:textFill>
        </w:rPr>
        <w:t>安全生产和消防安全第三方服务采购项目（梅林街道）（重发）</w:t>
      </w:r>
      <w:r>
        <w:rPr>
          <w:rFonts w:hint="eastAsia" w:asciiTheme="minorEastAsia" w:hAnsiTheme="minorEastAsia" w:eastAsiaTheme="minorEastAsia"/>
          <w:color w:val="000000" w:themeColor="text1"/>
          <w:spacing w:val="6"/>
          <w:szCs w:val="21"/>
          <w:highlight w:val="none"/>
          <w14:textFill>
            <w14:solidFill>
              <w14:schemeClr w14:val="tx1"/>
            </w14:solidFill>
          </w14:textFill>
        </w:rPr>
        <w:t>，属于</w:t>
      </w:r>
      <w:r>
        <w:rPr>
          <w:rFonts w:hint="eastAsia" w:asciiTheme="minorEastAsia" w:hAnsiTheme="minorEastAsia" w:eastAsiaTheme="minorEastAsia"/>
          <w:color w:val="000000" w:themeColor="text1"/>
          <w:spacing w:val="6"/>
          <w:szCs w:val="21"/>
          <w:highlight w:val="none"/>
          <w:u w:val="single"/>
          <w14:textFill>
            <w14:solidFill>
              <w14:schemeClr w14:val="tx1"/>
            </w14:solidFill>
          </w14:textFill>
        </w:rPr>
        <w:t>其他未列明行业</w:t>
      </w:r>
      <w:r>
        <w:rPr>
          <w:rFonts w:hint="eastAsia" w:asciiTheme="minorEastAsia" w:hAnsiTheme="minorEastAsia" w:eastAsiaTheme="minorEastAsia"/>
          <w:color w:val="000000" w:themeColor="text1"/>
          <w:spacing w:val="6"/>
          <w:szCs w:val="21"/>
          <w:highlight w:val="none"/>
          <w14:textFill>
            <w14:solidFill>
              <w14:schemeClr w14:val="tx1"/>
            </w14:solidFill>
          </w14:textFill>
        </w:rPr>
        <w:t>；承建（承接）企业为</w:t>
      </w:r>
      <w:r>
        <w:rPr>
          <w:rFonts w:hint="eastAsia" w:asciiTheme="minorEastAsia" w:hAnsiTheme="minorEastAsia" w:eastAsiaTheme="minorEastAsia"/>
          <w:i/>
          <w:color w:val="000000" w:themeColor="text1"/>
          <w:spacing w:val="6"/>
          <w:szCs w:val="21"/>
          <w:highlight w:val="none"/>
          <w:u w:val="single"/>
          <w14:textFill>
            <w14:solidFill>
              <w14:schemeClr w14:val="tx1"/>
            </w14:solidFill>
          </w14:textFill>
        </w:rPr>
        <w:t>（企业名称）</w:t>
      </w:r>
      <w:r>
        <w:rPr>
          <w:rFonts w:hint="eastAsia" w:asciiTheme="minorEastAsia" w:hAnsiTheme="minorEastAsia" w:eastAsiaTheme="minorEastAsia"/>
          <w:color w:val="000000" w:themeColor="text1"/>
          <w:spacing w:val="6"/>
          <w:szCs w:val="21"/>
          <w:highlight w:val="none"/>
          <w14:textFill>
            <w14:solidFill>
              <w14:schemeClr w14:val="tx1"/>
            </w14:solidFill>
          </w14:textFill>
        </w:rPr>
        <w:t>，从业人员人，营业收入为万元，资产总额为万元，属于</w:t>
      </w:r>
      <w:r>
        <w:rPr>
          <w:rFonts w:hint="eastAsia" w:asciiTheme="minorEastAsia" w:hAnsiTheme="minorEastAsia" w:eastAsiaTheme="minorEastAsia"/>
          <w:i/>
          <w:color w:val="000000" w:themeColor="text1"/>
          <w:spacing w:val="6"/>
          <w:szCs w:val="21"/>
          <w:highlight w:val="none"/>
          <w:u w:val="single"/>
          <w14:textFill>
            <w14:solidFill>
              <w14:schemeClr w14:val="tx1"/>
            </w14:solidFill>
          </w14:textFill>
        </w:rPr>
        <w:t>（中型企业、小型企业、微型企业）</w:t>
      </w:r>
      <w:r>
        <w:rPr>
          <w:rFonts w:hint="eastAsia" w:asciiTheme="minorEastAsia" w:hAnsiTheme="minorEastAsia" w:eastAsiaTheme="minorEastAsia"/>
          <w:color w:val="000000" w:themeColor="text1"/>
          <w:spacing w:val="6"/>
          <w:szCs w:val="21"/>
          <w:highlight w:val="none"/>
          <w14:textFill>
            <w14:solidFill>
              <w14:schemeClr w14:val="tx1"/>
            </w14:solidFill>
          </w14:textFill>
        </w:rPr>
        <w:t>；</w:t>
      </w:r>
    </w:p>
    <w:p w14:paraId="0273ACE1">
      <w:pPr>
        <w:spacing w:line="360" w:lineRule="auto"/>
        <w:ind w:firstLine="444" w:firstLineChars="200"/>
        <w:rPr>
          <w:rFonts w:asciiTheme="minorEastAsia" w:hAnsiTheme="minorEastAsia" w:eastAsiaTheme="minorEastAsia"/>
          <w:color w:val="000000" w:themeColor="text1"/>
          <w:spacing w:val="6"/>
          <w:szCs w:val="21"/>
          <w:highlight w:val="none"/>
          <w14:textFill>
            <w14:solidFill>
              <w14:schemeClr w14:val="tx1"/>
            </w14:solidFill>
          </w14:textFill>
        </w:rPr>
      </w:pPr>
      <w:r>
        <w:rPr>
          <w:rFonts w:hint="eastAsia" w:asciiTheme="minorEastAsia" w:hAnsiTheme="minorEastAsia" w:eastAsiaTheme="minorEastAsia"/>
          <w:color w:val="000000" w:themeColor="text1"/>
          <w:spacing w:val="6"/>
          <w:szCs w:val="21"/>
          <w:highlight w:val="none"/>
          <w14:textFill>
            <w14:solidFill>
              <w14:schemeClr w14:val="tx1"/>
            </w14:solidFill>
          </w14:textFill>
        </w:rPr>
        <w:t>……</w:t>
      </w:r>
    </w:p>
    <w:p w14:paraId="2CACB3AC">
      <w:pPr>
        <w:spacing w:line="360" w:lineRule="auto"/>
        <w:ind w:firstLine="444" w:firstLineChars="200"/>
        <w:rPr>
          <w:rFonts w:asciiTheme="minorEastAsia" w:hAnsiTheme="minorEastAsia" w:eastAsiaTheme="minorEastAsia"/>
          <w:color w:val="000000" w:themeColor="text1"/>
          <w:spacing w:val="6"/>
          <w:szCs w:val="21"/>
          <w:highlight w:val="none"/>
          <w14:textFill>
            <w14:solidFill>
              <w14:schemeClr w14:val="tx1"/>
            </w14:solidFill>
          </w14:textFill>
        </w:rPr>
      </w:pPr>
      <w:r>
        <w:rPr>
          <w:rFonts w:hint="eastAsia" w:asciiTheme="minorEastAsia" w:hAnsiTheme="minorEastAsia" w:eastAsiaTheme="minorEastAsia"/>
          <w:color w:val="000000" w:themeColor="text1"/>
          <w:spacing w:val="6"/>
          <w:szCs w:val="21"/>
          <w:highlight w:val="none"/>
          <w14:textFill>
            <w14:solidFill>
              <w14:schemeClr w14:val="tx1"/>
            </w14:solidFill>
          </w14:textFill>
        </w:rPr>
        <w:t>以上企业，不属于大企业的分支机构，不存在控股股东为大企业的情形，也不存在与大企业的负责人为同一人的情形。</w:t>
      </w:r>
    </w:p>
    <w:p w14:paraId="22009ACA">
      <w:pPr>
        <w:spacing w:line="360" w:lineRule="auto"/>
        <w:ind w:firstLine="444" w:firstLineChars="200"/>
        <w:rPr>
          <w:rFonts w:asciiTheme="minorEastAsia" w:hAnsiTheme="minorEastAsia" w:eastAsiaTheme="minorEastAsia"/>
          <w:color w:val="000000" w:themeColor="text1"/>
          <w:spacing w:val="6"/>
          <w:szCs w:val="21"/>
          <w:highlight w:val="none"/>
          <w14:textFill>
            <w14:solidFill>
              <w14:schemeClr w14:val="tx1"/>
            </w14:solidFill>
          </w14:textFill>
        </w:rPr>
      </w:pPr>
      <w:r>
        <w:rPr>
          <w:rFonts w:hint="eastAsia" w:asciiTheme="minorEastAsia" w:hAnsiTheme="minorEastAsia" w:eastAsiaTheme="minorEastAsia"/>
          <w:color w:val="000000" w:themeColor="text1"/>
          <w:spacing w:val="6"/>
          <w:szCs w:val="21"/>
          <w:highlight w:val="none"/>
          <w14:textFill>
            <w14:solidFill>
              <w14:schemeClr w14:val="tx1"/>
            </w14:solidFill>
          </w14:textFill>
        </w:rPr>
        <w:t>本企业对上述声明内容的真实性负责。如有虚假，将依法承担相应责任。</w:t>
      </w:r>
    </w:p>
    <w:p w14:paraId="76CDF88F">
      <w:pPr>
        <w:tabs>
          <w:tab w:val="left" w:pos="4860"/>
        </w:tabs>
        <w:spacing w:line="360" w:lineRule="auto"/>
        <w:ind w:right="-58" w:firstLine="999" w:firstLineChars="450"/>
        <w:rPr>
          <w:rFonts w:asciiTheme="minorEastAsia" w:hAnsiTheme="minorEastAsia" w:eastAsiaTheme="minorEastAsia"/>
          <w:color w:val="000000" w:themeColor="text1"/>
          <w:spacing w:val="6"/>
          <w:szCs w:val="21"/>
          <w:highlight w:val="none"/>
          <w14:textFill>
            <w14:solidFill>
              <w14:schemeClr w14:val="tx1"/>
            </w14:solidFill>
          </w14:textFill>
        </w:rPr>
      </w:pPr>
    </w:p>
    <w:p w14:paraId="12487DC9">
      <w:pPr>
        <w:tabs>
          <w:tab w:val="left" w:pos="4860"/>
        </w:tabs>
        <w:spacing w:line="360" w:lineRule="auto"/>
        <w:ind w:right="-58" w:firstLine="4773" w:firstLineChars="2150"/>
        <w:rPr>
          <w:rFonts w:asciiTheme="minorEastAsia" w:hAnsiTheme="minorEastAsia" w:eastAsiaTheme="minorEastAsia"/>
          <w:color w:val="000000" w:themeColor="text1"/>
          <w:spacing w:val="6"/>
          <w:szCs w:val="21"/>
          <w:highlight w:val="none"/>
          <w14:textFill>
            <w14:solidFill>
              <w14:schemeClr w14:val="tx1"/>
            </w14:solidFill>
          </w14:textFill>
        </w:rPr>
      </w:pPr>
      <w:r>
        <w:rPr>
          <w:rFonts w:hint="eastAsia" w:asciiTheme="minorEastAsia" w:hAnsiTheme="minorEastAsia" w:eastAsiaTheme="minorEastAsia"/>
          <w:color w:val="000000" w:themeColor="text1"/>
          <w:spacing w:val="6"/>
          <w:szCs w:val="21"/>
          <w:highlight w:val="none"/>
          <w14:textFill>
            <w14:solidFill>
              <w14:schemeClr w14:val="tx1"/>
            </w14:solidFill>
          </w14:textFill>
        </w:rPr>
        <w:t xml:space="preserve">企业名称（公章）：                </w:t>
      </w:r>
    </w:p>
    <w:p w14:paraId="40782D9D">
      <w:pPr>
        <w:tabs>
          <w:tab w:val="left" w:pos="4860"/>
        </w:tabs>
        <w:spacing w:line="360" w:lineRule="auto"/>
        <w:ind w:right="-58" w:firstLine="4773" w:firstLineChars="2150"/>
        <w:rPr>
          <w:rFonts w:asciiTheme="minorEastAsia" w:hAnsiTheme="minorEastAsia" w:eastAsiaTheme="minorEastAsia"/>
          <w:color w:val="000000" w:themeColor="text1"/>
          <w:spacing w:val="6"/>
          <w:szCs w:val="21"/>
          <w:highlight w:val="none"/>
          <w14:textFill>
            <w14:solidFill>
              <w14:schemeClr w14:val="tx1"/>
            </w14:solidFill>
          </w14:textFill>
        </w:rPr>
      </w:pPr>
      <w:r>
        <w:rPr>
          <w:rFonts w:hint="eastAsia" w:asciiTheme="minorEastAsia" w:hAnsiTheme="minorEastAsia" w:eastAsiaTheme="minorEastAsia"/>
          <w:color w:val="000000" w:themeColor="text1"/>
          <w:spacing w:val="6"/>
          <w:szCs w:val="21"/>
          <w:highlight w:val="none"/>
          <w14:textFill>
            <w14:solidFill>
              <w14:schemeClr w14:val="tx1"/>
            </w14:solidFill>
          </w14:textFill>
        </w:rPr>
        <w:t xml:space="preserve">日期：  </w:t>
      </w:r>
    </w:p>
    <w:p w14:paraId="3C95F035">
      <w:pPr>
        <w:spacing w:line="360" w:lineRule="auto"/>
        <w:ind w:right="420" w:firstLine="444" w:firstLineChars="200"/>
        <w:rPr>
          <w:rFonts w:asciiTheme="minorEastAsia" w:hAnsiTheme="minorEastAsia" w:eastAsiaTheme="minorEastAsia"/>
          <w:color w:val="000000" w:themeColor="text1"/>
          <w:spacing w:val="6"/>
          <w:szCs w:val="21"/>
          <w:highlight w:val="none"/>
          <w14:textFill>
            <w14:solidFill>
              <w14:schemeClr w14:val="tx1"/>
            </w14:solidFill>
          </w14:textFill>
        </w:rPr>
      </w:pPr>
      <w:r>
        <w:rPr>
          <w:rFonts w:hint="eastAsia" w:asciiTheme="minorEastAsia" w:hAnsiTheme="minorEastAsia" w:eastAsiaTheme="minorEastAsia"/>
          <w:color w:val="000000" w:themeColor="text1"/>
          <w:spacing w:val="6"/>
          <w:szCs w:val="21"/>
          <w:highlight w:val="none"/>
          <w14:textFill>
            <w14:solidFill>
              <w14:schemeClr w14:val="tx1"/>
            </w14:solidFill>
          </w14:textFill>
        </w:rPr>
        <w:t>注：1、填写要求：①“标的名称”、“招标文件中明确的所属行业”依据招标文件第三部分投标资料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Theme="minorEastAsia" w:hAnsiTheme="minorEastAsia" w:eastAsiaTheme="minorEastAsia"/>
          <w:b/>
          <w:bCs/>
          <w:color w:val="000000" w:themeColor="text1"/>
          <w:spacing w:val="6"/>
          <w:szCs w:val="21"/>
          <w:highlight w:val="none"/>
          <w:u w:val="double"/>
          <w14:textFill>
            <w14:solidFill>
              <w14:schemeClr w14:val="tx1"/>
            </w14:solidFill>
          </w14:textFill>
        </w:rPr>
        <w:t>④投标人提供的《中小企业声明函》与实际情况不符的或者未按以上要求填写的，《中小企业声明函》无效，不享受中小企业扶持政策。声明内容不实的，属于提供虚假材料谋取中标、成交的，依法承担法律责任。</w:t>
      </w:r>
    </w:p>
    <w:p w14:paraId="371D6C40">
      <w:pPr>
        <w:spacing w:line="360" w:lineRule="auto"/>
        <w:ind w:right="420" w:firstLine="444" w:firstLineChars="200"/>
        <w:rPr>
          <w:rFonts w:asciiTheme="minorEastAsia" w:hAnsiTheme="minorEastAsia" w:eastAsiaTheme="minorEastAsia"/>
          <w:color w:val="000000" w:themeColor="text1"/>
          <w:sz w:val="28"/>
          <w:szCs w:val="28"/>
          <w:highlight w:val="none"/>
          <w14:textFill>
            <w14:solidFill>
              <w14:schemeClr w14:val="tx1"/>
            </w14:solidFill>
          </w14:textFill>
        </w:rPr>
        <w:sectPr>
          <w:headerReference r:id="rId17" w:type="default"/>
          <w:pgSz w:w="11907" w:h="16840"/>
          <w:pgMar w:top="1304" w:right="1588" w:bottom="1304" w:left="1588" w:header="720" w:footer="720" w:gutter="0"/>
          <w:cols w:space="720" w:num="1"/>
          <w:docGrid w:linePitch="285" w:charSpace="0"/>
        </w:sectPr>
      </w:pPr>
      <w:r>
        <w:rPr>
          <w:rFonts w:hint="eastAsia" w:asciiTheme="minorEastAsia" w:hAnsiTheme="minorEastAsia" w:eastAsiaTheme="minorEastAsia"/>
          <w:color w:val="000000" w:themeColor="text1"/>
          <w:spacing w:val="6"/>
          <w:szCs w:val="21"/>
          <w:highlight w:val="none"/>
          <w14:textFill>
            <w14:solidFill>
              <w14:schemeClr w14:val="tx1"/>
            </w14:solidFill>
          </w14:textFill>
        </w:rPr>
        <w:t>2、符合《关于促进残疾人就业政府采购政策的通知》（财库〔2017〕141号）规定的条件并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cs="仿宋_GB2312" w:asciiTheme="minorEastAsia" w:hAnsiTheme="minorEastAsia" w:eastAsiaTheme="minorEastAsia"/>
          <w:color w:val="000000" w:themeColor="text1"/>
          <w:szCs w:val="21"/>
          <w:highlight w:val="none"/>
          <w14:textFill>
            <w14:solidFill>
              <w14:schemeClr w14:val="tx1"/>
            </w14:solidFill>
          </w14:textFill>
        </w:rPr>
        <w:t>。</w:t>
      </w:r>
    </w:p>
    <w:p w14:paraId="57475BC3">
      <w:pPr>
        <w:rPr>
          <w:rFonts w:asciiTheme="minorEastAsia" w:hAnsiTheme="minorEastAsia" w:eastAsiaTheme="minorEastAsia"/>
          <w:b/>
          <w:color w:val="000000" w:themeColor="text1"/>
          <w:spacing w:val="6"/>
          <w:sz w:val="28"/>
          <w:szCs w:val="28"/>
          <w:highlight w:val="none"/>
          <w14:textFill>
            <w14:solidFill>
              <w14:schemeClr w14:val="tx1"/>
            </w14:solidFill>
          </w14:textFill>
        </w:rPr>
      </w:pPr>
    </w:p>
    <w:p w14:paraId="50145E11">
      <w:pPr>
        <w:jc w:val="center"/>
        <w:rPr>
          <w:rStyle w:val="130"/>
          <w:rFonts w:hint="default"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8"/>
          <w:szCs w:val="28"/>
          <w:highlight w:val="none"/>
          <w14:textFill>
            <w14:solidFill>
              <w14:schemeClr w14:val="tx1"/>
            </w14:solidFill>
          </w14:textFill>
        </w:rPr>
        <w:t>中小微行业划型标准规定</w:t>
      </w:r>
      <w:r>
        <w:rPr>
          <w:rStyle w:val="130"/>
          <w:rFonts w:hint="default" w:asciiTheme="minorEastAsia" w:hAnsiTheme="minorEastAsia" w:eastAsiaTheme="minorEastAsia"/>
          <w:color w:val="000000" w:themeColor="text1"/>
          <w:sz w:val="28"/>
          <w:szCs w:val="28"/>
          <w:highlight w:val="none"/>
          <w14:textFill>
            <w14:solidFill>
              <w14:schemeClr w14:val="tx1"/>
            </w14:solidFill>
          </w14:textFill>
        </w:rPr>
        <w:t>（根据工信部联企业〔2011〕300号制定）</w:t>
      </w:r>
    </w:p>
    <w:tbl>
      <w:tblPr>
        <w:tblStyle w:val="34"/>
        <w:tblW w:w="15008" w:type="dxa"/>
        <w:tblInd w:w="0" w:type="dxa"/>
        <w:tblLayout w:type="fixed"/>
        <w:tblCellMar>
          <w:top w:w="15" w:type="dxa"/>
          <w:left w:w="15" w:type="dxa"/>
          <w:bottom w:w="15" w:type="dxa"/>
          <w:right w:w="15" w:type="dxa"/>
        </w:tblCellMar>
      </w:tblPr>
      <w:tblGrid>
        <w:gridCol w:w="2153"/>
        <w:gridCol w:w="1320"/>
        <w:gridCol w:w="1560"/>
        <w:gridCol w:w="1500"/>
        <w:gridCol w:w="1320"/>
        <w:gridCol w:w="1500"/>
        <w:gridCol w:w="1406"/>
        <w:gridCol w:w="1264"/>
        <w:gridCol w:w="1470"/>
        <w:gridCol w:w="1515"/>
      </w:tblGrid>
      <w:tr w14:paraId="14103360">
        <w:tblPrEx>
          <w:tblCellMar>
            <w:top w:w="15" w:type="dxa"/>
            <w:left w:w="15" w:type="dxa"/>
            <w:bottom w:w="15" w:type="dxa"/>
            <w:right w:w="15" w:type="dxa"/>
          </w:tblCellMar>
        </w:tblPrEx>
        <w:trPr>
          <w:trHeight w:val="90" w:hRule="atLeast"/>
        </w:trPr>
        <w:tc>
          <w:tcPr>
            <w:tcW w:w="2153" w:type="dxa"/>
            <w:vMerge w:val="restart"/>
            <w:tcBorders>
              <w:top w:val="single" w:color="000000" w:sz="12" w:space="0"/>
              <w:left w:val="single" w:color="000000" w:sz="12" w:space="0"/>
              <w:bottom w:val="single" w:color="000000" w:sz="4" w:space="0"/>
              <w:right w:val="single" w:color="000000" w:sz="12" w:space="0"/>
            </w:tcBorders>
            <w:vAlign w:val="center"/>
          </w:tcPr>
          <w:p w14:paraId="379BF1C9">
            <w:pPr>
              <w:widowControl/>
              <w:jc w:val="center"/>
              <w:textAlignment w:val="center"/>
              <w:rPr>
                <w:rFonts w:cs="宋体" w:asciiTheme="minorEastAsia" w:hAnsiTheme="minorEastAsia" w:eastAsiaTheme="minorEastAsia"/>
                <w:b/>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18"/>
                <w:szCs w:val="18"/>
                <w:highlight w:val="none"/>
                <w14:textFill>
                  <w14:solidFill>
                    <w14:schemeClr w14:val="tx1"/>
                  </w14:solidFill>
                </w14:textFill>
              </w:rPr>
              <w:t>行业</w:t>
            </w:r>
          </w:p>
        </w:tc>
        <w:tc>
          <w:tcPr>
            <w:tcW w:w="4380" w:type="dxa"/>
            <w:gridSpan w:val="3"/>
            <w:tcBorders>
              <w:top w:val="single" w:color="000000" w:sz="12" w:space="0"/>
              <w:left w:val="single" w:color="000000" w:sz="12" w:space="0"/>
              <w:bottom w:val="single" w:color="000000" w:sz="4" w:space="0"/>
              <w:right w:val="single" w:color="000000" w:sz="12" w:space="0"/>
            </w:tcBorders>
            <w:vAlign w:val="bottom"/>
          </w:tcPr>
          <w:p w14:paraId="0D60B569">
            <w:pPr>
              <w:widowControl/>
              <w:jc w:val="center"/>
              <w:textAlignment w:val="bottom"/>
              <w:rPr>
                <w:rFonts w:cs="宋体" w:asciiTheme="minorEastAsia" w:hAnsiTheme="minorEastAsia" w:eastAsiaTheme="minorEastAsia"/>
                <w:b/>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18"/>
                <w:szCs w:val="18"/>
                <w:highlight w:val="none"/>
                <w14:textFill>
                  <w14:solidFill>
                    <w14:schemeClr w14:val="tx1"/>
                  </w14:solidFill>
                </w14:textFill>
              </w:rPr>
              <w:t>中型企业</w:t>
            </w:r>
          </w:p>
        </w:tc>
        <w:tc>
          <w:tcPr>
            <w:tcW w:w="4226" w:type="dxa"/>
            <w:gridSpan w:val="3"/>
            <w:tcBorders>
              <w:top w:val="single" w:color="000000" w:sz="12" w:space="0"/>
              <w:left w:val="single" w:color="000000" w:sz="12" w:space="0"/>
              <w:bottom w:val="single" w:color="000000" w:sz="4" w:space="0"/>
              <w:right w:val="single" w:color="000000" w:sz="12" w:space="0"/>
            </w:tcBorders>
            <w:vAlign w:val="bottom"/>
          </w:tcPr>
          <w:p w14:paraId="0145549D">
            <w:pPr>
              <w:widowControl/>
              <w:jc w:val="center"/>
              <w:textAlignment w:val="bottom"/>
              <w:rPr>
                <w:rFonts w:cs="宋体" w:asciiTheme="minorEastAsia" w:hAnsiTheme="minorEastAsia" w:eastAsiaTheme="minorEastAsia"/>
                <w:b/>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18"/>
                <w:szCs w:val="18"/>
                <w:highlight w:val="none"/>
                <w14:textFill>
                  <w14:solidFill>
                    <w14:schemeClr w14:val="tx1"/>
                  </w14:solidFill>
                </w14:textFill>
              </w:rPr>
              <w:t>小型企业</w:t>
            </w:r>
          </w:p>
        </w:tc>
        <w:tc>
          <w:tcPr>
            <w:tcW w:w="4249" w:type="dxa"/>
            <w:gridSpan w:val="3"/>
            <w:tcBorders>
              <w:top w:val="single" w:color="000000" w:sz="12" w:space="0"/>
              <w:left w:val="single" w:color="000000" w:sz="12" w:space="0"/>
              <w:bottom w:val="single" w:color="000000" w:sz="4" w:space="0"/>
              <w:right w:val="single" w:color="000000" w:sz="12" w:space="0"/>
            </w:tcBorders>
            <w:vAlign w:val="bottom"/>
          </w:tcPr>
          <w:p w14:paraId="0D620F29">
            <w:pPr>
              <w:widowControl/>
              <w:jc w:val="center"/>
              <w:textAlignment w:val="bottom"/>
              <w:rPr>
                <w:rFonts w:cs="宋体" w:asciiTheme="minorEastAsia" w:hAnsiTheme="minorEastAsia" w:eastAsiaTheme="minorEastAsia"/>
                <w:b/>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18"/>
                <w:szCs w:val="18"/>
                <w:highlight w:val="none"/>
                <w14:textFill>
                  <w14:solidFill>
                    <w14:schemeClr w14:val="tx1"/>
                  </w14:solidFill>
                </w14:textFill>
              </w:rPr>
              <w:t>微型企业</w:t>
            </w:r>
          </w:p>
        </w:tc>
      </w:tr>
      <w:tr w14:paraId="1468F0B3">
        <w:tblPrEx>
          <w:tblCellMar>
            <w:top w:w="15" w:type="dxa"/>
            <w:left w:w="15" w:type="dxa"/>
            <w:bottom w:w="15" w:type="dxa"/>
            <w:right w:w="15" w:type="dxa"/>
          </w:tblCellMar>
        </w:tblPrEx>
        <w:trPr>
          <w:trHeight w:val="374" w:hRule="atLeast"/>
        </w:trPr>
        <w:tc>
          <w:tcPr>
            <w:tcW w:w="2153" w:type="dxa"/>
            <w:vMerge w:val="continue"/>
            <w:tcBorders>
              <w:top w:val="single" w:color="000000" w:sz="12" w:space="0"/>
              <w:left w:val="single" w:color="000000" w:sz="12" w:space="0"/>
              <w:bottom w:val="single" w:color="000000" w:sz="4" w:space="0"/>
              <w:right w:val="single" w:color="000000" w:sz="12" w:space="0"/>
            </w:tcBorders>
            <w:vAlign w:val="center"/>
          </w:tcPr>
          <w:p w14:paraId="6018EDE1">
            <w:pPr>
              <w:jc w:val="center"/>
              <w:rPr>
                <w:rFonts w:cs="宋体" w:asciiTheme="minorEastAsia" w:hAnsiTheme="minorEastAsia" w:eastAsiaTheme="minorEastAsia"/>
                <w:b/>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5A2EA664">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从业人员X（人）</w:t>
            </w:r>
          </w:p>
        </w:tc>
        <w:tc>
          <w:tcPr>
            <w:tcW w:w="1560" w:type="dxa"/>
            <w:tcBorders>
              <w:top w:val="single" w:color="000000" w:sz="4" w:space="0"/>
              <w:left w:val="single" w:color="000000" w:sz="4" w:space="0"/>
              <w:bottom w:val="single" w:color="000000" w:sz="4" w:space="0"/>
              <w:right w:val="single" w:color="000000" w:sz="4" w:space="0"/>
            </w:tcBorders>
            <w:vAlign w:val="bottom"/>
          </w:tcPr>
          <w:p w14:paraId="5CDD08C1">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营业收入 Y（万元）</w:t>
            </w:r>
          </w:p>
        </w:tc>
        <w:tc>
          <w:tcPr>
            <w:tcW w:w="1500" w:type="dxa"/>
            <w:tcBorders>
              <w:top w:val="single" w:color="000000" w:sz="4" w:space="0"/>
              <w:left w:val="single" w:color="000000" w:sz="4" w:space="0"/>
              <w:bottom w:val="single" w:color="000000" w:sz="4" w:space="0"/>
              <w:right w:val="single" w:color="000000" w:sz="12" w:space="0"/>
            </w:tcBorders>
            <w:vAlign w:val="bottom"/>
          </w:tcPr>
          <w:p w14:paraId="3C3AE0E2">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资产总额 Z（万元）</w:t>
            </w:r>
          </w:p>
        </w:tc>
        <w:tc>
          <w:tcPr>
            <w:tcW w:w="1320" w:type="dxa"/>
            <w:tcBorders>
              <w:top w:val="single" w:color="000000" w:sz="4" w:space="0"/>
              <w:left w:val="single" w:color="000000" w:sz="12" w:space="0"/>
              <w:bottom w:val="single" w:color="000000" w:sz="4" w:space="0"/>
              <w:right w:val="single" w:color="000000" w:sz="4" w:space="0"/>
            </w:tcBorders>
            <w:vAlign w:val="bottom"/>
          </w:tcPr>
          <w:p w14:paraId="216A2D78">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从业人员X（人）</w:t>
            </w:r>
          </w:p>
        </w:tc>
        <w:tc>
          <w:tcPr>
            <w:tcW w:w="1500" w:type="dxa"/>
            <w:tcBorders>
              <w:top w:val="single" w:color="000000" w:sz="4" w:space="0"/>
              <w:left w:val="single" w:color="000000" w:sz="4" w:space="0"/>
              <w:bottom w:val="single" w:color="000000" w:sz="4" w:space="0"/>
              <w:right w:val="single" w:color="000000" w:sz="4" w:space="0"/>
            </w:tcBorders>
            <w:vAlign w:val="bottom"/>
          </w:tcPr>
          <w:p w14:paraId="4E9C0A7C">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营业收入Y（万元）</w:t>
            </w:r>
          </w:p>
        </w:tc>
        <w:tc>
          <w:tcPr>
            <w:tcW w:w="1406" w:type="dxa"/>
            <w:tcBorders>
              <w:top w:val="single" w:color="000000" w:sz="4" w:space="0"/>
              <w:left w:val="single" w:color="000000" w:sz="4" w:space="0"/>
              <w:bottom w:val="single" w:color="000000" w:sz="4" w:space="0"/>
              <w:right w:val="single" w:color="000000" w:sz="12" w:space="0"/>
            </w:tcBorders>
            <w:vAlign w:val="bottom"/>
          </w:tcPr>
          <w:p w14:paraId="57DB7117">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资产总额Z（万元）</w:t>
            </w:r>
          </w:p>
        </w:tc>
        <w:tc>
          <w:tcPr>
            <w:tcW w:w="1264" w:type="dxa"/>
            <w:tcBorders>
              <w:top w:val="single" w:color="000000" w:sz="4" w:space="0"/>
              <w:left w:val="single" w:color="000000" w:sz="12" w:space="0"/>
              <w:bottom w:val="single" w:color="000000" w:sz="4" w:space="0"/>
              <w:right w:val="single" w:color="000000" w:sz="4" w:space="0"/>
            </w:tcBorders>
            <w:vAlign w:val="bottom"/>
          </w:tcPr>
          <w:p w14:paraId="7B2CC2E2">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从业人员X（人）</w:t>
            </w:r>
          </w:p>
        </w:tc>
        <w:tc>
          <w:tcPr>
            <w:tcW w:w="1470" w:type="dxa"/>
            <w:tcBorders>
              <w:top w:val="single" w:color="000000" w:sz="4" w:space="0"/>
              <w:left w:val="single" w:color="000000" w:sz="4" w:space="0"/>
              <w:bottom w:val="single" w:color="000000" w:sz="4" w:space="0"/>
              <w:right w:val="single" w:color="000000" w:sz="4" w:space="0"/>
            </w:tcBorders>
            <w:vAlign w:val="bottom"/>
          </w:tcPr>
          <w:p w14:paraId="73CFF60C">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营业收入Y（万元）</w:t>
            </w:r>
          </w:p>
        </w:tc>
        <w:tc>
          <w:tcPr>
            <w:tcW w:w="1515" w:type="dxa"/>
            <w:tcBorders>
              <w:top w:val="single" w:color="000000" w:sz="4" w:space="0"/>
              <w:left w:val="single" w:color="000000" w:sz="4" w:space="0"/>
              <w:bottom w:val="single" w:color="000000" w:sz="4" w:space="0"/>
              <w:right w:val="single" w:color="000000" w:sz="12" w:space="0"/>
            </w:tcBorders>
            <w:vAlign w:val="bottom"/>
          </w:tcPr>
          <w:p w14:paraId="07E2F521">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资产总额Z（万元）</w:t>
            </w:r>
          </w:p>
        </w:tc>
      </w:tr>
      <w:tr w14:paraId="6CE8232A">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3536EE6B">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1、农林牧渔业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0D8266C4">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6FB36D34">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21C006C8">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7EE0DCE6">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24D11BB1">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50≤Y＜500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08F0D633">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0AFD564E">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409D0607">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14:paraId="54C537A4">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6CC073F2">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02992592">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2、工业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028B8008">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50205FE0">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2000≤Y＜40000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6AF51939">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072EE821">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2B71B035">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25DCF460">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2C5CD5F3">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1C84F8A3">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577C321E">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68C1DED2">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3F77951A">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3、建筑业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4425F242">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1976EAE2">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6000≤Y＜80000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56F99B40">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5000≤Z＜80000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69F850BC">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62409E60">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300≤Y＜6000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CFCC278">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300≤Z＜5000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76536FD0">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6DD2C4E2">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55D9445D">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Z＜300</w:t>
            </w:r>
          </w:p>
        </w:tc>
      </w:tr>
      <w:tr w14:paraId="0F750C23">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272F3A64">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4、批发业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18D8CA19">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20≤X＜200</w:t>
            </w:r>
          </w:p>
        </w:tc>
        <w:tc>
          <w:tcPr>
            <w:tcW w:w="1560" w:type="dxa"/>
            <w:tcBorders>
              <w:top w:val="single" w:color="000000" w:sz="4" w:space="0"/>
              <w:left w:val="single" w:color="000000" w:sz="4" w:space="0"/>
              <w:bottom w:val="single" w:color="000000" w:sz="4" w:space="0"/>
              <w:right w:val="single" w:color="000000" w:sz="4" w:space="0"/>
            </w:tcBorders>
            <w:vAlign w:val="bottom"/>
          </w:tcPr>
          <w:p w14:paraId="4E5FFAB8">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5000≤Y＜40000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12857051">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14671D92">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5≤X＜20</w:t>
            </w:r>
          </w:p>
        </w:tc>
        <w:tc>
          <w:tcPr>
            <w:tcW w:w="1500" w:type="dxa"/>
            <w:tcBorders>
              <w:top w:val="single" w:color="000000" w:sz="4" w:space="0"/>
              <w:left w:val="single" w:color="000000" w:sz="4" w:space="0"/>
              <w:bottom w:val="single" w:color="000000" w:sz="4" w:space="0"/>
              <w:right w:val="single" w:color="000000" w:sz="4" w:space="0"/>
            </w:tcBorders>
            <w:vAlign w:val="bottom"/>
          </w:tcPr>
          <w:p w14:paraId="5F704D69">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1000≤Y＜5000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7C639258">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34CDDFD3">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X＜5</w:t>
            </w:r>
          </w:p>
        </w:tc>
        <w:tc>
          <w:tcPr>
            <w:tcW w:w="1470" w:type="dxa"/>
            <w:tcBorders>
              <w:top w:val="single" w:color="000000" w:sz="4" w:space="0"/>
              <w:left w:val="single" w:color="000000" w:sz="4" w:space="0"/>
              <w:bottom w:val="single" w:color="000000" w:sz="4" w:space="0"/>
              <w:right w:val="single" w:color="000000" w:sz="4" w:space="0"/>
            </w:tcBorders>
            <w:vAlign w:val="bottom"/>
          </w:tcPr>
          <w:p w14:paraId="3B251F8D">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Y＜1000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70180347">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7CB8D940">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313A07F6">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5、零售业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535AFEA0">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50≤X＜300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5B4AF2CC">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6345CD4B">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2D02DAA7">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10≤X＜50</w:t>
            </w:r>
          </w:p>
        </w:tc>
        <w:tc>
          <w:tcPr>
            <w:tcW w:w="1500" w:type="dxa"/>
            <w:tcBorders>
              <w:top w:val="single" w:color="000000" w:sz="4" w:space="0"/>
              <w:left w:val="single" w:color="000000" w:sz="4" w:space="0"/>
              <w:bottom w:val="single" w:color="000000" w:sz="4" w:space="0"/>
              <w:right w:val="single" w:color="000000" w:sz="4" w:space="0"/>
            </w:tcBorders>
            <w:vAlign w:val="bottom"/>
          </w:tcPr>
          <w:p w14:paraId="63763BF9">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100≤Y＜500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CD8F601">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20A25271">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05359B2F">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C089F77">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7C607211">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4D813ED2">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6、交通运输业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5A732F91">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30DC18F0">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50B9014C">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4DC65D90">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01E2DF1E">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200≤Y＜3000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547C8841">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15A9776D">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1DC4162B">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V＜200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5973758B">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127B7475">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7D59574F">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7、仓储业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57BCCC6C">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100≤X＜200</w:t>
            </w:r>
          </w:p>
        </w:tc>
        <w:tc>
          <w:tcPr>
            <w:tcW w:w="1560" w:type="dxa"/>
            <w:tcBorders>
              <w:top w:val="single" w:color="000000" w:sz="4" w:space="0"/>
              <w:left w:val="single" w:color="000000" w:sz="4" w:space="0"/>
              <w:bottom w:val="single" w:color="000000" w:sz="4" w:space="0"/>
              <w:right w:val="single" w:color="000000" w:sz="4" w:space="0"/>
            </w:tcBorders>
            <w:vAlign w:val="bottom"/>
          </w:tcPr>
          <w:p w14:paraId="6E5736FB">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3A9A15F7">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25BF64FA">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492BFC37">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504FA6E2">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397D0D47">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4B344BEC">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2D68289">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7A8AB56B">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6D995551">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8、邮政业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781B9A52">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42808C1E">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64B03025">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02D28F0B">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24E4E475">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02BA6F0">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53C5DC47">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2BD04A80">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F416939">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37F8447A">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28BC3575">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9、住宿业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65F5D90F">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3974BB3B">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6465EBF2">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662D4306">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523ED4EF">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6C82E7B">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79E5877C">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3502C0F2">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0030EC7">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0E728C3F">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72BD828C">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10、餐饮业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1B52D207">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2145B40C">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479959A5">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7463C4BA">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7FEBFE54">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30D3C90">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4B047E93">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231CB48B">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V＜100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97A5AEE">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39CF5FAE">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133893D9">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11、信息传输业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424F5504">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100≤X＜2000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653203F9">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1000≤Y＜100000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4977C762">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62FBDFF9">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10B46D66">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6855F00E">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5CB14B5B">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052F0B21">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4EAE4571">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2B5682E2">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76F303E6">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12、软件和信息技术服务业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6DE09AC9">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6C57F300">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335AD11F">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74AFA9DC">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329A9B0E">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50≤Y＜1000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7A6E8A77">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33718F1B">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7896B859">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14:paraId="37DBBC06">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23DA665A">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2A66CAD2">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13、房地产开发经营</w:t>
            </w:r>
          </w:p>
        </w:tc>
        <w:tc>
          <w:tcPr>
            <w:tcW w:w="1320" w:type="dxa"/>
            <w:tcBorders>
              <w:top w:val="single" w:color="000000" w:sz="4" w:space="0"/>
              <w:left w:val="single" w:color="000000" w:sz="12" w:space="0"/>
              <w:bottom w:val="single" w:color="000000" w:sz="4" w:space="0"/>
              <w:right w:val="single" w:color="000000" w:sz="4" w:space="0"/>
            </w:tcBorders>
            <w:vAlign w:val="bottom"/>
          </w:tcPr>
          <w:p w14:paraId="6AF7569A">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6D347503">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1000≤Y＜200000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79A2BD12">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5000≤Z＜10000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246F7D02">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35BA2A61">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7C06F2C0">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2000≤Z＜5000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0FB89FE7">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097D4E18">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4FF65960">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Z＜2000</w:t>
            </w:r>
          </w:p>
        </w:tc>
      </w:tr>
      <w:tr w14:paraId="76D6DDAD">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33E109CD">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14、物业管理</w:t>
            </w:r>
          </w:p>
        </w:tc>
        <w:tc>
          <w:tcPr>
            <w:tcW w:w="1320" w:type="dxa"/>
            <w:tcBorders>
              <w:top w:val="single" w:color="000000" w:sz="4" w:space="0"/>
              <w:left w:val="single" w:color="000000" w:sz="12" w:space="0"/>
              <w:bottom w:val="single" w:color="000000" w:sz="4" w:space="0"/>
              <w:right w:val="single" w:color="000000" w:sz="4" w:space="0"/>
            </w:tcBorders>
            <w:vAlign w:val="bottom"/>
          </w:tcPr>
          <w:p w14:paraId="281D9EDE">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3231C055">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1000≤Y＜5000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77E5D805">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3FFDFAE3">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0AAF2D61">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500≤Y＜1000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1ECF69EC">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71CE01F4">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X＜100</w:t>
            </w:r>
          </w:p>
        </w:tc>
        <w:tc>
          <w:tcPr>
            <w:tcW w:w="1470" w:type="dxa"/>
            <w:tcBorders>
              <w:top w:val="single" w:color="000000" w:sz="4" w:space="0"/>
              <w:left w:val="single" w:color="000000" w:sz="4" w:space="0"/>
              <w:bottom w:val="single" w:color="000000" w:sz="4" w:space="0"/>
              <w:right w:val="single" w:color="000000" w:sz="4" w:space="0"/>
            </w:tcBorders>
            <w:vAlign w:val="bottom"/>
          </w:tcPr>
          <w:p w14:paraId="204DA802">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Y＜500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6CAE6475">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5E46B933">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277CAF80">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15、租赁和商务服务业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1A1DFA04">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1737F11D">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12" w:space="0"/>
            </w:tcBorders>
            <w:vAlign w:val="bottom"/>
          </w:tcPr>
          <w:p w14:paraId="096E9E5D">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8000≤Z＜120000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7F3A482E">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584B5A15">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12" w:space="0"/>
            </w:tcBorders>
            <w:vAlign w:val="bottom"/>
          </w:tcPr>
          <w:p w14:paraId="5AECA6DE">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100≤Z＜8000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26FCEA7B">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58DD10E7">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12" w:space="0"/>
            </w:tcBorders>
            <w:vAlign w:val="bottom"/>
          </w:tcPr>
          <w:p w14:paraId="528C77AE">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Z＜100</w:t>
            </w:r>
          </w:p>
        </w:tc>
      </w:tr>
      <w:tr w14:paraId="54A08570">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12" w:space="0"/>
              <w:right w:val="single" w:color="000000" w:sz="12" w:space="0"/>
            </w:tcBorders>
            <w:vAlign w:val="bottom"/>
          </w:tcPr>
          <w:p w14:paraId="003A5C3A">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16、其他未列明行业</w:t>
            </w:r>
          </w:p>
        </w:tc>
        <w:tc>
          <w:tcPr>
            <w:tcW w:w="1320" w:type="dxa"/>
            <w:tcBorders>
              <w:top w:val="single" w:color="000000" w:sz="4" w:space="0"/>
              <w:left w:val="single" w:color="000000" w:sz="12" w:space="0"/>
              <w:bottom w:val="single" w:color="000000" w:sz="12" w:space="0"/>
              <w:right w:val="single" w:color="000000" w:sz="4" w:space="0"/>
            </w:tcBorders>
            <w:vAlign w:val="bottom"/>
          </w:tcPr>
          <w:p w14:paraId="4BA367F1">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100≤X＜300</w:t>
            </w:r>
          </w:p>
        </w:tc>
        <w:tc>
          <w:tcPr>
            <w:tcW w:w="1560" w:type="dxa"/>
            <w:tcBorders>
              <w:top w:val="single" w:color="000000" w:sz="4" w:space="0"/>
              <w:left w:val="single" w:color="000000" w:sz="4" w:space="0"/>
              <w:bottom w:val="single" w:color="000000" w:sz="12" w:space="0"/>
              <w:right w:val="single" w:color="000000" w:sz="4" w:space="0"/>
            </w:tcBorders>
            <w:vAlign w:val="bottom"/>
          </w:tcPr>
          <w:p w14:paraId="4216DE9C">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500" w:type="dxa"/>
            <w:tcBorders>
              <w:top w:val="single" w:color="000000" w:sz="4" w:space="0"/>
              <w:left w:val="single" w:color="000000" w:sz="4" w:space="0"/>
              <w:bottom w:val="single" w:color="000000" w:sz="12" w:space="0"/>
              <w:right w:val="single" w:color="000000" w:sz="12" w:space="0"/>
            </w:tcBorders>
            <w:vAlign w:val="bottom"/>
          </w:tcPr>
          <w:p w14:paraId="5CBA7EEF">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12" w:space="0"/>
              <w:right w:val="single" w:color="000000" w:sz="4" w:space="0"/>
            </w:tcBorders>
            <w:vAlign w:val="bottom"/>
          </w:tcPr>
          <w:p w14:paraId="28ED9C46">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10≤X＜100</w:t>
            </w:r>
          </w:p>
        </w:tc>
        <w:tc>
          <w:tcPr>
            <w:tcW w:w="1500" w:type="dxa"/>
            <w:tcBorders>
              <w:top w:val="single" w:color="000000" w:sz="4" w:space="0"/>
              <w:left w:val="single" w:color="000000" w:sz="4" w:space="0"/>
              <w:bottom w:val="single" w:color="000000" w:sz="12" w:space="0"/>
              <w:right w:val="single" w:color="000000" w:sz="4" w:space="0"/>
            </w:tcBorders>
            <w:vAlign w:val="bottom"/>
          </w:tcPr>
          <w:p w14:paraId="5232E14B">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406" w:type="dxa"/>
            <w:tcBorders>
              <w:top w:val="single" w:color="000000" w:sz="4" w:space="0"/>
              <w:left w:val="single" w:color="000000" w:sz="4" w:space="0"/>
              <w:bottom w:val="single" w:color="000000" w:sz="12" w:space="0"/>
              <w:right w:val="single" w:color="000000" w:sz="12" w:space="0"/>
            </w:tcBorders>
            <w:vAlign w:val="bottom"/>
          </w:tcPr>
          <w:p w14:paraId="52F55D93">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12" w:space="0"/>
              <w:right w:val="single" w:color="000000" w:sz="4" w:space="0"/>
            </w:tcBorders>
            <w:vAlign w:val="bottom"/>
          </w:tcPr>
          <w:p w14:paraId="2DB177AD">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w:t>
            </w:r>
          </w:p>
        </w:tc>
        <w:tc>
          <w:tcPr>
            <w:tcW w:w="1470" w:type="dxa"/>
            <w:tcBorders>
              <w:top w:val="single" w:color="000000" w:sz="4" w:space="0"/>
              <w:left w:val="single" w:color="000000" w:sz="4" w:space="0"/>
              <w:bottom w:val="single" w:color="000000" w:sz="12" w:space="0"/>
              <w:right w:val="single" w:color="000000" w:sz="4" w:space="0"/>
            </w:tcBorders>
            <w:vAlign w:val="bottom"/>
          </w:tcPr>
          <w:p w14:paraId="4CD9BF23">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515" w:type="dxa"/>
            <w:tcBorders>
              <w:top w:val="single" w:color="000000" w:sz="4" w:space="0"/>
              <w:left w:val="single" w:color="000000" w:sz="4" w:space="0"/>
              <w:bottom w:val="single" w:color="000000" w:sz="12" w:space="0"/>
              <w:right w:val="single" w:color="000000" w:sz="12" w:space="0"/>
            </w:tcBorders>
            <w:vAlign w:val="bottom"/>
          </w:tcPr>
          <w:p w14:paraId="78038CCC">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bl>
    <w:p w14:paraId="0AF4F6C4">
      <w:pP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说明　1、企业类型的划分以统计部门的统计数据为依据。2、个体工商户和本规定以外的行业，参照本规定进行划型。3、本规定的中型企业标准上限即为大型企业标准的下限。</w:t>
      </w:r>
    </w:p>
    <w:p w14:paraId="3537157A">
      <w:pPr>
        <w:pStyle w:val="4"/>
        <w:spacing w:line="380" w:lineRule="exact"/>
        <w:rPr>
          <w:rFonts w:asciiTheme="minorEastAsia" w:hAnsiTheme="minorEastAsia" w:eastAsiaTheme="minorEastAsia"/>
          <w:color w:val="000000" w:themeColor="text1"/>
          <w:sz w:val="28"/>
          <w:szCs w:val="28"/>
          <w:highlight w:val="none"/>
          <w14:textFill>
            <w14:solidFill>
              <w14:schemeClr w14:val="tx1"/>
            </w14:solidFill>
          </w14:textFill>
        </w:rPr>
        <w:sectPr>
          <w:headerReference r:id="rId18" w:type="default"/>
          <w:pgSz w:w="16840" w:h="11907" w:orient="landscape"/>
          <w:pgMar w:top="1588" w:right="1304" w:bottom="1588" w:left="1304" w:header="720" w:footer="720" w:gutter="0"/>
          <w:cols w:space="720" w:num="1"/>
          <w:docGrid w:linePitch="285" w:charSpace="0"/>
        </w:sectPr>
      </w:pPr>
    </w:p>
    <w:p w14:paraId="02A46191">
      <w:pPr>
        <w:pStyle w:val="3"/>
        <w:spacing w:line="380" w:lineRule="exact"/>
        <w:rPr>
          <w:rFonts w:asciiTheme="minorEastAsia" w:hAnsiTheme="minorEastAsia" w:eastAsiaTheme="minorEastAsia"/>
          <w:color w:val="000000" w:themeColor="text1"/>
          <w:sz w:val="24"/>
          <w:szCs w:val="24"/>
          <w:highlight w:val="none"/>
          <w14:textFill>
            <w14:solidFill>
              <w14:schemeClr w14:val="tx1"/>
            </w14:solidFill>
          </w14:textFill>
        </w:rPr>
      </w:pPr>
    </w:p>
    <w:p w14:paraId="43E1D076">
      <w:pPr>
        <w:pStyle w:val="3"/>
        <w:spacing w:line="380" w:lineRule="exact"/>
        <w:jc w:val="both"/>
        <w:rPr>
          <w:rFonts w:asciiTheme="minorEastAsia" w:hAnsiTheme="minorEastAsia" w:eastAsiaTheme="minorEastAsia"/>
          <w:color w:val="000000" w:themeColor="text1"/>
          <w:sz w:val="24"/>
          <w:szCs w:val="24"/>
          <w:highlight w:val="none"/>
          <w14:textFill>
            <w14:solidFill>
              <w14:schemeClr w14:val="tx1"/>
            </w14:solidFill>
          </w14:textFill>
        </w:rPr>
      </w:pPr>
      <w:bookmarkStart w:id="189" w:name="_Toc23333"/>
      <w:bookmarkStart w:id="190" w:name="_Toc136017671"/>
      <w:bookmarkStart w:id="191" w:name="_Toc136345132"/>
      <w:r>
        <w:rPr>
          <w:rFonts w:hint="eastAsia" w:asciiTheme="minorEastAsia" w:hAnsiTheme="minorEastAsia" w:eastAsiaTheme="minorEastAsia"/>
          <w:color w:val="000000" w:themeColor="text1"/>
          <w:sz w:val="24"/>
          <w:szCs w:val="24"/>
          <w:highlight w:val="none"/>
          <w14:textFill>
            <w14:solidFill>
              <w14:schemeClr w14:val="tx1"/>
            </w14:solidFill>
          </w14:textFill>
        </w:rPr>
        <w:t>附件2              残疾人福利性单位声明函（如有需提供）</w:t>
      </w:r>
      <w:bookmarkEnd w:id="189"/>
      <w:bookmarkEnd w:id="190"/>
      <w:bookmarkEnd w:id="191"/>
    </w:p>
    <w:p w14:paraId="277EFA56">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p>
    <w:p w14:paraId="7C17DFA3">
      <w:pPr>
        <w:spacing w:line="588"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C5378D0">
      <w:pPr>
        <w:spacing w:line="588"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本单位对上述声明的真实性负责。如有虚假，将依法承担相应责任。</w:t>
      </w:r>
    </w:p>
    <w:p w14:paraId="6E1AA1F1">
      <w:pPr>
        <w:tabs>
          <w:tab w:val="left" w:pos="4860"/>
        </w:tabs>
        <w:spacing w:line="588" w:lineRule="exact"/>
        <w:ind w:right="1560" w:firstLine="420" w:firstLineChars="200"/>
        <w:jc w:val="center"/>
        <w:rPr>
          <w:rFonts w:asciiTheme="minorEastAsia" w:hAnsiTheme="minorEastAsia" w:eastAsiaTheme="minorEastAsia"/>
          <w:color w:val="000000" w:themeColor="text1"/>
          <w:szCs w:val="21"/>
          <w:highlight w:val="none"/>
          <w14:textFill>
            <w14:solidFill>
              <w14:schemeClr w14:val="tx1"/>
            </w14:solidFill>
          </w14:textFill>
        </w:rPr>
      </w:pPr>
    </w:p>
    <w:p w14:paraId="482958CF">
      <w:pPr>
        <w:tabs>
          <w:tab w:val="left" w:pos="4860"/>
        </w:tabs>
        <w:spacing w:line="588" w:lineRule="exact"/>
        <w:ind w:right="1560" w:firstLine="420" w:firstLineChars="20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               单位名称（公章）：</w:t>
      </w:r>
    </w:p>
    <w:p w14:paraId="65C083D4">
      <w:pPr>
        <w:spacing w:line="38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                                   日  期：</w:t>
      </w:r>
    </w:p>
    <w:p w14:paraId="786F6A83">
      <w:pPr>
        <w:spacing w:line="400" w:lineRule="exact"/>
        <w:ind w:firstLine="422" w:firstLineChars="200"/>
        <w:rPr>
          <w:rFonts w:asciiTheme="minorEastAsia" w:hAnsiTheme="minorEastAsia" w:eastAsiaTheme="minorEastAsia"/>
          <w:b/>
          <w:color w:val="000000" w:themeColor="text1"/>
          <w:szCs w:val="21"/>
          <w:highlight w:val="none"/>
          <w14:textFill>
            <w14:solidFill>
              <w14:schemeClr w14:val="tx1"/>
            </w14:solidFill>
          </w14:textFill>
        </w:rPr>
      </w:pPr>
    </w:p>
    <w:p w14:paraId="4A71F35E">
      <w:pPr>
        <w:spacing w:line="400" w:lineRule="exact"/>
        <w:ind w:firstLine="422" w:firstLineChars="200"/>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注：</w:t>
      </w:r>
    </w:p>
    <w:p w14:paraId="290C901F">
      <w:pPr>
        <w:spacing w:line="400" w:lineRule="exact"/>
        <w:ind w:firstLine="422" w:firstLineChars="200"/>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享受政府采购支持政策的残疾人福利性单位应当同时满足以下条件：</w:t>
      </w:r>
    </w:p>
    <w:p w14:paraId="250EB975">
      <w:pPr>
        <w:spacing w:line="400" w:lineRule="exact"/>
        <w:ind w:firstLine="422" w:firstLineChars="200"/>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（一）安置的残疾人占本单位在职职工人数的比例不低于</w:t>
      </w:r>
      <w:r>
        <w:rPr>
          <w:rFonts w:asciiTheme="minorEastAsia" w:hAnsiTheme="minorEastAsia" w:eastAsiaTheme="minorEastAsia"/>
          <w:b/>
          <w:color w:val="000000" w:themeColor="text1"/>
          <w:szCs w:val="21"/>
          <w:highlight w:val="none"/>
          <w14:textFill>
            <w14:solidFill>
              <w14:schemeClr w14:val="tx1"/>
            </w14:solidFill>
          </w14:textFill>
        </w:rPr>
        <w:t>25%</w:t>
      </w:r>
      <w:r>
        <w:rPr>
          <w:rFonts w:hint="eastAsia" w:asciiTheme="minorEastAsia" w:hAnsiTheme="minorEastAsia" w:eastAsiaTheme="minorEastAsia"/>
          <w:b/>
          <w:color w:val="000000" w:themeColor="text1"/>
          <w:szCs w:val="21"/>
          <w:highlight w:val="none"/>
          <w14:textFill>
            <w14:solidFill>
              <w14:schemeClr w14:val="tx1"/>
            </w14:solidFill>
          </w14:textFill>
        </w:rPr>
        <w:t>（含</w:t>
      </w:r>
      <w:r>
        <w:rPr>
          <w:rFonts w:asciiTheme="minorEastAsia" w:hAnsiTheme="minorEastAsia" w:eastAsiaTheme="minorEastAsia"/>
          <w:b/>
          <w:color w:val="000000" w:themeColor="text1"/>
          <w:szCs w:val="21"/>
          <w:highlight w:val="none"/>
          <w14:textFill>
            <w14:solidFill>
              <w14:schemeClr w14:val="tx1"/>
            </w14:solidFill>
          </w14:textFill>
        </w:rPr>
        <w:t>25%</w:t>
      </w:r>
      <w:r>
        <w:rPr>
          <w:rFonts w:hint="eastAsia" w:asciiTheme="minorEastAsia" w:hAnsiTheme="minorEastAsia" w:eastAsiaTheme="minorEastAsia"/>
          <w:b/>
          <w:color w:val="000000" w:themeColor="text1"/>
          <w:szCs w:val="21"/>
          <w:highlight w:val="none"/>
          <w14:textFill>
            <w14:solidFill>
              <w14:schemeClr w14:val="tx1"/>
            </w14:solidFill>
          </w14:textFill>
        </w:rPr>
        <w:t>），并且安置的残疾人人数不少于</w:t>
      </w:r>
      <w:r>
        <w:rPr>
          <w:rFonts w:asciiTheme="minorEastAsia" w:hAnsiTheme="minorEastAsia" w:eastAsiaTheme="minorEastAsia"/>
          <w:b/>
          <w:color w:val="000000" w:themeColor="text1"/>
          <w:szCs w:val="21"/>
          <w:highlight w:val="none"/>
          <w14:textFill>
            <w14:solidFill>
              <w14:schemeClr w14:val="tx1"/>
            </w14:solidFill>
          </w14:textFill>
        </w:rPr>
        <w:t>10</w:t>
      </w:r>
      <w:r>
        <w:rPr>
          <w:rFonts w:hint="eastAsia" w:asciiTheme="minorEastAsia" w:hAnsiTheme="minorEastAsia" w:eastAsiaTheme="minorEastAsia"/>
          <w:b/>
          <w:color w:val="000000" w:themeColor="text1"/>
          <w:szCs w:val="21"/>
          <w:highlight w:val="none"/>
          <w14:textFill>
            <w14:solidFill>
              <w14:schemeClr w14:val="tx1"/>
            </w14:solidFill>
          </w14:textFill>
        </w:rPr>
        <w:t>人（含</w:t>
      </w:r>
      <w:r>
        <w:rPr>
          <w:rFonts w:asciiTheme="minorEastAsia" w:hAnsiTheme="minorEastAsia" w:eastAsiaTheme="minorEastAsia"/>
          <w:b/>
          <w:color w:val="000000" w:themeColor="text1"/>
          <w:szCs w:val="21"/>
          <w:highlight w:val="none"/>
          <w14:textFill>
            <w14:solidFill>
              <w14:schemeClr w14:val="tx1"/>
            </w14:solidFill>
          </w14:textFill>
        </w:rPr>
        <w:t>10</w:t>
      </w:r>
      <w:r>
        <w:rPr>
          <w:rFonts w:hint="eastAsia" w:asciiTheme="minorEastAsia" w:hAnsiTheme="minorEastAsia" w:eastAsiaTheme="minorEastAsia"/>
          <w:b/>
          <w:color w:val="000000" w:themeColor="text1"/>
          <w:szCs w:val="21"/>
          <w:highlight w:val="none"/>
          <w14:textFill>
            <w14:solidFill>
              <w14:schemeClr w14:val="tx1"/>
            </w14:solidFill>
          </w14:textFill>
        </w:rPr>
        <w:t>人）；</w:t>
      </w:r>
    </w:p>
    <w:p w14:paraId="6A890B93">
      <w:pPr>
        <w:spacing w:line="400" w:lineRule="exact"/>
        <w:ind w:firstLine="422" w:firstLineChars="200"/>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（二）依法与安置的每位残疾人签订了一年以上（含一年）的劳动合同或服务协议；</w:t>
      </w:r>
    </w:p>
    <w:p w14:paraId="284CF277">
      <w:pPr>
        <w:spacing w:line="400" w:lineRule="exact"/>
        <w:ind w:firstLine="422" w:firstLineChars="200"/>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（三）为安置的每位残疾人按月足额缴纳了基本养老保险、基本医疗保险、失业保险、工伤保险和生育保险等社会保险费；</w:t>
      </w:r>
    </w:p>
    <w:p w14:paraId="550A281D">
      <w:pPr>
        <w:spacing w:line="400" w:lineRule="exact"/>
        <w:ind w:firstLine="422" w:firstLineChars="200"/>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（四）通过银行等金融机构向安置的每位残疾人，按月支付了不低于单位所在区县适用的经省级人民政府批准的月最低工资标准的工资；</w:t>
      </w:r>
    </w:p>
    <w:p w14:paraId="4ED471FF">
      <w:pPr>
        <w:spacing w:line="400" w:lineRule="exact"/>
        <w:ind w:firstLine="422" w:firstLineChars="200"/>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49EC6E4A">
      <w:pPr>
        <w:spacing w:line="380" w:lineRule="exact"/>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前款所称残疾人是指法定劳动年龄内，持有《中华人民共和国残疾人证》或者《中华人民共和国残疾军人证（</w:t>
      </w:r>
      <w:r>
        <w:rPr>
          <w:rFonts w:asciiTheme="minorEastAsia" w:hAnsiTheme="minorEastAsia" w:eastAsiaTheme="minorEastAsia"/>
          <w:b/>
          <w:color w:val="000000" w:themeColor="text1"/>
          <w:szCs w:val="21"/>
          <w:highlight w:val="none"/>
          <w14:textFill>
            <w14:solidFill>
              <w14:schemeClr w14:val="tx1"/>
            </w14:solidFill>
          </w14:textFill>
        </w:rPr>
        <w:t>1</w:t>
      </w:r>
      <w:r>
        <w:rPr>
          <w:rFonts w:hint="eastAsia" w:asciiTheme="minorEastAsia" w:hAnsiTheme="minorEastAsia" w:eastAsiaTheme="minorEastAsia"/>
          <w:b/>
          <w:color w:val="000000" w:themeColor="text1"/>
          <w:szCs w:val="21"/>
          <w:highlight w:val="none"/>
          <w14:textFill>
            <w14:solidFill>
              <w14:schemeClr w14:val="tx1"/>
            </w14:solidFill>
          </w14:textFill>
        </w:rPr>
        <w:t>至</w:t>
      </w:r>
      <w:r>
        <w:rPr>
          <w:rFonts w:asciiTheme="minorEastAsia" w:hAnsiTheme="minorEastAsia" w:eastAsiaTheme="minorEastAsia"/>
          <w:b/>
          <w:color w:val="000000" w:themeColor="text1"/>
          <w:szCs w:val="21"/>
          <w:highlight w:val="none"/>
          <w14:textFill>
            <w14:solidFill>
              <w14:schemeClr w14:val="tx1"/>
            </w14:solidFill>
          </w14:textFill>
        </w:rPr>
        <w:t>8</w:t>
      </w:r>
      <w:r>
        <w:rPr>
          <w:rFonts w:hint="eastAsia" w:asciiTheme="minorEastAsia" w:hAnsiTheme="minorEastAsia" w:eastAsiaTheme="minorEastAsia"/>
          <w:b/>
          <w:color w:val="000000" w:themeColor="text1"/>
          <w:szCs w:val="21"/>
          <w:highlight w:val="none"/>
          <w14:textFill>
            <w14:solidFill>
              <w14:schemeClr w14:val="tx1"/>
            </w14:solidFill>
          </w14:textFill>
        </w:rPr>
        <w:t>级）》的自然人，包括具有劳动条件和劳动意愿的精神残疾人。在职职工人数是指与残疾人福利性单位建立劳动关系并依法签订劳动合同或者服务协议的雇员人数。</w:t>
      </w:r>
    </w:p>
    <w:p w14:paraId="3342E440">
      <w:pPr>
        <w:pStyle w:val="3"/>
        <w:spacing w:line="380" w:lineRule="exact"/>
        <w:rPr>
          <w:rFonts w:asciiTheme="minorEastAsia" w:hAnsiTheme="minorEastAsia" w:eastAsiaTheme="minorEastAsia"/>
          <w:bCs w:val="0"/>
          <w:color w:val="000000" w:themeColor="text1"/>
          <w:sz w:val="24"/>
          <w:szCs w:val="24"/>
          <w:highlight w:val="none"/>
          <w14:textFill>
            <w14:solidFill>
              <w14:schemeClr w14:val="tx1"/>
            </w14:solidFill>
          </w14:textFill>
        </w:rPr>
      </w:pPr>
    </w:p>
    <w:p w14:paraId="4F6D47C9">
      <w:pPr>
        <w:widowControl/>
        <w:spacing w:line="360" w:lineRule="auto"/>
        <w:ind w:firstLine="420" w:firstLineChars="20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p>
    <w:p w14:paraId="582B2D8B">
      <w:pPr>
        <w:pStyle w:val="2"/>
        <w:spacing w:before="240" w:after="240"/>
        <w:rPr>
          <w:color w:val="000000" w:themeColor="text1"/>
          <w:highlight w:val="none"/>
          <w14:textFill>
            <w14:solidFill>
              <w14:schemeClr w14:val="tx1"/>
            </w14:solidFill>
          </w14:textFill>
        </w:rPr>
      </w:pPr>
    </w:p>
    <w:p w14:paraId="714A7520">
      <w:pPr>
        <w:rPr>
          <w:color w:val="000000" w:themeColor="text1"/>
          <w:highlight w:val="none"/>
          <w14:textFill>
            <w14:solidFill>
              <w14:schemeClr w14:val="tx1"/>
            </w14:solidFill>
          </w14:textFill>
        </w:rPr>
      </w:pPr>
    </w:p>
    <w:p w14:paraId="385FC826">
      <w:pPr>
        <w:pStyle w:val="2"/>
        <w:spacing w:before="240" w:after="240"/>
        <w:rPr>
          <w:color w:val="000000" w:themeColor="text1"/>
          <w:highlight w:val="none"/>
          <w14:textFill>
            <w14:solidFill>
              <w14:schemeClr w14:val="tx1"/>
            </w14:solidFill>
          </w14:textFill>
        </w:rPr>
      </w:pPr>
    </w:p>
    <w:sectPr>
      <w:headerReference r:id="rId19" w:type="default"/>
      <w:pgSz w:w="11907" w:h="16840"/>
      <w:pgMar w:top="1304" w:right="1588" w:bottom="1418" w:left="1588"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E5251">
    <w:pPr>
      <w:pStyle w:val="2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FE7E">
    <w:pPr>
      <w:pStyle w:val="23"/>
      <w:jc w:val="center"/>
    </w:pPr>
    <w:r>
      <w:fldChar w:fldCharType="begin"/>
    </w:r>
    <w:r>
      <w:instrText xml:space="preserve"> PAGE   \* MERGEFORMAT </w:instrText>
    </w:r>
    <w:r>
      <w:fldChar w:fldCharType="separate"/>
    </w:r>
    <w:r>
      <w:rPr>
        <w:lang w:val="zh-CN"/>
      </w:rPr>
      <w:t>9</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35842"/>
    </w:sdtPr>
    <w:sdtContent>
      <w:p w14:paraId="2CFB7D92">
        <w:pPr>
          <w:pStyle w:val="23"/>
          <w:jc w:val="center"/>
        </w:pPr>
        <w:r>
          <w:fldChar w:fldCharType="begin"/>
        </w:r>
        <w:r>
          <w:instrText xml:space="preserve"> PAGE   \* MERGEFORMAT </w:instrText>
        </w:r>
        <w:r>
          <w:fldChar w:fldCharType="separate"/>
        </w:r>
        <w:r>
          <w:rPr>
            <w:lang w:val="zh-CN"/>
          </w:rPr>
          <w:t>32</w:t>
        </w:r>
        <w:r>
          <w:rPr>
            <w:lang w:val="zh-CN"/>
          </w:rPr>
          <w:fldChar w:fldCharType="end"/>
        </w:r>
      </w:p>
    </w:sdtContent>
  </w:sdt>
  <w:p w14:paraId="229465B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2A390">
    <w:pPr>
      <w:pStyle w:val="2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769CB">
    <w:pPr>
      <w:rPr>
        <w:u w:val="single"/>
      </w:rPr>
    </w:pPr>
    <w:r>
      <w:rPr>
        <w:rFonts w:hint="eastAsia"/>
        <w:u w:val="single"/>
      </w:rPr>
      <w:t>政府采购公开招标招标文件                                                 合同格式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F542E">
    <w:pPr>
      <w:rPr>
        <w:u w:val="single"/>
      </w:rPr>
    </w:pPr>
    <w:r>
      <w:rPr>
        <w:rFonts w:hint="eastAsia"/>
        <w:u w:val="single"/>
      </w:rPr>
      <w:t>政府采购公开招标招标文件                                               投标文件格式</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B3F87">
    <w:pPr>
      <w:pStyle w:val="24"/>
      <w:jc w:val="both"/>
      <w:rPr>
        <w:sz w:val="21"/>
        <w:szCs w:val="21"/>
      </w:rPr>
    </w:pPr>
    <w:r>
      <w:rPr>
        <w:rFonts w:hint="eastAsia"/>
        <w:sz w:val="21"/>
        <w:szCs w:val="21"/>
      </w:rPr>
      <w:t>政府采购公开招标招标文件                                               投标文件格式</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34A44">
    <w:pPr>
      <w:rPr>
        <w:u w:val="single"/>
      </w:rPr>
    </w:pPr>
    <w:r>
      <w:rPr>
        <w:rFonts w:hint="eastAsia"/>
        <w:u w:val="single"/>
      </w:rPr>
      <w:t>政府采购公开招标招标文件                                                                                                   投标文件格式</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DF4D2">
    <w:pPr>
      <w:rPr>
        <w:u w:val="single"/>
      </w:rPr>
    </w:pPr>
    <w:r>
      <w:rPr>
        <w:rFonts w:hint="eastAsia"/>
        <w:u w:val="single"/>
      </w:rPr>
      <w:t>政府采购公开招标招标文件                                               投标文件格式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EB8E6">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3F5CB">
    <w:pPr>
      <w:pStyle w:val="24"/>
      <w:jc w:val="both"/>
      <w:rPr>
        <w:sz w:val="21"/>
        <w:szCs w:val="21"/>
      </w:rPr>
    </w:pPr>
    <w:r>
      <w:rPr>
        <w:rFonts w:hint="eastAsia"/>
        <w:sz w:val="21"/>
        <w:szCs w:val="21"/>
      </w:rPr>
      <w:t>政府采购国内公开招标文件合同格式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70E2B">
    <w:pPr>
      <w:rPr>
        <w:u w:val="single"/>
      </w:rPr>
    </w:pPr>
    <w:r>
      <w:rPr>
        <w:rFonts w:hint="eastAsia"/>
        <w:u w:val="single"/>
      </w:rPr>
      <w:t>政府采购公开招标招标文件                                                 采购公告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50A64">
    <w:pPr>
      <w:rPr>
        <w:rFonts w:hint="default" w:eastAsia="宋体"/>
        <w:u w:val="single"/>
        <w:lang w:val="en-US" w:eastAsia="zh-CN"/>
      </w:rPr>
    </w:pPr>
    <w:r>
      <w:rPr>
        <w:rFonts w:hint="eastAsia"/>
        <w:u w:val="single"/>
      </w:rPr>
      <w:t xml:space="preserve">政府采购公开招标招标文件                                             </w:t>
    </w:r>
    <w:r>
      <w:rPr>
        <w:rFonts w:hint="eastAsia"/>
        <w:u w:val="single"/>
        <w:lang w:val="en-US" w:eastAsia="zh-CN"/>
      </w:rPr>
      <w:t>招标项目需求</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B026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0C882">
    <w:pPr>
      <w:rPr>
        <w:u w:val="single"/>
      </w:rPr>
    </w:pPr>
    <w:r>
      <w:rPr>
        <w:rFonts w:hint="eastAsia"/>
        <w:u w:val="single"/>
      </w:rPr>
      <w:t>政府采购公开招标招标文件                                               投标资料表</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DEFAE">
    <w:pPr>
      <w:rPr>
        <w:u w:val="single"/>
      </w:rPr>
    </w:pPr>
    <w:r>
      <w:rPr>
        <w:rFonts w:hint="eastAsia"/>
        <w:u w:val="single"/>
      </w:rPr>
      <w:t>政府采购公开招标招标文件                                               投标人须知</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36DCE">
    <w:pPr>
      <w:rPr>
        <w:u w:val="single"/>
      </w:rPr>
    </w:pPr>
    <w:r>
      <w:rPr>
        <w:rFonts w:hint="eastAsia"/>
        <w:u w:val="single"/>
      </w:rPr>
      <w:t>政府采购公开招标招标文件                                                 评分办法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C9C52"/>
    <w:multiLevelType w:val="singleLevel"/>
    <w:tmpl w:val="814C9C52"/>
    <w:lvl w:ilvl="0" w:tentative="0">
      <w:start w:val="3"/>
      <w:numFmt w:val="chineseCounting"/>
      <w:suff w:val="nothing"/>
      <w:lvlText w:val="%1、"/>
      <w:lvlJc w:val="left"/>
      <w:rPr>
        <w:rFonts w:hint="eastAsia"/>
      </w:rPr>
    </w:lvl>
  </w:abstractNum>
  <w:abstractNum w:abstractNumId="1">
    <w:nsid w:val="D2A5D118"/>
    <w:multiLevelType w:val="singleLevel"/>
    <w:tmpl w:val="D2A5D118"/>
    <w:lvl w:ilvl="0" w:tentative="0">
      <w:start w:val="2"/>
      <w:numFmt w:val="decimal"/>
      <w:suff w:val="nothing"/>
      <w:lvlText w:val="%1．"/>
      <w:lvlJc w:val="left"/>
    </w:lvl>
  </w:abstractNum>
  <w:abstractNum w:abstractNumId="2">
    <w:nsid w:val="DB02A339"/>
    <w:multiLevelType w:val="singleLevel"/>
    <w:tmpl w:val="DB02A339"/>
    <w:lvl w:ilvl="0" w:tentative="0">
      <w:start w:val="2"/>
      <w:numFmt w:val="decimal"/>
      <w:suff w:val="nothing"/>
      <w:lvlText w:val="（%1）"/>
      <w:lvlJc w:val="left"/>
    </w:lvl>
  </w:abstractNum>
  <w:abstractNum w:abstractNumId="3">
    <w:nsid w:val="00000020"/>
    <w:multiLevelType w:val="singleLevel"/>
    <w:tmpl w:val="00000020"/>
    <w:lvl w:ilvl="0" w:tentative="0">
      <w:start w:val="1"/>
      <w:numFmt w:val="chineseCounting"/>
      <w:suff w:val="nothing"/>
      <w:lvlText w:val="（%1）"/>
      <w:lvlJc w:val="left"/>
    </w:lvl>
  </w:abstractNum>
  <w:abstractNum w:abstractNumId="4">
    <w:nsid w:val="13305CFE"/>
    <w:multiLevelType w:val="multilevel"/>
    <w:tmpl w:val="13305C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B5F78C6"/>
    <w:multiLevelType w:val="multilevel"/>
    <w:tmpl w:val="3B5F78C6"/>
    <w:lvl w:ilvl="0" w:tentative="0">
      <w:start w:val="1"/>
      <w:numFmt w:val="decimal"/>
      <w:lvlText w:val="（%1）"/>
      <w:lvlJc w:val="left"/>
      <w:pPr>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53F87E5"/>
    <w:multiLevelType w:val="singleLevel"/>
    <w:tmpl w:val="653F87E5"/>
    <w:lvl w:ilvl="0" w:tentative="0">
      <w:start w:val="1"/>
      <w:numFmt w:val="decimal"/>
      <w:suff w:val="nothing"/>
      <w:lvlText w:val="%1、"/>
      <w:lvlJc w:val="left"/>
    </w:lvl>
  </w:abstractNum>
  <w:abstractNum w:abstractNumId="7">
    <w:nsid w:val="7A68BAFA"/>
    <w:multiLevelType w:val="singleLevel"/>
    <w:tmpl w:val="7A68BAFA"/>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 w:numId="5">
    <w:abstractNumId w:val="7"/>
  </w:num>
  <w:num w:numId="6">
    <w:abstractNumId w:val="6"/>
  </w:num>
  <w:num w:numId="7">
    <w:abstractNumId w:val="4"/>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Yzg4OGE1MTY2MzcwZTdiNzEzNzA3MzcxNjdmNGUifQ=="/>
  </w:docVars>
  <w:rsids>
    <w:rsidRoot w:val="00172A27"/>
    <w:rsid w:val="0000154C"/>
    <w:rsid w:val="000026B7"/>
    <w:rsid w:val="00002A2A"/>
    <w:rsid w:val="000033D9"/>
    <w:rsid w:val="000038FC"/>
    <w:rsid w:val="000059B7"/>
    <w:rsid w:val="0000638F"/>
    <w:rsid w:val="00006413"/>
    <w:rsid w:val="00006955"/>
    <w:rsid w:val="00007EB7"/>
    <w:rsid w:val="0001295F"/>
    <w:rsid w:val="00014CB0"/>
    <w:rsid w:val="00014F3E"/>
    <w:rsid w:val="0001514B"/>
    <w:rsid w:val="00015180"/>
    <w:rsid w:val="0001522C"/>
    <w:rsid w:val="0001578F"/>
    <w:rsid w:val="00016B63"/>
    <w:rsid w:val="00016FB3"/>
    <w:rsid w:val="000176A0"/>
    <w:rsid w:val="00020537"/>
    <w:rsid w:val="000207EE"/>
    <w:rsid w:val="00020F9A"/>
    <w:rsid w:val="00022DBD"/>
    <w:rsid w:val="0002342D"/>
    <w:rsid w:val="00023F09"/>
    <w:rsid w:val="0002496A"/>
    <w:rsid w:val="00024DDD"/>
    <w:rsid w:val="00025826"/>
    <w:rsid w:val="000261D4"/>
    <w:rsid w:val="000270E0"/>
    <w:rsid w:val="00027FD3"/>
    <w:rsid w:val="0003107C"/>
    <w:rsid w:val="0003280D"/>
    <w:rsid w:val="00032902"/>
    <w:rsid w:val="00032AB1"/>
    <w:rsid w:val="00033FCA"/>
    <w:rsid w:val="0003457C"/>
    <w:rsid w:val="000364B5"/>
    <w:rsid w:val="00037B77"/>
    <w:rsid w:val="000407DB"/>
    <w:rsid w:val="000435FF"/>
    <w:rsid w:val="00044026"/>
    <w:rsid w:val="00045BF5"/>
    <w:rsid w:val="0004663F"/>
    <w:rsid w:val="000516E1"/>
    <w:rsid w:val="00051830"/>
    <w:rsid w:val="000533FA"/>
    <w:rsid w:val="0005540C"/>
    <w:rsid w:val="00055E8C"/>
    <w:rsid w:val="00055EEA"/>
    <w:rsid w:val="00057A4B"/>
    <w:rsid w:val="00057C77"/>
    <w:rsid w:val="00060096"/>
    <w:rsid w:val="00061107"/>
    <w:rsid w:val="00062360"/>
    <w:rsid w:val="00062718"/>
    <w:rsid w:val="00062DAC"/>
    <w:rsid w:val="00063818"/>
    <w:rsid w:val="00063B83"/>
    <w:rsid w:val="00063DC0"/>
    <w:rsid w:val="000652EC"/>
    <w:rsid w:val="00066197"/>
    <w:rsid w:val="000667AC"/>
    <w:rsid w:val="000667E6"/>
    <w:rsid w:val="00067049"/>
    <w:rsid w:val="00067545"/>
    <w:rsid w:val="000678E6"/>
    <w:rsid w:val="00067BEE"/>
    <w:rsid w:val="00071A90"/>
    <w:rsid w:val="000729D5"/>
    <w:rsid w:val="00073E03"/>
    <w:rsid w:val="00080353"/>
    <w:rsid w:val="000806C0"/>
    <w:rsid w:val="00080713"/>
    <w:rsid w:val="000811E6"/>
    <w:rsid w:val="000818C4"/>
    <w:rsid w:val="0008191D"/>
    <w:rsid w:val="00082A4E"/>
    <w:rsid w:val="00082CDD"/>
    <w:rsid w:val="00083803"/>
    <w:rsid w:val="00083FC6"/>
    <w:rsid w:val="00084B92"/>
    <w:rsid w:val="00084EE6"/>
    <w:rsid w:val="00086FC5"/>
    <w:rsid w:val="00087328"/>
    <w:rsid w:val="00090A64"/>
    <w:rsid w:val="00090FAB"/>
    <w:rsid w:val="00091070"/>
    <w:rsid w:val="00091E8C"/>
    <w:rsid w:val="00093976"/>
    <w:rsid w:val="00094113"/>
    <w:rsid w:val="00094656"/>
    <w:rsid w:val="00094A54"/>
    <w:rsid w:val="00094AD7"/>
    <w:rsid w:val="00095780"/>
    <w:rsid w:val="00096B3E"/>
    <w:rsid w:val="000973AA"/>
    <w:rsid w:val="0009789A"/>
    <w:rsid w:val="00097D71"/>
    <w:rsid w:val="000A07DC"/>
    <w:rsid w:val="000A0861"/>
    <w:rsid w:val="000A0CAD"/>
    <w:rsid w:val="000A1C2F"/>
    <w:rsid w:val="000A386A"/>
    <w:rsid w:val="000A4F52"/>
    <w:rsid w:val="000A51AC"/>
    <w:rsid w:val="000A778E"/>
    <w:rsid w:val="000A7953"/>
    <w:rsid w:val="000B0372"/>
    <w:rsid w:val="000B20FA"/>
    <w:rsid w:val="000B2452"/>
    <w:rsid w:val="000B2CD2"/>
    <w:rsid w:val="000B37C5"/>
    <w:rsid w:val="000B380B"/>
    <w:rsid w:val="000B4340"/>
    <w:rsid w:val="000B6CB5"/>
    <w:rsid w:val="000C02D0"/>
    <w:rsid w:val="000C05C2"/>
    <w:rsid w:val="000C189C"/>
    <w:rsid w:val="000C213B"/>
    <w:rsid w:val="000C3E90"/>
    <w:rsid w:val="000C5CF1"/>
    <w:rsid w:val="000C5D8A"/>
    <w:rsid w:val="000C6B2B"/>
    <w:rsid w:val="000C7390"/>
    <w:rsid w:val="000D1E32"/>
    <w:rsid w:val="000D1F67"/>
    <w:rsid w:val="000D3D09"/>
    <w:rsid w:val="000D4C59"/>
    <w:rsid w:val="000D54FF"/>
    <w:rsid w:val="000D62AB"/>
    <w:rsid w:val="000D68F1"/>
    <w:rsid w:val="000D6D10"/>
    <w:rsid w:val="000D7878"/>
    <w:rsid w:val="000E0C2E"/>
    <w:rsid w:val="000E0D05"/>
    <w:rsid w:val="000E0D25"/>
    <w:rsid w:val="000E1023"/>
    <w:rsid w:val="000E1097"/>
    <w:rsid w:val="000E269D"/>
    <w:rsid w:val="000E449E"/>
    <w:rsid w:val="000E5C6B"/>
    <w:rsid w:val="000E6C56"/>
    <w:rsid w:val="000E7057"/>
    <w:rsid w:val="000E77A1"/>
    <w:rsid w:val="000F0DA1"/>
    <w:rsid w:val="000F0F6F"/>
    <w:rsid w:val="000F16E8"/>
    <w:rsid w:val="000F1B10"/>
    <w:rsid w:val="000F4C08"/>
    <w:rsid w:val="000F4F74"/>
    <w:rsid w:val="000F5518"/>
    <w:rsid w:val="000F57BD"/>
    <w:rsid w:val="000F5E42"/>
    <w:rsid w:val="000F5E86"/>
    <w:rsid w:val="000F721F"/>
    <w:rsid w:val="000F78A0"/>
    <w:rsid w:val="000F798A"/>
    <w:rsid w:val="0010043B"/>
    <w:rsid w:val="0010075F"/>
    <w:rsid w:val="00100AEF"/>
    <w:rsid w:val="00100B95"/>
    <w:rsid w:val="00100F5A"/>
    <w:rsid w:val="00101B47"/>
    <w:rsid w:val="00102E82"/>
    <w:rsid w:val="00103906"/>
    <w:rsid w:val="00103FA5"/>
    <w:rsid w:val="00104008"/>
    <w:rsid w:val="001046A8"/>
    <w:rsid w:val="00106ABC"/>
    <w:rsid w:val="001101A3"/>
    <w:rsid w:val="001103BB"/>
    <w:rsid w:val="001108A8"/>
    <w:rsid w:val="00110AF2"/>
    <w:rsid w:val="001125BE"/>
    <w:rsid w:val="0011290C"/>
    <w:rsid w:val="00115B8D"/>
    <w:rsid w:val="001163EC"/>
    <w:rsid w:val="00116F3B"/>
    <w:rsid w:val="00117216"/>
    <w:rsid w:val="00117F87"/>
    <w:rsid w:val="0012010C"/>
    <w:rsid w:val="0012185F"/>
    <w:rsid w:val="00122ACB"/>
    <w:rsid w:val="00124605"/>
    <w:rsid w:val="001247A2"/>
    <w:rsid w:val="00124963"/>
    <w:rsid w:val="00124B80"/>
    <w:rsid w:val="001254F0"/>
    <w:rsid w:val="0012584B"/>
    <w:rsid w:val="001258B9"/>
    <w:rsid w:val="0012645C"/>
    <w:rsid w:val="001265C7"/>
    <w:rsid w:val="001268AC"/>
    <w:rsid w:val="001279F2"/>
    <w:rsid w:val="001316A9"/>
    <w:rsid w:val="001325A7"/>
    <w:rsid w:val="00133163"/>
    <w:rsid w:val="001331FC"/>
    <w:rsid w:val="00133D9E"/>
    <w:rsid w:val="0013425B"/>
    <w:rsid w:val="00137625"/>
    <w:rsid w:val="001378ED"/>
    <w:rsid w:val="00141804"/>
    <w:rsid w:val="00141D2C"/>
    <w:rsid w:val="00141FDD"/>
    <w:rsid w:val="00143B92"/>
    <w:rsid w:val="0014483F"/>
    <w:rsid w:val="00145BE2"/>
    <w:rsid w:val="00146872"/>
    <w:rsid w:val="001469BF"/>
    <w:rsid w:val="00147025"/>
    <w:rsid w:val="00147092"/>
    <w:rsid w:val="001474E7"/>
    <w:rsid w:val="0014750F"/>
    <w:rsid w:val="001505D7"/>
    <w:rsid w:val="001510C0"/>
    <w:rsid w:val="0015204A"/>
    <w:rsid w:val="00152DC9"/>
    <w:rsid w:val="00152DDA"/>
    <w:rsid w:val="00153030"/>
    <w:rsid w:val="00154BF5"/>
    <w:rsid w:val="001564EF"/>
    <w:rsid w:val="001564F6"/>
    <w:rsid w:val="00157A8C"/>
    <w:rsid w:val="001602DE"/>
    <w:rsid w:val="001604EA"/>
    <w:rsid w:val="0016172B"/>
    <w:rsid w:val="00162DD6"/>
    <w:rsid w:val="00163340"/>
    <w:rsid w:val="00163690"/>
    <w:rsid w:val="001654A4"/>
    <w:rsid w:val="00166232"/>
    <w:rsid w:val="0016634C"/>
    <w:rsid w:val="00166686"/>
    <w:rsid w:val="0016706C"/>
    <w:rsid w:val="00170473"/>
    <w:rsid w:val="00170D8C"/>
    <w:rsid w:val="00172A27"/>
    <w:rsid w:val="001734C2"/>
    <w:rsid w:val="001755E5"/>
    <w:rsid w:val="00175773"/>
    <w:rsid w:val="00175F86"/>
    <w:rsid w:val="0017650C"/>
    <w:rsid w:val="001765A8"/>
    <w:rsid w:val="001777A0"/>
    <w:rsid w:val="00177910"/>
    <w:rsid w:val="001816EF"/>
    <w:rsid w:val="00182175"/>
    <w:rsid w:val="00183609"/>
    <w:rsid w:val="00184098"/>
    <w:rsid w:val="00184E49"/>
    <w:rsid w:val="0018740C"/>
    <w:rsid w:val="00187887"/>
    <w:rsid w:val="0019037E"/>
    <w:rsid w:val="001905A5"/>
    <w:rsid w:val="00190CE6"/>
    <w:rsid w:val="00191D5E"/>
    <w:rsid w:val="0019302F"/>
    <w:rsid w:val="00194A4F"/>
    <w:rsid w:val="00194E39"/>
    <w:rsid w:val="001955A9"/>
    <w:rsid w:val="001974DD"/>
    <w:rsid w:val="00197899"/>
    <w:rsid w:val="00197F50"/>
    <w:rsid w:val="001A03A1"/>
    <w:rsid w:val="001A0629"/>
    <w:rsid w:val="001A06CA"/>
    <w:rsid w:val="001A2470"/>
    <w:rsid w:val="001A45CC"/>
    <w:rsid w:val="001A542C"/>
    <w:rsid w:val="001A555F"/>
    <w:rsid w:val="001A5A06"/>
    <w:rsid w:val="001A6059"/>
    <w:rsid w:val="001A7040"/>
    <w:rsid w:val="001B049D"/>
    <w:rsid w:val="001B3F78"/>
    <w:rsid w:val="001B46E4"/>
    <w:rsid w:val="001B55CF"/>
    <w:rsid w:val="001B5801"/>
    <w:rsid w:val="001B60F7"/>
    <w:rsid w:val="001B7060"/>
    <w:rsid w:val="001B7D86"/>
    <w:rsid w:val="001C0D22"/>
    <w:rsid w:val="001C0EF7"/>
    <w:rsid w:val="001C1099"/>
    <w:rsid w:val="001C1A4F"/>
    <w:rsid w:val="001C22FD"/>
    <w:rsid w:val="001C23EA"/>
    <w:rsid w:val="001C2A36"/>
    <w:rsid w:val="001C3540"/>
    <w:rsid w:val="001C4873"/>
    <w:rsid w:val="001C67DF"/>
    <w:rsid w:val="001C7961"/>
    <w:rsid w:val="001D1258"/>
    <w:rsid w:val="001D27B2"/>
    <w:rsid w:val="001D36A1"/>
    <w:rsid w:val="001D480F"/>
    <w:rsid w:val="001D4BC0"/>
    <w:rsid w:val="001D52CE"/>
    <w:rsid w:val="001D5805"/>
    <w:rsid w:val="001D6C14"/>
    <w:rsid w:val="001D7611"/>
    <w:rsid w:val="001E0C96"/>
    <w:rsid w:val="001E0EB6"/>
    <w:rsid w:val="001E1641"/>
    <w:rsid w:val="001E308D"/>
    <w:rsid w:val="001E315A"/>
    <w:rsid w:val="001E3FCB"/>
    <w:rsid w:val="001E4CDD"/>
    <w:rsid w:val="001E58AC"/>
    <w:rsid w:val="001E6BCE"/>
    <w:rsid w:val="001E79D9"/>
    <w:rsid w:val="001F0DF0"/>
    <w:rsid w:val="001F1B15"/>
    <w:rsid w:val="001F1DCF"/>
    <w:rsid w:val="001F1EA7"/>
    <w:rsid w:val="001F1F79"/>
    <w:rsid w:val="001F2107"/>
    <w:rsid w:val="001F284E"/>
    <w:rsid w:val="001F2D3D"/>
    <w:rsid w:val="001F68E9"/>
    <w:rsid w:val="001F74FF"/>
    <w:rsid w:val="002030EE"/>
    <w:rsid w:val="00203783"/>
    <w:rsid w:val="002039E0"/>
    <w:rsid w:val="002043F2"/>
    <w:rsid w:val="00204B2F"/>
    <w:rsid w:val="0020535A"/>
    <w:rsid w:val="00206DB5"/>
    <w:rsid w:val="00206FF9"/>
    <w:rsid w:val="002071F2"/>
    <w:rsid w:val="0021030F"/>
    <w:rsid w:val="00210DD3"/>
    <w:rsid w:val="0021177F"/>
    <w:rsid w:val="00211C78"/>
    <w:rsid w:val="00213338"/>
    <w:rsid w:val="00213575"/>
    <w:rsid w:val="00213C57"/>
    <w:rsid w:val="00213D92"/>
    <w:rsid w:val="00214478"/>
    <w:rsid w:val="002147D6"/>
    <w:rsid w:val="00214BE7"/>
    <w:rsid w:val="002154C8"/>
    <w:rsid w:val="002166F2"/>
    <w:rsid w:val="00216A4A"/>
    <w:rsid w:val="002205D0"/>
    <w:rsid w:val="00220A5A"/>
    <w:rsid w:val="0022197F"/>
    <w:rsid w:val="00222021"/>
    <w:rsid w:val="00222445"/>
    <w:rsid w:val="00222A2D"/>
    <w:rsid w:val="00222D78"/>
    <w:rsid w:val="002243C9"/>
    <w:rsid w:val="00224D60"/>
    <w:rsid w:val="00224E40"/>
    <w:rsid w:val="00225102"/>
    <w:rsid w:val="00226C2C"/>
    <w:rsid w:val="002300D9"/>
    <w:rsid w:val="002301D6"/>
    <w:rsid w:val="002308FF"/>
    <w:rsid w:val="00230926"/>
    <w:rsid w:val="002309AD"/>
    <w:rsid w:val="00231355"/>
    <w:rsid w:val="002315E6"/>
    <w:rsid w:val="00231D2D"/>
    <w:rsid w:val="00233C76"/>
    <w:rsid w:val="0023455E"/>
    <w:rsid w:val="00234C1F"/>
    <w:rsid w:val="002365C9"/>
    <w:rsid w:val="00236613"/>
    <w:rsid w:val="00241EFB"/>
    <w:rsid w:val="00241FFA"/>
    <w:rsid w:val="002429A8"/>
    <w:rsid w:val="002446D4"/>
    <w:rsid w:val="002452A0"/>
    <w:rsid w:val="0024622B"/>
    <w:rsid w:val="002473A8"/>
    <w:rsid w:val="00247AC1"/>
    <w:rsid w:val="00250076"/>
    <w:rsid w:val="00250248"/>
    <w:rsid w:val="00250D24"/>
    <w:rsid w:val="00251456"/>
    <w:rsid w:val="0025338C"/>
    <w:rsid w:val="00253C90"/>
    <w:rsid w:val="00254A09"/>
    <w:rsid w:val="00254BD5"/>
    <w:rsid w:val="00254C5D"/>
    <w:rsid w:val="002565D0"/>
    <w:rsid w:val="00257C4D"/>
    <w:rsid w:val="00260ED7"/>
    <w:rsid w:val="00261512"/>
    <w:rsid w:val="00261B83"/>
    <w:rsid w:val="00262066"/>
    <w:rsid w:val="002628EE"/>
    <w:rsid w:val="002645ED"/>
    <w:rsid w:val="00265B3A"/>
    <w:rsid w:val="00266D88"/>
    <w:rsid w:val="00267454"/>
    <w:rsid w:val="00267A9A"/>
    <w:rsid w:val="002705C7"/>
    <w:rsid w:val="002715DF"/>
    <w:rsid w:val="002731CA"/>
    <w:rsid w:val="002747F2"/>
    <w:rsid w:val="00274FD3"/>
    <w:rsid w:val="002758DB"/>
    <w:rsid w:val="00276348"/>
    <w:rsid w:val="00276EC2"/>
    <w:rsid w:val="002771BE"/>
    <w:rsid w:val="00277A6F"/>
    <w:rsid w:val="00280A32"/>
    <w:rsid w:val="002813D9"/>
    <w:rsid w:val="00282ACA"/>
    <w:rsid w:val="00282CDE"/>
    <w:rsid w:val="00283328"/>
    <w:rsid w:val="00283964"/>
    <w:rsid w:val="00287021"/>
    <w:rsid w:val="002871A8"/>
    <w:rsid w:val="00287ED8"/>
    <w:rsid w:val="002911DC"/>
    <w:rsid w:val="00292929"/>
    <w:rsid w:val="0029294B"/>
    <w:rsid w:val="00294ED9"/>
    <w:rsid w:val="00297EA6"/>
    <w:rsid w:val="002A0466"/>
    <w:rsid w:val="002A0558"/>
    <w:rsid w:val="002A05CD"/>
    <w:rsid w:val="002A18C2"/>
    <w:rsid w:val="002A214D"/>
    <w:rsid w:val="002A2D23"/>
    <w:rsid w:val="002A31F5"/>
    <w:rsid w:val="002A36CE"/>
    <w:rsid w:val="002A450E"/>
    <w:rsid w:val="002A4578"/>
    <w:rsid w:val="002A47C9"/>
    <w:rsid w:val="002A55B9"/>
    <w:rsid w:val="002A5DA9"/>
    <w:rsid w:val="002A6321"/>
    <w:rsid w:val="002A66B4"/>
    <w:rsid w:val="002A6F0E"/>
    <w:rsid w:val="002A7332"/>
    <w:rsid w:val="002A73E0"/>
    <w:rsid w:val="002B0F0C"/>
    <w:rsid w:val="002B1C78"/>
    <w:rsid w:val="002B218C"/>
    <w:rsid w:val="002B2698"/>
    <w:rsid w:val="002B28C1"/>
    <w:rsid w:val="002B2FB6"/>
    <w:rsid w:val="002B3848"/>
    <w:rsid w:val="002B4B77"/>
    <w:rsid w:val="002B4F37"/>
    <w:rsid w:val="002B517A"/>
    <w:rsid w:val="002B5E02"/>
    <w:rsid w:val="002C0018"/>
    <w:rsid w:val="002C1206"/>
    <w:rsid w:val="002C16C5"/>
    <w:rsid w:val="002C1717"/>
    <w:rsid w:val="002C1851"/>
    <w:rsid w:val="002C27E6"/>
    <w:rsid w:val="002C518E"/>
    <w:rsid w:val="002C5920"/>
    <w:rsid w:val="002C5A3D"/>
    <w:rsid w:val="002C6A74"/>
    <w:rsid w:val="002C739C"/>
    <w:rsid w:val="002C7668"/>
    <w:rsid w:val="002D03D9"/>
    <w:rsid w:val="002D06AA"/>
    <w:rsid w:val="002D0CEB"/>
    <w:rsid w:val="002D19ED"/>
    <w:rsid w:val="002D2085"/>
    <w:rsid w:val="002D2837"/>
    <w:rsid w:val="002D3715"/>
    <w:rsid w:val="002D4C2E"/>
    <w:rsid w:val="002D62E5"/>
    <w:rsid w:val="002D6702"/>
    <w:rsid w:val="002E0449"/>
    <w:rsid w:val="002E0762"/>
    <w:rsid w:val="002E0FBD"/>
    <w:rsid w:val="002E1172"/>
    <w:rsid w:val="002E1369"/>
    <w:rsid w:val="002E18E4"/>
    <w:rsid w:val="002E2392"/>
    <w:rsid w:val="002E3956"/>
    <w:rsid w:val="002E3C3A"/>
    <w:rsid w:val="002E61E8"/>
    <w:rsid w:val="002E6EFD"/>
    <w:rsid w:val="002E791C"/>
    <w:rsid w:val="002F0D78"/>
    <w:rsid w:val="002F142F"/>
    <w:rsid w:val="002F1744"/>
    <w:rsid w:val="002F2DCB"/>
    <w:rsid w:val="002F45E3"/>
    <w:rsid w:val="002F4ED2"/>
    <w:rsid w:val="002F58D8"/>
    <w:rsid w:val="002F5BBE"/>
    <w:rsid w:val="002F61A9"/>
    <w:rsid w:val="002F6B39"/>
    <w:rsid w:val="0030035F"/>
    <w:rsid w:val="003029E0"/>
    <w:rsid w:val="00302FEE"/>
    <w:rsid w:val="00303D51"/>
    <w:rsid w:val="00303F1F"/>
    <w:rsid w:val="00304904"/>
    <w:rsid w:val="003056BD"/>
    <w:rsid w:val="003064A2"/>
    <w:rsid w:val="00306613"/>
    <w:rsid w:val="00307048"/>
    <w:rsid w:val="00307A9E"/>
    <w:rsid w:val="003108FE"/>
    <w:rsid w:val="00311237"/>
    <w:rsid w:val="00311A45"/>
    <w:rsid w:val="00311E68"/>
    <w:rsid w:val="00314C48"/>
    <w:rsid w:val="00315C0A"/>
    <w:rsid w:val="00316296"/>
    <w:rsid w:val="00316DA2"/>
    <w:rsid w:val="00320426"/>
    <w:rsid w:val="00320879"/>
    <w:rsid w:val="003213E2"/>
    <w:rsid w:val="00321B29"/>
    <w:rsid w:val="00322736"/>
    <w:rsid w:val="00325783"/>
    <w:rsid w:val="00326D49"/>
    <w:rsid w:val="00326E5D"/>
    <w:rsid w:val="003272E5"/>
    <w:rsid w:val="003277E7"/>
    <w:rsid w:val="00331A5E"/>
    <w:rsid w:val="00333053"/>
    <w:rsid w:val="0033372B"/>
    <w:rsid w:val="00334939"/>
    <w:rsid w:val="00335A2F"/>
    <w:rsid w:val="0033668D"/>
    <w:rsid w:val="00337064"/>
    <w:rsid w:val="0033707D"/>
    <w:rsid w:val="00340752"/>
    <w:rsid w:val="00340785"/>
    <w:rsid w:val="0034196C"/>
    <w:rsid w:val="0034277B"/>
    <w:rsid w:val="00342F88"/>
    <w:rsid w:val="0034519C"/>
    <w:rsid w:val="00345599"/>
    <w:rsid w:val="00346306"/>
    <w:rsid w:val="00347004"/>
    <w:rsid w:val="003470CC"/>
    <w:rsid w:val="003501BA"/>
    <w:rsid w:val="00353D47"/>
    <w:rsid w:val="00354107"/>
    <w:rsid w:val="00354F62"/>
    <w:rsid w:val="00354FA5"/>
    <w:rsid w:val="00356065"/>
    <w:rsid w:val="00356520"/>
    <w:rsid w:val="003568EB"/>
    <w:rsid w:val="0035794A"/>
    <w:rsid w:val="003579D7"/>
    <w:rsid w:val="00360235"/>
    <w:rsid w:val="003607EE"/>
    <w:rsid w:val="00360EB6"/>
    <w:rsid w:val="00361975"/>
    <w:rsid w:val="00362847"/>
    <w:rsid w:val="00363C77"/>
    <w:rsid w:val="0036695F"/>
    <w:rsid w:val="00367900"/>
    <w:rsid w:val="003679DE"/>
    <w:rsid w:val="00367C0F"/>
    <w:rsid w:val="003718D6"/>
    <w:rsid w:val="003720C9"/>
    <w:rsid w:val="00372490"/>
    <w:rsid w:val="00373150"/>
    <w:rsid w:val="00374D32"/>
    <w:rsid w:val="003769F5"/>
    <w:rsid w:val="00376DE4"/>
    <w:rsid w:val="00380518"/>
    <w:rsid w:val="003810D6"/>
    <w:rsid w:val="0038191C"/>
    <w:rsid w:val="0038359E"/>
    <w:rsid w:val="003837A1"/>
    <w:rsid w:val="00383D36"/>
    <w:rsid w:val="00383F37"/>
    <w:rsid w:val="0038441C"/>
    <w:rsid w:val="0038453E"/>
    <w:rsid w:val="00385556"/>
    <w:rsid w:val="0038559C"/>
    <w:rsid w:val="00385943"/>
    <w:rsid w:val="00386CCD"/>
    <w:rsid w:val="00386FA8"/>
    <w:rsid w:val="0039091B"/>
    <w:rsid w:val="00390FD8"/>
    <w:rsid w:val="00391A11"/>
    <w:rsid w:val="003926FF"/>
    <w:rsid w:val="00393C08"/>
    <w:rsid w:val="0039408A"/>
    <w:rsid w:val="00394E6D"/>
    <w:rsid w:val="00395507"/>
    <w:rsid w:val="003965A6"/>
    <w:rsid w:val="00397B7D"/>
    <w:rsid w:val="003A03AF"/>
    <w:rsid w:val="003A11D1"/>
    <w:rsid w:val="003A2585"/>
    <w:rsid w:val="003A2590"/>
    <w:rsid w:val="003A3754"/>
    <w:rsid w:val="003A3B3B"/>
    <w:rsid w:val="003A4184"/>
    <w:rsid w:val="003A47F3"/>
    <w:rsid w:val="003A7B15"/>
    <w:rsid w:val="003A7C7B"/>
    <w:rsid w:val="003B005C"/>
    <w:rsid w:val="003B0066"/>
    <w:rsid w:val="003B090A"/>
    <w:rsid w:val="003B1560"/>
    <w:rsid w:val="003B200B"/>
    <w:rsid w:val="003B234C"/>
    <w:rsid w:val="003B405D"/>
    <w:rsid w:val="003B475D"/>
    <w:rsid w:val="003B6046"/>
    <w:rsid w:val="003B735A"/>
    <w:rsid w:val="003C01C1"/>
    <w:rsid w:val="003C1E32"/>
    <w:rsid w:val="003C1EB3"/>
    <w:rsid w:val="003C2376"/>
    <w:rsid w:val="003C3117"/>
    <w:rsid w:val="003C35AB"/>
    <w:rsid w:val="003C3E08"/>
    <w:rsid w:val="003C44B8"/>
    <w:rsid w:val="003C59BA"/>
    <w:rsid w:val="003C6ABC"/>
    <w:rsid w:val="003D132C"/>
    <w:rsid w:val="003D1AC4"/>
    <w:rsid w:val="003D2A94"/>
    <w:rsid w:val="003D554F"/>
    <w:rsid w:val="003D7C83"/>
    <w:rsid w:val="003D7EE0"/>
    <w:rsid w:val="003E00B3"/>
    <w:rsid w:val="003E0549"/>
    <w:rsid w:val="003E07D5"/>
    <w:rsid w:val="003E0C54"/>
    <w:rsid w:val="003E1772"/>
    <w:rsid w:val="003E18DA"/>
    <w:rsid w:val="003E22FE"/>
    <w:rsid w:val="003E3D88"/>
    <w:rsid w:val="003E4836"/>
    <w:rsid w:val="003E4A8E"/>
    <w:rsid w:val="003E4DC9"/>
    <w:rsid w:val="003E4DF8"/>
    <w:rsid w:val="003E5225"/>
    <w:rsid w:val="003E5457"/>
    <w:rsid w:val="003E6D60"/>
    <w:rsid w:val="003E73CA"/>
    <w:rsid w:val="003F010F"/>
    <w:rsid w:val="003F019B"/>
    <w:rsid w:val="003F09ED"/>
    <w:rsid w:val="003F1A0C"/>
    <w:rsid w:val="003F22C8"/>
    <w:rsid w:val="003F24AA"/>
    <w:rsid w:val="003F4286"/>
    <w:rsid w:val="003F4FC0"/>
    <w:rsid w:val="003F6427"/>
    <w:rsid w:val="003F69A8"/>
    <w:rsid w:val="003F72BB"/>
    <w:rsid w:val="003F7435"/>
    <w:rsid w:val="0040072B"/>
    <w:rsid w:val="00400C4B"/>
    <w:rsid w:val="0040100B"/>
    <w:rsid w:val="00401EA7"/>
    <w:rsid w:val="00402578"/>
    <w:rsid w:val="00402D31"/>
    <w:rsid w:val="0040363E"/>
    <w:rsid w:val="00403CCC"/>
    <w:rsid w:val="004049A7"/>
    <w:rsid w:val="00404CE6"/>
    <w:rsid w:val="00404F9E"/>
    <w:rsid w:val="0040506C"/>
    <w:rsid w:val="00406261"/>
    <w:rsid w:val="00406290"/>
    <w:rsid w:val="0040751C"/>
    <w:rsid w:val="0040768D"/>
    <w:rsid w:val="00411686"/>
    <w:rsid w:val="00412E93"/>
    <w:rsid w:val="004132F6"/>
    <w:rsid w:val="00413450"/>
    <w:rsid w:val="00413FF8"/>
    <w:rsid w:val="0041593F"/>
    <w:rsid w:val="00415BE7"/>
    <w:rsid w:val="00416953"/>
    <w:rsid w:val="00417D26"/>
    <w:rsid w:val="00417EA0"/>
    <w:rsid w:val="0042074C"/>
    <w:rsid w:val="00420B33"/>
    <w:rsid w:val="0042247B"/>
    <w:rsid w:val="00422537"/>
    <w:rsid w:val="004225FE"/>
    <w:rsid w:val="00422880"/>
    <w:rsid w:val="0042377D"/>
    <w:rsid w:val="00423C85"/>
    <w:rsid w:val="00423CAE"/>
    <w:rsid w:val="004243AA"/>
    <w:rsid w:val="004246D2"/>
    <w:rsid w:val="00424724"/>
    <w:rsid w:val="00427A37"/>
    <w:rsid w:val="00430B3D"/>
    <w:rsid w:val="004313B2"/>
    <w:rsid w:val="004315E2"/>
    <w:rsid w:val="00432704"/>
    <w:rsid w:val="004332D5"/>
    <w:rsid w:val="0043469C"/>
    <w:rsid w:val="00434B05"/>
    <w:rsid w:val="004359BB"/>
    <w:rsid w:val="00435AEC"/>
    <w:rsid w:val="00435D35"/>
    <w:rsid w:val="004370B8"/>
    <w:rsid w:val="00437880"/>
    <w:rsid w:val="00437EFD"/>
    <w:rsid w:val="0044001F"/>
    <w:rsid w:val="0044040E"/>
    <w:rsid w:val="0044055E"/>
    <w:rsid w:val="00440635"/>
    <w:rsid w:val="00440CF6"/>
    <w:rsid w:val="004417F1"/>
    <w:rsid w:val="00441BDC"/>
    <w:rsid w:val="0044367E"/>
    <w:rsid w:val="00445007"/>
    <w:rsid w:val="00446014"/>
    <w:rsid w:val="00446087"/>
    <w:rsid w:val="0044688C"/>
    <w:rsid w:val="0044693E"/>
    <w:rsid w:val="00447100"/>
    <w:rsid w:val="004501C6"/>
    <w:rsid w:val="0045255B"/>
    <w:rsid w:val="00453717"/>
    <w:rsid w:val="00455231"/>
    <w:rsid w:val="00456C70"/>
    <w:rsid w:val="00460013"/>
    <w:rsid w:val="00460775"/>
    <w:rsid w:val="00460F16"/>
    <w:rsid w:val="00461860"/>
    <w:rsid w:val="00462031"/>
    <w:rsid w:val="0046225E"/>
    <w:rsid w:val="00462BA3"/>
    <w:rsid w:val="0046475C"/>
    <w:rsid w:val="00464E4F"/>
    <w:rsid w:val="004700C0"/>
    <w:rsid w:val="00471CCA"/>
    <w:rsid w:val="00472873"/>
    <w:rsid w:val="00472908"/>
    <w:rsid w:val="00472D35"/>
    <w:rsid w:val="00473728"/>
    <w:rsid w:val="0047411C"/>
    <w:rsid w:val="00474B5D"/>
    <w:rsid w:val="004751B9"/>
    <w:rsid w:val="00475537"/>
    <w:rsid w:val="00475930"/>
    <w:rsid w:val="00475CC1"/>
    <w:rsid w:val="00475FA8"/>
    <w:rsid w:val="00476928"/>
    <w:rsid w:val="00476AE1"/>
    <w:rsid w:val="00476BD7"/>
    <w:rsid w:val="004776B5"/>
    <w:rsid w:val="00477BE0"/>
    <w:rsid w:val="00477F2F"/>
    <w:rsid w:val="0048378D"/>
    <w:rsid w:val="00483A74"/>
    <w:rsid w:val="00485298"/>
    <w:rsid w:val="00485548"/>
    <w:rsid w:val="004860F4"/>
    <w:rsid w:val="00487106"/>
    <w:rsid w:val="00487A5A"/>
    <w:rsid w:val="0049110F"/>
    <w:rsid w:val="00491495"/>
    <w:rsid w:val="00491B36"/>
    <w:rsid w:val="00491ED6"/>
    <w:rsid w:val="00491F94"/>
    <w:rsid w:val="0049203B"/>
    <w:rsid w:val="0049399A"/>
    <w:rsid w:val="004942E7"/>
    <w:rsid w:val="00494B98"/>
    <w:rsid w:val="00497B40"/>
    <w:rsid w:val="004A1846"/>
    <w:rsid w:val="004A1E50"/>
    <w:rsid w:val="004A2582"/>
    <w:rsid w:val="004A3A98"/>
    <w:rsid w:val="004A3ABD"/>
    <w:rsid w:val="004A4403"/>
    <w:rsid w:val="004A4D80"/>
    <w:rsid w:val="004A5618"/>
    <w:rsid w:val="004A5C59"/>
    <w:rsid w:val="004A5F6C"/>
    <w:rsid w:val="004A6A20"/>
    <w:rsid w:val="004B1826"/>
    <w:rsid w:val="004B1E38"/>
    <w:rsid w:val="004B20C8"/>
    <w:rsid w:val="004B272D"/>
    <w:rsid w:val="004B38A0"/>
    <w:rsid w:val="004B3D00"/>
    <w:rsid w:val="004B5670"/>
    <w:rsid w:val="004B568B"/>
    <w:rsid w:val="004B6B8A"/>
    <w:rsid w:val="004B71D1"/>
    <w:rsid w:val="004B79CE"/>
    <w:rsid w:val="004B7B62"/>
    <w:rsid w:val="004B7CF3"/>
    <w:rsid w:val="004C09B8"/>
    <w:rsid w:val="004C0B5E"/>
    <w:rsid w:val="004C2765"/>
    <w:rsid w:val="004C276C"/>
    <w:rsid w:val="004C5573"/>
    <w:rsid w:val="004C5FA6"/>
    <w:rsid w:val="004C7170"/>
    <w:rsid w:val="004C7F2F"/>
    <w:rsid w:val="004D1DCF"/>
    <w:rsid w:val="004D3DD9"/>
    <w:rsid w:val="004D5044"/>
    <w:rsid w:val="004D5411"/>
    <w:rsid w:val="004D5D22"/>
    <w:rsid w:val="004D6595"/>
    <w:rsid w:val="004D6C37"/>
    <w:rsid w:val="004D7372"/>
    <w:rsid w:val="004E04FE"/>
    <w:rsid w:val="004E10EA"/>
    <w:rsid w:val="004E16D7"/>
    <w:rsid w:val="004E1B5B"/>
    <w:rsid w:val="004E267C"/>
    <w:rsid w:val="004E288E"/>
    <w:rsid w:val="004E2AB2"/>
    <w:rsid w:val="004E42D1"/>
    <w:rsid w:val="004E5211"/>
    <w:rsid w:val="004E5AD1"/>
    <w:rsid w:val="004E64E1"/>
    <w:rsid w:val="004E72A2"/>
    <w:rsid w:val="004E7D00"/>
    <w:rsid w:val="004F0449"/>
    <w:rsid w:val="004F25CE"/>
    <w:rsid w:val="004F2A41"/>
    <w:rsid w:val="004F2DE5"/>
    <w:rsid w:val="004F46F5"/>
    <w:rsid w:val="004F5631"/>
    <w:rsid w:val="004F6270"/>
    <w:rsid w:val="004F68E9"/>
    <w:rsid w:val="00500C19"/>
    <w:rsid w:val="00500CCB"/>
    <w:rsid w:val="00501FF0"/>
    <w:rsid w:val="005020D4"/>
    <w:rsid w:val="005025C0"/>
    <w:rsid w:val="0050269E"/>
    <w:rsid w:val="005028D9"/>
    <w:rsid w:val="005031F6"/>
    <w:rsid w:val="00503236"/>
    <w:rsid w:val="005045CC"/>
    <w:rsid w:val="0050588B"/>
    <w:rsid w:val="00506401"/>
    <w:rsid w:val="005070CE"/>
    <w:rsid w:val="005072B6"/>
    <w:rsid w:val="005076E9"/>
    <w:rsid w:val="00510051"/>
    <w:rsid w:val="005116FC"/>
    <w:rsid w:val="00511BF0"/>
    <w:rsid w:val="00512404"/>
    <w:rsid w:val="00512BF6"/>
    <w:rsid w:val="00513488"/>
    <w:rsid w:val="00514204"/>
    <w:rsid w:val="00516654"/>
    <w:rsid w:val="005169FA"/>
    <w:rsid w:val="00517C6E"/>
    <w:rsid w:val="00521209"/>
    <w:rsid w:val="0052206B"/>
    <w:rsid w:val="0052404B"/>
    <w:rsid w:val="005260F4"/>
    <w:rsid w:val="0052665B"/>
    <w:rsid w:val="00527AF1"/>
    <w:rsid w:val="005316FB"/>
    <w:rsid w:val="00532143"/>
    <w:rsid w:val="005325FF"/>
    <w:rsid w:val="00532761"/>
    <w:rsid w:val="00533D84"/>
    <w:rsid w:val="00534916"/>
    <w:rsid w:val="00535220"/>
    <w:rsid w:val="00541BA8"/>
    <w:rsid w:val="00542514"/>
    <w:rsid w:val="00542741"/>
    <w:rsid w:val="005441D8"/>
    <w:rsid w:val="0054479C"/>
    <w:rsid w:val="0054614D"/>
    <w:rsid w:val="0055082F"/>
    <w:rsid w:val="00551363"/>
    <w:rsid w:val="00552003"/>
    <w:rsid w:val="00552206"/>
    <w:rsid w:val="0055269D"/>
    <w:rsid w:val="00552FE0"/>
    <w:rsid w:val="0055364F"/>
    <w:rsid w:val="00554DBE"/>
    <w:rsid w:val="00554F7F"/>
    <w:rsid w:val="005551AE"/>
    <w:rsid w:val="00556E8C"/>
    <w:rsid w:val="005602B7"/>
    <w:rsid w:val="005605FE"/>
    <w:rsid w:val="00560819"/>
    <w:rsid w:val="00561C00"/>
    <w:rsid w:val="005625A4"/>
    <w:rsid w:val="00563660"/>
    <w:rsid w:val="00563BE9"/>
    <w:rsid w:val="00563D20"/>
    <w:rsid w:val="00563DE0"/>
    <w:rsid w:val="00564300"/>
    <w:rsid w:val="00564D6F"/>
    <w:rsid w:val="00571539"/>
    <w:rsid w:val="00572312"/>
    <w:rsid w:val="00575252"/>
    <w:rsid w:val="00575265"/>
    <w:rsid w:val="00575481"/>
    <w:rsid w:val="005764C6"/>
    <w:rsid w:val="00577261"/>
    <w:rsid w:val="0058031B"/>
    <w:rsid w:val="00580B75"/>
    <w:rsid w:val="005810D4"/>
    <w:rsid w:val="00582CAE"/>
    <w:rsid w:val="00583658"/>
    <w:rsid w:val="00586E2C"/>
    <w:rsid w:val="00586E59"/>
    <w:rsid w:val="00590626"/>
    <w:rsid w:val="00591D2F"/>
    <w:rsid w:val="00592284"/>
    <w:rsid w:val="005924CD"/>
    <w:rsid w:val="0059370E"/>
    <w:rsid w:val="00594206"/>
    <w:rsid w:val="00594332"/>
    <w:rsid w:val="0059503A"/>
    <w:rsid w:val="00595A49"/>
    <w:rsid w:val="005972D9"/>
    <w:rsid w:val="005976C5"/>
    <w:rsid w:val="00597FC9"/>
    <w:rsid w:val="005A16D2"/>
    <w:rsid w:val="005A4177"/>
    <w:rsid w:val="005A42D1"/>
    <w:rsid w:val="005A4984"/>
    <w:rsid w:val="005A59B2"/>
    <w:rsid w:val="005A61D6"/>
    <w:rsid w:val="005A6F6F"/>
    <w:rsid w:val="005A74D3"/>
    <w:rsid w:val="005A7752"/>
    <w:rsid w:val="005A7765"/>
    <w:rsid w:val="005A7B2F"/>
    <w:rsid w:val="005B0BF1"/>
    <w:rsid w:val="005B13B1"/>
    <w:rsid w:val="005B25AA"/>
    <w:rsid w:val="005B272D"/>
    <w:rsid w:val="005B33F2"/>
    <w:rsid w:val="005B49BF"/>
    <w:rsid w:val="005B513E"/>
    <w:rsid w:val="005B60D5"/>
    <w:rsid w:val="005B674F"/>
    <w:rsid w:val="005B677C"/>
    <w:rsid w:val="005B6B37"/>
    <w:rsid w:val="005B7158"/>
    <w:rsid w:val="005B728C"/>
    <w:rsid w:val="005B7EFF"/>
    <w:rsid w:val="005B7F15"/>
    <w:rsid w:val="005C0FCD"/>
    <w:rsid w:val="005C11DE"/>
    <w:rsid w:val="005C30B1"/>
    <w:rsid w:val="005C3209"/>
    <w:rsid w:val="005C344D"/>
    <w:rsid w:val="005C5488"/>
    <w:rsid w:val="005C5B21"/>
    <w:rsid w:val="005C5B2A"/>
    <w:rsid w:val="005C5F49"/>
    <w:rsid w:val="005C639B"/>
    <w:rsid w:val="005C661B"/>
    <w:rsid w:val="005C66FB"/>
    <w:rsid w:val="005C7721"/>
    <w:rsid w:val="005C77E1"/>
    <w:rsid w:val="005D01B5"/>
    <w:rsid w:val="005D0ED2"/>
    <w:rsid w:val="005D10B0"/>
    <w:rsid w:val="005D30AF"/>
    <w:rsid w:val="005D36A9"/>
    <w:rsid w:val="005D5AAB"/>
    <w:rsid w:val="005E2CDD"/>
    <w:rsid w:val="005E4372"/>
    <w:rsid w:val="005E4898"/>
    <w:rsid w:val="005E4FF0"/>
    <w:rsid w:val="005F08D0"/>
    <w:rsid w:val="005F0C3F"/>
    <w:rsid w:val="005F1C6C"/>
    <w:rsid w:val="005F2C2C"/>
    <w:rsid w:val="005F65DC"/>
    <w:rsid w:val="005F6BD6"/>
    <w:rsid w:val="0060068F"/>
    <w:rsid w:val="00602999"/>
    <w:rsid w:val="006035CB"/>
    <w:rsid w:val="00603D9A"/>
    <w:rsid w:val="00603DE3"/>
    <w:rsid w:val="006040AE"/>
    <w:rsid w:val="006047AE"/>
    <w:rsid w:val="00604F05"/>
    <w:rsid w:val="006073A7"/>
    <w:rsid w:val="00610250"/>
    <w:rsid w:val="00610A58"/>
    <w:rsid w:val="00610A74"/>
    <w:rsid w:val="00610F87"/>
    <w:rsid w:val="00612578"/>
    <w:rsid w:val="00612A2C"/>
    <w:rsid w:val="0061350B"/>
    <w:rsid w:val="006135F6"/>
    <w:rsid w:val="0061420F"/>
    <w:rsid w:val="006162E0"/>
    <w:rsid w:val="006170FF"/>
    <w:rsid w:val="00617584"/>
    <w:rsid w:val="00617D85"/>
    <w:rsid w:val="00620CF0"/>
    <w:rsid w:val="006216A3"/>
    <w:rsid w:val="00621C19"/>
    <w:rsid w:val="00623BCA"/>
    <w:rsid w:val="006242BE"/>
    <w:rsid w:val="006242C6"/>
    <w:rsid w:val="00626AEB"/>
    <w:rsid w:val="0063084B"/>
    <w:rsid w:val="006350F3"/>
    <w:rsid w:val="006355A0"/>
    <w:rsid w:val="006356EB"/>
    <w:rsid w:val="00636792"/>
    <w:rsid w:val="006368E3"/>
    <w:rsid w:val="00637127"/>
    <w:rsid w:val="00641F89"/>
    <w:rsid w:val="006423DF"/>
    <w:rsid w:val="006435A1"/>
    <w:rsid w:val="00644114"/>
    <w:rsid w:val="0064584A"/>
    <w:rsid w:val="00650182"/>
    <w:rsid w:val="006513E0"/>
    <w:rsid w:val="0065177C"/>
    <w:rsid w:val="00652EB8"/>
    <w:rsid w:val="00653A4A"/>
    <w:rsid w:val="00653ACF"/>
    <w:rsid w:val="00653BD3"/>
    <w:rsid w:val="00653DC2"/>
    <w:rsid w:val="00653F21"/>
    <w:rsid w:val="00654069"/>
    <w:rsid w:val="00654365"/>
    <w:rsid w:val="00654617"/>
    <w:rsid w:val="00654EC8"/>
    <w:rsid w:val="00656AC3"/>
    <w:rsid w:val="00657DAB"/>
    <w:rsid w:val="00661B59"/>
    <w:rsid w:val="00662DB8"/>
    <w:rsid w:val="00664317"/>
    <w:rsid w:val="00666216"/>
    <w:rsid w:val="00666B53"/>
    <w:rsid w:val="00670C9C"/>
    <w:rsid w:val="00670D25"/>
    <w:rsid w:val="00671008"/>
    <w:rsid w:val="0067142E"/>
    <w:rsid w:val="006714A1"/>
    <w:rsid w:val="00672A61"/>
    <w:rsid w:val="00675469"/>
    <w:rsid w:val="00676109"/>
    <w:rsid w:val="006768FA"/>
    <w:rsid w:val="006769C1"/>
    <w:rsid w:val="00677710"/>
    <w:rsid w:val="00677A4C"/>
    <w:rsid w:val="00681C2F"/>
    <w:rsid w:val="00682023"/>
    <w:rsid w:val="006829EB"/>
    <w:rsid w:val="00682F97"/>
    <w:rsid w:val="00683750"/>
    <w:rsid w:val="00683AAA"/>
    <w:rsid w:val="0068697F"/>
    <w:rsid w:val="0069017C"/>
    <w:rsid w:val="006903A5"/>
    <w:rsid w:val="00692086"/>
    <w:rsid w:val="00692412"/>
    <w:rsid w:val="0069296E"/>
    <w:rsid w:val="00693A99"/>
    <w:rsid w:val="00697022"/>
    <w:rsid w:val="00697FB3"/>
    <w:rsid w:val="006A0C2E"/>
    <w:rsid w:val="006A1095"/>
    <w:rsid w:val="006A18CB"/>
    <w:rsid w:val="006A2E12"/>
    <w:rsid w:val="006A3FFF"/>
    <w:rsid w:val="006A41B6"/>
    <w:rsid w:val="006A4747"/>
    <w:rsid w:val="006A4C46"/>
    <w:rsid w:val="006A64D0"/>
    <w:rsid w:val="006A6620"/>
    <w:rsid w:val="006A77FC"/>
    <w:rsid w:val="006B033E"/>
    <w:rsid w:val="006B07B1"/>
    <w:rsid w:val="006B0B38"/>
    <w:rsid w:val="006B1C57"/>
    <w:rsid w:val="006B1E81"/>
    <w:rsid w:val="006B4345"/>
    <w:rsid w:val="006B49D1"/>
    <w:rsid w:val="006B4C8B"/>
    <w:rsid w:val="006B4DB8"/>
    <w:rsid w:val="006B6E53"/>
    <w:rsid w:val="006B7EC7"/>
    <w:rsid w:val="006C03FE"/>
    <w:rsid w:val="006C061F"/>
    <w:rsid w:val="006C0F6D"/>
    <w:rsid w:val="006C3AD0"/>
    <w:rsid w:val="006D0068"/>
    <w:rsid w:val="006D0700"/>
    <w:rsid w:val="006D1B84"/>
    <w:rsid w:val="006D2032"/>
    <w:rsid w:val="006D2919"/>
    <w:rsid w:val="006D2BD1"/>
    <w:rsid w:val="006D38FD"/>
    <w:rsid w:val="006D4630"/>
    <w:rsid w:val="006D46EC"/>
    <w:rsid w:val="006D49C3"/>
    <w:rsid w:val="006D5F4B"/>
    <w:rsid w:val="006D6CB8"/>
    <w:rsid w:val="006D6E71"/>
    <w:rsid w:val="006D7118"/>
    <w:rsid w:val="006D7827"/>
    <w:rsid w:val="006E14F0"/>
    <w:rsid w:val="006E2193"/>
    <w:rsid w:val="006E2D74"/>
    <w:rsid w:val="006E36CE"/>
    <w:rsid w:val="006E4D9E"/>
    <w:rsid w:val="006E59AF"/>
    <w:rsid w:val="006E6EF9"/>
    <w:rsid w:val="006F0430"/>
    <w:rsid w:val="006F0C4A"/>
    <w:rsid w:val="006F2811"/>
    <w:rsid w:val="006F2AD4"/>
    <w:rsid w:val="006F3771"/>
    <w:rsid w:val="006F460E"/>
    <w:rsid w:val="006F47FD"/>
    <w:rsid w:val="006F530B"/>
    <w:rsid w:val="006F60A2"/>
    <w:rsid w:val="00700552"/>
    <w:rsid w:val="00700E85"/>
    <w:rsid w:val="00700F66"/>
    <w:rsid w:val="00704682"/>
    <w:rsid w:val="00705B01"/>
    <w:rsid w:val="00706A50"/>
    <w:rsid w:val="00706DB7"/>
    <w:rsid w:val="00707702"/>
    <w:rsid w:val="00710941"/>
    <w:rsid w:val="00713800"/>
    <w:rsid w:val="00713B34"/>
    <w:rsid w:val="00713D98"/>
    <w:rsid w:val="007146B9"/>
    <w:rsid w:val="007155D3"/>
    <w:rsid w:val="00716598"/>
    <w:rsid w:val="0071741F"/>
    <w:rsid w:val="007174DB"/>
    <w:rsid w:val="007177F8"/>
    <w:rsid w:val="007178FA"/>
    <w:rsid w:val="00720433"/>
    <w:rsid w:val="00721182"/>
    <w:rsid w:val="00721D8E"/>
    <w:rsid w:val="007226AB"/>
    <w:rsid w:val="00722D55"/>
    <w:rsid w:val="00726280"/>
    <w:rsid w:val="007278AC"/>
    <w:rsid w:val="00727EFC"/>
    <w:rsid w:val="00731E7B"/>
    <w:rsid w:val="007329FB"/>
    <w:rsid w:val="00732D07"/>
    <w:rsid w:val="00733CBD"/>
    <w:rsid w:val="0073556F"/>
    <w:rsid w:val="007358AE"/>
    <w:rsid w:val="00735BAA"/>
    <w:rsid w:val="0073631B"/>
    <w:rsid w:val="00736761"/>
    <w:rsid w:val="0073715E"/>
    <w:rsid w:val="00737961"/>
    <w:rsid w:val="00740176"/>
    <w:rsid w:val="007415B4"/>
    <w:rsid w:val="0074268E"/>
    <w:rsid w:val="00744DF7"/>
    <w:rsid w:val="00744FF0"/>
    <w:rsid w:val="00745383"/>
    <w:rsid w:val="007461B6"/>
    <w:rsid w:val="0075076F"/>
    <w:rsid w:val="00750B65"/>
    <w:rsid w:val="00750B8D"/>
    <w:rsid w:val="0075195E"/>
    <w:rsid w:val="00752E4B"/>
    <w:rsid w:val="007535E3"/>
    <w:rsid w:val="0075432E"/>
    <w:rsid w:val="007571D6"/>
    <w:rsid w:val="007574D6"/>
    <w:rsid w:val="00757735"/>
    <w:rsid w:val="007579BF"/>
    <w:rsid w:val="00757A8D"/>
    <w:rsid w:val="00761375"/>
    <w:rsid w:val="007633F6"/>
    <w:rsid w:val="00765C6E"/>
    <w:rsid w:val="007668C9"/>
    <w:rsid w:val="00766D67"/>
    <w:rsid w:val="00767DE3"/>
    <w:rsid w:val="007712B1"/>
    <w:rsid w:val="00771852"/>
    <w:rsid w:val="00772B6D"/>
    <w:rsid w:val="007735F2"/>
    <w:rsid w:val="0077451B"/>
    <w:rsid w:val="00774774"/>
    <w:rsid w:val="00775330"/>
    <w:rsid w:val="00776EE8"/>
    <w:rsid w:val="00777BCF"/>
    <w:rsid w:val="00777BE9"/>
    <w:rsid w:val="007803AE"/>
    <w:rsid w:val="00781DFF"/>
    <w:rsid w:val="00783C9C"/>
    <w:rsid w:val="0078450E"/>
    <w:rsid w:val="00784829"/>
    <w:rsid w:val="00784E47"/>
    <w:rsid w:val="00786B31"/>
    <w:rsid w:val="007870F3"/>
    <w:rsid w:val="007902D5"/>
    <w:rsid w:val="007909DA"/>
    <w:rsid w:val="007916FA"/>
    <w:rsid w:val="007920C4"/>
    <w:rsid w:val="00792C6B"/>
    <w:rsid w:val="00792EFF"/>
    <w:rsid w:val="00793D97"/>
    <w:rsid w:val="00793EA6"/>
    <w:rsid w:val="007944CA"/>
    <w:rsid w:val="007946E6"/>
    <w:rsid w:val="00796AE0"/>
    <w:rsid w:val="007A2BD7"/>
    <w:rsid w:val="007A64A6"/>
    <w:rsid w:val="007A6A3B"/>
    <w:rsid w:val="007A730E"/>
    <w:rsid w:val="007B00A8"/>
    <w:rsid w:val="007B0859"/>
    <w:rsid w:val="007B0CD6"/>
    <w:rsid w:val="007B0EB2"/>
    <w:rsid w:val="007B2148"/>
    <w:rsid w:val="007B2B0D"/>
    <w:rsid w:val="007B49B9"/>
    <w:rsid w:val="007B4AA4"/>
    <w:rsid w:val="007B51F7"/>
    <w:rsid w:val="007B59DD"/>
    <w:rsid w:val="007B628B"/>
    <w:rsid w:val="007B63F5"/>
    <w:rsid w:val="007C0235"/>
    <w:rsid w:val="007C048F"/>
    <w:rsid w:val="007C1BAA"/>
    <w:rsid w:val="007C21F4"/>
    <w:rsid w:val="007C58D8"/>
    <w:rsid w:val="007C742D"/>
    <w:rsid w:val="007D1219"/>
    <w:rsid w:val="007D1469"/>
    <w:rsid w:val="007D1B95"/>
    <w:rsid w:val="007D200D"/>
    <w:rsid w:val="007D370F"/>
    <w:rsid w:val="007D4A45"/>
    <w:rsid w:val="007D4F00"/>
    <w:rsid w:val="007D5191"/>
    <w:rsid w:val="007D56AC"/>
    <w:rsid w:val="007D60E8"/>
    <w:rsid w:val="007D644C"/>
    <w:rsid w:val="007D6CC5"/>
    <w:rsid w:val="007D774C"/>
    <w:rsid w:val="007D7BAC"/>
    <w:rsid w:val="007E0C4F"/>
    <w:rsid w:val="007E11E4"/>
    <w:rsid w:val="007E12C3"/>
    <w:rsid w:val="007E337C"/>
    <w:rsid w:val="007E3AF8"/>
    <w:rsid w:val="007E3C6C"/>
    <w:rsid w:val="007E3DEE"/>
    <w:rsid w:val="007E50C3"/>
    <w:rsid w:val="007E5254"/>
    <w:rsid w:val="007E666B"/>
    <w:rsid w:val="007E7112"/>
    <w:rsid w:val="007E7253"/>
    <w:rsid w:val="007E7474"/>
    <w:rsid w:val="007F1667"/>
    <w:rsid w:val="007F1818"/>
    <w:rsid w:val="007F3D1C"/>
    <w:rsid w:val="007F78E8"/>
    <w:rsid w:val="008008F4"/>
    <w:rsid w:val="00800E22"/>
    <w:rsid w:val="00800E58"/>
    <w:rsid w:val="008015C1"/>
    <w:rsid w:val="00801FEC"/>
    <w:rsid w:val="008021DE"/>
    <w:rsid w:val="00802481"/>
    <w:rsid w:val="008026E1"/>
    <w:rsid w:val="008036EB"/>
    <w:rsid w:val="00803C4C"/>
    <w:rsid w:val="00805384"/>
    <w:rsid w:val="00807499"/>
    <w:rsid w:val="00807A46"/>
    <w:rsid w:val="008100EA"/>
    <w:rsid w:val="00810971"/>
    <w:rsid w:val="00810B14"/>
    <w:rsid w:val="00810B22"/>
    <w:rsid w:val="0081115D"/>
    <w:rsid w:val="00811222"/>
    <w:rsid w:val="00811F49"/>
    <w:rsid w:val="00812BDA"/>
    <w:rsid w:val="00812DCF"/>
    <w:rsid w:val="0081314D"/>
    <w:rsid w:val="0081413F"/>
    <w:rsid w:val="008142E9"/>
    <w:rsid w:val="00815557"/>
    <w:rsid w:val="00815BA8"/>
    <w:rsid w:val="008167C4"/>
    <w:rsid w:val="00816FEC"/>
    <w:rsid w:val="00820D73"/>
    <w:rsid w:val="00822731"/>
    <w:rsid w:val="008234E5"/>
    <w:rsid w:val="0082381D"/>
    <w:rsid w:val="00825540"/>
    <w:rsid w:val="00825DD6"/>
    <w:rsid w:val="00826ACB"/>
    <w:rsid w:val="00827409"/>
    <w:rsid w:val="00830738"/>
    <w:rsid w:val="0083163A"/>
    <w:rsid w:val="00832AC7"/>
    <w:rsid w:val="00833B7E"/>
    <w:rsid w:val="00834789"/>
    <w:rsid w:val="00834BA7"/>
    <w:rsid w:val="0083587C"/>
    <w:rsid w:val="00835AA3"/>
    <w:rsid w:val="008367C4"/>
    <w:rsid w:val="00837FF0"/>
    <w:rsid w:val="00840126"/>
    <w:rsid w:val="008401A8"/>
    <w:rsid w:val="008402FE"/>
    <w:rsid w:val="00841BF6"/>
    <w:rsid w:val="00842FAC"/>
    <w:rsid w:val="008459BA"/>
    <w:rsid w:val="0084659B"/>
    <w:rsid w:val="0084671E"/>
    <w:rsid w:val="00847606"/>
    <w:rsid w:val="00847E5C"/>
    <w:rsid w:val="00851132"/>
    <w:rsid w:val="00855011"/>
    <w:rsid w:val="00856167"/>
    <w:rsid w:val="00856267"/>
    <w:rsid w:val="00856D32"/>
    <w:rsid w:val="0085760B"/>
    <w:rsid w:val="008577E5"/>
    <w:rsid w:val="00860040"/>
    <w:rsid w:val="008614BF"/>
    <w:rsid w:val="008614E0"/>
    <w:rsid w:val="00863AF4"/>
    <w:rsid w:val="00863BEB"/>
    <w:rsid w:val="00864269"/>
    <w:rsid w:val="00864F2B"/>
    <w:rsid w:val="00865290"/>
    <w:rsid w:val="008652D2"/>
    <w:rsid w:val="00865E09"/>
    <w:rsid w:val="0086603B"/>
    <w:rsid w:val="0086634A"/>
    <w:rsid w:val="008668D7"/>
    <w:rsid w:val="00867954"/>
    <w:rsid w:val="0087043A"/>
    <w:rsid w:val="00870A83"/>
    <w:rsid w:val="00870AE7"/>
    <w:rsid w:val="00870FB6"/>
    <w:rsid w:val="0087142B"/>
    <w:rsid w:val="0087160D"/>
    <w:rsid w:val="00871C70"/>
    <w:rsid w:val="00872C2A"/>
    <w:rsid w:val="0087353F"/>
    <w:rsid w:val="00873C0A"/>
    <w:rsid w:val="00874060"/>
    <w:rsid w:val="008753E6"/>
    <w:rsid w:val="0087640A"/>
    <w:rsid w:val="00876741"/>
    <w:rsid w:val="008801A3"/>
    <w:rsid w:val="00880280"/>
    <w:rsid w:val="0088047C"/>
    <w:rsid w:val="0088053F"/>
    <w:rsid w:val="0088080C"/>
    <w:rsid w:val="0088086B"/>
    <w:rsid w:val="00881868"/>
    <w:rsid w:val="00882581"/>
    <w:rsid w:val="00882B19"/>
    <w:rsid w:val="00883687"/>
    <w:rsid w:val="00883E95"/>
    <w:rsid w:val="008841C6"/>
    <w:rsid w:val="00885E14"/>
    <w:rsid w:val="00887545"/>
    <w:rsid w:val="00887FB0"/>
    <w:rsid w:val="00890385"/>
    <w:rsid w:val="00890569"/>
    <w:rsid w:val="008921C5"/>
    <w:rsid w:val="00892373"/>
    <w:rsid w:val="00892744"/>
    <w:rsid w:val="008937C0"/>
    <w:rsid w:val="00894843"/>
    <w:rsid w:val="00894D9D"/>
    <w:rsid w:val="00895104"/>
    <w:rsid w:val="00895778"/>
    <w:rsid w:val="0089578D"/>
    <w:rsid w:val="00895E96"/>
    <w:rsid w:val="00897004"/>
    <w:rsid w:val="00897AE5"/>
    <w:rsid w:val="008A052C"/>
    <w:rsid w:val="008A06DB"/>
    <w:rsid w:val="008A08B7"/>
    <w:rsid w:val="008A2D30"/>
    <w:rsid w:val="008A30BF"/>
    <w:rsid w:val="008A357B"/>
    <w:rsid w:val="008A412F"/>
    <w:rsid w:val="008A480C"/>
    <w:rsid w:val="008A4911"/>
    <w:rsid w:val="008A54A8"/>
    <w:rsid w:val="008A54AC"/>
    <w:rsid w:val="008A61B6"/>
    <w:rsid w:val="008A666D"/>
    <w:rsid w:val="008A6C64"/>
    <w:rsid w:val="008B00F6"/>
    <w:rsid w:val="008B1504"/>
    <w:rsid w:val="008B2AD7"/>
    <w:rsid w:val="008B2B28"/>
    <w:rsid w:val="008B2EF9"/>
    <w:rsid w:val="008B3990"/>
    <w:rsid w:val="008B3D7A"/>
    <w:rsid w:val="008B4C49"/>
    <w:rsid w:val="008B55EE"/>
    <w:rsid w:val="008B5E3F"/>
    <w:rsid w:val="008B6131"/>
    <w:rsid w:val="008B692F"/>
    <w:rsid w:val="008B7634"/>
    <w:rsid w:val="008C0FA4"/>
    <w:rsid w:val="008C1C84"/>
    <w:rsid w:val="008C2E36"/>
    <w:rsid w:val="008C3FB3"/>
    <w:rsid w:val="008C6366"/>
    <w:rsid w:val="008C773C"/>
    <w:rsid w:val="008C7C1F"/>
    <w:rsid w:val="008D171D"/>
    <w:rsid w:val="008D24B0"/>
    <w:rsid w:val="008D2AB8"/>
    <w:rsid w:val="008D2CD9"/>
    <w:rsid w:val="008D2F60"/>
    <w:rsid w:val="008D313D"/>
    <w:rsid w:val="008D48B0"/>
    <w:rsid w:val="008D6193"/>
    <w:rsid w:val="008D7216"/>
    <w:rsid w:val="008E075B"/>
    <w:rsid w:val="008E2E80"/>
    <w:rsid w:val="008E38E1"/>
    <w:rsid w:val="008E477D"/>
    <w:rsid w:val="008E4DCB"/>
    <w:rsid w:val="008E5AFB"/>
    <w:rsid w:val="008E678D"/>
    <w:rsid w:val="008E68EC"/>
    <w:rsid w:val="008E696D"/>
    <w:rsid w:val="008E7EE0"/>
    <w:rsid w:val="008F10AC"/>
    <w:rsid w:val="008F2338"/>
    <w:rsid w:val="008F2668"/>
    <w:rsid w:val="008F267D"/>
    <w:rsid w:val="008F346A"/>
    <w:rsid w:val="008F55EE"/>
    <w:rsid w:val="008F6CFD"/>
    <w:rsid w:val="008F7645"/>
    <w:rsid w:val="0090009C"/>
    <w:rsid w:val="0090065D"/>
    <w:rsid w:val="0090089C"/>
    <w:rsid w:val="0090115E"/>
    <w:rsid w:val="009012D1"/>
    <w:rsid w:val="00902346"/>
    <w:rsid w:val="0090295A"/>
    <w:rsid w:val="009029FC"/>
    <w:rsid w:val="00902FEF"/>
    <w:rsid w:val="00903AF3"/>
    <w:rsid w:val="00904D86"/>
    <w:rsid w:val="00905687"/>
    <w:rsid w:val="00906533"/>
    <w:rsid w:val="00907B73"/>
    <w:rsid w:val="0091040F"/>
    <w:rsid w:val="00910868"/>
    <w:rsid w:val="00910B9A"/>
    <w:rsid w:val="0091176C"/>
    <w:rsid w:val="00912C86"/>
    <w:rsid w:val="00913563"/>
    <w:rsid w:val="00914058"/>
    <w:rsid w:val="00914692"/>
    <w:rsid w:val="00914782"/>
    <w:rsid w:val="00915B4B"/>
    <w:rsid w:val="00916A1A"/>
    <w:rsid w:val="00920426"/>
    <w:rsid w:val="00921012"/>
    <w:rsid w:val="00921D3F"/>
    <w:rsid w:val="00922B53"/>
    <w:rsid w:val="00923FE8"/>
    <w:rsid w:val="00924194"/>
    <w:rsid w:val="00924297"/>
    <w:rsid w:val="00926523"/>
    <w:rsid w:val="009265D0"/>
    <w:rsid w:val="009276E3"/>
    <w:rsid w:val="00927764"/>
    <w:rsid w:val="0093134D"/>
    <w:rsid w:val="00931A50"/>
    <w:rsid w:val="009358FF"/>
    <w:rsid w:val="00935BA2"/>
    <w:rsid w:val="00936198"/>
    <w:rsid w:val="0093659B"/>
    <w:rsid w:val="009373FE"/>
    <w:rsid w:val="00937DB8"/>
    <w:rsid w:val="0094187B"/>
    <w:rsid w:val="00941DE8"/>
    <w:rsid w:val="00941E26"/>
    <w:rsid w:val="00942217"/>
    <w:rsid w:val="00942F1E"/>
    <w:rsid w:val="009437B6"/>
    <w:rsid w:val="00944088"/>
    <w:rsid w:val="00944980"/>
    <w:rsid w:val="00944EA6"/>
    <w:rsid w:val="009450FE"/>
    <w:rsid w:val="00950928"/>
    <w:rsid w:val="00950C9A"/>
    <w:rsid w:val="00951847"/>
    <w:rsid w:val="009519A1"/>
    <w:rsid w:val="00952306"/>
    <w:rsid w:val="00953B6B"/>
    <w:rsid w:val="00953FC5"/>
    <w:rsid w:val="00955EDB"/>
    <w:rsid w:val="00956EBD"/>
    <w:rsid w:val="00957043"/>
    <w:rsid w:val="009570E7"/>
    <w:rsid w:val="009578AD"/>
    <w:rsid w:val="00960606"/>
    <w:rsid w:val="00960C0D"/>
    <w:rsid w:val="00961521"/>
    <w:rsid w:val="00963413"/>
    <w:rsid w:val="00963477"/>
    <w:rsid w:val="009634A1"/>
    <w:rsid w:val="00963660"/>
    <w:rsid w:val="00963BE8"/>
    <w:rsid w:val="00964FFB"/>
    <w:rsid w:val="00965038"/>
    <w:rsid w:val="00965BD4"/>
    <w:rsid w:val="00965FA3"/>
    <w:rsid w:val="00965FE7"/>
    <w:rsid w:val="009662A6"/>
    <w:rsid w:val="00966E67"/>
    <w:rsid w:val="009670AA"/>
    <w:rsid w:val="009678CF"/>
    <w:rsid w:val="00970117"/>
    <w:rsid w:val="00971CBF"/>
    <w:rsid w:val="00972AA9"/>
    <w:rsid w:val="00973644"/>
    <w:rsid w:val="0097386D"/>
    <w:rsid w:val="00973F9B"/>
    <w:rsid w:val="00973FCA"/>
    <w:rsid w:val="00974218"/>
    <w:rsid w:val="009767EF"/>
    <w:rsid w:val="009775DD"/>
    <w:rsid w:val="00977861"/>
    <w:rsid w:val="00980C8C"/>
    <w:rsid w:val="009811AB"/>
    <w:rsid w:val="00981F0A"/>
    <w:rsid w:val="00981FD8"/>
    <w:rsid w:val="0098298D"/>
    <w:rsid w:val="00982AC0"/>
    <w:rsid w:val="00982AF4"/>
    <w:rsid w:val="009830FA"/>
    <w:rsid w:val="00983158"/>
    <w:rsid w:val="009839F7"/>
    <w:rsid w:val="00984682"/>
    <w:rsid w:val="009857B5"/>
    <w:rsid w:val="00985C8B"/>
    <w:rsid w:val="00986B04"/>
    <w:rsid w:val="00986BFD"/>
    <w:rsid w:val="009871A0"/>
    <w:rsid w:val="00987720"/>
    <w:rsid w:val="00990F5F"/>
    <w:rsid w:val="009917BB"/>
    <w:rsid w:val="0099183D"/>
    <w:rsid w:val="00991D1C"/>
    <w:rsid w:val="00992127"/>
    <w:rsid w:val="00992958"/>
    <w:rsid w:val="0099326A"/>
    <w:rsid w:val="00993EA6"/>
    <w:rsid w:val="00994033"/>
    <w:rsid w:val="009947F4"/>
    <w:rsid w:val="00994C1A"/>
    <w:rsid w:val="009962FA"/>
    <w:rsid w:val="009A0433"/>
    <w:rsid w:val="009A05D1"/>
    <w:rsid w:val="009A3808"/>
    <w:rsid w:val="009A52AB"/>
    <w:rsid w:val="009A772F"/>
    <w:rsid w:val="009A77E3"/>
    <w:rsid w:val="009B04A3"/>
    <w:rsid w:val="009B19E4"/>
    <w:rsid w:val="009B2A99"/>
    <w:rsid w:val="009B31E8"/>
    <w:rsid w:val="009B461E"/>
    <w:rsid w:val="009B4BB3"/>
    <w:rsid w:val="009B4C5B"/>
    <w:rsid w:val="009B57D8"/>
    <w:rsid w:val="009B6C3D"/>
    <w:rsid w:val="009B6D2F"/>
    <w:rsid w:val="009B72FB"/>
    <w:rsid w:val="009C05DF"/>
    <w:rsid w:val="009C3391"/>
    <w:rsid w:val="009C4A44"/>
    <w:rsid w:val="009C4E53"/>
    <w:rsid w:val="009C5432"/>
    <w:rsid w:val="009C6933"/>
    <w:rsid w:val="009C6B87"/>
    <w:rsid w:val="009C71BB"/>
    <w:rsid w:val="009C776F"/>
    <w:rsid w:val="009C7D43"/>
    <w:rsid w:val="009D11FE"/>
    <w:rsid w:val="009D2284"/>
    <w:rsid w:val="009D2DB0"/>
    <w:rsid w:val="009D3978"/>
    <w:rsid w:val="009D499A"/>
    <w:rsid w:val="009D4BDC"/>
    <w:rsid w:val="009D52BE"/>
    <w:rsid w:val="009D5AE4"/>
    <w:rsid w:val="009D5DA7"/>
    <w:rsid w:val="009D6098"/>
    <w:rsid w:val="009D747C"/>
    <w:rsid w:val="009D78BE"/>
    <w:rsid w:val="009E15F8"/>
    <w:rsid w:val="009E2C5C"/>
    <w:rsid w:val="009E45C1"/>
    <w:rsid w:val="009E5711"/>
    <w:rsid w:val="009E63E8"/>
    <w:rsid w:val="009E6CBE"/>
    <w:rsid w:val="009F04FD"/>
    <w:rsid w:val="009F0538"/>
    <w:rsid w:val="009F0A63"/>
    <w:rsid w:val="009F0C64"/>
    <w:rsid w:val="009F27F9"/>
    <w:rsid w:val="009F28B6"/>
    <w:rsid w:val="009F38D3"/>
    <w:rsid w:val="009F3E58"/>
    <w:rsid w:val="009F57D9"/>
    <w:rsid w:val="009F6A18"/>
    <w:rsid w:val="009F6B02"/>
    <w:rsid w:val="009F7310"/>
    <w:rsid w:val="009F7E98"/>
    <w:rsid w:val="00A01641"/>
    <w:rsid w:val="00A027CC"/>
    <w:rsid w:val="00A03517"/>
    <w:rsid w:val="00A040B4"/>
    <w:rsid w:val="00A051E7"/>
    <w:rsid w:val="00A06817"/>
    <w:rsid w:val="00A074E5"/>
    <w:rsid w:val="00A12995"/>
    <w:rsid w:val="00A12C39"/>
    <w:rsid w:val="00A135EC"/>
    <w:rsid w:val="00A14F9E"/>
    <w:rsid w:val="00A14FD6"/>
    <w:rsid w:val="00A1610D"/>
    <w:rsid w:val="00A166AF"/>
    <w:rsid w:val="00A16F6E"/>
    <w:rsid w:val="00A17E4D"/>
    <w:rsid w:val="00A2224C"/>
    <w:rsid w:val="00A22E8A"/>
    <w:rsid w:val="00A2469D"/>
    <w:rsid w:val="00A25BC0"/>
    <w:rsid w:val="00A26242"/>
    <w:rsid w:val="00A26627"/>
    <w:rsid w:val="00A27276"/>
    <w:rsid w:val="00A30651"/>
    <w:rsid w:val="00A32D8F"/>
    <w:rsid w:val="00A32F5F"/>
    <w:rsid w:val="00A34FDB"/>
    <w:rsid w:val="00A355AF"/>
    <w:rsid w:val="00A35D06"/>
    <w:rsid w:val="00A37C88"/>
    <w:rsid w:val="00A4133A"/>
    <w:rsid w:val="00A42168"/>
    <w:rsid w:val="00A421C5"/>
    <w:rsid w:val="00A428AD"/>
    <w:rsid w:val="00A42A6E"/>
    <w:rsid w:val="00A439CF"/>
    <w:rsid w:val="00A45459"/>
    <w:rsid w:val="00A45C61"/>
    <w:rsid w:val="00A471C7"/>
    <w:rsid w:val="00A50E3E"/>
    <w:rsid w:val="00A520BF"/>
    <w:rsid w:val="00A534AB"/>
    <w:rsid w:val="00A57714"/>
    <w:rsid w:val="00A6127D"/>
    <w:rsid w:val="00A62E3E"/>
    <w:rsid w:val="00A63002"/>
    <w:rsid w:val="00A63106"/>
    <w:rsid w:val="00A636C7"/>
    <w:rsid w:val="00A647C0"/>
    <w:rsid w:val="00A6676E"/>
    <w:rsid w:val="00A6761A"/>
    <w:rsid w:val="00A67FE1"/>
    <w:rsid w:val="00A70A87"/>
    <w:rsid w:val="00A70FBD"/>
    <w:rsid w:val="00A71880"/>
    <w:rsid w:val="00A719E4"/>
    <w:rsid w:val="00A7216B"/>
    <w:rsid w:val="00A730EB"/>
    <w:rsid w:val="00A731CF"/>
    <w:rsid w:val="00A73768"/>
    <w:rsid w:val="00A7484C"/>
    <w:rsid w:val="00A762BD"/>
    <w:rsid w:val="00A76396"/>
    <w:rsid w:val="00A76A44"/>
    <w:rsid w:val="00A76A81"/>
    <w:rsid w:val="00A801A3"/>
    <w:rsid w:val="00A81CAD"/>
    <w:rsid w:val="00A8223C"/>
    <w:rsid w:val="00A82BE0"/>
    <w:rsid w:val="00A838F7"/>
    <w:rsid w:val="00A84246"/>
    <w:rsid w:val="00A84E33"/>
    <w:rsid w:val="00A8692E"/>
    <w:rsid w:val="00A873CC"/>
    <w:rsid w:val="00A9020B"/>
    <w:rsid w:val="00A90DC5"/>
    <w:rsid w:val="00A912E5"/>
    <w:rsid w:val="00A918A4"/>
    <w:rsid w:val="00A92761"/>
    <w:rsid w:val="00A93FA0"/>
    <w:rsid w:val="00A94B20"/>
    <w:rsid w:val="00A9567C"/>
    <w:rsid w:val="00A95FBD"/>
    <w:rsid w:val="00A977B3"/>
    <w:rsid w:val="00AA0929"/>
    <w:rsid w:val="00AA21C8"/>
    <w:rsid w:val="00AA27B2"/>
    <w:rsid w:val="00AA2E1D"/>
    <w:rsid w:val="00AA343D"/>
    <w:rsid w:val="00AA43A8"/>
    <w:rsid w:val="00AA572E"/>
    <w:rsid w:val="00AA616A"/>
    <w:rsid w:val="00AA68BD"/>
    <w:rsid w:val="00AB0F4D"/>
    <w:rsid w:val="00AB10B2"/>
    <w:rsid w:val="00AB1564"/>
    <w:rsid w:val="00AB1F25"/>
    <w:rsid w:val="00AB2088"/>
    <w:rsid w:val="00AB334C"/>
    <w:rsid w:val="00AB3576"/>
    <w:rsid w:val="00AB69A3"/>
    <w:rsid w:val="00AC0518"/>
    <w:rsid w:val="00AC2297"/>
    <w:rsid w:val="00AC2361"/>
    <w:rsid w:val="00AC24DF"/>
    <w:rsid w:val="00AC4E8A"/>
    <w:rsid w:val="00AC529B"/>
    <w:rsid w:val="00AC595E"/>
    <w:rsid w:val="00AC5A15"/>
    <w:rsid w:val="00AC61DF"/>
    <w:rsid w:val="00AD009C"/>
    <w:rsid w:val="00AD1A1E"/>
    <w:rsid w:val="00AD3036"/>
    <w:rsid w:val="00AD406C"/>
    <w:rsid w:val="00AD4278"/>
    <w:rsid w:val="00AD5589"/>
    <w:rsid w:val="00AD6211"/>
    <w:rsid w:val="00AE2C24"/>
    <w:rsid w:val="00AE302E"/>
    <w:rsid w:val="00AE3161"/>
    <w:rsid w:val="00AE3648"/>
    <w:rsid w:val="00AE546D"/>
    <w:rsid w:val="00AE5C6D"/>
    <w:rsid w:val="00AE6B24"/>
    <w:rsid w:val="00AE6C42"/>
    <w:rsid w:val="00AE7238"/>
    <w:rsid w:val="00AE745E"/>
    <w:rsid w:val="00AF178F"/>
    <w:rsid w:val="00AF2E18"/>
    <w:rsid w:val="00AF47F6"/>
    <w:rsid w:val="00AF4D8E"/>
    <w:rsid w:val="00AF6066"/>
    <w:rsid w:val="00B0036C"/>
    <w:rsid w:val="00B015CC"/>
    <w:rsid w:val="00B01DE1"/>
    <w:rsid w:val="00B02040"/>
    <w:rsid w:val="00B021D8"/>
    <w:rsid w:val="00B02624"/>
    <w:rsid w:val="00B02695"/>
    <w:rsid w:val="00B03336"/>
    <w:rsid w:val="00B03CD5"/>
    <w:rsid w:val="00B06550"/>
    <w:rsid w:val="00B06FF2"/>
    <w:rsid w:val="00B071AF"/>
    <w:rsid w:val="00B07EAA"/>
    <w:rsid w:val="00B105FF"/>
    <w:rsid w:val="00B10E9C"/>
    <w:rsid w:val="00B13803"/>
    <w:rsid w:val="00B138CC"/>
    <w:rsid w:val="00B14545"/>
    <w:rsid w:val="00B15175"/>
    <w:rsid w:val="00B15A48"/>
    <w:rsid w:val="00B15B2F"/>
    <w:rsid w:val="00B15D19"/>
    <w:rsid w:val="00B17D6E"/>
    <w:rsid w:val="00B205F5"/>
    <w:rsid w:val="00B219E8"/>
    <w:rsid w:val="00B21B89"/>
    <w:rsid w:val="00B23E6C"/>
    <w:rsid w:val="00B26463"/>
    <w:rsid w:val="00B26819"/>
    <w:rsid w:val="00B27766"/>
    <w:rsid w:val="00B278F1"/>
    <w:rsid w:val="00B312B5"/>
    <w:rsid w:val="00B32DEA"/>
    <w:rsid w:val="00B32DEE"/>
    <w:rsid w:val="00B344D5"/>
    <w:rsid w:val="00B34BFD"/>
    <w:rsid w:val="00B34CEB"/>
    <w:rsid w:val="00B35317"/>
    <w:rsid w:val="00B35A72"/>
    <w:rsid w:val="00B36809"/>
    <w:rsid w:val="00B3681C"/>
    <w:rsid w:val="00B36D7D"/>
    <w:rsid w:val="00B36EED"/>
    <w:rsid w:val="00B400A9"/>
    <w:rsid w:val="00B40EE7"/>
    <w:rsid w:val="00B4221B"/>
    <w:rsid w:val="00B42D34"/>
    <w:rsid w:val="00B42DD3"/>
    <w:rsid w:val="00B43583"/>
    <w:rsid w:val="00B435B2"/>
    <w:rsid w:val="00B43DED"/>
    <w:rsid w:val="00B473F7"/>
    <w:rsid w:val="00B47804"/>
    <w:rsid w:val="00B50528"/>
    <w:rsid w:val="00B505FA"/>
    <w:rsid w:val="00B50A1F"/>
    <w:rsid w:val="00B5103D"/>
    <w:rsid w:val="00B513A1"/>
    <w:rsid w:val="00B51696"/>
    <w:rsid w:val="00B51D60"/>
    <w:rsid w:val="00B5240F"/>
    <w:rsid w:val="00B535AC"/>
    <w:rsid w:val="00B53AB1"/>
    <w:rsid w:val="00B53AE6"/>
    <w:rsid w:val="00B54460"/>
    <w:rsid w:val="00B548C4"/>
    <w:rsid w:val="00B54FC8"/>
    <w:rsid w:val="00B55099"/>
    <w:rsid w:val="00B5637F"/>
    <w:rsid w:val="00B60071"/>
    <w:rsid w:val="00B60676"/>
    <w:rsid w:val="00B60780"/>
    <w:rsid w:val="00B60AD9"/>
    <w:rsid w:val="00B61727"/>
    <w:rsid w:val="00B637A5"/>
    <w:rsid w:val="00B64F39"/>
    <w:rsid w:val="00B65A00"/>
    <w:rsid w:val="00B66092"/>
    <w:rsid w:val="00B67551"/>
    <w:rsid w:val="00B70378"/>
    <w:rsid w:val="00B71389"/>
    <w:rsid w:val="00B71534"/>
    <w:rsid w:val="00B7156B"/>
    <w:rsid w:val="00B73ED9"/>
    <w:rsid w:val="00B7626E"/>
    <w:rsid w:val="00B767B8"/>
    <w:rsid w:val="00B76C27"/>
    <w:rsid w:val="00B81433"/>
    <w:rsid w:val="00B8161B"/>
    <w:rsid w:val="00B8364E"/>
    <w:rsid w:val="00B84EF9"/>
    <w:rsid w:val="00B86347"/>
    <w:rsid w:val="00B873D9"/>
    <w:rsid w:val="00B911FF"/>
    <w:rsid w:val="00B9129C"/>
    <w:rsid w:val="00B91727"/>
    <w:rsid w:val="00B93157"/>
    <w:rsid w:val="00B93E93"/>
    <w:rsid w:val="00B943E5"/>
    <w:rsid w:val="00B94A05"/>
    <w:rsid w:val="00B95663"/>
    <w:rsid w:val="00B9591A"/>
    <w:rsid w:val="00B95B4C"/>
    <w:rsid w:val="00B975DA"/>
    <w:rsid w:val="00BA1CFE"/>
    <w:rsid w:val="00BA2B0E"/>
    <w:rsid w:val="00BA2C2A"/>
    <w:rsid w:val="00BA2FD7"/>
    <w:rsid w:val="00BA3A5C"/>
    <w:rsid w:val="00BA45D3"/>
    <w:rsid w:val="00BA6EE9"/>
    <w:rsid w:val="00BA709C"/>
    <w:rsid w:val="00BA76CC"/>
    <w:rsid w:val="00BA7DE5"/>
    <w:rsid w:val="00BB032F"/>
    <w:rsid w:val="00BB0AA2"/>
    <w:rsid w:val="00BB2218"/>
    <w:rsid w:val="00BB2274"/>
    <w:rsid w:val="00BB24E4"/>
    <w:rsid w:val="00BB4536"/>
    <w:rsid w:val="00BB4A4C"/>
    <w:rsid w:val="00BB51CE"/>
    <w:rsid w:val="00BB5B10"/>
    <w:rsid w:val="00BB610E"/>
    <w:rsid w:val="00BB61B1"/>
    <w:rsid w:val="00BB6F98"/>
    <w:rsid w:val="00BB77B0"/>
    <w:rsid w:val="00BB79FA"/>
    <w:rsid w:val="00BC04BA"/>
    <w:rsid w:val="00BC0E8F"/>
    <w:rsid w:val="00BC2EAC"/>
    <w:rsid w:val="00BC32CA"/>
    <w:rsid w:val="00BC3B25"/>
    <w:rsid w:val="00BC5396"/>
    <w:rsid w:val="00BC54E6"/>
    <w:rsid w:val="00BC5738"/>
    <w:rsid w:val="00BC5821"/>
    <w:rsid w:val="00BD1458"/>
    <w:rsid w:val="00BD1977"/>
    <w:rsid w:val="00BD1B1F"/>
    <w:rsid w:val="00BD2ED3"/>
    <w:rsid w:val="00BD30AB"/>
    <w:rsid w:val="00BD4995"/>
    <w:rsid w:val="00BD5145"/>
    <w:rsid w:val="00BD525E"/>
    <w:rsid w:val="00BD571E"/>
    <w:rsid w:val="00BD75EE"/>
    <w:rsid w:val="00BD79F7"/>
    <w:rsid w:val="00BE1515"/>
    <w:rsid w:val="00BE1F3C"/>
    <w:rsid w:val="00BE219E"/>
    <w:rsid w:val="00BE2AC3"/>
    <w:rsid w:val="00BE3F41"/>
    <w:rsid w:val="00BE418E"/>
    <w:rsid w:val="00BE4960"/>
    <w:rsid w:val="00BE5736"/>
    <w:rsid w:val="00BE5D0C"/>
    <w:rsid w:val="00BE637F"/>
    <w:rsid w:val="00BE643A"/>
    <w:rsid w:val="00BE7B9F"/>
    <w:rsid w:val="00BF2F02"/>
    <w:rsid w:val="00BF5081"/>
    <w:rsid w:val="00BF53AE"/>
    <w:rsid w:val="00BF5483"/>
    <w:rsid w:val="00BF5C66"/>
    <w:rsid w:val="00BF68D7"/>
    <w:rsid w:val="00BF6D22"/>
    <w:rsid w:val="00BF6D40"/>
    <w:rsid w:val="00BF7928"/>
    <w:rsid w:val="00BF7A75"/>
    <w:rsid w:val="00C024B5"/>
    <w:rsid w:val="00C026E1"/>
    <w:rsid w:val="00C033FC"/>
    <w:rsid w:val="00C036D3"/>
    <w:rsid w:val="00C03B65"/>
    <w:rsid w:val="00C05237"/>
    <w:rsid w:val="00C06581"/>
    <w:rsid w:val="00C06BBD"/>
    <w:rsid w:val="00C07378"/>
    <w:rsid w:val="00C0753C"/>
    <w:rsid w:val="00C07E3C"/>
    <w:rsid w:val="00C10183"/>
    <w:rsid w:val="00C11393"/>
    <w:rsid w:val="00C128E7"/>
    <w:rsid w:val="00C12B9A"/>
    <w:rsid w:val="00C12DDE"/>
    <w:rsid w:val="00C1384E"/>
    <w:rsid w:val="00C1454C"/>
    <w:rsid w:val="00C14EFF"/>
    <w:rsid w:val="00C15F82"/>
    <w:rsid w:val="00C16813"/>
    <w:rsid w:val="00C16D63"/>
    <w:rsid w:val="00C17353"/>
    <w:rsid w:val="00C20A76"/>
    <w:rsid w:val="00C20D66"/>
    <w:rsid w:val="00C218CA"/>
    <w:rsid w:val="00C2221F"/>
    <w:rsid w:val="00C22945"/>
    <w:rsid w:val="00C244E7"/>
    <w:rsid w:val="00C25745"/>
    <w:rsid w:val="00C26FF1"/>
    <w:rsid w:val="00C27B7D"/>
    <w:rsid w:val="00C27FEC"/>
    <w:rsid w:val="00C30F85"/>
    <w:rsid w:val="00C33156"/>
    <w:rsid w:val="00C34F1D"/>
    <w:rsid w:val="00C358E4"/>
    <w:rsid w:val="00C3595D"/>
    <w:rsid w:val="00C36B98"/>
    <w:rsid w:val="00C36DA9"/>
    <w:rsid w:val="00C37020"/>
    <w:rsid w:val="00C3768C"/>
    <w:rsid w:val="00C4023C"/>
    <w:rsid w:val="00C41AC4"/>
    <w:rsid w:val="00C42ECF"/>
    <w:rsid w:val="00C43824"/>
    <w:rsid w:val="00C43C10"/>
    <w:rsid w:val="00C43C45"/>
    <w:rsid w:val="00C4543F"/>
    <w:rsid w:val="00C45F43"/>
    <w:rsid w:val="00C4619F"/>
    <w:rsid w:val="00C461EE"/>
    <w:rsid w:val="00C477D4"/>
    <w:rsid w:val="00C502E4"/>
    <w:rsid w:val="00C523EE"/>
    <w:rsid w:val="00C52AEB"/>
    <w:rsid w:val="00C52B0F"/>
    <w:rsid w:val="00C557A3"/>
    <w:rsid w:val="00C55C68"/>
    <w:rsid w:val="00C57475"/>
    <w:rsid w:val="00C613C8"/>
    <w:rsid w:val="00C619A2"/>
    <w:rsid w:val="00C61CE1"/>
    <w:rsid w:val="00C62113"/>
    <w:rsid w:val="00C62E3B"/>
    <w:rsid w:val="00C65085"/>
    <w:rsid w:val="00C65832"/>
    <w:rsid w:val="00C6773B"/>
    <w:rsid w:val="00C67B4A"/>
    <w:rsid w:val="00C71064"/>
    <w:rsid w:val="00C71B1A"/>
    <w:rsid w:val="00C71F2A"/>
    <w:rsid w:val="00C723B2"/>
    <w:rsid w:val="00C72E11"/>
    <w:rsid w:val="00C744F0"/>
    <w:rsid w:val="00C74B96"/>
    <w:rsid w:val="00C74E8D"/>
    <w:rsid w:val="00C758B3"/>
    <w:rsid w:val="00C76861"/>
    <w:rsid w:val="00C76A95"/>
    <w:rsid w:val="00C76F38"/>
    <w:rsid w:val="00C7736F"/>
    <w:rsid w:val="00C77D45"/>
    <w:rsid w:val="00C80807"/>
    <w:rsid w:val="00C80D4D"/>
    <w:rsid w:val="00C812E0"/>
    <w:rsid w:val="00C8213F"/>
    <w:rsid w:val="00C82DC7"/>
    <w:rsid w:val="00C83D87"/>
    <w:rsid w:val="00C86172"/>
    <w:rsid w:val="00C867CB"/>
    <w:rsid w:val="00C86A5A"/>
    <w:rsid w:val="00C87AFD"/>
    <w:rsid w:val="00C9174A"/>
    <w:rsid w:val="00C92C3C"/>
    <w:rsid w:val="00C93CAD"/>
    <w:rsid w:val="00C944E6"/>
    <w:rsid w:val="00C949C8"/>
    <w:rsid w:val="00C94B5C"/>
    <w:rsid w:val="00C94F37"/>
    <w:rsid w:val="00C951CA"/>
    <w:rsid w:val="00C95261"/>
    <w:rsid w:val="00C95A43"/>
    <w:rsid w:val="00C95F91"/>
    <w:rsid w:val="00C96E84"/>
    <w:rsid w:val="00C971F0"/>
    <w:rsid w:val="00CA007D"/>
    <w:rsid w:val="00CA2325"/>
    <w:rsid w:val="00CA23FB"/>
    <w:rsid w:val="00CA497C"/>
    <w:rsid w:val="00CA5838"/>
    <w:rsid w:val="00CA5FF3"/>
    <w:rsid w:val="00CA79F9"/>
    <w:rsid w:val="00CA7EEE"/>
    <w:rsid w:val="00CB20EB"/>
    <w:rsid w:val="00CB27C1"/>
    <w:rsid w:val="00CB3E26"/>
    <w:rsid w:val="00CB43F4"/>
    <w:rsid w:val="00CB44C2"/>
    <w:rsid w:val="00CB5712"/>
    <w:rsid w:val="00CB7F91"/>
    <w:rsid w:val="00CC34DA"/>
    <w:rsid w:val="00CC3DCB"/>
    <w:rsid w:val="00CC53AA"/>
    <w:rsid w:val="00CC6200"/>
    <w:rsid w:val="00CC6700"/>
    <w:rsid w:val="00CC7468"/>
    <w:rsid w:val="00CD1370"/>
    <w:rsid w:val="00CD1B0E"/>
    <w:rsid w:val="00CD21D4"/>
    <w:rsid w:val="00CD314C"/>
    <w:rsid w:val="00CD3A7E"/>
    <w:rsid w:val="00CD4D60"/>
    <w:rsid w:val="00CD4EB5"/>
    <w:rsid w:val="00CD4FE1"/>
    <w:rsid w:val="00CD5D83"/>
    <w:rsid w:val="00CD7094"/>
    <w:rsid w:val="00CD72EB"/>
    <w:rsid w:val="00CE0A1E"/>
    <w:rsid w:val="00CE15C8"/>
    <w:rsid w:val="00CE47D6"/>
    <w:rsid w:val="00CE5430"/>
    <w:rsid w:val="00CE5D4E"/>
    <w:rsid w:val="00CE5F09"/>
    <w:rsid w:val="00CE651E"/>
    <w:rsid w:val="00CE6C17"/>
    <w:rsid w:val="00CE722D"/>
    <w:rsid w:val="00CE7E38"/>
    <w:rsid w:val="00CF042F"/>
    <w:rsid w:val="00CF07A8"/>
    <w:rsid w:val="00CF0ACA"/>
    <w:rsid w:val="00CF1000"/>
    <w:rsid w:val="00CF1E5B"/>
    <w:rsid w:val="00CF2359"/>
    <w:rsid w:val="00CF2BE4"/>
    <w:rsid w:val="00CF4705"/>
    <w:rsid w:val="00CF703F"/>
    <w:rsid w:val="00CF7FA0"/>
    <w:rsid w:val="00D01E56"/>
    <w:rsid w:val="00D024C8"/>
    <w:rsid w:val="00D02CE1"/>
    <w:rsid w:val="00D02D39"/>
    <w:rsid w:val="00D03F02"/>
    <w:rsid w:val="00D05E90"/>
    <w:rsid w:val="00D068E2"/>
    <w:rsid w:val="00D077DA"/>
    <w:rsid w:val="00D07E51"/>
    <w:rsid w:val="00D10262"/>
    <w:rsid w:val="00D10E32"/>
    <w:rsid w:val="00D142FA"/>
    <w:rsid w:val="00D148D6"/>
    <w:rsid w:val="00D17228"/>
    <w:rsid w:val="00D17DE4"/>
    <w:rsid w:val="00D2082C"/>
    <w:rsid w:val="00D213BD"/>
    <w:rsid w:val="00D223F3"/>
    <w:rsid w:val="00D23830"/>
    <w:rsid w:val="00D24314"/>
    <w:rsid w:val="00D24B47"/>
    <w:rsid w:val="00D250C3"/>
    <w:rsid w:val="00D30242"/>
    <w:rsid w:val="00D30DC0"/>
    <w:rsid w:val="00D310F5"/>
    <w:rsid w:val="00D318A4"/>
    <w:rsid w:val="00D32200"/>
    <w:rsid w:val="00D335F0"/>
    <w:rsid w:val="00D34A02"/>
    <w:rsid w:val="00D37439"/>
    <w:rsid w:val="00D37596"/>
    <w:rsid w:val="00D40F15"/>
    <w:rsid w:val="00D40F2A"/>
    <w:rsid w:val="00D41C41"/>
    <w:rsid w:val="00D4202E"/>
    <w:rsid w:val="00D420FA"/>
    <w:rsid w:val="00D422EA"/>
    <w:rsid w:val="00D4277C"/>
    <w:rsid w:val="00D428DB"/>
    <w:rsid w:val="00D42E43"/>
    <w:rsid w:val="00D431D6"/>
    <w:rsid w:val="00D43393"/>
    <w:rsid w:val="00D44030"/>
    <w:rsid w:val="00D454E6"/>
    <w:rsid w:val="00D471C7"/>
    <w:rsid w:val="00D47408"/>
    <w:rsid w:val="00D52ADC"/>
    <w:rsid w:val="00D53195"/>
    <w:rsid w:val="00D532ED"/>
    <w:rsid w:val="00D5511E"/>
    <w:rsid w:val="00D564B5"/>
    <w:rsid w:val="00D56AB7"/>
    <w:rsid w:val="00D60DB3"/>
    <w:rsid w:val="00D644D1"/>
    <w:rsid w:val="00D64995"/>
    <w:rsid w:val="00D65161"/>
    <w:rsid w:val="00D67A93"/>
    <w:rsid w:val="00D67C04"/>
    <w:rsid w:val="00D7133A"/>
    <w:rsid w:val="00D71B9B"/>
    <w:rsid w:val="00D72937"/>
    <w:rsid w:val="00D73B30"/>
    <w:rsid w:val="00D74958"/>
    <w:rsid w:val="00D74E20"/>
    <w:rsid w:val="00D75032"/>
    <w:rsid w:val="00D75C41"/>
    <w:rsid w:val="00D75E0D"/>
    <w:rsid w:val="00D762A7"/>
    <w:rsid w:val="00D76569"/>
    <w:rsid w:val="00D76D7F"/>
    <w:rsid w:val="00D80663"/>
    <w:rsid w:val="00D855BF"/>
    <w:rsid w:val="00D85C40"/>
    <w:rsid w:val="00D863E7"/>
    <w:rsid w:val="00D8689F"/>
    <w:rsid w:val="00D904A2"/>
    <w:rsid w:val="00D90AA5"/>
    <w:rsid w:val="00D91496"/>
    <w:rsid w:val="00D92D03"/>
    <w:rsid w:val="00D950E3"/>
    <w:rsid w:val="00D96375"/>
    <w:rsid w:val="00D964DD"/>
    <w:rsid w:val="00D964E2"/>
    <w:rsid w:val="00DA03B6"/>
    <w:rsid w:val="00DA0D8E"/>
    <w:rsid w:val="00DA10B6"/>
    <w:rsid w:val="00DA132C"/>
    <w:rsid w:val="00DA1886"/>
    <w:rsid w:val="00DA231F"/>
    <w:rsid w:val="00DA2ADB"/>
    <w:rsid w:val="00DA2F2B"/>
    <w:rsid w:val="00DA3484"/>
    <w:rsid w:val="00DA4357"/>
    <w:rsid w:val="00DA6BF3"/>
    <w:rsid w:val="00DA75A0"/>
    <w:rsid w:val="00DA77A4"/>
    <w:rsid w:val="00DB0838"/>
    <w:rsid w:val="00DB0895"/>
    <w:rsid w:val="00DB08E1"/>
    <w:rsid w:val="00DB208A"/>
    <w:rsid w:val="00DB2698"/>
    <w:rsid w:val="00DB2D09"/>
    <w:rsid w:val="00DB2F59"/>
    <w:rsid w:val="00DB34D8"/>
    <w:rsid w:val="00DB383E"/>
    <w:rsid w:val="00DB395D"/>
    <w:rsid w:val="00DB5DA9"/>
    <w:rsid w:val="00DB64AE"/>
    <w:rsid w:val="00DB6804"/>
    <w:rsid w:val="00DB6AED"/>
    <w:rsid w:val="00DB6E98"/>
    <w:rsid w:val="00DB7E54"/>
    <w:rsid w:val="00DC0743"/>
    <w:rsid w:val="00DC172C"/>
    <w:rsid w:val="00DC1A7E"/>
    <w:rsid w:val="00DC1B7D"/>
    <w:rsid w:val="00DC1D08"/>
    <w:rsid w:val="00DC25AE"/>
    <w:rsid w:val="00DC2AC1"/>
    <w:rsid w:val="00DC2CAC"/>
    <w:rsid w:val="00DC41A9"/>
    <w:rsid w:val="00DC457A"/>
    <w:rsid w:val="00DC5352"/>
    <w:rsid w:val="00DC6353"/>
    <w:rsid w:val="00DC691B"/>
    <w:rsid w:val="00DD0317"/>
    <w:rsid w:val="00DD237C"/>
    <w:rsid w:val="00DD2524"/>
    <w:rsid w:val="00DD2CF9"/>
    <w:rsid w:val="00DD3AA2"/>
    <w:rsid w:val="00DD3CD0"/>
    <w:rsid w:val="00DD3D44"/>
    <w:rsid w:val="00DD445B"/>
    <w:rsid w:val="00DD53E3"/>
    <w:rsid w:val="00DD551F"/>
    <w:rsid w:val="00DD556C"/>
    <w:rsid w:val="00DD5584"/>
    <w:rsid w:val="00DD5591"/>
    <w:rsid w:val="00DD6738"/>
    <w:rsid w:val="00DD6DE2"/>
    <w:rsid w:val="00DE0B80"/>
    <w:rsid w:val="00DE0BC6"/>
    <w:rsid w:val="00DE1675"/>
    <w:rsid w:val="00DE192E"/>
    <w:rsid w:val="00DE1D0E"/>
    <w:rsid w:val="00DE1DAC"/>
    <w:rsid w:val="00DE30F9"/>
    <w:rsid w:val="00DE41A4"/>
    <w:rsid w:val="00DE4EB1"/>
    <w:rsid w:val="00DE4FF3"/>
    <w:rsid w:val="00DE5BA2"/>
    <w:rsid w:val="00DE5C22"/>
    <w:rsid w:val="00DE7048"/>
    <w:rsid w:val="00DE7362"/>
    <w:rsid w:val="00DE7415"/>
    <w:rsid w:val="00DE7AF6"/>
    <w:rsid w:val="00DE7F8E"/>
    <w:rsid w:val="00DF1A28"/>
    <w:rsid w:val="00DF1F9C"/>
    <w:rsid w:val="00DF35FF"/>
    <w:rsid w:val="00DF4028"/>
    <w:rsid w:val="00DF4D03"/>
    <w:rsid w:val="00DF4E35"/>
    <w:rsid w:val="00DF5D27"/>
    <w:rsid w:val="00DF6A1E"/>
    <w:rsid w:val="00DF77FA"/>
    <w:rsid w:val="00DF7A52"/>
    <w:rsid w:val="00E00ACA"/>
    <w:rsid w:val="00E00C4C"/>
    <w:rsid w:val="00E01CF8"/>
    <w:rsid w:val="00E01FCA"/>
    <w:rsid w:val="00E02E5A"/>
    <w:rsid w:val="00E0459D"/>
    <w:rsid w:val="00E04DE9"/>
    <w:rsid w:val="00E05442"/>
    <w:rsid w:val="00E059CD"/>
    <w:rsid w:val="00E05A3D"/>
    <w:rsid w:val="00E0681F"/>
    <w:rsid w:val="00E069B4"/>
    <w:rsid w:val="00E10C29"/>
    <w:rsid w:val="00E10E31"/>
    <w:rsid w:val="00E11D86"/>
    <w:rsid w:val="00E12E17"/>
    <w:rsid w:val="00E13469"/>
    <w:rsid w:val="00E13888"/>
    <w:rsid w:val="00E1481E"/>
    <w:rsid w:val="00E15C8C"/>
    <w:rsid w:val="00E15E8E"/>
    <w:rsid w:val="00E20575"/>
    <w:rsid w:val="00E2064A"/>
    <w:rsid w:val="00E20E7C"/>
    <w:rsid w:val="00E216C0"/>
    <w:rsid w:val="00E2182A"/>
    <w:rsid w:val="00E21C4C"/>
    <w:rsid w:val="00E220B2"/>
    <w:rsid w:val="00E22317"/>
    <w:rsid w:val="00E24272"/>
    <w:rsid w:val="00E243EE"/>
    <w:rsid w:val="00E249DE"/>
    <w:rsid w:val="00E24F69"/>
    <w:rsid w:val="00E2534B"/>
    <w:rsid w:val="00E25397"/>
    <w:rsid w:val="00E26A9C"/>
    <w:rsid w:val="00E274BF"/>
    <w:rsid w:val="00E27901"/>
    <w:rsid w:val="00E30D31"/>
    <w:rsid w:val="00E31018"/>
    <w:rsid w:val="00E31E2B"/>
    <w:rsid w:val="00E31F51"/>
    <w:rsid w:val="00E32104"/>
    <w:rsid w:val="00E338D7"/>
    <w:rsid w:val="00E343BE"/>
    <w:rsid w:val="00E35C09"/>
    <w:rsid w:val="00E36A91"/>
    <w:rsid w:val="00E3719D"/>
    <w:rsid w:val="00E37251"/>
    <w:rsid w:val="00E418D0"/>
    <w:rsid w:val="00E4225D"/>
    <w:rsid w:val="00E4235C"/>
    <w:rsid w:val="00E424D9"/>
    <w:rsid w:val="00E42D07"/>
    <w:rsid w:val="00E43A28"/>
    <w:rsid w:val="00E453FF"/>
    <w:rsid w:val="00E4611C"/>
    <w:rsid w:val="00E50B54"/>
    <w:rsid w:val="00E51145"/>
    <w:rsid w:val="00E51839"/>
    <w:rsid w:val="00E522BB"/>
    <w:rsid w:val="00E533B7"/>
    <w:rsid w:val="00E534BA"/>
    <w:rsid w:val="00E57D2A"/>
    <w:rsid w:val="00E60672"/>
    <w:rsid w:val="00E60FC3"/>
    <w:rsid w:val="00E62C15"/>
    <w:rsid w:val="00E63407"/>
    <w:rsid w:val="00E65E91"/>
    <w:rsid w:val="00E65FF9"/>
    <w:rsid w:val="00E67230"/>
    <w:rsid w:val="00E7059F"/>
    <w:rsid w:val="00E70A95"/>
    <w:rsid w:val="00E71254"/>
    <w:rsid w:val="00E73602"/>
    <w:rsid w:val="00E74D34"/>
    <w:rsid w:val="00E75A71"/>
    <w:rsid w:val="00E76EE3"/>
    <w:rsid w:val="00E80281"/>
    <w:rsid w:val="00E8215D"/>
    <w:rsid w:val="00E82378"/>
    <w:rsid w:val="00E8425F"/>
    <w:rsid w:val="00E854B0"/>
    <w:rsid w:val="00E859AB"/>
    <w:rsid w:val="00E85E93"/>
    <w:rsid w:val="00E86DE6"/>
    <w:rsid w:val="00E91447"/>
    <w:rsid w:val="00E91C19"/>
    <w:rsid w:val="00E92073"/>
    <w:rsid w:val="00E92617"/>
    <w:rsid w:val="00E94558"/>
    <w:rsid w:val="00E9480D"/>
    <w:rsid w:val="00E9532F"/>
    <w:rsid w:val="00E95582"/>
    <w:rsid w:val="00E9558A"/>
    <w:rsid w:val="00E968CE"/>
    <w:rsid w:val="00EA2152"/>
    <w:rsid w:val="00EA2221"/>
    <w:rsid w:val="00EA42F3"/>
    <w:rsid w:val="00EA4BA3"/>
    <w:rsid w:val="00EA5141"/>
    <w:rsid w:val="00EA718A"/>
    <w:rsid w:val="00EB00E6"/>
    <w:rsid w:val="00EB020E"/>
    <w:rsid w:val="00EB18CE"/>
    <w:rsid w:val="00EB2857"/>
    <w:rsid w:val="00EB29E3"/>
    <w:rsid w:val="00EB419F"/>
    <w:rsid w:val="00EB4824"/>
    <w:rsid w:val="00EB4F91"/>
    <w:rsid w:val="00EB5069"/>
    <w:rsid w:val="00EB5F87"/>
    <w:rsid w:val="00EB6389"/>
    <w:rsid w:val="00EB663A"/>
    <w:rsid w:val="00EB6AB9"/>
    <w:rsid w:val="00EB744C"/>
    <w:rsid w:val="00EB7CD2"/>
    <w:rsid w:val="00EC017A"/>
    <w:rsid w:val="00EC0B20"/>
    <w:rsid w:val="00EC0B25"/>
    <w:rsid w:val="00EC0D7C"/>
    <w:rsid w:val="00EC0E20"/>
    <w:rsid w:val="00EC1805"/>
    <w:rsid w:val="00EC252B"/>
    <w:rsid w:val="00EC2ED9"/>
    <w:rsid w:val="00EC2FD9"/>
    <w:rsid w:val="00EC368E"/>
    <w:rsid w:val="00EC3C9B"/>
    <w:rsid w:val="00EC44FA"/>
    <w:rsid w:val="00EC4E79"/>
    <w:rsid w:val="00ED01E6"/>
    <w:rsid w:val="00ED0E77"/>
    <w:rsid w:val="00ED252D"/>
    <w:rsid w:val="00ED3186"/>
    <w:rsid w:val="00ED4BEA"/>
    <w:rsid w:val="00ED683F"/>
    <w:rsid w:val="00ED69B0"/>
    <w:rsid w:val="00ED6A3E"/>
    <w:rsid w:val="00ED74B4"/>
    <w:rsid w:val="00ED7C9F"/>
    <w:rsid w:val="00EE0228"/>
    <w:rsid w:val="00EE034E"/>
    <w:rsid w:val="00EE0EAF"/>
    <w:rsid w:val="00EE1173"/>
    <w:rsid w:val="00EE25EF"/>
    <w:rsid w:val="00EE3462"/>
    <w:rsid w:val="00EE5874"/>
    <w:rsid w:val="00EE6ABE"/>
    <w:rsid w:val="00EF0F2C"/>
    <w:rsid w:val="00EF1700"/>
    <w:rsid w:val="00EF1BBB"/>
    <w:rsid w:val="00EF2C8B"/>
    <w:rsid w:val="00EF35B8"/>
    <w:rsid w:val="00EF5580"/>
    <w:rsid w:val="00EF5D1C"/>
    <w:rsid w:val="00EF6E69"/>
    <w:rsid w:val="00EF76D6"/>
    <w:rsid w:val="00F00FE5"/>
    <w:rsid w:val="00F0153D"/>
    <w:rsid w:val="00F01F7C"/>
    <w:rsid w:val="00F03270"/>
    <w:rsid w:val="00F043E2"/>
    <w:rsid w:val="00F044C7"/>
    <w:rsid w:val="00F06A96"/>
    <w:rsid w:val="00F071C6"/>
    <w:rsid w:val="00F07983"/>
    <w:rsid w:val="00F109CA"/>
    <w:rsid w:val="00F11017"/>
    <w:rsid w:val="00F1213D"/>
    <w:rsid w:val="00F1279B"/>
    <w:rsid w:val="00F12A6E"/>
    <w:rsid w:val="00F13F6D"/>
    <w:rsid w:val="00F14FE3"/>
    <w:rsid w:val="00F154AD"/>
    <w:rsid w:val="00F16CCA"/>
    <w:rsid w:val="00F17003"/>
    <w:rsid w:val="00F17750"/>
    <w:rsid w:val="00F17E49"/>
    <w:rsid w:val="00F20035"/>
    <w:rsid w:val="00F2010E"/>
    <w:rsid w:val="00F20572"/>
    <w:rsid w:val="00F20697"/>
    <w:rsid w:val="00F208AD"/>
    <w:rsid w:val="00F20A44"/>
    <w:rsid w:val="00F20CD5"/>
    <w:rsid w:val="00F21044"/>
    <w:rsid w:val="00F23A62"/>
    <w:rsid w:val="00F23F40"/>
    <w:rsid w:val="00F24508"/>
    <w:rsid w:val="00F2543F"/>
    <w:rsid w:val="00F25CC9"/>
    <w:rsid w:val="00F26E84"/>
    <w:rsid w:val="00F30147"/>
    <w:rsid w:val="00F30347"/>
    <w:rsid w:val="00F307D4"/>
    <w:rsid w:val="00F30B3A"/>
    <w:rsid w:val="00F31A11"/>
    <w:rsid w:val="00F31EAE"/>
    <w:rsid w:val="00F3367B"/>
    <w:rsid w:val="00F33700"/>
    <w:rsid w:val="00F33A88"/>
    <w:rsid w:val="00F34884"/>
    <w:rsid w:val="00F34954"/>
    <w:rsid w:val="00F35B72"/>
    <w:rsid w:val="00F36A49"/>
    <w:rsid w:val="00F37177"/>
    <w:rsid w:val="00F3735A"/>
    <w:rsid w:val="00F377FB"/>
    <w:rsid w:val="00F37DFC"/>
    <w:rsid w:val="00F415A6"/>
    <w:rsid w:val="00F41906"/>
    <w:rsid w:val="00F42D1E"/>
    <w:rsid w:val="00F42EBA"/>
    <w:rsid w:val="00F43E68"/>
    <w:rsid w:val="00F44F81"/>
    <w:rsid w:val="00F46669"/>
    <w:rsid w:val="00F46A72"/>
    <w:rsid w:val="00F46F5F"/>
    <w:rsid w:val="00F47943"/>
    <w:rsid w:val="00F47B47"/>
    <w:rsid w:val="00F504BA"/>
    <w:rsid w:val="00F50989"/>
    <w:rsid w:val="00F51190"/>
    <w:rsid w:val="00F5179E"/>
    <w:rsid w:val="00F52C48"/>
    <w:rsid w:val="00F52CFE"/>
    <w:rsid w:val="00F53E51"/>
    <w:rsid w:val="00F54081"/>
    <w:rsid w:val="00F54E30"/>
    <w:rsid w:val="00F54EF0"/>
    <w:rsid w:val="00F55CD7"/>
    <w:rsid w:val="00F560AA"/>
    <w:rsid w:val="00F5798F"/>
    <w:rsid w:val="00F60870"/>
    <w:rsid w:val="00F62001"/>
    <w:rsid w:val="00F62784"/>
    <w:rsid w:val="00F64817"/>
    <w:rsid w:val="00F655A9"/>
    <w:rsid w:val="00F65B9D"/>
    <w:rsid w:val="00F66309"/>
    <w:rsid w:val="00F66B4A"/>
    <w:rsid w:val="00F66EB2"/>
    <w:rsid w:val="00F676FA"/>
    <w:rsid w:val="00F67AA3"/>
    <w:rsid w:val="00F7232E"/>
    <w:rsid w:val="00F754F2"/>
    <w:rsid w:val="00F758B4"/>
    <w:rsid w:val="00F75D6C"/>
    <w:rsid w:val="00F75F8E"/>
    <w:rsid w:val="00F80AD2"/>
    <w:rsid w:val="00F81BB5"/>
    <w:rsid w:val="00F81E7C"/>
    <w:rsid w:val="00F8244F"/>
    <w:rsid w:val="00F82510"/>
    <w:rsid w:val="00F82B62"/>
    <w:rsid w:val="00F82CD7"/>
    <w:rsid w:val="00F82F64"/>
    <w:rsid w:val="00F850A4"/>
    <w:rsid w:val="00F860BB"/>
    <w:rsid w:val="00F86BB4"/>
    <w:rsid w:val="00F87593"/>
    <w:rsid w:val="00F87ABE"/>
    <w:rsid w:val="00F90BD8"/>
    <w:rsid w:val="00F914AE"/>
    <w:rsid w:val="00F929FA"/>
    <w:rsid w:val="00F92D6E"/>
    <w:rsid w:val="00F941C0"/>
    <w:rsid w:val="00F94885"/>
    <w:rsid w:val="00F94984"/>
    <w:rsid w:val="00F94B38"/>
    <w:rsid w:val="00F94BEB"/>
    <w:rsid w:val="00F974D8"/>
    <w:rsid w:val="00F97B09"/>
    <w:rsid w:val="00FA0C66"/>
    <w:rsid w:val="00FA0DE8"/>
    <w:rsid w:val="00FA228B"/>
    <w:rsid w:val="00FA2E8F"/>
    <w:rsid w:val="00FA3525"/>
    <w:rsid w:val="00FA4BC4"/>
    <w:rsid w:val="00FB0C78"/>
    <w:rsid w:val="00FB1576"/>
    <w:rsid w:val="00FB1954"/>
    <w:rsid w:val="00FB35CE"/>
    <w:rsid w:val="00FB388E"/>
    <w:rsid w:val="00FB3BFA"/>
    <w:rsid w:val="00FB6FD9"/>
    <w:rsid w:val="00FC01B8"/>
    <w:rsid w:val="00FC0510"/>
    <w:rsid w:val="00FC17AD"/>
    <w:rsid w:val="00FC1BAE"/>
    <w:rsid w:val="00FC3217"/>
    <w:rsid w:val="00FC4D04"/>
    <w:rsid w:val="00FC5394"/>
    <w:rsid w:val="00FC7A69"/>
    <w:rsid w:val="00FC7A70"/>
    <w:rsid w:val="00FD194C"/>
    <w:rsid w:val="00FD3DE6"/>
    <w:rsid w:val="00FD49FD"/>
    <w:rsid w:val="00FD4CE2"/>
    <w:rsid w:val="00FD73E5"/>
    <w:rsid w:val="00FD7760"/>
    <w:rsid w:val="00FD77C0"/>
    <w:rsid w:val="00FD7BA8"/>
    <w:rsid w:val="00FE0AE2"/>
    <w:rsid w:val="00FE1B10"/>
    <w:rsid w:val="00FE1EF4"/>
    <w:rsid w:val="00FE2555"/>
    <w:rsid w:val="00FE33AF"/>
    <w:rsid w:val="00FE445E"/>
    <w:rsid w:val="00FE4899"/>
    <w:rsid w:val="00FE5103"/>
    <w:rsid w:val="00FE69DB"/>
    <w:rsid w:val="00FF04EC"/>
    <w:rsid w:val="00FF0804"/>
    <w:rsid w:val="00FF1F6D"/>
    <w:rsid w:val="00FF443A"/>
    <w:rsid w:val="00FF4A74"/>
    <w:rsid w:val="00FF6BE0"/>
    <w:rsid w:val="00FF6CCB"/>
    <w:rsid w:val="00FF7F70"/>
    <w:rsid w:val="03EC0177"/>
    <w:rsid w:val="0491109A"/>
    <w:rsid w:val="04C6147B"/>
    <w:rsid w:val="05080FE1"/>
    <w:rsid w:val="05970C81"/>
    <w:rsid w:val="06580D37"/>
    <w:rsid w:val="06851E05"/>
    <w:rsid w:val="06CE3597"/>
    <w:rsid w:val="07D66A93"/>
    <w:rsid w:val="08FA42A7"/>
    <w:rsid w:val="09BF06F0"/>
    <w:rsid w:val="0A860A29"/>
    <w:rsid w:val="0B184192"/>
    <w:rsid w:val="0B970DE5"/>
    <w:rsid w:val="0CCB4F23"/>
    <w:rsid w:val="0DE346C5"/>
    <w:rsid w:val="0DE469F3"/>
    <w:rsid w:val="0DF05006"/>
    <w:rsid w:val="0F143499"/>
    <w:rsid w:val="101552DD"/>
    <w:rsid w:val="104B658D"/>
    <w:rsid w:val="12130CCF"/>
    <w:rsid w:val="122E739E"/>
    <w:rsid w:val="13755A68"/>
    <w:rsid w:val="13CC58CF"/>
    <w:rsid w:val="13D0003E"/>
    <w:rsid w:val="145204CA"/>
    <w:rsid w:val="15130B7D"/>
    <w:rsid w:val="15325C06"/>
    <w:rsid w:val="156C05A2"/>
    <w:rsid w:val="156F6E5A"/>
    <w:rsid w:val="15AD0FD1"/>
    <w:rsid w:val="16265028"/>
    <w:rsid w:val="165D794D"/>
    <w:rsid w:val="16C073EA"/>
    <w:rsid w:val="16DE635F"/>
    <w:rsid w:val="176A368C"/>
    <w:rsid w:val="1888270D"/>
    <w:rsid w:val="1A826984"/>
    <w:rsid w:val="1ADB3611"/>
    <w:rsid w:val="1B946BE7"/>
    <w:rsid w:val="1BF310DB"/>
    <w:rsid w:val="1CD766A8"/>
    <w:rsid w:val="1D352C93"/>
    <w:rsid w:val="1D714A0B"/>
    <w:rsid w:val="1E3D6448"/>
    <w:rsid w:val="1E474D4D"/>
    <w:rsid w:val="1ED20A0E"/>
    <w:rsid w:val="1FA134B3"/>
    <w:rsid w:val="1FFC753C"/>
    <w:rsid w:val="20143080"/>
    <w:rsid w:val="205C35B9"/>
    <w:rsid w:val="206B7589"/>
    <w:rsid w:val="20BE3ACC"/>
    <w:rsid w:val="211010CC"/>
    <w:rsid w:val="211F1734"/>
    <w:rsid w:val="21CA604C"/>
    <w:rsid w:val="21EC21E7"/>
    <w:rsid w:val="22AD2307"/>
    <w:rsid w:val="231D7560"/>
    <w:rsid w:val="23A14683"/>
    <w:rsid w:val="23C5322A"/>
    <w:rsid w:val="23E72CFB"/>
    <w:rsid w:val="245C67FB"/>
    <w:rsid w:val="24635E7D"/>
    <w:rsid w:val="24B14B5B"/>
    <w:rsid w:val="24D64800"/>
    <w:rsid w:val="258D5AAF"/>
    <w:rsid w:val="260777CB"/>
    <w:rsid w:val="268D462B"/>
    <w:rsid w:val="26C779E9"/>
    <w:rsid w:val="274176DD"/>
    <w:rsid w:val="27543939"/>
    <w:rsid w:val="278B2413"/>
    <w:rsid w:val="27FB1276"/>
    <w:rsid w:val="282B2188"/>
    <w:rsid w:val="28590917"/>
    <w:rsid w:val="28AE6D65"/>
    <w:rsid w:val="29162058"/>
    <w:rsid w:val="29180297"/>
    <w:rsid w:val="2949275E"/>
    <w:rsid w:val="2A015E1B"/>
    <w:rsid w:val="2A6B0ED0"/>
    <w:rsid w:val="2BD30778"/>
    <w:rsid w:val="2BEF0CC5"/>
    <w:rsid w:val="2C1F2A1F"/>
    <w:rsid w:val="2C730B86"/>
    <w:rsid w:val="2D6A53A3"/>
    <w:rsid w:val="2D8E56CE"/>
    <w:rsid w:val="2DA5159B"/>
    <w:rsid w:val="2DA63B8C"/>
    <w:rsid w:val="2E26328B"/>
    <w:rsid w:val="2E2E2324"/>
    <w:rsid w:val="2F1E1CFF"/>
    <w:rsid w:val="2FC37F17"/>
    <w:rsid w:val="2FCB57E4"/>
    <w:rsid w:val="300E1BA8"/>
    <w:rsid w:val="303529BA"/>
    <w:rsid w:val="30954A72"/>
    <w:rsid w:val="322F493E"/>
    <w:rsid w:val="33F22F90"/>
    <w:rsid w:val="34487CF9"/>
    <w:rsid w:val="34534789"/>
    <w:rsid w:val="346975D1"/>
    <w:rsid w:val="35D36D7D"/>
    <w:rsid w:val="35F65B88"/>
    <w:rsid w:val="36724D02"/>
    <w:rsid w:val="36EB4F5A"/>
    <w:rsid w:val="37BE184F"/>
    <w:rsid w:val="39FC4A44"/>
    <w:rsid w:val="3A9D5E85"/>
    <w:rsid w:val="3B3C77EA"/>
    <w:rsid w:val="3BA26D92"/>
    <w:rsid w:val="3BB429DC"/>
    <w:rsid w:val="3C192416"/>
    <w:rsid w:val="3C385050"/>
    <w:rsid w:val="3CA4187F"/>
    <w:rsid w:val="3D157604"/>
    <w:rsid w:val="3D191474"/>
    <w:rsid w:val="3DBE1C68"/>
    <w:rsid w:val="3E681366"/>
    <w:rsid w:val="3E783C60"/>
    <w:rsid w:val="3E9D06E7"/>
    <w:rsid w:val="3FE23C01"/>
    <w:rsid w:val="3FFB0793"/>
    <w:rsid w:val="40332294"/>
    <w:rsid w:val="40592330"/>
    <w:rsid w:val="410A40C6"/>
    <w:rsid w:val="411A1168"/>
    <w:rsid w:val="414164AA"/>
    <w:rsid w:val="41823F00"/>
    <w:rsid w:val="427F7566"/>
    <w:rsid w:val="42CF234F"/>
    <w:rsid w:val="43610F7C"/>
    <w:rsid w:val="43741014"/>
    <w:rsid w:val="4397201D"/>
    <w:rsid w:val="43E574D9"/>
    <w:rsid w:val="447A69DF"/>
    <w:rsid w:val="44A43B7B"/>
    <w:rsid w:val="464C5D5E"/>
    <w:rsid w:val="467B2A76"/>
    <w:rsid w:val="46E74DE9"/>
    <w:rsid w:val="47160567"/>
    <w:rsid w:val="47F82D63"/>
    <w:rsid w:val="481A247A"/>
    <w:rsid w:val="486A6A48"/>
    <w:rsid w:val="48EF0478"/>
    <w:rsid w:val="4935502F"/>
    <w:rsid w:val="49E84F30"/>
    <w:rsid w:val="4A0A4394"/>
    <w:rsid w:val="4A2E5198"/>
    <w:rsid w:val="4AF13892"/>
    <w:rsid w:val="4BBF2226"/>
    <w:rsid w:val="4BC81235"/>
    <w:rsid w:val="4CCF2F3B"/>
    <w:rsid w:val="4CD61BE0"/>
    <w:rsid w:val="4D1A3483"/>
    <w:rsid w:val="4DA43A02"/>
    <w:rsid w:val="4E0D35E9"/>
    <w:rsid w:val="4E685C19"/>
    <w:rsid w:val="4EB82EEB"/>
    <w:rsid w:val="4F0C1F2F"/>
    <w:rsid w:val="4F2C0D29"/>
    <w:rsid w:val="4F652159"/>
    <w:rsid w:val="502136CA"/>
    <w:rsid w:val="50CA7193"/>
    <w:rsid w:val="522968FD"/>
    <w:rsid w:val="524B6656"/>
    <w:rsid w:val="525F5585"/>
    <w:rsid w:val="52630BD1"/>
    <w:rsid w:val="536D4005"/>
    <w:rsid w:val="53710C04"/>
    <w:rsid w:val="542B11E0"/>
    <w:rsid w:val="5463070C"/>
    <w:rsid w:val="54A14947"/>
    <w:rsid w:val="54AA6D09"/>
    <w:rsid w:val="54D25434"/>
    <w:rsid w:val="54D61DED"/>
    <w:rsid w:val="551A519E"/>
    <w:rsid w:val="551E55B5"/>
    <w:rsid w:val="55DF0246"/>
    <w:rsid w:val="55F6162D"/>
    <w:rsid w:val="570B5E72"/>
    <w:rsid w:val="570E72ED"/>
    <w:rsid w:val="57720022"/>
    <w:rsid w:val="57A66EE9"/>
    <w:rsid w:val="584C374D"/>
    <w:rsid w:val="58BD0A48"/>
    <w:rsid w:val="598918A5"/>
    <w:rsid w:val="59A03372"/>
    <w:rsid w:val="5A266FC0"/>
    <w:rsid w:val="5A9474FC"/>
    <w:rsid w:val="5B003AC0"/>
    <w:rsid w:val="5B162181"/>
    <w:rsid w:val="5B407138"/>
    <w:rsid w:val="5BA6155E"/>
    <w:rsid w:val="5C1F21B2"/>
    <w:rsid w:val="5C9958B0"/>
    <w:rsid w:val="5CB14E71"/>
    <w:rsid w:val="5CB4245B"/>
    <w:rsid w:val="5E445F05"/>
    <w:rsid w:val="5E8B7C7A"/>
    <w:rsid w:val="5E993BCD"/>
    <w:rsid w:val="5F2049FB"/>
    <w:rsid w:val="5F2D2C93"/>
    <w:rsid w:val="5FA502CA"/>
    <w:rsid w:val="5FD27710"/>
    <w:rsid w:val="60D00B30"/>
    <w:rsid w:val="6117122F"/>
    <w:rsid w:val="61AC36FA"/>
    <w:rsid w:val="61FD25A1"/>
    <w:rsid w:val="62F30EEC"/>
    <w:rsid w:val="63DC35A6"/>
    <w:rsid w:val="642701AC"/>
    <w:rsid w:val="64A23726"/>
    <w:rsid w:val="64E132F6"/>
    <w:rsid w:val="6509588B"/>
    <w:rsid w:val="652E6D08"/>
    <w:rsid w:val="65835E7B"/>
    <w:rsid w:val="658D448B"/>
    <w:rsid w:val="659A37F1"/>
    <w:rsid w:val="659E32B5"/>
    <w:rsid w:val="65EC0A86"/>
    <w:rsid w:val="66230FB3"/>
    <w:rsid w:val="664F5ADA"/>
    <w:rsid w:val="66BD6B7E"/>
    <w:rsid w:val="66E511A9"/>
    <w:rsid w:val="671D7D71"/>
    <w:rsid w:val="679D028A"/>
    <w:rsid w:val="67BF2C63"/>
    <w:rsid w:val="67CF2FEB"/>
    <w:rsid w:val="67E82CD1"/>
    <w:rsid w:val="68585004"/>
    <w:rsid w:val="68592C4A"/>
    <w:rsid w:val="68AB0123"/>
    <w:rsid w:val="690F638E"/>
    <w:rsid w:val="69773283"/>
    <w:rsid w:val="69C20EDA"/>
    <w:rsid w:val="6A2D0931"/>
    <w:rsid w:val="6A670B9B"/>
    <w:rsid w:val="6B2C72F9"/>
    <w:rsid w:val="6B8506EB"/>
    <w:rsid w:val="6D107750"/>
    <w:rsid w:val="6D77157D"/>
    <w:rsid w:val="6DBE0F5A"/>
    <w:rsid w:val="6DDF30E4"/>
    <w:rsid w:val="6EBE1D77"/>
    <w:rsid w:val="6EDC63AB"/>
    <w:rsid w:val="6F5C3995"/>
    <w:rsid w:val="6F7278D8"/>
    <w:rsid w:val="700C06A3"/>
    <w:rsid w:val="7091578D"/>
    <w:rsid w:val="70A11646"/>
    <w:rsid w:val="70A37E16"/>
    <w:rsid w:val="70BB77CA"/>
    <w:rsid w:val="70F2135C"/>
    <w:rsid w:val="70FB0C71"/>
    <w:rsid w:val="711F2CDA"/>
    <w:rsid w:val="71F17EDB"/>
    <w:rsid w:val="72005A94"/>
    <w:rsid w:val="72175B12"/>
    <w:rsid w:val="7289422C"/>
    <w:rsid w:val="72D44C74"/>
    <w:rsid w:val="748B1E4C"/>
    <w:rsid w:val="74E83E15"/>
    <w:rsid w:val="74ED3DA4"/>
    <w:rsid w:val="758D193E"/>
    <w:rsid w:val="75E03B34"/>
    <w:rsid w:val="75EE6384"/>
    <w:rsid w:val="761656E6"/>
    <w:rsid w:val="764B63E7"/>
    <w:rsid w:val="76A33CAD"/>
    <w:rsid w:val="76D756CE"/>
    <w:rsid w:val="76D75CBB"/>
    <w:rsid w:val="77304C77"/>
    <w:rsid w:val="776B3A1B"/>
    <w:rsid w:val="78471398"/>
    <w:rsid w:val="78853310"/>
    <w:rsid w:val="78AD41E5"/>
    <w:rsid w:val="79565C94"/>
    <w:rsid w:val="7A394528"/>
    <w:rsid w:val="7B007056"/>
    <w:rsid w:val="7B6650AE"/>
    <w:rsid w:val="7E517E56"/>
    <w:rsid w:val="7F6E4E2D"/>
    <w:rsid w:val="7FAB59B3"/>
    <w:rsid w:val="7FB83A5B"/>
    <w:rsid w:val="7FF250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4"/>
    <w:qFormat/>
    <w:uiPriority w:val="9"/>
    <w:pPr>
      <w:keepNext/>
      <w:keepLines/>
      <w:spacing w:beforeLines="100" w:afterLines="100" w:line="400" w:lineRule="exact"/>
      <w:jc w:val="center"/>
      <w:outlineLvl w:val="0"/>
    </w:pPr>
    <w:rPr>
      <w:b/>
      <w:bCs/>
      <w:kern w:val="44"/>
      <w:sz w:val="44"/>
      <w:szCs w:val="44"/>
    </w:rPr>
  </w:style>
  <w:style w:type="paragraph" w:styleId="3">
    <w:name w:val="heading 2"/>
    <w:basedOn w:val="1"/>
    <w:next w:val="1"/>
    <w:link w:val="45"/>
    <w:qFormat/>
    <w:uiPriority w:val="0"/>
    <w:pPr>
      <w:keepNext/>
      <w:jc w:val="center"/>
      <w:outlineLvl w:val="1"/>
    </w:pPr>
    <w:rPr>
      <w:rFonts w:ascii="Cambria" w:hAnsi="Cambria"/>
      <w:b/>
      <w:bCs/>
      <w:sz w:val="30"/>
      <w:szCs w:val="32"/>
    </w:rPr>
  </w:style>
  <w:style w:type="paragraph" w:styleId="4">
    <w:name w:val="heading 3"/>
    <w:basedOn w:val="1"/>
    <w:next w:val="1"/>
    <w:link w:val="46"/>
    <w:qFormat/>
    <w:uiPriority w:val="9"/>
    <w:pPr>
      <w:keepNext/>
      <w:tabs>
        <w:tab w:val="left" w:pos="720"/>
      </w:tabs>
      <w:spacing w:line="240" w:lineRule="atLeast"/>
      <w:ind w:left="720" w:hanging="720"/>
      <w:jc w:val="center"/>
      <w:outlineLvl w:val="2"/>
    </w:pPr>
    <w:rPr>
      <w:b/>
      <w:bCs/>
      <w:kern w:val="0"/>
      <w:sz w:val="32"/>
      <w:szCs w:val="32"/>
    </w:rPr>
  </w:style>
  <w:style w:type="paragraph" w:styleId="5">
    <w:name w:val="heading 4"/>
    <w:basedOn w:val="1"/>
    <w:next w:val="1"/>
    <w:link w:val="47"/>
    <w:qFormat/>
    <w:uiPriority w:val="9"/>
    <w:pPr>
      <w:keepNext/>
      <w:keepLines/>
      <w:spacing w:before="280" w:after="290" w:line="374" w:lineRule="auto"/>
      <w:outlineLvl w:val="3"/>
    </w:pPr>
    <w:rPr>
      <w:rFonts w:ascii="Cambria" w:hAnsi="Cambria"/>
      <w:b/>
      <w:bCs/>
      <w:kern w:val="0"/>
      <w:sz w:val="28"/>
      <w:szCs w:val="28"/>
    </w:rPr>
  </w:style>
  <w:style w:type="paragraph" w:styleId="6">
    <w:name w:val="heading 5"/>
    <w:basedOn w:val="1"/>
    <w:next w:val="1"/>
    <w:link w:val="48"/>
    <w:semiHidden/>
    <w:unhideWhenUsed/>
    <w:qFormat/>
    <w:uiPriority w:val="9"/>
    <w:pPr>
      <w:keepNext/>
      <w:keepLines/>
      <w:spacing w:line="372" w:lineRule="auto"/>
      <w:ind w:left="1008" w:hanging="1008"/>
      <w:outlineLvl w:val="4"/>
    </w:pPr>
    <w:rPr>
      <w:rFonts w:asciiTheme="minorHAnsi" w:hAnsiTheme="minorHAnsi" w:eastAsiaTheme="minorEastAsia" w:cstheme="minorBidi"/>
      <w:b/>
      <w:sz w:val="28"/>
      <w:szCs w:val="22"/>
    </w:rPr>
  </w:style>
  <w:style w:type="paragraph" w:styleId="7">
    <w:name w:val="heading 6"/>
    <w:basedOn w:val="1"/>
    <w:next w:val="1"/>
    <w:link w:val="133"/>
    <w:semiHidden/>
    <w:unhideWhenUsed/>
    <w:qFormat/>
    <w:uiPriority w:val="9"/>
    <w:pPr>
      <w:keepNext/>
      <w:keepLines/>
      <w:spacing w:line="317" w:lineRule="auto"/>
      <w:ind w:left="1151" w:hanging="1151"/>
      <w:outlineLvl w:val="5"/>
    </w:pPr>
    <w:rPr>
      <w:rFonts w:ascii="Arial" w:hAnsi="Arial" w:eastAsia="黑体" w:cstheme="minorBidi"/>
      <w:b/>
      <w:sz w:val="24"/>
      <w:szCs w:val="22"/>
    </w:rPr>
  </w:style>
  <w:style w:type="paragraph" w:styleId="8">
    <w:name w:val="heading 7"/>
    <w:basedOn w:val="1"/>
    <w:next w:val="1"/>
    <w:link w:val="134"/>
    <w:semiHidden/>
    <w:unhideWhenUsed/>
    <w:qFormat/>
    <w:uiPriority w:val="9"/>
    <w:pPr>
      <w:keepNext/>
      <w:keepLines/>
      <w:spacing w:line="317" w:lineRule="auto"/>
      <w:ind w:left="1296" w:hanging="1296"/>
      <w:outlineLvl w:val="6"/>
    </w:pPr>
    <w:rPr>
      <w:rFonts w:asciiTheme="minorHAnsi" w:hAnsiTheme="minorHAnsi" w:eastAsiaTheme="minorEastAsia" w:cstheme="minorBidi"/>
      <w:b/>
      <w:sz w:val="24"/>
      <w:szCs w:val="22"/>
    </w:rPr>
  </w:style>
  <w:style w:type="paragraph" w:styleId="9">
    <w:name w:val="heading 8"/>
    <w:basedOn w:val="1"/>
    <w:next w:val="1"/>
    <w:link w:val="135"/>
    <w:semiHidden/>
    <w:unhideWhenUsed/>
    <w:qFormat/>
    <w:uiPriority w:val="9"/>
    <w:pPr>
      <w:keepNext/>
      <w:keepLines/>
      <w:spacing w:line="317" w:lineRule="auto"/>
      <w:ind w:left="1440" w:hanging="1440"/>
      <w:outlineLvl w:val="7"/>
    </w:pPr>
    <w:rPr>
      <w:rFonts w:ascii="Arial" w:hAnsi="Arial" w:eastAsia="黑体" w:cstheme="minorBidi"/>
      <w:sz w:val="24"/>
      <w:szCs w:val="22"/>
    </w:rPr>
  </w:style>
  <w:style w:type="paragraph" w:styleId="10">
    <w:name w:val="heading 9"/>
    <w:basedOn w:val="1"/>
    <w:next w:val="1"/>
    <w:link w:val="136"/>
    <w:semiHidden/>
    <w:unhideWhenUsed/>
    <w:qFormat/>
    <w:uiPriority w:val="9"/>
    <w:pPr>
      <w:keepNext/>
      <w:keepLines/>
      <w:spacing w:line="317" w:lineRule="auto"/>
      <w:ind w:left="1583" w:hanging="1583"/>
      <w:outlineLvl w:val="8"/>
    </w:pPr>
    <w:rPr>
      <w:rFonts w:ascii="Arial" w:hAnsi="Arial" w:eastAsia="黑体" w:cstheme="minorBidi"/>
      <w:szCs w:val="22"/>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49"/>
    <w:qFormat/>
    <w:uiPriority w:val="0"/>
    <w:pPr>
      <w:widowControl/>
      <w:adjustRightInd w:val="0"/>
      <w:snapToGrid w:val="0"/>
      <w:spacing w:line="480" w:lineRule="exact"/>
      <w:ind w:firstLine="567"/>
    </w:pPr>
    <w:rPr>
      <w:rFonts w:ascii="宋体"/>
      <w:snapToGrid w:val="0"/>
      <w:color w:val="000000"/>
      <w:kern w:val="28"/>
      <w:sz w:val="28"/>
    </w:rPr>
  </w:style>
  <w:style w:type="paragraph" w:styleId="12">
    <w:name w:val="Document Map"/>
    <w:basedOn w:val="1"/>
    <w:link w:val="50"/>
    <w:qFormat/>
    <w:uiPriority w:val="0"/>
    <w:pPr>
      <w:shd w:val="clear" w:color="auto" w:fill="000080"/>
    </w:pPr>
    <w:rPr>
      <w:kern w:val="0"/>
      <w:sz w:val="2"/>
    </w:rPr>
  </w:style>
  <w:style w:type="paragraph" w:styleId="13">
    <w:name w:val="toa heading"/>
    <w:basedOn w:val="1"/>
    <w:next w:val="1"/>
    <w:semiHidden/>
    <w:unhideWhenUsed/>
    <w:qFormat/>
    <w:uiPriority w:val="99"/>
    <w:pPr>
      <w:spacing w:before="120"/>
    </w:pPr>
    <w:rPr>
      <w:rFonts w:ascii="Arial" w:hAnsi="Arial" w:cs="Arial"/>
      <w:sz w:val="24"/>
      <w:szCs w:val="24"/>
    </w:rPr>
  </w:style>
  <w:style w:type="paragraph" w:styleId="14">
    <w:name w:val="annotation text"/>
    <w:basedOn w:val="1"/>
    <w:link w:val="51"/>
    <w:qFormat/>
    <w:uiPriority w:val="0"/>
    <w:pPr>
      <w:jc w:val="left"/>
    </w:pPr>
  </w:style>
  <w:style w:type="paragraph" w:styleId="15">
    <w:name w:val="Body Text"/>
    <w:basedOn w:val="1"/>
    <w:next w:val="1"/>
    <w:link w:val="52"/>
    <w:qFormat/>
    <w:uiPriority w:val="0"/>
    <w:rPr>
      <w:kern w:val="0"/>
      <w:sz w:val="20"/>
    </w:rPr>
  </w:style>
  <w:style w:type="paragraph" w:styleId="16">
    <w:name w:val="Body Text Indent"/>
    <w:basedOn w:val="1"/>
    <w:next w:val="1"/>
    <w:link w:val="53"/>
    <w:qFormat/>
    <w:uiPriority w:val="0"/>
    <w:pPr>
      <w:spacing w:line="380" w:lineRule="exact"/>
      <w:ind w:firstLine="480"/>
    </w:pPr>
    <w:rPr>
      <w:kern w:val="0"/>
      <w:sz w:val="20"/>
    </w:rPr>
  </w:style>
  <w:style w:type="paragraph" w:styleId="17">
    <w:name w:val="Block Text"/>
    <w:basedOn w:val="1"/>
    <w:qFormat/>
    <w:uiPriority w:val="0"/>
    <w:pPr>
      <w:adjustRightInd w:val="0"/>
      <w:snapToGrid w:val="0"/>
      <w:spacing w:line="360" w:lineRule="auto"/>
      <w:ind w:left="567" w:leftChars="270" w:right="-315" w:rightChars="-150" w:firstLine="480" w:firstLineChars="200"/>
    </w:pPr>
    <w:rPr>
      <w:rFonts w:ascii="宋体"/>
      <w:sz w:val="24"/>
      <w:szCs w:val="24"/>
    </w:rPr>
  </w:style>
  <w:style w:type="paragraph" w:styleId="18">
    <w:name w:val="toc 3"/>
    <w:basedOn w:val="1"/>
    <w:next w:val="1"/>
    <w:qFormat/>
    <w:uiPriority w:val="39"/>
    <w:pPr>
      <w:ind w:left="840" w:leftChars="400"/>
    </w:pPr>
  </w:style>
  <w:style w:type="paragraph" w:styleId="19">
    <w:name w:val="Plain Text"/>
    <w:basedOn w:val="1"/>
    <w:link w:val="54"/>
    <w:qFormat/>
    <w:uiPriority w:val="0"/>
    <w:rPr>
      <w:rFonts w:ascii="宋体" w:hAnsi="Courier New"/>
      <w:kern w:val="0"/>
      <w:szCs w:val="21"/>
    </w:rPr>
  </w:style>
  <w:style w:type="paragraph" w:styleId="20">
    <w:name w:val="Date"/>
    <w:basedOn w:val="1"/>
    <w:next w:val="1"/>
    <w:link w:val="55"/>
    <w:qFormat/>
    <w:uiPriority w:val="0"/>
    <w:rPr>
      <w:sz w:val="28"/>
    </w:rPr>
  </w:style>
  <w:style w:type="paragraph" w:styleId="21">
    <w:name w:val="Body Text Indent 2"/>
    <w:basedOn w:val="1"/>
    <w:link w:val="56"/>
    <w:qFormat/>
    <w:uiPriority w:val="0"/>
    <w:pPr>
      <w:tabs>
        <w:tab w:val="left" w:pos="240"/>
        <w:tab w:val="left" w:pos="480"/>
      </w:tabs>
      <w:ind w:left="630" w:leftChars="300"/>
    </w:pPr>
    <w:rPr>
      <w:kern w:val="0"/>
      <w:sz w:val="20"/>
    </w:rPr>
  </w:style>
  <w:style w:type="paragraph" w:styleId="22">
    <w:name w:val="Balloon Text"/>
    <w:basedOn w:val="1"/>
    <w:link w:val="57"/>
    <w:qFormat/>
    <w:uiPriority w:val="0"/>
    <w:rPr>
      <w:sz w:val="18"/>
      <w:szCs w:val="18"/>
    </w:rPr>
  </w:style>
  <w:style w:type="paragraph" w:styleId="23">
    <w:name w:val="footer"/>
    <w:basedOn w:val="1"/>
    <w:link w:val="58"/>
    <w:qFormat/>
    <w:uiPriority w:val="99"/>
    <w:pPr>
      <w:tabs>
        <w:tab w:val="center" w:pos="4153"/>
        <w:tab w:val="right" w:pos="8306"/>
      </w:tabs>
      <w:snapToGrid w:val="0"/>
      <w:jc w:val="left"/>
    </w:pPr>
    <w:rPr>
      <w:kern w:val="0"/>
      <w:sz w:val="18"/>
      <w:szCs w:val="18"/>
    </w:rPr>
  </w:style>
  <w:style w:type="paragraph" w:styleId="24">
    <w:name w:val="header"/>
    <w:basedOn w:val="1"/>
    <w:link w:val="59"/>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qFormat/>
    <w:uiPriority w:val="39"/>
    <w:rPr>
      <w:sz w:val="24"/>
    </w:rPr>
  </w:style>
  <w:style w:type="paragraph" w:styleId="26">
    <w:name w:val="Body Text Indent 3"/>
    <w:basedOn w:val="1"/>
    <w:link w:val="60"/>
    <w:qFormat/>
    <w:uiPriority w:val="0"/>
    <w:pPr>
      <w:spacing w:after="120"/>
      <w:ind w:left="420" w:leftChars="200"/>
    </w:pPr>
    <w:rPr>
      <w:sz w:val="16"/>
      <w:szCs w:val="16"/>
    </w:rPr>
  </w:style>
  <w:style w:type="paragraph" w:styleId="27">
    <w:name w:val="toc 2"/>
    <w:basedOn w:val="1"/>
    <w:next w:val="1"/>
    <w:qFormat/>
    <w:uiPriority w:val="39"/>
    <w:pPr>
      <w:ind w:left="420" w:leftChars="200"/>
    </w:pPr>
  </w:style>
  <w:style w:type="paragraph" w:styleId="28">
    <w:name w:val="Body Text 2"/>
    <w:basedOn w:val="1"/>
    <w:link w:val="61"/>
    <w:qFormat/>
    <w:uiPriority w:val="0"/>
    <w:pPr>
      <w:spacing w:after="120" w:line="480" w:lineRule="auto"/>
    </w:pPr>
    <w:rPr>
      <w:kern w:val="0"/>
      <w:sz w:val="20"/>
    </w:rPr>
  </w:style>
  <w:style w:type="paragraph" w:styleId="2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0">
    <w:name w:val="Title"/>
    <w:basedOn w:val="1"/>
    <w:next w:val="1"/>
    <w:qFormat/>
    <w:uiPriority w:val="0"/>
    <w:pPr>
      <w:spacing w:before="240" w:after="60"/>
      <w:outlineLvl w:val="0"/>
    </w:pPr>
    <w:rPr>
      <w:rFonts w:ascii="等线 Light" w:hAnsi="等线 Light" w:eastAsia="黑体"/>
      <w:bCs/>
      <w:sz w:val="28"/>
      <w:szCs w:val="32"/>
    </w:rPr>
  </w:style>
  <w:style w:type="paragraph" w:styleId="31">
    <w:name w:val="annotation subject"/>
    <w:basedOn w:val="14"/>
    <w:next w:val="14"/>
    <w:link w:val="62"/>
    <w:qFormat/>
    <w:uiPriority w:val="0"/>
    <w:rPr>
      <w:b/>
      <w:bCs/>
    </w:rPr>
  </w:style>
  <w:style w:type="paragraph" w:styleId="32">
    <w:name w:val="Body Text First Indent"/>
    <w:basedOn w:val="15"/>
    <w:link w:val="63"/>
    <w:unhideWhenUsed/>
    <w:qFormat/>
    <w:uiPriority w:val="99"/>
    <w:pPr>
      <w:spacing w:after="120"/>
      <w:ind w:firstLine="420" w:firstLineChars="100"/>
    </w:pPr>
    <w:rPr>
      <w:kern w:val="2"/>
      <w:sz w:val="21"/>
    </w:rPr>
  </w:style>
  <w:style w:type="paragraph" w:styleId="33">
    <w:name w:val="Body Text First Indent 2"/>
    <w:basedOn w:val="16"/>
    <w:next w:val="1"/>
    <w:unhideWhenUsed/>
    <w:qFormat/>
    <w:uiPriority w:val="0"/>
    <w:pPr>
      <w:spacing w:after="120" w:line="240" w:lineRule="auto"/>
      <w:ind w:left="420" w:leftChars="200" w:firstLine="420" w:firstLineChars="200"/>
    </w:pPr>
    <w:rPr>
      <w:rFonts w:ascii="Calibri" w:hAnsi="Calibri"/>
      <w:sz w:val="21"/>
      <w:szCs w:val="24"/>
    </w:rPr>
  </w:style>
  <w:style w:type="table" w:styleId="35">
    <w:name w:val="Table Grid"/>
    <w:basedOn w:val="34"/>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7">
    <w:name w:val="Strong"/>
    <w:qFormat/>
    <w:uiPriority w:val="0"/>
    <w:rPr>
      <w:b/>
      <w:bCs/>
    </w:rPr>
  </w:style>
  <w:style w:type="character" w:styleId="38">
    <w:name w:val="page number"/>
    <w:basedOn w:val="36"/>
    <w:qFormat/>
    <w:uiPriority w:val="0"/>
    <w:rPr>
      <w:rFonts w:cs="Times New Roman"/>
    </w:rPr>
  </w:style>
  <w:style w:type="character" w:styleId="39">
    <w:name w:val="FollowedHyperlink"/>
    <w:qFormat/>
    <w:uiPriority w:val="99"/>
    <w:rPr>
      <w:rFonts w:cs="Times New Roman"/>
      <w:color w:val="800080"/>
      <w:u w:val="single"/>
    </w:rPr>
  </w:style>
  <w:style w:type="character" w:styleId="40">
    <w:name w:val="HTML Typewriter"/>
    <w:qFormat/>
    <w:uiPriority w:val="99"/>
    <w:rPr>
      <w:rFonts w:ascii="Courier New" w:hAnsi="Courier New" w:cs="Courier New"/>
      <w:sz w:val="20"/>
      <w:szCs w:val="20"/>
    </w:rPr>
  </w:style>
  <w:style w:type="character" w:styleId="41">
    <w:name w:val="Hyperlink"/>
    <w:qFormat/>
    <w:uiPriority w:val="99"/>
    <w:rPr>
      <w:rFonts w:cs="Times New Roman"/>
      <w:color w:val="0000FF"/>
      <w:u w:val="single"/>
    </w:rPr>
  </w:style>
  <w:style w:type="character" w:styleId="42">
    <w:name w:val="annotation reference"/>
    <w:basedOn w:val="36"/>
    <w:qFormat/>
    <w:uiPriority w:val="99"/>
    <w:rPr>
      <w:sz w:val="21"/>
      <w:szCs w:val="21"/>
    </w:rPr>
  </w:style>
  <w:style w:type="paragraph" w:customStyle="1" w:styleId="4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4">
    <w:name w:val="标题 1 字符"/>
    <w:link w:val="2"/>
    <w:qFormat/>
    <w:uiPriority w:val="0"/>
    <w:rPr>
      <w:rFonts w:cs="Times New Roman"/>
      <w:b/>
      <w:bCs/>
      <w:kern w:val="44"/>
      <w:sz w:val="44"/>
      <w:szCs w:val="44"/>
    </w:rPr>
  </w:style>
  <w:style w:type="character" w:customStyle="1" w:styleId="45">
    <w:name w:val="标题 2 字符"/>
    <w:link w:val="3"/>
    <w:qFormat/>
    <w:uiPriority w:val="0"/>
    <w:rPr>
      <w:rFonts w:ascii="Cambria" w:hAnsi="Cambria"/>
      <w:b/>
      <w:bCs/>
      <w:kern w:val="2"/>
      <w:sz w:val="30"/>
      <w:szCs w:val="32"/>
    </w:rPr>
  </w:style>
  <w:style w:type="character" w:customStyle="1" w:styleId="46">
    <w:name w:val="标题 3 字符"/>
    <w:link w:val="4"/>
    <w:qFormat/>
    <w:uiPriority w:val="0"/>
    <w:rPr>
      <w:rFonts w:cs="Times New Roman"/>
      <w:b/>
      <w:bCs/>
      <w:sz w:val="32"/>
      <w:szCs w:val="32"/>
    </w:rPr>
  </w:style>
  <w:style w:type="character" w:customStyle="1" w:styleId="47">
    <w:name w:val="标题 4 字符"/>
    <w:link w:val="5"/>
    <w:qFormat/>
    <w:uiPriority w:val="0"/>
    <w:rPr>
      <w:rFonts w:ascii="Cambria" w:hAnsi="Cambria" w:eastAsia="宋体" w:cs="Times New Roman"/>
      <w:b/>
      <w:bCs/>
      <w:sz w:val="28"/>
      <w:szCs w:val="28"/>
    </w:rPr>
  </w:style>
  <w:style w:type="character" w:customStyle="1" w:styleId="48">
    <w:name w:val="标题 5 字符"/>
    <w:basedOn w:val="36"/>
    <w:link w:val="6"/>
    <w:semiHidden/>
    <w:qFormat/>
    <w:uiPriority w:val="9"/>
    <w:rPr>
      <w:rFonts w:asciiTheme="minorHAnsi" w:hAnsiTheme="minorHAnsi" w:eastAsiaTheme="minorEastAsia" w:cstheme="minorBidi"/>
      <w:b/>
      <w:kern w:val="2"/>
      <w:sz w:val="28"/>
      <w:szCs w:val="22"/>
    </w:rPr>
  </w:style>
  <w:style w:type="character" w:customStyle="1" w:styleId="49">
    <w:name w:val="正文缩进 字符"/>
    <w:link w:val="11"/>
    <w:qFormat/>
    <w:uiPriority w:val="0"/>
    <w:rPr>
      <w:rFonts w:ascii="宋体" w:eastAsia="宋体"/>
      <w:snapToGrid w:val="0"/>
      <w:color w:val="000000"/>
      <w:kern w:val="28"/>
      <w:sz w:val="28"/>
      <w:lang w:val="en-US" w:eastAsia="zh-CN" w:bidi="ar-SA"/>
    </w:rPr>
  </w:style>
  <w:style w:type="character" w:customStyle="1" w:styleId="50">
    <w:name w:val="文档结构图 字符"/>
    <w:link w:val="12"/>
    <w:qFormat/>
    <w:uiPriority w:val="0"/>
    <w:rPr>
      <w:rFonts w:cs="Times New Roman"/>
      <w:sz w:val="2"/>
    </w:rPr>
  </w:style>
  <w:style w:type="character" w:customStyle="1" w:styleId="51">
    <w:name w:val="批注文字 字符"/>
    <w:basedOn w:val="36"/>
    <w:link w:val="14"/>
    <w:qFormat/>
    <w:uiPriority w:val="99"/>
    <w:rPr>
      <w:kern w:val="2"/>
      <w:sz w:val="21"/>
    </w:rPr>
  </w:style>
  <w:style w:type="character" w:customStyle="1" w:styleId="52">
    <w:name w:val="正文文本 字符"/>
    <w:link w:val="15"/>
    <w:qFormat/>
    <w:uiPriority w:val="0"/>
    <w:rPr>
      <w:rFonts w:cs="Times New Roman"/>
      <w:sz w:val="20"/>
      <w:szCs w:val="20"/>
    </w:rPr>
  </w:style>
  <w:style w:type="character" w:customStyle="1" w:styleId="53">
    <w:name w:val="正文文本缩进 字符"/>
    <w:link w:val="16"/>
    <w:qFormat/>
    <w:uiPriority w:val="0"/>
    <w:rPr>
      <w:rFonts w:cs="Times New Roman"/>
      <w:sz w:val="20"/>
      <w:szCs w:val="20"/>
    </w:rPr>
  </w:style>
  <w:style w:type="character" w:customStyle="1" w:styleId="54">
    <w:name w:val="纯文本 字符"/>
    <w:link w:val="19"/>
    <w:qFormat/>
    <w:uiPriority w:val="0"/>
    <w:rPr>
      <w:rFonts w:ascii="宋体" w:hAnsi="Courier New" w:cs="Courier New"/>
      <w:sz w:val="21"/>
      <w:szCs w:val="21"/>
    </w:rPr>
  </w:style>
  <w:style w:type="character" w:customStyle="1" w:styleId="55">
    <w:name w:val="日期 字符"/>
    <w:link w:val="20"/>
    <w:qFormat/>
    <w:uiPriority w:val="0"/>
    <w:rPr>
      <w:rFonts w:cs="Times New Roman"/>
      <w:kern w:val="2"/>
      <w:sz w:val="28"/>
    </w:rPr>
  </w:style>
  <w:style w:type="character" w:customStyle="1" w:styleId="56">
    <w:name w:val="正文文本缩进 2 字符"/>
    <w:link w:val="21"/>
    <w:qFormat/>
    <w:uiPriority w:val="0"/>
    <w:rPr>
      <w:rFonts w:cs="Times New Roman"/>
      <w:sz w:val="20"/>
      <w:szCs w:val="20"/>
    </w:rPr>
  </w:style>
  <w:style w:type="character" w:customStyle="1" w:styleId="57">
    <w:name w:val="批注框文本 字符"/>
    <w:basedOn w:val="36"/>
    <w:link w:val="22"/>
    <w:qFormat/>
    <w:uiPriority w:val="0"/>
    <w:rPr>
      <w:rFonts w:ascii="Times New Roman" w:hAnsi="Times New Roman" w:eastAsia="宋体" w:cs="Times New Roman"/>
      <w:kern w:val="2"/>
      <w:sz w:val="18"/>
      <w:szCs w:val="18"/>
    </w:rPr>
  </w:style>
  <w:style w:type="character" w:customStyle="1" w:styleId="58">
    <w:name w:val="页脚 字符"/>
    <w:link w:val="23"/>
    <w:qFormat/>
    <w:uiPriority w:val="99"/>
    <w:rPr>
      <w:rFonts w:cs="Times New Roman"/>
      <w:sz w:val="18"/>
      <w:szCs w:val="18"/>
    </w:rPr>
  </w:style>
  <w:style w:type="character" w:customStyle="1" w:styleId="59">
    <w:name w:val="页眉 字符"/>
    <w:link w:val="24"/>
    <w:qFormat/>
    <w:uiPriority w:val="99"/>
    <w:rPr>
      <w:rFonts w:cs="Times New Roman"/>
      <w:sz w:val="18"/>
      <w:szCs w:val="18"/>
    </w:rPr>
  </w:style>
  <w:style w:type="character" w:customStyle="1" w:styleId="60">
    <w:name w:val="正文文本缩进 3 字符"/>
    <w:link w:val="26"/>
    <w:qFormat/>
    <w:uiPriority w:val="0"/>
    <w:rPr>
      <w:rFonts w:cs="Times New Roman"/>
      <w:kern w:val="2"/>
      <w:sz w:val="16"/>
      <w:szCs w:val="16"/>
    </w:rPr>
  </w:style>
  <w:style w:type="character" w:customStyle="1" w:styleId="61">
    <w:name w:val="正文文本 2 字符"/>
    <w:link w:val="28"/>
    <w:qFormat/>
    <w:uiPriority w:val="0"/>
    <w:rPr>
      <w:rFonts w:cs="Times New Roman"/>
      <w:sz w:val="20"/>
      <w:szCs w:val="20"/>
    </w:rPr>
  </w:style>
  <w:style w:type="character" w:customStyle="1" w:styleId="62">
    <w:name w:val="批注主题 字符"/>
    <w:basedOn w:val="51"/>
    <w:link w:val="31"/>
    <w:qFormat/>
    <w:uiPriority w:val="0"/>
    <w:rPr>
      <w:b/>
      <w:bCs/>
      <w:kern w:val="2"/>
      <w:sz w:val="21"/>
    </w:rPr>
  </w:style>
  <w:style w:type="character" w:customStyle="1" w:styleId="63">
    <w:name w:val="正文文本首行缩进 字符"/>
    <w:link w:val="32"/>
    <w:qFormat/>
    <w:uiPriority w:val="99"/>
    <w:rPr>
      <w:rFonts w:cs="Times New Roman"/>
      <w:kern w:val="2"/>
      <w:sz w:val="21"/>
      <w:szCs w:val="20"/>
    </w:rPr>
  </w:style>
  <w:style w:type="character" w:customStyle="1" w:styleId="64">
    <w:name w:val="普通文字 Char Char2"/>
    <w:qFormat/>
    <w:locked/>
    <w:uiPriority w:val="0"/>
    <w:rPr>
      <w:rFonts w:ascii="宋体" w:hAnsi="Courier New" w:eastAsia="宋体" w:cs="Times New Roman"/>
      <w:kern w:val="2"/>
      <w:sz w:val="21"/>
      <w:lang w:val="en-US" w:eastAsia="zh-CN" w:bidi="ar-SA"/>
    </w:rPr>
  </w:style>
  <w:style w:type="character" w:customStyle="1" w:styleId="65">
    <w:name w:val="_正文段落 Char"/>
    <w:link w:val="66"/>
    <w:qFormat/>
    <w:uiPriority w:val="0"/>
    <w:rPr>
      <w:rFonts w:ascii="仿宋_GB2312" w:eastAsia="仿宋_GB2312"/>
      <w:sz w:val="28"/>
      <w:szCs w:val="24"/>
    </w:rPr>
  </w:style>
  <w:style w:type="paragraph" w:customStyle="1" w:styleId="66">
    <w:name w:val="_正文段落"/>
    <w:basedOn w:val="1"/>
    <w:link w:val="65"/>
    <w:qFormat/>
    <w:uiPriority w:val="0"/>
    <w:pPr>
      <w:spacing w:line="360" w:lineRule="auto"/>
      <w:ind w:firstLine="200" w:firstLineChars="200"/>
    </w:pPr>
    <w:rPr>
      <w:rFonts w:ascii="仿宋_GB2312" w:eastAsia="仿宋_GB2312"/>
      <w:kern w:val="0"/>
      <w:sz w:val="28"/>
      <w:szCs w:val="24"/>
    </w:rPr>
  </w:style>
  <w:style w:type="character" w:customStyle="1" w:styleId="67">
    <w:name w:val="内容"/>
    <w:qFormat/>
    <w:uiPriority w:val="0"/>
    <w:rPr>
      <w:rFonts w:ascii="华文细黑" w:eastAsia="华文细黑"/>
      <w:color w:val="75787B"/>
      <w:sz w:val="20"/>
      <w:u w:val="none"/>
    </w:rPr>
  </w:style>
  <w:style w:type="character" w:customStyle="1" w:styleId="68">
    <w:name w:val="纯文本 Char1"/>
    <w:qFormat/>
    <w:uiPriority w:val="99"/>
    <w:rPr>
      <w:rFonts w:ascii="宋体" w:hAnsi="Courier New" w:eastAsia="宋体"/>
      <w:kern w:val="2"/>
      <w:sz w:val="21"/>
      <w:lang w:val="en-US" w:eastAsia="zh-CN" w:bidi="ar-SA"/>
    </w:rPr>
  </w:style>
  <w:style w:type="character" w:customStyle="1" w:styleId="69">
    <w:name w:val="ca-31"/>
    <w:qFormat/>
    <w:uiPriority w:val="0"/>
    <w:rPr>
      <w:rFonts w:hint="eastAsia" w:ascii="宋体" w:hAnsi="宋体" w:eastAsia="宋体"/>
      <w:sz w:val="21"/>
      <w:szCs w:val="21"/>
    </w:rPr>
  </w:style>
  <w:style w:type="character" w:customStyle="1" w:styleId="70">
    <w:name w:val="正文2 Char Char"/>
    <w:link w:val="71"/>
    <w:qFormat/>
    <w:uiPriority w:val="0"/>
    <w:rPr>
      <w:rFonts w:eastAsia="宋体"/>
      <w:kern w:val="2"/>
      <w:sz w:val="24"/>
      <w:lang w:val="en-US" w:eastAsia="zh-CN" w:bidi="ar-SA"/>
    </w:rPr>
  </w:style>
  <w:style w:type="paragraph" w:customStyle="1" w:styleId="71">
    <w:name w:val="正文2"/>
    <w:basedOn w:val="1"/>
    <w:link w:val="70"/>
    <w:qFormat/>
    <w:uiPriority w:val="0"/>
    <w:pPr>
      <w:spacing w:before="156" w:line="360" w:lineRule="auto"/>
      <w:ind w:firstLine="510" w:firstLineChars="200"/>
    </w:pPr>
    <w:rPr>
      <w:sz w:val="24"/>
    </w:rPr>
  </w:style>
  <w:style w:type="character" w:customStyle="1" w:styleId="72">
    <w:name w:val="ca-51"/>
    <w:qFormat/>
    <w:uiPriority w:val="0"/>
    <w:rPr>
      <w:rFonts w:hint="eastAsia" w:ascii="宋体" w:hAnsi="宋体" w:eastAsia="宋体"/>
      <w:color w:val="FF0000"/>
      <w:sz w:val="21"/>
      <w:szCs w:val="21"/>
    </w:rPr>
  </w:style>
  <w:style w:type="paragraph" w:customStyle="1" w:styleId="73">
    <w:name w:val="纸短情长，再祈珍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分手多日，近况如何？"/>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Char1"/>
    <w:basedOn w:val="12"/>
    <w:qFormat/>
    <w:uiPriority w:val="0"/>
    <w:pPr>
      <w:adjustRightInd w:val="0"/>
      <w:spacing w:line="436" w:lineRule="exact"/>
      <w:ind w:left="357"/>
      <w:jc w:val="left"/>
      <w:outlineLvl w:val="3"/>
    </w:pPr>
  </w:style>
  <w:style w:type="paragraph" w:customStyle="1" w:styleId="77">
    <w:name w:val="创建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8">
    <w:name w:val="机密、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xl28"/>
    <w:basedOn w:val="1"/>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80">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1">
    <w:name w:val="文件名和路径"/>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2">
    <w:name w:val="匆此先复，余容后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3">
    <w:name w:val="叩请金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4">
    <w:name w:val="参考:"/>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5">
    <w:name w:val="Char Char Char Char Char Char"/>
    <w:basedOn w:val="1"/>
    <w:qFormat/>
    <w:uiPriority w:val="0"/>
    <w:pPr>
      <w:ind w:firstLine="200" w:firstLineChars="200"/>
    </w:pPr>
    <w:rPr>
      <w:rFonts w:ascii="Tahoma" w:hAnsi="Tahoma"/>
      <w:sz w:val="24"/>
    </w:rPr>
  </w:style>
  <w:style w:type="paragraph" w:customStyle="1" w:styleId="86">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styleId="87">
    <w:name w:val="No Spacing"/>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
    <w:name w:val="音问久疏，唯愿一切康适。"/>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
    <w:name w:val="Char2 Char Char"/>
    <w:basedOn w:val="1"/>
    <w:qFormat/>
    <w:uiPriority w:val="0"/>
    <w:rPr>
      <w:rFonts w:ascii="Tahoma" w:hAnsi="Tahoma"/>
      <w:sz w:val="24"/>
    </w:rPr>
  </w:style>
  <w:style w:type="paragraph" w:customStyle="1" w:styleId="90">
    <w:name w:val="惠书敬悉，迟复为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 页码 -"/>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
    <w:name w:val="近来寒暑不常，希自珍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Char Char Char"/>
    <w:basedOn w:val="1"/>
    <w:qFormat/>
    <w:uiPriority w:val="0"/>
    <w:rPr>
      <w:rFonts w:ascii="Tahoma" w:hAnsi="Tahoma"/>
      <w:sz w:val="24"/>
    </w:rPr>
  </w:style>
  <w:style w:type="paragraph" w:customStyle="1" w:styleId="94">
    <w:name w:val="知尊恙复发，心甚念之。"/>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
    <w:name w:val="奉恳之事，乞速复为荷。"/>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
    <w:name w:val="请勿折叠！"/>
    <w:qFormat/>
    <w:uiPriority w:val="0"/>
    <w:pPr>
      <w:widowControl w:val="0"/>
      <w:jc w:val="both"/>
    </w:pPr>
    <w:rPr>
      <w:rFonts w:ascii="Times New Roman" w:hAnsi="Times New Roman" w:eastAsia="宋体" w:cs="Times New Roman"/>
      <w:kern w:val="2"/>
      <w:sz w:val="21"/>
      <w:lang w:val="en-US" w:eastAsia="zh-CN" w:bidi="ar-SA"/>
    </w:rPr>
  </w:style>
  <w:style w:type="paragraph" w:styleId="97">
    <w:name w:val="List Paragraph"/>
    <w:basedOn w:val="1"/>
    <w:qFormat/>
    <w:uiPriority w:val="34"/>
    <w:pPr>
      <w:ind w:firstLine="420" w:firstLineChars="200"/>
    </w:pPr>
  </w:style>
  <w:style w:type="paragraph" w:customStyle="1" w:styleId="98">
    <w:name w:val="上次保存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
    <w:name w:val="作者、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
    <w:name w:val="答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
    <w:name w:val="TOC 标题1"/>
    <w:basedOn w:val="2"/>
    <w:next w:val="1"/>
    <w:qFormat/>
    <w:uiPriority w:val="0"/>
    <w:pPr>
      <w:widowControl/>
      <w:spacing w:beforeLines="0" w:line="276" w:lineRule="auto"/>
      <w:jc w:val="left"/>
      <w:outlineLvl w:val="9"/>
    </w:pPr>
    <w:rPr>
      <w:rFonts w:ascii="Cambria" w:hAnsi="Cambria"/>
      <w:bCs w:val="0"/>
      <w:color w:val="365F91"/>
      <w:kern w:val="0"/>
      <w:sz w:val="28"/>
      <w:szCs w:val="28"/>
    </w:rPr>
  </w:style>
  <w:style w:type="paragraph" w:customStyle="1" w:styleId="102">
    <w:name w:val="先生/女士："/>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5">
    <w:name w:val="关于:"/>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
    <w:name w:val="敬启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
    <w:name w:val="第 X 页 共 Y 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
    <w:name w:val="上次打印时间"/>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
    <w:name w:val="Char"/>
    <w:basedOn w:val="1"/>
    <w:qFormat/>
    <w:uiPriority w:val="0"/>
    <w:pPr>
      <w:widowControl/>
      <w:spacing w:line="400" w:lineRule="exact"/>
      <w:jc w:val="center"/>
    </w:pPr>
    <w:rPr>
      <w:rFonts w:ascii="Verdana" w:hAnsi="Verdana"/>
      <w:kern w:val="0"/>
      <w:lang w:eastAsia="en-US"/>
    </w:rPr>
  </w:style>
  <w:style w:type="paragraph" w:customStyle="1" w:styleId="110">
    <w:name w:val="Char2"/>
    <w:basedOn w:val="1"/>
    <w:qFormat/>
    <w:uiPriority w:val="0"/>
    <w:pPr>
      <w:tabs>
        <w:tab w:val="left" w:pos="720"/>
      </w:tabs>
      <w:ind w:left="720" w:hanging="360"/>
    </w:pPr>
    <w:rPr>
      <w:sz w:val="24"/>
      <w:szCs w:val="24"/>
    </w:rPr>
  </w:style>
  <w:style w:type="paragraph" w:customStyle="1" w:styleId="111">
    <w:name w:val="作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
    <w:name w:val="前上一函，谅达雅鉴，迄今未闻复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
    <w:name w:val="临书仓促，不尽欲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
    <w:name w:val="久不通函，至以为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
    <w:name w:val="Char11"/>
    <w:basedOn w:val="12"/>
    <w:qFormat/>
    <w:uiPriority w:val="0"/>
    <w:pPr>
      <w:adjustRightInd w:val="0"/>
      <w:spacing w:line="436" w:lineRule="exact"/>
      <w:ind w:left="357"/>
      <w:jc w:val="left"/>
      <w:outlineLvl w:val="3"/>
    </w:pPr>
    <w:rPr>
      <w:rFonts w:ascii="Tahoma" w:hAnsi="Tahoma"/>
      <w:b/>
      <w:sz w:val="24"/>
      <w:szCs w:val="24"/>
    </w:rPr>
  </w:style>
  <w:style w:type="paragraph" w:customStyle="1" w:styleId="116">
    <w:name w:val="尊意如何，请即示知。"/>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
    <w:name w:val="亲启"/>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
    <w:name w:val="顺颂商祺！"/>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
    <w:name w:val="Char Char2"/>
    <w:basedOn w:val="1"/>
    <w:qFormat/>
    <w:uiPriority w:val="0"/>
    <w:rPr>
      <w:rFonts w:ascii="宋体" w:hAnsi="宋体"/>
      <w:b/>
      <w:sz w:val="28"/>
      <w:szCs w:val="28"/>
    </w:rPr>
  </w:style>
  <w:style w:type="paragraph" w:customStyle="1" w:styleId="120">
    <w:name w:val="表"/>
    <w:basedOn w:val="1"/>
    <w:qFormat/>
    <w:uiPriority w:val="0"/>
    <w:pPr>
      <w:spacing w:line="360" w:lineRule="auto"/>
    </w:pPr>
    <w:rPr>
      <w:rFonts w:cs="Garamond"/>
      <w:b/>
      <w:bCs/>
      <w:color w:val="FF0000"/>
    </w:rPr>
  </w:style>
  <w:style w:type="paragraph" w:customStyle="1" w:styleId="121">
    <w:name w:val="主体"/>
    <w:basedOn w:val="1"/>
    <w:link w:val="122"/>
    <w:qFormat/>
    <w:uiPriority w:val="99"/>
    <w:pPr>
      <w:spacing w:line="360" w:lineRule="auto"/>
      <w:ind w:firstLine="480" w:firstLineChars="200"/>
    </w:pPr>
    <w:rPr>
      <w:rFonts w:ascii="宋体" w:hAnsi="宋体"/>
      <w:kern w:val="58"/>
      <w:sz w:val="24"/>
      <w:szCs w:val="24"/>
    </w:rPr>
  </w:style>
  <w:style w:type="character" w:customStyle="1" w:styleId="122">
    <w:name w:val="主体 Char Char"/>
    <w:link w:val="121"/>
    <w:qFormat/>
    <w:uiPriority w:val="99"/>
    <w:rPr>
      <w:rFonts w:ascii="宋体" w:hAnsi="宋体"/>
      <w:kern w:val="58"/>
      <w:sz w:val="24"/>
      <w:szCs w:val="24"/>
    </w:rPr>
  </w:style>
  <w:style w:type="paragraph" w:customStyle="1" w:styleId="123">
    <w:name w:val="表格文字"/>
    <w:basedOn w:val="1"/>
    <w:link w:val="124"/>
    <w:qFormat/>
    <w:uiPriority w:val="0"/>
    <w:pPr>
      <w:jc w:val="left"/>
    </w:pPr>
    <w:rPr>
      <w:rFonts w:ascii="宋体" w:hAnsi="宋体"/>
      <w:bCs/>
      <w:spacing w:val="-4"/>
      <w:kern w:val="0"/>
      <w:sz w:val="32"/>
      <w:szCs w:val="32"/>
      <w:lang w:val="zh-CN"/>
    </w:rPr>
  </w:style>
  <w:style w:type="character" w:customStyle="1" w:styleId="124">
    <w:name w:val="表格文字 Char Char"/>
    <w:link w:val="123"/>
    <w:qFormat/>
    <w:uiPriority w:val="99"/>
    <w:rPr>
      <w:rFonts w:ascii="宋体" w:hAnsi="宋体"/>
      <w:bCs/>
      <w:spacing w:val="-4"/>
      <w:sz w:val="32"/>
      <w:szCs w:val="32"/>
      <w:lang w:val="zh-CN"/>
    </w:rPr>
  </w:style>
  <w:style w:type="paragraph" w:customStyle="1" w:styleId="125">
    <w:name w:val="表格文字2"/>
    <w:basedOn w:val="123"/>
    <w:qFormat/>
    <w:uiPriority w:val="99"/>
    <w:pPr>
      <w:jc w:val="both"/>
    </w:pPr>
  </w:style>
  <w:style w:type="character" w:customStyle="1" w:styleId="126">
    <w:name w:val="标准正文 Char"/>
    <w:qFormat/>
    <w:uiPriority w:val="0"/>
    <w:rPr>
      <w:kern w:val="2"/>
      <w:sz w:val="24"/>
      <w:szCs w:val="24"/>
    </w:rPr>
  </w:style>
  <w:style w:type="paragraph" w:customStyle="1" w:styleId="127">
    <w:name w:val="标题2"/>
    <w:basedOn w:val="1"/>
    <w:link w:val="128"/>
    <w:qFormat/>
    <w:uiPriority w:val="0"/>
    <w:pPr>
      <w:keepNext/>
      <w:widowControl/>
      <w:tabs>
        <w:tab w:val="left" w:pos="450"/>
      </w:tabs>
      <w:autoSpaceDE w:val="0"/>
      <w:autoSpaceDN w:val="0"/>
      <w:adjustRightInd w:val="0"/>
      <w:spacing w:before="120" w:after="120"/>
      <w:jc w:val="left"/>
      <w:textAlignment w:val="center"/>
    </w:pPr>
    <w:rPr>
      <w:rFonts w:ascii="宋体"/>
      <w:b/>
      <w:kern w:val="0"/>
      <w:sz w:val="24"/>
    </w:rPr>
  </w:style>
  <w:style w:type="character" w:customStyle="1" w:styleId="128">
    <w:name w:val="标题2 Char Char"/>
    <w:link w:val="127"/>
    <w:qFormat/>
    <w:uiPriority w:val="0"/>
    <w:rPr>
      <w:rFonts w:ascii="宋体"/>
      <w:b/>
      <w:sz w:val="24"/>
    </w:rPr>
  </w:style>
  <w:style w:type="paragraph" w:customStyle="1" w:styleId="129">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30">
    <w:name w:val="font01"/>
    <w:basedOn w:val="36"/>
    <w:qFormat/>
    <w:uiPriority w:val="0"/>
    <w:rPr>
      <w:rFonts w:hint="eastAsia" w:ascii="宋体" w:hAnsi="宋体" w:eastAsia="宋体" w:cs="宋体"/>
      <w:b/>
      <w:color w:val="333333"/>
      <w:sz w:val="24"/>
      <w:szCs w:val="24"/>
      <w:u w:val="none"/>
    </w:rPr>
  </w:style>
  <w:style w:type="paragraph" w:customStyle="1" w:styleId="13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32">
    <w:name w:val="修订2"/>
    <w:hidden/>
    <w:unhideWhenUsed/>
    <w:qFormat/>
    <w:uiPriority w:val="99"/>
    <w:rPr>
      <w:rFonts w:ascii="Times New Roman" w:hAnsi="Times New Roman" w:eastAsia="宋体" w:cs="Times New Roman"/>
      <w:kern w:val="2"/>
      <w:sz w:val="21"/>
      <w:lang w:val="en-US" w:eastAsia="zh-CN" w:bidi="ar-SA"/>
    </w:rPr>
  </w:style>
  <w:style w:type="character" w:customStyle="1" w:styleId="133">
    <w:name w:val="标题 6 字符"/>
    <w:basedOn w:val="36"/>
    <w:link w:val="7"/>
    <w:semiHidden/>
    <w:qFormat/>
    <w:uiPriority w:val="9"/>
    <w:rPr>
      <w:rFonts w:ascii="Arial" w:hAnsi="Arial" w:eastAsia="黑体" w:cstheme="minorBidi"/>
      <w:b/>
      <w:kern w:val="2"/>
      <w:sz w:val="24"/>
      <w:szCs w:val="22"/>
    </w:rPr>
  </w:style>
  <w:style w:type="character" w:customStyle="1" w:styleId="134">
    <w:name w:val="标题 7 字符"/>
    <w:basedOn w:val="36"/>
    <w:link w:val="8"/>
    <w:semiHidden/>
    <w:qFormat/>
    <w:uiPriority w:val="9"/>
    <w:rPr>
      <w:rFonts w:asciiTheme="minorHAnsi" w:hAnsiTheme="minorHAnsi" w:eastAsiaTheme="minorEastAsia" w:cstheme="minorBidi"/>
      <w:b/>
      <w:kern w:val="2"/>
      <w:sz w:val="24"/>
      <w:szCs w:val="22"/>
    </w:rPr>
  </w:style>
  <w:style w:type="character" w:customStyle="1" w:styleId="135">
    <w:name w:val="标题 8 字符"/>
    <w:basedOn w:val="36"/>
    <w:link w:val="9"/>
    <w:semiHidden/>
    <w:qFormat/>
    <w:uiPriority w:val="9"/>
    <w:rPr>
      <w:rFonts w:ascii="Arial" w:hAnsi="Arial" w:eastAsia="黑体" w:cstheme="minorBidi"/>
      <w:kern w:val="2"/>
      <w:sz w:val="24"/>
      <w:szCs w:val="22"/>
    </w:rPr>
  </w:style>
  <w:style w:type="character" w:customStyle="1" w:styleId="136">
    <w:name w:val="标题 9 字符"/>
    <w:basedOn w:val="36"/>
    <w:link w:val="10"/>
    <w:semiHidden/>
    <w:qFormat/>
    <w:uiPriority w:val="9"/>
    <w:rPr>
      <w:rFonts w:ascii="Arial" w:hAnsi="Arial" w:eastAsia="黑体" w:cstheme="minorBidi"/>
      <w:kern w:val="2"/>
      <w:sz w:val="21"/>
      <w:szCs w:val="22"/>
    </w:rPr>
  </w:style>
  <w:style w:type="paragraph" w:customStyle="1" w:styleId="13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38">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39">
    <w:name w:val="索引 11"/>
    <w:basedOn w:val="1"/>
    <w:next w:val="1"/>
    <w:qFormat/>
    <w:uiPriority w:val="99"/>
    <w:pPr>
      <w:spacing w:line="360" w:lineRule="auto"/>
    </w:pPr>
    <w:rPr>
      <w:rFonts w:ascii="仿宋_GB2312" w:eastAsia="仿宋_GB2312"/>
      <w:sz w:val="24"/>
    </w:rPr>
  </w:style>
  <w:style w:type="paragraph" w:customStyle="1" w:styleId="140">
    <w:name w:val="纯文本1"/>
    <w:basedOn w:val="1"/>
    <w:qFormat/>
    <w:uiPriority w:val="0"/>
    <w:rPr>
      <w:rFonts w:ascii="宋体" w:hAnsi="Courier New"/>
      <w:kern w:val="0"/>
      <w:sz w:val="20"/>
    </w:rPr>
  </w:style>
  <w:style w:type="paragraph" w:customStyle="1" w:styleId="141">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142">
    <w:name w:val="批注文字 Char1"/>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宁波市国际招标有限公司</Company>
  <Pages>76</Pages>
  <Words>40643</Words>
  <Characters>43047</Characters>
  <Lines>286</Lines>
  <Paragraphs>80</Paragraphs>
  <TotalTime>1020</TotalTime>
  <ScaleCrop>false</ScaleCrop>
  <LinksUpToDate>false</LinksUpToDate>
  <CharactersWithSpaces>44514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2024-03-22T10:22:00Z</dcterms:created>
  <dc:creator>vivian</dc:creator>
  <cp:lastModifiedBy>WPS_1558078517</cp:lastModifiedBy>
  <cp:lastPrinted>2024-10-14T06:25:00Z</cp:lastPrinted>
  <dcterms:modified xsi:type="dcterms:W3CDTF">2024-10-15T02:45:12Z</dcterms:modified>
  <dc:title>政 府 采 购 招 标 项 目</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B24C4D3767304D1197889792355F3E05</vt:lpwstr>
  </property>
</Properties>
</file>