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3E4C4">
      <w:pPr>
        <w:shd w:val="clear" w:color="auto" w:fill="FFFFFF"/>
        <w:tabs>
          <w:tab w:val="left" w:pos="4500"/>
        </w:tabs>
        <w:snapToGrid w:val="0"/>
        <w:spacing w:line="360" w:lineRule="auto"/>
        <w:jc w:val="left"/>
        <w:textAlignment w:val="bottom"/>
        <w:rPr>
          <w:rFonts w:hint="eastAsia"/>
          <w:color w:val="auto"/>
          <w:sz w:val="48"/>
          <w:szCs w:val="48"/>
          <w:highlight w:val="none"/>
        </w:rPr>
      </w:pPr>
      <w:r>
        <w:rPr>
          <w:rFonts w:hint="eastAsia" w:ascii="宋体" w:hAnsi="宋体" w:cs="宋体"/>
          <w:b/>
          <w:bCs/>
          <w:color w:val="auto"/>
          <w:sz w:val="72"/>
          <w:szCs w:val="72"/>
          <w:highlight w:val="none"/>
        </w:rPr>
        <w:t xml:space="preserve"> </w:t>
      </w:r>
      <w:r>
        <w:rPr>
          <w:rFonts w:hint="eastAsia"/>
          <w:color w:val="auto"/>
          <w:sz w:val="48"/>
          <w:szCs w:val="48"/>
          <w:highlight w:val="none"/>
        </w:rPr>
        <w:drawing>
          <wp:inline distT="0" distB="0" distL="114300" distR="114300">
            <wp:extent cx="1057275" cy="771525"/>
            <wp:effectExtent l="0" t="0" r="9525" b="9525"/>
            <wp:docPr id="1" name="图片 1" descr="8b7073bde8a3f52f88d1b7191676f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7073bde8a3f52f88d1b7191676f41"/>
                    <pic:cNvPicPr>
                      <a:picLocks noChangeAspect="1"/>
                    </pic:cNvPicPr>
                  </pic:nvPicPr>
                  <pic:blipFill>
                    <a:blip r:embed="rId14"/>
                    <a:stretch>
                      <a:fillRect/>
                    </a:stretch>
                  </pic:blipFill>
                  <pic:spPr>
                    <a:xfrm>
                      <a:off x="0" y="0"/>
                      <a:ext cx="1057275" cy="771525"/>
                    </a:xfrm>
                    <a:prstGeom prst="rect">
                      <a:avLst/>
                    </a:prstGeom>
                    <a:noFill/>
                    <a:ln>
                      <a:noFill/>
                    </a:ln>
                  </pic:spPr>
                </pic:pic>
              </a:graphicData>
            </a:graphic>
          </wp:inline>
        </w:drawing>
      </w:r>
    </w:p>
    <w:p w14:paraId="7BC74B3C">
      <w:pPr>
        <w:shd w:val="clear" w:color="auto" w:fill="FFFFFF"/>
        <w:tabs>
          <w:tab w:val="left" w:pos="4500"/>
        </w:tabs>
        <w:snapToGrid w:val="0"/>
        <w:spacing w:line="360" w:lineRule="auto"/>
        <w:jc w:val="center"/>
        <w:textAlignment w:val="bottom"/>
        <w:rPr>
          <w:rFonts w:hint="eastAsia" w:ascii="宋体" w:hAnsi="宋体" w:cs="宋体"/>
          <w:b/>
          <w:bCs/>
          <w:color w:val="auto"/>
          <w:sz w:val="52"/>
          <w:szCs w:val="52"/>
          <w:highlight w:val="none"/>
          <w:lang w:eastAsia="zh-CN"/>
        </w:rPr>
      </w:pPr>
      <w:r>
        <w:rPr>
          <w:rFonts w:hint="eastAsia" w:ascii="宋体" w:hAnsi="宋体" w:cs="宋体"/>
          <w:b/>
          <w:bCs/>
          <w:color w:val="auto"/>
          <w:sz w:val="52"/>
          <w:szCs w:val="52"/>
          <w:highlight w:val="none"/>
          <w:lang w:eastAsia="zh-CN"/>
        </w:rPr>
        <w:t>台州市公安局交通警察局2025-2027涉案车辆（交通违法、交通事故）</w:t>
      </w:r>
    </w:p>
    <w:p w14:paraId="0BF69409">
      <w:pPr>
        <w:shd w:val="clear" w:color="auto" w:fill="FFFFFF"/>
        <w:tabs>
          <w:tab w:val="left" w:pos="4500"/>
        </w:tabs>
        <w:snapToGrid w:val="0"/>
        <w:spacing w:line="360" w:lineRule="auto"/>
        <w:jc w:val="center"/>
        <w:textAlignment w:val="bottom"/>
        <w:rPr>
          <w:rFonts w:hint="eastAsia" w:ascii="宋体" w:hAnsi="宋体" w:cs="宋体"/>
          <w:b/>
          <w:bCs/>
          <w:color w:val="auto"/>
          <w:sz w:val="52"/>
          <w:szCs w:val="52"/>
          <w:highlight w:val="none"/>
        </w:rPr>
      </w:pPr>
      <w:r>
        <w:rPr>
          <w:rFonts w:hint="eastAsia" w:ascii="宋体" w:hAnsi="宋体" w:cs="宋体"/>
          <w:b/>
          <w:bCs/>
          <w:color w:val="auto"/>
          <w:sz w:val="52"/>
          <w:szCs w:val="52"/>
          <w:highlight w:val="none"/>
          <w:lang w:eastAsia="zh-CN"/>
        </w:rPr>
        <w:t>拖移服务（重新招标）</w:t>
      </w:r>
    </w:p>
    <w:p w14:paraId="174E1406">
      <w:pPr>
        <w:shd w:val="clear" w:color="auto" w:fill="FFFFFF"/>
        <w:tabs>
          <w:tab w:val="left" w:pos="4500"/>
        </w:tabs>
        <w:snapToGrid w:val="0"/>
        <w:spacing w:line="360" w:lineRule="auto"/>
        <w:jc w:val="center"/>
        <w:textAlignment w:val="bottom"/>
        <w:rPr>
          <w:rFonts w:ascii="宋体" w:hAnsi="宋体" w:cs="宋体"/>
          <w:b/>
          <w:bCs/>
          <w:color w:val="auto"/>
          <w:sz w:val="52"/>
          <w:szCs w:val="52"/>
          <w:highlight w:val="none"/>
        </w:rPr>
      </w:pPr>
      <w:r>
        <w:rPr>
          <w:rFonts w:hint="eastAsia" w:ascii="宋体" w:hAnsi="宋体" w:cs="宋体"/>
          <w:b/>
          <w:bCs/>
          <w:color w:val="auto"/>
          <w:sz w:val="52"/>
          <w:szCs w:val="52"/>
          <w:highlight w:val="none"/>
        </w:rPr>
        <w:t>公开采购文件</w:t>
      </w:r>
    </w:p>
    <w:p w14:paraId="18CD3A55">
      <w:pPr>
        <w:widowControl/>
        <w:spacing w:line="360" w:lineRule="auto"/>
        <w:ind w:right="-2"/>
        <w:jc w:val="center"/>
        <w:rPr>
          <w:rFonts w:ascii="宋体" w:hAnsi="宋体" w:cs="宋体"/>
          <w:b/>
          <w:bCs/>
          <w:color w:val="auto"/>
          <w:sz w:val="48"/>
          <w:szCs w:val="48"/>
          <w:highlight w:val="none"/>
        </w:rPr>
      </w:pPr>
      <w:r>
        <w:rPr>
          <w:rFonts w:hint="eastAsia" w:ascii="宋体" w:hAnsi="宋体"/>
          <w:b/>
          <w:color w:val="auto"/>
          <w:sz w:val="36"/>
          <w:highlight w:val="none"/>
          <w:lang w:val="en-US" w:eastAsia="zh-CN"/>
        </w:rPr>
        <w:t xml:space="preserve">            </w:t>
      </w:r>
      <w:r>
        <w:rPr>
          <w:rFonts w:hint="eastAsia" w:ascii="宋体" w:hAnsi="宋体"/>
          <w:b/>
          <w:color w:val="auto"/>
          <w:sz w:val="36"/>
          <w:highlight w:val="none"/>
        </w:rPr>
        <w:t>（线上电子招投标）</w:t>
      </w:r>
      <w:r>
        <w:rPr>
          <w:rFonts w:ascii="宋体" w:hAnsi="宋体" w:cs="宋体"/>
          <w:color w:val="auto"/>
          <w:sz w:val="48"/>
          <w:szCs w:val="48"/>
          <w:highlight w:val="none"/>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72390</wp:posOffset>
                </wp:positionV>
                <wp:extent cx="635" cy="0"/>
                <wp:effectExtent l="0" t="4445" r="0" b="5080"/>
                <wp:wrapSquare wrapText="bothSides"/>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Le&#10;bdQAAAAJAQAADwAAAAAAAAABACAAAAAiAAAAZHJzL2Rvd25yZXYueG1sUEsBAhQAFAAAAAgAh07i&#10;QK7ZvRrtAQAA4gMAAA4AAAAAAAAAAQAgAAAAIwEAAGRycy9lMm9Eb2MueG1sUEsFBgAAAAAGAAYA&#10;WQEAAIIFAAAAAA==&#10;">
                <v:fill on="f" focussize="0,0"/>
                <v:stroke color="#000000" joinstyle="round"/>
                <v:imagedata o:title=""/>
                <o:lock v:ext="edit" aspectratio="f"/>
                <w10:wrap type="square"/>
              </v:line>
            </w:pict>
          </mc:Fallback>
        </mc:AlternateContent>
      </w:r>
    </w:p>
    <w:p w14:paraId="0E2CCE48">
      <w:pPr>
        <w:shd w:val="clear" w:color="auto" w:fill="FFFFFF"/>
        <w:snapToGrid w:val="0"/>
        <w:spacing w:line="360" w:lineRule="auto"/>
        <w:jc w:val="center"/>
        <w:textAlignment w:val="bottom"/>
        <w:rPr>
          <w:rFonts w:ascii="宋体" w:hAnsi="宋体" w:cs="宋体"/>
          <w:b/>
          <w:bCs/>
          <w:color w:val="auto"/>
          <w:sz w:val="30"/>
          <w:szCs w:val="30"/>
          <w:highlight w:val="none"/>
        </w:rPr>
      </w:pPr>
    </w:p>
    <w:p w14:paraId="580513A1">
      <w:pPr>
        <w:spacing w:line="360" w:lineRule="auto"/>
        <w:ind w:left="-210" w:leftChars="-100" w:right="-57" w:firstLine="1200" w:firstLineChars="400"/>
        <w:rPr>
          <w:rFonts w:hint="eastAsia" w:asciiTheme="minorEastAsia" w:hAnsiTheme="minorEastAsia" w:eastAsiaTheme="minorEastAsia"/>
          <w:color w:val="auto"/>
          <w:sz w:val="30"/>
          <w:szCs w:val="30"/>
          <w:highlight w:val="none"/>
          <w:lang w:eastAsia="zh-CN"/>
        </w:rPr>
      </w:pPr>
      <w:r>
        <w:rPr>
          <w:rFonts w:hint="eastAsia"/>
          <w:color w:val="auto"/>
          <w:sz w:val="30"/>
          <w:szCs w:val="30"/>
          <w:highlight w:val="none"/>
        </w:rPr>
        <w:t>项</w:t>
      </w:r>
      <w:r>
        <w:rPr>
          <w:rFonts w:hint="eastAsia" w:asciiTheme="minorEastAsia" w:hAnsiTheme="minorEastAsia"/>
          <w:color w:val="auto"/>
          <w:sz w:val="30"/>
          <w:szCs w:val="30"/>
          <w:highlight w:val="none"/>
        </w:rPr>
        <w:t>目</w:t>
      </w:r>
      <w:r>
        <w:rPr>
          <w:rFonts w:asciiTheme="minorEastAsia" w:hAnsiTheme="minorEastAsia"/>
          <w:color w:val="auto"/>
          <w:sz w:val="30"/>
          <w:szCs w:val="30"/>
          <w:highlight w:val="none"/>
        </w:rPr>
        <w:t>编号：</w:t>
      </w:r>
      <w:r>
        <w:rPr>
          <w:rFonts w:hint="eastAsia" w:asciiTheme="minorEastAsia" w:hAnsiTheme="minorEastAsia"/>
          <w:color w:val="auto"/>
          <w:sz w:val="30"/>
          <w:szCs w:val="30"/>
          <w:highlight w:val="none"/>
          <w:lang w:eastAsia="zh-CN"/>
        </w:rPr>
        <w:t>ZGTZZB2024-0803-1</w:t>
      </w:r>
    </w:p>
    <w:p w14:paraId="4D2A8248">
      <w:pPr>
        <w:spacing w:line="360" w:lineRule="auto"/>
        <w:ind w:left="-210" w:leftChars="-100" w:right="-57" w:firstLine="1200" w:firstLineChars="400"/>
        <w:rPr>
          <w:rFonts w:hint="eastAsia" w:eastAsiaTheme="minorEastAsia"/>
          <w:color w:val="auto"/>
          <w:sz w:val="30"/>
          <w:szCs w:val="30"/>
          <w:highlight w:val="none"/>
          <w:lang w:eastAsia="zh-CN"/>
        </w:rPr>
      </w:pPr>
      <w:r>
        <w:rPr>
          <w:color w:val="auto"/>
          <w:sz w:val="30"/>
          <w:szCs w:val="30"/>
          <w:highlight w:val="none"/>
        </w:rPr>
        <w:t>采购人：</w:t>
      </w:r>
      <w:r>
        <w:rPr>
          <w:rFonts w:hint="eastAsia"/>
          <w:color w:val="auto"/>
          <w:sz w:val="30"/>
          <w:szCs w:val="30"/>
          <w:highlight w:val="none"/>
          <w:lang w:eastAsia="zh-CN"/>
        </w:rPr>
        <w:t>台州市公安局交通警察局</w:t>
      </w:r>
    </w:p>
    <w:p w14:paraId="7C5D4A29">
      <w:pPr>
        <w:spacing w:line="360" w:lineRule="auto"/>
        <w:ind w:left="-210" w:leftChars="-100" w:right="-57" w:firstLine="1200" w:firstLineChars="400"/>
        <w:rPr>
          <w:color w:val="auto"/>
          <w:sz w:val="30"/>
          <w:szCs w:val="30"/>
          <w:highlight w:val="none"/>
        </w:rPr>
      </w:pPr>
      <w:r>
        <w:rPr>
          <w:rFonts w:hint="eastAsia"/>
          <w:color w:val="auto"/>
          <w:sz w:val="30"/>
          <w:szCs w:val="30"/>
          <w:highlight w:val="none"/>
        </w:rPr>
        <w:t>采购代理机构</w:t>
      </w:r>
      <w:r>
        <w:rPr>
          <w:color w:val="auto"/>
          <w:sz w:val="30"/>
          <w:szCs w:val="30"/>
          <w:highlight w:val="none"/>
        </w:rPr>
        <w:t>：中冠工程管理咨询有限公司</w:t>
      </w:r>
    </w:p>
    <w:p w14:paraId="7AF682D3">
      <w:pPr>
        <w:spacing w:line="360" w:lineRule="auto"/>
        <w:ind w:left="-210" w:leftChars="-100" w:right="-57" w:firstLine="1200" w:firstLineChars="400"/>
        <w:jc w:val="center"/>
        <w:rPr>
          <w:color w:val="auto"/>
          <w:sz w:val="30"/>
          <w:szCs w:val="30"/>
          <w:highlight w:val="none"/>
        </w:rPr>
      </w:pPr>
    </w:p>
    <w:p w14:paraId="238D1992">
      <w:pPr>
        <w:spacing w:line="360" w:lineRule="auto"/>
        <w:ind w:left="-210" w:leftChars="-100" w:right="-57" w:firstLine="1200" w:firstLineChars="400"/>
        <w:jc w:val="center"/>
        <w:rPr>
          <w:color w:val="auto"/>
          <w:sz w:val="30"/>
          <w:szCs w:val="30"/>
          <w:highlight w:val="none"/>
        </w:rPr>
      </w:pPr>
    </w:p>
    <w:p w14:paraId="638AEB63">
      <w:pPr>
        <w:spacing w:line="360" w:lineRule="auto"/>
        <w:ind w:left="-210" w:leftChars="-100" w:right="-57" w:firstLine="1200" w:firstLineChars="400"/>
        <w:jc w:val="center"/>
        <w:rPr>
          <w:color w:val="auto"/>
          <w:sz w:val="30"/>
          <w:szCs w:val="30"/>
          <w:highlight w:val="none"/>
        </w:rPr>
      </w:pPr>
    </w:p>
    <w:p w14:paraId="486FED0E">
      <w:pPr>
        <w:spacing w:line="360" w:lineRule="auto"/>
        <w:ind w:left="-210" w:leftChars="-100" w:right="-57" w:firstLine="1200" w:firstLineChars="400"/>
        <w:jc w:val="center"/>
        <w:rPr>
          <w:color w:val="auto"/>
          <w:sz w:val="30"/>
          <w:szCs w:val="30"/>
          <w:highlight w:val="none"/>
        </w:rPr>
      </w:pPr>
    </w:p>
    <w:p w14:paraId="3ECA7CB4">
      <w:pPr>
        <w:spacing w:line="360" w:lineRule="auto"/>
        <w:ind w:left="-210" w:leftChars="-100" w:right="-57" w:firstLine="1200" w:firstLineChars="400"/>
        <w:jc w:val="center"/>
        <w:rPr>
          <w:color w:val="auto"/>
          <w:sz w:val="30"/>
          <w:szCs w:val="30"/>
          <w:highlight w:val="none"/>
        </w:rPr>
      </w:pPr>
      <w:r>
        <w:rPr>
          <w:color w:val="auto"/>
          <w:sz w:val="30"/>
          <w:szCs w:val="30"/>
          <w:highlight w:val="none"/>
        </w:rPr>
        <w:t>二〇</w:t>
      </w:r>
      <w:r>
        <w:rPr>
          <w:rFonts w:hint="eastAsia"/>
          <w:color w:val="auto"/>
          <w:sz w:val="30"/>
          <w:szCs w:val="30"/>
          <w:highlight w:val="none"/>
        </w:rPr>
        <w:t>二四</w:t>
      </w:r>
      <w:r>
        <w:rPr>
          <w:color w:val="auto"/>
          <w:sz w:val="30"/>
          <w:szCs w:val="30"/>
          <w:highlight w:val="none"/>
        </w:rPr>
        <w:t>年</w:t>
      </w:r>
      <w:r>
        <w:rPr>
          <w:rFonts w:hint="eastAsia"/>
          <w:color w:val="auto"/>
          <w:sz w:val="30"/>
          <w:szCs w:val="30"/>
          <w:highlight w:val="none"/>
          <w:lang w:eastAsia="zh-CN"/>
        </w:rPr>
        <w:t>十一</w:t>
      </w:r>
      <w:r>
        <w:rPr>
          <w:color w:val="auto"/>
          <w:sz w:val="30"/>
          <w:szCs w:val="30"/>
          <w:highlight w:val="none"/>
        </w:rPr>
        <w:t>月</w:t>
      </w:r>
    </w:p>
    <w:p w14:paraId="1E6C3EFB">
      <w:pPr>
        <w:shd w:val="clear" w:color="auto" w:fill="FFFFFF"/>
        <w:snapToGrid w:val="0"/>
        <w:spacing w:line="480" w:lineRule="auto"/>
        <w:ind w:firstLine="425"/>
        <w:textAlignment w:val="bottom"/>
        <w:rPr>
          <w:rFonts w:ascii="宋体" w:hAnsi="宋体" w:cs="宋体"/>
          <w:b/>
          <w:bCs/>
          <w:color w:val="auto"/>
          <w:sz w:val="30"/>
          <w:szCs w:val="30"/>
          <w:highlight w:val="none"/>
        </w:rPr>
        <w:sectPr>
          <w:footerReference r:id="rId3" w:type="default"/>
          <w:pgSz w:w="12240" w:h="15840"/>
          <w:pgMar w:top="1440" w:right="1800" w:bottom="1440" w:left="1800" w:header="720" w:footer="720" w:gutter="0"/>
          <w:pgBorders>
            <w:top w:val="none" w:sz="0" w:space="0"/>
            <w:left w:val="none" w:sz="0" w:space="0"/>
            <w:bottom w:val="none" w:sz="0" w:space="0"/>
            <w:right w:val="none" w:sz="0" w:space="0"/>
          </w:pgBorders>
          <w:cols w:space="720" w:num="1"/>
        </w:sectPr>
      </w:pPr>
    </w:p>
    <w:p w14:paraId="032604DA">
      <w:pPr>
        <w:pStyle w:val="7"/>
        <w:rPr>
          <w:color w:val="auto"/>
          <w:highlight w:val="none"/>
        </w:rPr>
      </w:pPr>
    </w:p>
    <w:p w14:paraId="41431E27">
      <w:pPr>
        <w:pageBreakBefore/>
        <w:shd w:val="clear" w:color="auto" w:fill="FFFFFF"/>
        <w:snapToGrid w:val="0"/>
        <w:spacing w:line="360" w:lineRule="auto"/>
        <w:jc w:val="center"/>
        <w:rPr>
          <w:rFonts w:ascii="宋体" w:hAnsi="宋体" w:cs="宋体"/>
          <w:b/>
          <w:bCs/>
          <w:color w:val="auto"/>
          <w:sz w:val="24"/>
          <w:highlight w:val="none"/>
        </w:rPr>
        <w:sectPr>
          <w:footerReference r:id="rId4" w:type="default"/>
          <w:pgSz w:w="12240" w:h="15840"/>
          <w:pgMar w:top="1440" w:right="1800" w:bottom="1440" w:left="1800" w:header="720" w:footer="720" w:gutter="0"/>
          <w:pgBorders>
            <w:top w:val="none" w:sz="0" w:space="0"/>
            <w:left w:val="none" w:sz="0" w:space="0"/>
            <w:bottom w:val="none" w:sz="0" w:space="0"/>
            <w:right w:val="none" w:sz="0" w:space="0"/>
          </w:pgBorders>
          <w:pgNumType w:start="1"/>
          <w:cols w:space="720" w:num="1"/>
        </w:sectPr>
      </w:pPr>
    </w:p>
    <w:p w14:paraId="4D7834C0">
      <w:pPr>
        <w:jc w:val="center"/>
        <w:rPr>
          <w:rFonts w:ascii="宋体" w:hAnsi="宋体"/>
          <w:color w:val="auto"/>
          <w:sz w:val="44"/>
          <w:szCs w:val="44"/>
          <w:highlight w:val="none"/>
        </w:rPr>
      </w:pPr>
      <w:r>
        <w:rPr>
          <w:rFonts w:ascii="宋体" w:hAnsi="宋体"/>
          <w:color w:val="auto"/>
          <w:sz w:val="44"/>
          <w:szCs w:val="44"/>
          <w:highlight w:val="none"/>
        </w:rPr>
        <w:t>目录</w:t>
      </w:r>
    </w:p>
    <w:p w14:paraId="3B92097D">
      <w:pPr>
        <w:pStyle w:val="10"/>
        <w:rPr>
          <w:color w:val="auto"/>
          <w:highlight w:val="none"/>
        </w:rPr>
      </w:pPr>
    </w:p>
    <w:p w14:paraId="0C8DD662">
      <w:pPr>
        <w:pStyle w:val="17"/>
        <w:tabs>
          <w:tab w:val="right" w:leader="dot" w:pos="8306"/>
          <w:tab w:val="clear" w:pos="8789"/>
        </w:tabs>
        <w:spacing w:line="600" w:lineRule="auto"/>
        <w:rPr>
          <w:color w:val="auto"/>
          <w:szCs w:val="24"/>
          <w:highlight w:val="none"/>
        </w:rPr>
      </w:pPr>
      <w:r>
        <w:rPr>
          <w:rFonts w:hint="eastAsia" w:ascii="宋体" w:hAnsi="宋体" w:cs="宋体"/>
          <w:b/>
          <w:color w:val="auto"/>
          <w:szCs w:val="24"/>
          <w:highlight w:val="none"/>
        </w:rPr>
        <w:fldChar w:fldCharType="begin"/>
      </w:r>
      <w:r>
        <w:rPr>
          <w:rFonts w:hint="eastAsia" w:ascii="宋体" w:hAnsi="宋体" w:cs="宋体"/>
          <w:b/>
          <w:color w:val="auto"/>
          <w:szCs w:val="24"/>
          <w:highlight w:val="none"/>
        </w:rPr>
        <w:instrText xml:space="preserve">TOC \o "1-1" \h \u </w:instrText>
      </w:r>
      <w:r>
        <w:rPr>
          <w:rFonts w:hint="eastAsia" w:ascii="宋体" w:hAnsi="宋体" w:cs="宋体"/>
          <w:b/>
          <w:color w:val="auto"/>
          <w:szCs w:val="24"/>
          <w:highlight w:val="none"/>
        </w:rPr>
        <w:fldChar w:fldCharType="separate"/>
      </w:r>
      <w:r>
        <w:rPr>
          <w:color w:val="auto"/>
          <w:highlight w:val="none"/>
        </w:rPr>
        <w:fldChar w:fldCharType="begin"/>
      </w:r>
      <w:r>
        <w:rPr>
          <w:color w:val="auto"/>
          <w:highlight w:val="none"/>
        </w:rPr>
        <w:instrText xml:space="preserve"> HYPERLINK \l "_Toc12855" </w:instrText>
      </w:r>
      <w:r>
        <w:rPr>
          <w:color w:val="auto"/>
          <w:highlight w:val="none"/>
        </w:rPr>
        <w:fldChar w:fldCharType="separate"/>
      </w:r>
      <w:r>
        <w:rPr>
          <w:rFonts w:hint="eastAsia" w:ascii="宋体" w:hAnsi="宋体" w:cs="宋体"/>
          <w:bCs/>
          <w:color w:val="auto"/>
          <w:szCs w:val="24"/>
          <w:highlight w:val="none"/>
        </w:rPr>
        <w:t>第一部分  采购公告</w:t>
      </w:r>
      <w:r>
        <w:rPr>
          <w:color w:val="auto"/>
          <w:szCs w:val="24"/>
          <w:highlight w:val="none"/>
        </w:rPr>
        <w:tab/>
      </w:r>
      <w:r>
        <w:rPr>
          <w:rFonts w:hint="eastAsia"/>
          <w:color w:val="auto"/>
          <w:szCs w:val="24"/>
          <w:highlight w:val="none"/>
          <w:lang w:val="en-US" w:eastAsia="zh-CN"/>
        </w:rPr>
        <w:t>1</w:t>
      </w:r>
      <w:r>
        <w:rPr>
          <w:color w:val="auto"/>
          <w:szCs w:val="24"/>
          <w:highlight w:val="none"/>
        </w:rPr>
        <w:fldChar w:fldCharType="end"/>
      </w:r>
    </w:p>
    <w:p w14:paraId="754C1213">
      <w:pPr>
        <w:pStyle w:val="17"/>
        <w:tabs>
          <w:tab w:val="right" w:leader="dot" w:pos="8306"/>
          <w:tab w:val="clear" w:pos="8789"/>
        </w:tabs>
        <w:spacing w:line="600" w:lineRule="auto"/>
        <w:rPr>
          <w:color w:val="auto"/>
          <w:szCs w:val="24"/>
          <w:highlight w:val="none"/>
        </w:rPr>
      </w:pPr>
      <w:r>
        <w:rPr>
          <w:color w:val="auto"/>
          <w:highlight w:val="none"/>
        </w:rPr>
        <w:fldChar w:fldCharType="begin"/>
      </w:r>
      <w:r>
        <w:rPr>
          <w:color w:val="auto"/>
          <w:highlight w:val="none"/>
        </w:rPr>
        <w:instrText xml:space="preserve"> HYPERLINK \l "_Toc25794" </w:instrText>
      </w:r>
      <w:r>
        <w:rPr>
          <w:color w:val="auto"/>
          <w:highlight w:val="none"/>
        </w:rPr>
        <w:fldChar w:fldCharType="separate"/>
      </w:r>
      <w:r>
        <w:rPr>
          <w:rFonts w:hint="eastAsia" w:ascii="宋体" w:hAnsi="宋体" w:cs="宋体"/>
          <w:bCs/>
          <w:color w:val="auto"/>
          <w:szCs w:val="24"/>
          <w:highlight w:val="none"/>
        </w:rPr>
        <w:t xml:space="preserve">第二部分  </w:t>
      </w:r>
      <w:r>
        <w:rPr>
          <w:rFonts w:ascii="宋体" w:hAnsi="宋体" w:cs="宋体"/>
          <w:bCs/>
          <w:color w:val="auto"/>
          <w:szCs w:val="24"/>
          <w:highlight w:val="none"/>
        </w:rPr>
        <w:t>投标资料表</w:t>
      </w:r>
      <w:r>
        <w:rPr>
          <w:color w:val="auto"/>
          <w:szCs w:val="24"/>
          <w:highlight w:val="none"/>
        </w:rPr>
        <w:tab/>
      </w:r>
      <w:r>
        <w:rPr>
          <w:rFonts w:hint="eastAsia"/>
          <w:color w:val="auto"/>
          <w:szCs w:val="24"/>
          <w:highlight w:val="none"/>
          <w:lang w:val="en-US" w:eastAsia="zh-CN"/>
        </w:rPr>
        <w:t>6</w:t>
      </w:r>
      <w:r>
        <w:rPr>
          <w:rFonts w:hint="eastAsia"/>
          <w:color w:val="auto"/>
          <w:szCs w:val="24"/>
          <w:highlight w:val="none"/>
        </w:rPr>
        <w:fldChar w:fldCharType="end"/>
      </w:r>
    </w:p>
    <w:p w14:paraId="5603E3D6">
      <w:pPr>
        <w:pStyle w:val="17"/>
        <w:tabs>
          <w:tab w:val="right" w:leader="dot" w:pos="8306"/>
          <w:tab w:val="clear" w:pos="8789"/>
        </w:tabs>
        <w:spacing w:line="600" w:lineRule="auto"/>
        <w:rPr>
          <w:rFonts w:hint="eastAsia" w:eastAsia="宋体"/>
          <w:color w:val="auto"/>
          <w:szCs w:val="24"/>
          <w:highlight w:val="none"/>
          <w:lang w:val="en-US" w:eastAsia="zh-CN"/>
        </w:rPr>
      </w:pPr>
      <w:r>
        <w:rPr>
          <w:color w:val="auto"/>
          <w:highlight w:val="none"/>
        </w:rPr>
        <w:fldChar w:fldCharType="begin"/>
      </w:r>
      <w:r>
        <w:rPr>
          <w:color w:val="auto"/>
          <w:highlight w:val="none"/>
        </w:rPr>
        <w:instrText xml:space="preserve"> HYPERLINK \l "_Toc22412" </w:instrText>
      </w:r>
      <w:r>
        <w:rPr>
          <w:color w:val="auto"/>
          <w:highlight w:val="none"/>
        </w:rPr>
        <w:fldChar w:fldCharType="separate"/>
      </w:r>
      <w:r>
        <w:rPr>
          <w:rFonts w:hint="eastAsia" w:ascii="宋体" w:hAnsi="宋体"/>
          <w:bCs/>
          <w:color w:val="auto"/>
          <w:szCs w:val="24"/>
          <w:highlight w:val="none"/>
        </w:rPr>
        <w:t>第三部分  投标须知</w:t>
      </w:r>
      <w:r>
        <w:rPr>
          <w:color w:val="auto"/>
          <w:szCs w:val="24"/>
          <w:highlight w:val="none"/>
        </w:rPr>
        <w:tab/>
      </w:r>
      <w:r>
        <w:rPr>
          <w:rFonts w:hint="eastAsia"/>
          <w:color w:val="auto"/>
          <w:szCs w:val="24"/>
          <w:highlight w:val="none"/>
        </w:rPr>
        <w:fldChar w:fldCharType="end"/>
      </w:r>
      <w:r>
        <w:rPr>
          <w:rFonts w:hint="eastAsia"/>
          <w:color w:val="auto"/>
          <w:szCs w:val="24"/>
          <w:highlight w:val="none"/>
          <w:lang w:val="en-US" w:eastAsia="zh-CN"/>
        </w:rPr>
        <w:t>8</w:t>
      </w:r>
    </w:p>
    <w:p w14:paraId="75D38E5B">
      <w:pPr>
        <w:pStyle w:val="17"/>
        <w:tabs>
          <w:tab w:val="right" w:leader="dot" w:pos="8306"/>
          <w:tab w:val="clear" w:pos="8789"/>
        </w:tabs>
        <w:spacing w:line="600" w:lineRule="auto"/>
        <w:rPr>
          <w:color w:val="auto"/>
          <w:szCs w:val="24"/>
          <w:highlight w:val="none"/>
        </w:rPr>
      </w:pPr>
      <w:r>
        <w:rPr>
          <w:color w:val="auto"/>
          <w:highlight w:val="none"/>
        </w:rPr>
        <w:fldChar w:fldCharType="begin"/>
      </w:r>
      <w:r>
        <w:rPr>
          <w:color w:val="auto"/>
          <w:highlight w:val="none"/>
        </w:rPr>
        <w:instrText xml:space="preserve"> HYPERLINK \l "_Toc26138" </w:instrText>
      </w:r>
      <w:r>
        <w:rPr>
          <w:color w:val="auto"/>
          <w:highlight w:val="none"/>
        </w:rPr>
        <w:fldChar w:fldCharType="separate"/>
      </w:r>
      <w:r>
        <w:rPr>
          <w:rFonts w:hint="eastAsia" w:ascii="宋体" w:hAnsi="宋体"/>
          <w:color w:val="auto"/>
          <w:szCs w:val="24"/>
          <w:highlight w:val="none"/>
        </w:rPr>
        <w:t>第四部分  评标办法及评分标准</w:t>
      </w:r>
      <w:r>
        <w:rPr>
          <w:color w:val="auto"/>
          <w:szCs w:val="24"/>
          <w:highlight w:val="none"/>
        </w:rPr>
        <w:tab/>
      </w:r>
      <w:r>
        <w:rPr>
          <w:rFonts w:hint="eastAsia"/>
          <w:color w:val="auto"/>
          <w:szCs w:val="24"/>
          <w:highlight w:val="none"/>
        </w:rPr>
        <w:t>2</w:t>
      </w:r>
      <w:r>
        <w:rPr>
          <w:rFonts w:hint="eastAsia"/>
          <w:color w:val="auto"/>
          <w:szCs w:val="24"/>
          <w:highlight w:val="none"/>
          <w:lang w:val="en-US" w:eastAsia="zh-CN"/>
        </w:rPr>
        <w:t>0</w:t>
      </w:r>
      <w:r>
        <w:rPr>
          <w:rFonts w:hint="eastAsia"/>
          <w:color w:val="auto"/>
          <w:szCs w:val="24"/>
          <w:highlight w:val="none"/>
        </w:rPr>
        <w:fldChar w:fldCharType="end"/>
      </w:r>
    </w:p>
    <w:p w14:paraId="2FA9B97F">
      <w:pPr>
        <w:pStyle w:val="17"/>
        <w:tabs>
          <w:tab w:val="right" w:leader="dot" w:pos="8306"/>
          <w:tab w:val="clear" w:pos="8789"/>
        </w:tabs>
        <w:spacing w:line="600" w:lineRule="auto"/>
        <w:rPr>
          <w:rFonts w:hint="default" w:eastAsia="宋体"/>
          <w:color w:val="auto"/>
          <w:szCs w:val="24"/>
          <w:highlight w:val="none"/>
          <w:lang w:val="en-US" w:eastAsia="zh-CN"/>
        </w:rPr>
      </w:pPr>
      <w:r>
        <w:rPr>
          <w:color w:val="auto"/>
          <w:highlight w:val="none"/>
        </w:rPr>
        <w:fldChar w:fldCharType="begin"/>
      </w:r>
      <w:r>
        <w:rPr>
          <w:color w:val="auto"/>
          <w:highlight w:val="none"/>
        </w:rPr>
        <w:instrText xml:space="preserve"> HYPERLINK \l "_Toc13083" </w:instrText>
      </w:r>
      <w:r>
        <w:rPr>
          <w:color w:val="auto"/>
          <w:highlight w:val="none"/>
        </w:rPr>
        <w:fldChar w:fldCharType="separate"/>
      </w:r>
      <w:r>
        <w:rPr>
          <w:rFonts w:hint="eastAsia" w:ascii="宋体" w:hAnsi="宋体"/>
          <w:color w:val="auto"/>
          <w:szCs w:val="24"/>
          <w:highlight w:val="none"/>
        </w:rPr>
        <w:t xml:space="preserve">第五部分  </w:t>
      </w:r>
      <w:r>
        <w:rPr>
          <w:rFonts w:hint="eastAsia" w:ascii="宋体" w:hAnsi="宋体" w:cs="宋体"/>
          <w:bCs/>
          <w:color w:val="auto"/>
          <w:szCs w:val="24"/>
          <w:highlight w:val="none"/>
        </w:rPr>
        <w:t>采购内容及要求</w:t>
      </w:r>
      <w:r>
        <w:rPr>
          <w:color w:val="auto"/>
          <w:szCs w:val="24"/>
          <w:highlight w:val="none"/>
        </w:rPr>
        <w:tab/>
      </w:r>
      <w:r>
        <w:rPr>
          <w:rFonts w:hint="eastAsia"/>
          <w:color w:val="auto"/>
          <w:szCs w:val="24"/>
          <w:highlight w:val="none"/>
        </w:rPr>
        <w:fldChar w:fldCharType="end"/>
      </w:r>
      <w:r>
        <w:rPr>
          <w:rFonts w:hint="eastAsia"/>
          <w:color w:val="auto"/>
          <w:szCs w:val="24"/>
          <w:highlight w:val="none"/>
          <w:lang w:val="en-US" w:eastAsia="zh-CN"/>
        </w:rPr>
        <w:t>23</w:t>
      </w:r>
    </w:p>
    <w:p w14:paraId="6C33270D">
      <w:pPr>
        <w:pStyle w:val="17"/>
        <w:tabs>
          <w:tab w:val="right" w:leader="dot" w:pos="8306"/>
          <w:tab w:val="clear" w:pos="8789"/>
        </w:tabs>
        <w:spacing w:line="600" w:lineRule="auto"/>
        <w:rPr>
          <w:rFonts w:hint="default" w:eastAsia="宋体"/>
          <w:color w:val="auto"/>
          <w:szCs w:val="24"/>
          <w:highlight w:val="none"/>
          <w:lang w:val="en-US" w:eastAsia="zh-CN"/>
        </w:rPr>
      </w:pPr>
      <w:r>
        <w:rPr>
          <w:color w:val="auto"/>
          <w:highlight w:val="none"/>
        </w:rPr>
        <w:fldChar w:fldCharType="begin"/>
      </w:r>
      <w:r>
        <w:rPr>
          <w:color w:val="auto"/>
          <w:highlight w:val="none"/>
        </w:rPr>
        <w:instrText xml:space="preserve"> HYPERLINK \l "_Toc6603" </w:instrText>
      </w:r>
      <w:r>
        <w:rPr>
          <w:color w:val="auto"/>
          <w:highlight w:val="none"/>
        </w:rPr>
        <w:fldChar w:fldCharType="separate"/>
      </w:r>
      <w:r>
        <w:rPr>
          <w:rFonts w:hint="eastAsia" w:ascii="宋体" w:hAnsi="宋体"/>
          <w:color w:val="auto"/>
          <w:szCs w:val="24"/>
          <w:highlight w:val="none"/>
        </w:rPr>
        <w:t>第六部分  拟签订的合同文本</w:t>
      </w:r>
      <w:r>
        <w:rPr>
          <w:color w:val="auto"/>
          <w:szCs w:val="24"/>
          <w:highlight w:val="none"/>
        </w:rPr>
        <w:tab/>
      </w:r>
      <w:r>
        <w:rPr>
          <w:color w:val="auto"/>
          <w:szCs w:val="24"/>
          <w:highlight w:val="none"/>
        </w:rPr>
        <w:fldChar w:fldCharType="end"/>
      </w:r>
      <w:r>
        <w:rPr>
          <w:rFonts w:hint="eastAsia"/>
          <w:color w:val="auto"/>
          <w:szCs w:val="24"/>
          <w:highlight w:val="none"/>
          <w:lang w:val="en-US" w:eastAsia="zh-CN"/>
        </w:rPr>
        <w:t>28</w:t>
      </w:r>
    </w:p>
    <w:p w14:paraId="706C822A">
      <w:pPr>
        <w:pStyle w:val="17"/>
        <w:tabs>
          <w:tab w:val="right" w:leader="dot" w:pos="8306"/>
          <w:tab w:val="clear" w:pos="8789"/>
        </w:tabs>
        <w:spacing w:line="600" w:lineRule="auto"/>
        <w:rPr>
          <w:rFonts w:hint="eastAsia" w:eastAsia="宋体"/>
          <w:color w:val="auto"/>
          <w:szCs w:val="24"/>
          <w:highlight w:val="none"/>
          <w:lang w:val="en-US" w:eastAsia="zh-CN"/>
        </w:rPr>
      </w:pPr>
      <w:r>
        <w:rPr>
          <w:color w:val="auto"/>
          <w:highlight w:val="none"/>
        </w:rPr>
        <w:fldChar w:fldCharType="begin"/>
      </w:r>
      <w:r>
        <w:rPr>
          <w:color w:val="auto"/>
          <w:highlight w:val="none"/>
        </w:rPr>
        <w:instrText xml:space="preserve"> HYPERLINK \l "_Toc5526" </w:instrText>
      </w:r>
      <w:r>
        <w:rPr>
          <w:color w:val="auto"/>
          <w:highlight w:val="none"/>
        </w:rPr>
        <w:fldChar w:fldCharType="separate"/>
      </w:r>
      <w:r>
        <w:rPr>
          <w:rFonts w:hint="eastAsia" w:ascii="宋体" w:hAnsi="宋体"/>
          <w:color w:val="auto"/>
          <w:szCs w:val="24"/>
          <w:highlight w:val="none"/>
        </w:rPr>
        <w:t xml:space="preserve">第七部分  </w:t>
      </w:r>
      <w:r>
        <w:rPr>
          <w:rFonts w:hint="eastAsia" w:ascii="宋体" w:hAnsi="宋体" w:cs="宋体"/>
          <w:bCs/>
          <w:color w:val="auto"/>
          <w:szCs w:val="24"/>
          <w:highlight w:val="none"/>
        </w:rPr>
        <w:t>格式与表格</w:t>
      </w:r>
      <w:r>
        <w:rPr>
          <w:color w:val="auto"/>
          <w:szCs w:val="24"/>
          <w:highlight w:val="none"/>
        </w:rPr>
        <w:tab/>
      </w:r>
      <w:r>
        <w:rPr>
          <w:rFonts w:hint="eastAsia"/>
          <w:color w:val="auto"/>
          <w:szCs w:val="24"/>
          <w:highlight w:val="none"/>
          <w:lang w:val="en-US" w:eastAsia="zh-CN"/>
        </w:rPr>
        <w:t>3</w:t>
      </w:r>
      <w:r>
        <w:rPr>
          <w:rFonts w:hint="eastAsia"/>
          <w:color w:val="auto"/>
          <w:szCs w:val="24"/>
          <w:highlight w:val="none"/>
        </w:rPr>
        <w:fldChar w:fldCharType="end"/>
      </w:r>
      <w:r>
        <w:rPr>
          <w:rFonts w:hint="eastAsia"/>
          <w:color w:val="auto"/>
          <w:szCs w:val="24"/>
          <w:highlight w:val="none"/>
          <w:lang w:val="en-US" w:eastAsia="zh-CN"/>
        </w:rPr>
        <w:t>7</w:t>
      </w:r>
    </w:p>
    <w:p w14:paraId="4EFCC009">
      <w:pPr>
        <w:pageBreakBefore/>
        <w:shd w:val="clear" w:color="auto" w:fill="FFFFFF"/>
        <w:snapToGrid w:val="0"/>
        <w:spacing w:line="500" w:lineRule="exact"/>
        <w:ind w:left="105"/>
        <w:jc w:val="center"/>
        <w:outlineLvl w:val="0"/>
        <w:rPr>
          <w:rFonts w:hint="eastAsia" w:ascii="宋体" w:hAnsi="宋体" w:cs="宋体"/>
          <w:color w:val="auto"/>
          <w:sz w:val="24"/>
          <w:highlight w:val="none"/>
        </w:rPr>
        <w:sectPr>
          <w:headerReference r:id="rId5" w:type="default"/>
          <w:footerReference r:id="rId6" w:type="default"/>
          <w:pgSz w:w="11907" w:h="16840"/>
          <w:pgMar w:top="1247" w:right="1531" w:bottom="1304" w:left="1531" w:header="284" w:footer="705" w:gutter="0"/>
          <w:pgBorders>
            <w:top w:val="none" w:sz="0" w:space="0"/>
            <w:left w:val="none" w:sz="0" w:space="0"/>
            <w:bottom w:val="none" w:sz="0" w:space="0"/>
            <w:right w:val="none" w:sz="0" w:space="0"/>
          </w:pgBorders>
          <w:cols w:space="720" w:num="1"/>
          <w:docGrid w:linePitch="285" w:charSpace="0"/>
        </w:sectPr>
      </w:pPr>
    </w:p>
    <w:p w14:paraId="428BCEFC">
      <w:pPr>
        <w:pageBreakBefore/>
        <w:shd w:val="clear" w:color="auto" w:fill="FFFFFF"/>
        <w:snapToGrid w:val="0"/>
        <w:spacing w:line="500" w:lineRule="exact"/>
        <w:ind w:left="105"/>
        <w:jc w:val="center"/>
        <w:outlineLvl w:val="0"/>
        <w:rPr>
          <w:rFonts w:ascii="宋体" w:hAnsi="宋体" w:cs="宋体"/>
          <w:b/>
          <w:bCs/>
          <w:color w:val="auto"/>
          <w:sz w:val="32"/>
          <w:szCs w:val="32"/>
          <w:highlight w:val="none"/>
        </w:rPr>
      </w:pPr>
      <w:r>
        <w:rPr>
          <w:rFonts w:hint="eastAsia" w:ascii="宋体" w:hAnsi="宋体" w:cs="宋体"/>
          <w:color w:val="auto"/>
          <w:sz w:val="24"/>
          <w:highlight w:val="none"/>
        </w:rPr>
        <w:fldChar w:fldCharType="end"/>
      </w:r>
      <w:bookmarkStart w:id="0" w:name="_Toc12459"/>
      <w:bookmarkStart w:id="1" w:name="_Toc8375"/>
      <w:bookmarkStart w:id="2" w:name="_Toc12855"/>
      <w:bookmarkStart w:id="3" w:name="_Toc25290"/>
      <w:bookmarkStart w:id="4" w:name="_Toc11758"/>
      <w:bookmarkStart w:id="5" w:name="_Toc18128"/>
      <w:bookmarkStart w:id="6" w:name="_Toc1038"/>
      <w:r>
        <w:rPr>
          <w:rFonts w:hint="eastAsia" w:ascii="宋体" w:hAnsi="宋体" w:cs="宋体"/>
          <w:b/>
          <w:bCs/>
          <w:color w:val="auto"/>
          <w:sz w:val="32"/>
          <w:szCs w:val="32"/>
          <w:highlight w:val="none"/>
        </w:rPr>
        <w:t>第一部分  采购公告</w:t>
      </w:r>
      <w:bookmarkEnd w:id="0"/>
      <w:bookmarkEnd w:id="1"/>
      <w:bookmarkEnd w:id="2"/>
      <w:bookmarkEnd w:id="3"/>
      <w:bookmarkEnd w:id="4"/>
      <w:bookmarkEnd w:id="5"/>
      <w:bookmarkEnd w:id="6"/>
    </w:p>
    <w:p w14:paraId="70412B85">
      <w:pPr>
        <w:pBdr>
          <w:top w:val="single" w:color="auto" w:sz="4" w:space="1"/>
          <w:left w:val="single" w:color="auto" w:sz="4" w:space="4"/>
          <w:bottom w:val="single" w:color="auto" w:sz="4" w:space="1"/>
          <w:right w:val="single" w:color="auto" w:sz="4" w:space="4"/>
        </w:pBdr>
        <w:spacing w:line="380" w:lineRule="exact"/>
        <w:rPr>
          <w:rFonts w:asciiTheme="minorEastAsia" w:hAnsiTheme="minorEastAsia"/>
          <w:color w:val="auto"/>
          <w:szCs w:val="21"/>
          <w:highlight w:val="none"/>
        </w:rPr>
      </w:pPr>
      <w:bookmarkStart w:id="7" w:name="_Hlk51884093"/>
      <w:bookmarkStart w:id="8" w:name="_Toc263083249"/>
      <w:bookmarkStart w:id="9" w:name="_Toc262312595"/>
      <w:r>
        <w:rPr>
          <w:rFonts w:hint="eastAsia" w:asciiTheme="minorEastAsia" w:hAnsiTheme="minorEastAsia"/>
          <w:color w:val="auto"/>
          <w:szCs w:val="21"/>
          <w:highlight w:val="none"/>
        </w:rPr>
        <w:t>项目概况</w:t>
      </w:r>
    </w:p>
    <w:p w14:paraId="757ABC2A">
      <w:pPr>
        <w:pBdr>
          <w:top w:val="single" w:color="auto" w:sz="4" w:space="1"/>
          <w:left w:val="single" w:color="auto" w:sz="4" w:space="4"/>
          <w:bottom w:val="single" w:color="auto" w:sz="4" w:space="1"/>
          <w:right w:val="single" w:color="auto" w:sz="4" w:space="4"/>
        </w:pBdr>
        <w:spacing w:line="380" w:lineRule="exact"/>
        <w:ind w:firstLine="420" w:firstLineChars="200"/>
        <w:rPr>
          <w:rFonts w:asciiTheme="minorEastAsia" w:hAnsiTheme="minorEastAsia"/>
          <w:color w:val="auto"/>
          <w:szCs w:val="21"/>
          <w:highlight w:val="none"/>
          <w:u w:val="single"/>
        </w:rPr>
      </w:pPr>
      <w:r>
        <w:rPr>
          <w:rFonts w:hint="eastAsia" w:asciiTheme="minorEastAsia" w:hAnsiTheme="minorEastAsia"/>
          <w:color w:val="auto"/>
          <w:szCs w:val="21"/>
          <w:highlight w:val="none"/>
          <w:u w:val="single"/>
          <w:lang w:eastAsia="zh-CN"/>
        </w:rPr>
        <w:t>台州市公安局交通警察局2025-2027涉案车辆（交通违法、交通事故）拖移服务（重新招标）</w:t>
      </w:r>
      <w:r>
        <w:rPr>
          <w:rFonts w:hint="eastAsia" w:asciiTheme="minorEastAsia" w:hAnsiTheme="minorEastAsia"/>
          <w:color w:val="auto"/>
          <w:szCs w:val="21"/>
          <w:highlight w:val="none"/>
        </w:rPr>
        <w:t>的潜在投标人应在</w:t>
      </w:r>
      <w:r>
        <w:rPr>
          <w:rFonts w:hint="eastAsia" w:asciiTheme="minorEastAsia" w:hAnsiTheme="minorEastAsia"/>
          <w:color w:val="auto"/>
          <w:szCs w:val="21"/>
          <w:highlight w:val="none"/>
          <w:u w:val="single"/>
        </w:rPr>
        <w:t>政采云平台</w:t>
      </w:r>
      <w:r>
        <w:rPr>
          <w:rFonts w:hint="eastAsia" w:asciiTheme="minorEastAsia" w:hAnsiTheme="minorEastAsia"/>
          <w:color w:val="auto"/>
          <w:szCs w:val="21"/>
          <w:highlight w:val="none"/>
        </w:rPr>
        <w:t>获取采购文件，并于</w:t>
      </w:r>
      <w:r>
        <w:rPr>
          <w:rFonts w:hint="eastAsia" w:asciiTheme="minorEastAsia" w:hAnsiTheme="minorEastAsia"/>
          <w:color w:val="auto"/>
          <w:szCs w:val="21"/>
          <w:highlight w:val="none"/>
          <w:lang w:val="en-US" w:eastAsia="zh-CN"/>
        </w:rPr>
        <w:t>2024</w:t>
      </w:r>
      <w:r>
        <w:rPr>
          <w:rFonts w:hint="eastAsia" w:asciiTheme="minorEastAsia" w:hAnsiTheme="minorEastAsia"/>
          <w:bCs/>
          <w:color w:val="auto"/>
          <w:szCs w:val="21"/>
          <w:highlight w:val="none"/>
          <w:u w:val="single"/>
        </w:rPr>
        <w:t>年</w:t>
      </w:r>
      <w:r>
        <w:rPr>
          <w:rFonts w:hint="eastAsia" w:asciiTheme="minorEastAsia" w:hAnsiTheme="minorEastAsia"/>
          <w:color w:val="auto"/>
          <w:szCs w:val="21"/>
          <w:highlight w:val="none"/>
          <w:u w:val="single"/>
          <w:lang w:val="en-US" w:eastAsia="zh-CN"/>
        </w:rPr>
        <w:t>11月22日</w:t>
      </w:r>
      <w:r>
        <w:rPr>
          <w:rFonts w:hint="eastAsia" w:asciiTheme="minorEastAsia" w:hAnsiTheme="minorEastAsia"/>
          <w:bCs/>
          <w:color w:val="auto"/>
          <w:szCs w:val="21"/>
          <w:highlight w:val="none"/>
          <w:u w:val="single"/>
        </w:rPr>
        <w:t>09点00分（</w:t>
      </w:r>
      <w:r>
        <w:rPr>
          <w:rFonts w:hint="eastAsia" w:asciiTheme="minorEastAsia" w:hAnsiTheme="minorEastAsia"/>
          <w:bCs/>
          <w:color w:val="auto"/>
          <w:szCs w:val="21"/>
          <w:highlight w:val="none"/>
        </w:rPr>
        <w:t>北京时间）前递交投标文件</w:t>
      </w:r>
      <w:r>
        <w:rPr>
          <w:rFonts w:hint="eastAsia" w:asciiTheme="minorEastAsia" w:hAnsiTheme="minorEastAsia"/>
          <w:color w:val="auto"/>
          <w:szCs w:val="21"/>
          <w:highlight w:val="none"/>
        </w:rPr>
        <w:t>。</w:t>
      </w:r>
    </w:p>
    <w:p w14:paraId="416E61CD">
      <w:pPr>
        <w:widowControl/>
        <w:spacing w:line="380" w:lineRule="exact"/>
        <w:contextualSpacing/>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一、项目基本情况</w:t>
      </w:r>
    </w:p>
    <w:p w14:paraId="0C95650F">
      <w:pPr>
        <w:widowControl/>
        <w:spacing w:line="380" w:lineRule="exact"/>
        <w:ind w:firstLine="420" w:firstLineChars="200"/>
        <w:contextualSpacing/>
        <w:jc w:val="left"/>
        <w:rPr>
          <w:rFonts w:hint="eastAsia" w:asciiTheme="minorEastAsia" w:hAnsiTheme="minorEastAsia" w:eastAsiaTheme="minorEastAsia"/>
          <w:color w:val="auto"/>
          <w:szCs w:val="21"/>
          <w:highlight w:val="none"/>
          <w:u w:val="single"/>
          <w:lang w:eastAsia="zh-CN"/>
        </w:rPr>
      </w:pPr>
      <w:r>
        <w:rPr>
          <w:rFonts w:cs="宋体" w:asciiTheme="minorEastAsia" w:hAnsiTheme="minorEastAsia"/>
          <w:color w:val="auto"/>
          <w:szCs w:val="21"/>
          <w:highlight w:val="none"/>
        </w:rPr>
        <w:t>项目编号：</w:t>
      </w:r>
      <w:r>
        <w:rPr>
          <w:rFonts w:hint="eastAsia" w:asciiTheme="minorEastAsia" w:hAnsiTheme="minorEastAsia"/>
          <w:color w:val="auto"/>
          <w:szCs w:val="21"/>
          <w:highlight w:val="none"/>
          <w:lang w:eastAsia="zh-CN"/>
        </w:rPr>
        <w:t>ZGTZZB2024-0803-1</w:t>
      </w:r>
    </w:p>
    <w:p w14:paraId="3BE2D07F">
      <w:pPr>
        <w:widowControl/>
        <w:spacing w:line="380" w:lineRule="exact"/>
        <w:ind w:firstLine="420" w:firstLineChars="200"/>
        <w:contextualSpacing/>
        <w:jc w:val="left"/>
        <w:rPr>
          <w:rFonts w:hint="eastAsia" w:cs="宋体" w:asciiTheme="minorEastAsia" w:hAnsiTheme="minorEastAsia" w:eastAsiaTheme="minorEastAsia"/>
          <w:color w:val="auto"/>
          <w:szCs w:val="21"/>
          <w:highlight w:val="none"/>
          <w:lang w:eastAsia="zh-CN"/>
        </w:rPr>
      </w:pPr>
      <w:r>
        <w:rPr>
          <w:rFonts w:cs="宋体" w:asciiTheme="minorEastAsia" w:hAnsiTheme="minorEastAsia"/>
          <w:color w:val="auto"/>
          <w:szCs w:val="21"/>
          <w:highlight w:val="none"/>
        </w:rPr>
        <w:t>项目名称：</w:t>
      </w:r>
      <w:r>
        <w:rPr>
          <w:rFonts w:hint="eastAsia" w:cs="宋体" w:asciiTheme="minorEastAsia" w:hAnsiTheme="minorEastAsia"/>
          <w:color w:val="auto"/>
          <w:szCs w:val="21"/>
          <w:highlight w:val="none"/>
          <w:lang w:eastAsia="zh-CN"/>
        </w:rPr>
        <w:t>台州市公安局交通警察局2025-2027涉案车辆（交通违法、交通事故）拖移服务（重新招标）</w:t>
      </w:r>
    </w:p>
    <w:p w14:paraId="138A4146">
      <w:pPr>
        <w:widowControl/>
        <w:spacing w:line="380" w:lineRule="exact"/>
        <w:ind w:firstLine="420" w:firstLineChars="200"/>
        <w:contextualSpacing/>
        <w:jc w:val="left"/>
        <w:rPr>
          <w:rFonts w:hint="default" w:cs="宋体" w:asciiTheme="minorEastAsia" w:hAnsiTheme="minorEastAsia" w:eastAsiaTheme="minorEastAsia"/>
          <w:color w:val="auto"/>
          <w:szCs w:val="21"/>
          <w:highlight w:val="none"/>
          <w:lang w:val="en-US" w:eastAsia="zh-CN"/>
        </w:rPr>
      </w:pPr>
      <w:r>
        <w:rPr>
          <w:rFonts w:cs="宋体" w:asciiTheme="minorEastAsia" w:hAnsiTheme="minorEastAsia"/>
          <w:color w:val="auto"/>
          <w:szCs w:val="21"/>
          <w:highlight w:val="none"/>
        </w:rPr>
        <w:t>预算金额</w:t>
      </w:r>
      <w:r>
        <w:rPr>
          <w:rFonts w:hint="eastAsia" w:cs="宋体" w:asciiTheme="minorEastAsia" w:hAnsiTheme="minorEastAsia"/>
          <w:color w:val="auto"/>
          <w:szCs w:val="21"/>
          <w:highlight w:val="none"/>
        </w:rPr>
        <w:t>（元）</w:t>
      </w:r>
      <w:r>
        <w:rPr>
          <w:rFonts w:cs="宋体" w:asciiTheme="minorEastAsia" w:hAnsiTheme="minorEastAsia"/>
          <w:color w:val="auto"/>
          <w:szCs w:val="21"/>
          <w:highlight w:val="none"/>
        </w:rPr>
        <w:t>：</w:t>
      </w:r>
      <w:r>
        <w:rPr>
          <w:rFonts w:hint="eastAsia" w:cs="宋体" w:asciiTheme="minorEastAsia" w:hAnsiTheme="minorEastAsia"/>
          <w:color w:val="auto"/>
          <w:szCs w:val="21"/>
          <w:highlight w:val="none"/>
          <w:lang w:val="en-US" w:eastAsia="zh-CN"/>
        </w:rPr>
        <w:t>840万</w:t>
      </w:r>
      <w:r>
        <w:rPr>
          <w:rFonts w:hint="eastAsia" w:ascii="宋体" w:hAnsi="宋体" w:cs="宋体"/>
          <w:color w:val="auto"/>
          <w:szCs w:val="21"/>
          <w:highlight w:val="none"/>
        </w:rPr>
        <w:t>（280万元/年</w:t>
      </w:r>
      <w:r>
        <w:rPr>
          <w:rFonts w:hint="eastAsia" w:cs="宋体" w:asciiTheme="minorEastAsia" w:hAnsiTheme="minorEastAsia"/>
          <w:color w:val="auto"/>
          <w:szCs w:val="21"/>
          <w:highlight w:val="none"/>
          <w:lang w:val="en-US" w:eastAsia="zh-CN"/>
        </w:rPr>
        <w:t>）</w:t>
      </w:r>
    </w:p>
    <w:p w14:paraId="10BB3061">
      <w:pPr>
        <w:widowControl/>
        <w:spacing w:line="380" w:lineRule="exact"/>
        <w:ind w:firstLine="420" w:firstLineChars="200"/>
        <w:contextualSpacing/>
        <w:jc w:val="left"/>
        <w:rPr>
          <w:rFonts w:hint="default" w:cs="宋体" w:asciiTheme="minorEastAsia" w:hAnsiTheme="minorEastAsia"/>
          <w:color w:val="auto"/>
          <w:szCs w:val="21"/>
          <w:highlight w:val="none"/>
          <w:lang w:val="en-US"/>
        </w:rPr>
      </w:pPr>
      <w:r>
        <w:rPr>
          <w:rFonts w:cs="宋体" w:asciiTheme="minorEastAsia" w:hAnsiTheme="minorEastAsia"/>
          <w:color w:val="auto"/>
          <w:szCs w:val="21"/>
          <w:highlight w:val="none"/>
        </w:rPr>
        <w:t>最高限价</w:t>
      </w:r>
      <w:r>
        <w:rPr>
          <w:rFonts w:hint="eastAsia" w:cs="宋体" w:asciiTheme="minorEastAsia" w:hAnsiTheme="minorEastAsia"/>
          <w:color w:val="auto"/>
          <w:szCs w:val="21"/>
          <w:highlight w:val="none"/>
        </w:rPr>
        <w:t>（元）</w:t>
      </w:r>
      <w:r>
        <w:rPr>
          <w:rFonts w:cs="宋体" w:asciiTheme="minorEastAsia" w:hAnsiTheme="minorEastAsia"/>
          <w:color w:val="auto"/>
          <w:szCs w:val="21"/>
          <w:highlight w:val="none"/>
        </w:rPr>
        <w:t>：</w:t>
      </w:r>
      <w:r>
        <w:rPr>
          <w:rFonts w:hint="eastAsia" w:cs="宋体" w:asciiTheme="minorEastAsia" w:hAnsiTheme="minorEastAsia"/>
          <w:color w:val="auto"/>
          <w:szCs w:val="21"/>
          <w:highlight w:val="none"/>
          <w:lang w:val="en-US" w:eastAsia="zh-CN"/>
        </w:rPr>
        <w:t>840万</w:t>
      </w:r>
      <w:r>
        <w:rPr>
          <w:rFonts w:hint="eastAsia" w:ascii="宋体" w:hAnsi="宋体" w:cs="宋体"/>
          <w:color w:val="auto"/>
          <w:szCs w:val="21"/>
          <w:highlight w:val="none"/>
        </w:rPr>
        <w:t>（280万元/年）</w:t>
      </w:r>
    </w:p>
    <w:p w14:paraId="5B755A56">
      <w:pPr>
        <w:widowControl/>
        <w:spacing w:line="380" w:lineRule="exact"/>
        <w:ind w:firstLine="420" w:firstLineChars="200"/>
        <w:contextualSpacing/>
        <w:jc w:val="left"/>
        <w:rPr>
          <w:rFonts w:cs="宋体" w:asciiTheme="minorEastAsia" w:hAnsiTheme="minorEastAsia"/>
          <w:color w:val="auto"/>
          <w:szCs w:val="21"/>
          <w:highlight w:val="none"/>
        </w:rPr>
      </w:pPr>
      <w:r>
        <w:rPr>
          <w:rFonts w:cs="宋体" w:asciiTheme="minorEastAsia" w:hAnsiTheme="minorEastAsia"/>
          <w:color w:val="auto"/>
          <w:szCs w:val="21"/>
          <w:highlight w:val="none"/>
        </w:rPr>
        <w:t>采购需求：</w:t>
      </w:r>
      <w:r>
        <w:rPr>
          <w:rFonts w:hint="eastAsia" w:cs="宋体" w:asciiTheme="minorEastAsia" w:hAnsiTheme="minorEastAsia"/>
          <w:color w:val="auto"/>
          <w:szCs w:val="21"/>
          <w:highlight w:val="none"/>
        </w:rPr>
        <w:t>详见采购文件第五部分</w:t>
      </w:r>
    </w:p>
    <w:p w14:paraId="3F6ED559">
      <w:pPr>
        <w:pStyle w:val="19"/>
        <w:spacing w:before="0" w:beforeAutospacing="0" w:after="0" w:afterAutospacing="0" w:line="380" w:lineRule="exact"/>
        <w:ind w:firstLine="420" w:firstLineChars="200"/>
        <w:contextualSpacing/>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标项一：</w:t>
      </w:r>
    </w:p>
    <w:p w14:paraId="720716E7">
      <w:pPr>
        <w:pStyle w:val="19"/>
        <w:spacing w:before="0" w:beforeAutospacing="0" w:after="0" w:afterAutospacing="0" w:line="380" w:lineRule="exact"/>
        <w:ind w:firstLine="420" w:firstLineChars="200"/>
        <w:contextualSpacing/>
        <w:rPr>
          <w:rFonts w:hint="eastAsia" w:asciiTheme="minorEastAsia" w:hAnsiTheme="minorEastAsia" w:eastAsiaTheme="minorEastAsia"/>
          <w:color w:val="auto"/>
          <w:kern w:val="2"/>
          <w:sz w:val="21"/>
          <w:szCs w:val="21"/>
          <w:highlight w:val="none"/>
          <w:lang w:eastAsia="zh-CN"/>
        </w:rPr>
      </w:pPr>
      <w:r>
        <w:rPr>
          <w:rFonts w:hint="eastAsia" w:asciiTheme="minorEastAsia" w:hAnsiTheme="minorEastAsia" w:eastAsiaTheme="minorEastAsia"/>
          <w:color w:val="auto"/>
          <w:kern w:val="2"/>
          <w:sz w:val="21"/>
          <w:szCs w:val="21"/>
          <w:highlight w:val="none"/>
        </w:rPr>
        <w:t>标项名称：</w:t>
      </w:r>
      <w:r>
        <w:rPr>
          <w:rFonts w:hint="eastAsia" w:asciiTheme="minorEastAsia" w:hAnsiTheme="minorEastAsia" w:eastAsiaTheme="minorEastAsia"/>
          <w:color w:val="auto"/>
          <w:kern w:val="2"/>
          <w:sz w:val="21"/>
          <w:szCs w:val="21"/>
          <w:highlight w:val="none"/>
          <w:lang w:eastAsia="zh-CN"/>
        </w:rPr>
        <w:t>台州市公安局交通警察局2025-2027涉案车辆（交通违法、交通事故）拖移服务（重新招标）</w:t>
      </w:r>
    </w:p>
    <w:p w14:paraId="60EC0975">
      <w:pPr>
        <w:pStyle w:val="19"/>
        <w:spacing w:before="0" w:beforeAutospacing="0" w:after="0" w:afterAutospacing="0" w:line="380" w:lineRule="exact"/>
        <w:ind w:firstLine="420" w:firstLineChars="200"/>
        <w:contextualSpacing/>
        <w:rPr>
          <w:rFonts w:hint="eastAsia" w:asciiTheme="minorEastAsia" w:hAnsiTheme="minorEastAsia" w:eastAsiaTheme="minorEastAsia"/>
          <w:color w:val="auto"/>
          <w:kern w:val="2"/>
          <w:sz w:val="21"/>
          <w:szCs w:val="21"/>
          <w:highlight w:val="none"/>
          <w:lang w:val="en-US" w:eastAsia="zh-CN"/>
        </w:rPr>
      </w:pPr>
      <w:r>
        <w:rPr>
          <w:rFonts w:hint="eastAsia" w:asciiTheme="minorEastAsia" w:hAnsiTheme="minorEastAsia" w:eastAsiaTheme="minorEastAsia"/>
          <w:color w:val="auto"/>
          <w:kern w:val="2"/>
          <w:sz w:val="21"/>
          <w:szCs w:val="21"/>
          <w:highlight w:val="none"/>
        </w:rPr>
        <w:t>数量：</w:t>
      </w:r>
      <w:r>
        <w:rPr>
          <w:rFonts w:hint="eastAsia" w:asciiTheme="minorEastAsia" w:hAnsiTheme="minorEastAsia" w:eastAsiaTheme="minorEastAsia"/>
          <w:color w:val="auto"/>
          <w:kern w:val="2"/>
          <w:sz w:val="21"/>
          <w:szCs w:val="21"/>
          <w:highlight w:val="none"/>
          <w:lang w:val="en-US" w:eastAsia="zh-CN"/>
        </w:rPr>
        <w:t>3年</w:t>
      </w:r>
    </w:p>
    <w:p w14:paraId="128981EF">
      <w:pPr>
        <w:widowControl/>
        <w:spacing w:line="380" w:lineRule="exact"/>
        <w:ind w:firstLine="420" w:firstLineChars="200"/>
        <w:contextualSpacing/>
        <w:jc w:val="left"/>
        <w:rPr>
          <w:rFonts w:cs="宋体" w:asciiTheme="minorEastAsia" w:hAnsiTheme="minorEastAsia"/>
          <w:color w:val="auto"/>
          <w:szCs w:val="21"/>
          <w:highlight w:val="none"/>
        </w:rPr>
      </w:pPr>
      <w:r>
        <w:rPr>
          <w:rFonts w:cs="宋体" w:asciiTheme="minorEastAsia" w:hAnsiTheme="minorEastAsia"/>
          <w:color w:val="auto"/>
          <w:szCs w:val="21"/>
          <w:highlight w:val="none"/>
        </w:rPr>
        <w:t>最高限价</w:t>
      </w:r>
      <w:r>
        <w:rPr>
          <w:rFonts w:hint="eastAsia" w:cs="宋体" w:asciiTheme="minorEastAsia" w:hAnsiTheme="minorEastAsia"/>
          <w:color w:val="auto"/>
          <w:szCs w:val="21"/>
          <w:highlight w:val="none"/>
        </w:rPr>
        <w:t>（元）</w:t>
      </w:r>
      <w:r>
        <w:rPr>
          <w:rFonts w:cs="宋体" w:asciiTheme="minorEastAsia" w:hAnsiTheme="minorEastAsia"/>
          <w:color w:val="auto"/>
          <w:szCs w:val="21"/>
          <w:highlight w:val="none"/>
        </w:rPr>
        <w:t>：</w:t>
      </w:r>
      <w:r>
        <w:rPr>
          <w:rFonts w:hint="eastAsia" w:cs="宋体" w:asciiTheme="minorEastAsia" w:hAnsiTheme="minorEastAsia"/>
          <w:color w:val="auto"/>
          <w:szCs w:val="21"/>
          <w:highlight w:val="none"/>
          <w:lang w:val="en-US" w:eastAsia="zh-CN"/>
        </w:rPr>
        <w:t>840万</w:t>
      </w:r>
      <w:r>
        <w:rPr>
          <w:rFonts w:hint="eastAsia" w:ascii="宋体" w:hAnsi="宋体" w:cs="宋体"/>
          <w:color w:val="auto"/>
          <w:szCs w:val="21"/>
          <w:highlight w:val="none"/>
        </w:rPr>
        <w:t>（280万元/年）</w:t>
      </w:r>
    </w:p>
    <w:p w14:paraId="700C0C34">
      <w:pPr>
        <w:pStyle w:val="19"/>
        <w:spacing w:before="0" w:beforeAutospacing="0" w:after="0" w:afterAutospacing="0" w:line="380" w:lineRule="exact"/>
        <w:ind w:firstLine="420" w:firstLineChars="200"/>
        <w:contextualSpacing/>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简要规格描述或项目基本概况介绍、用途：具体内容详见采购文件第五部分“采购内容及要求”。</w:t>
      </w:r>
    </w:p>
    <w:p w14:paraId="77B483C0">
      <w:pPr>
        <w:pStyle w:val="19"/>
        <w:spacing w:before="0" w:beforeAutospacing="0" w:after="0" w:afterAutospacing="0" w:line="380" w:lineRule="exact"/>
        <w:ind w:firstLine="420" w:firstLineChars="200"/>
        <w:contextualSpacing/>
        <w:rPr>
          <w:rFonts w:hint="eastAsia" w:asciiTheme="minorEastAsia" w:hAnsiTheme="minorEastAsia" w:eastAsiaTheme="minorEastAsia"/>
          <w:color w:val="auto"/>
          <w:kern w:val="2"/>
          <w:sz w:val="21"/>
          <w:szCs w:val="21"/>
          <w:highlight w:val="none"/>
          <w:lang w:eastAsia="zh-CN"/>
        </w:rPr>
      </w:pPr>
      <w:r>
        <w:rPr>
          <w:rFonts w:hint="eastAsia" w:asciiTheme="minorEastAsia" w:hAnsiTheme="minorEastAsia" w:eastAsiaTheme="minorEastAsia"/>
          <w:color w:val="auto"/>
          <w:kern w:val="2"/>
          <w:sz w:val="21"/>
          <w:szCs w:val="21"/>
          <w:highlight w:val="none"/>
        </w:rPr>
        <w:t>服务期</w:t>
      </w:r>
      <w:r>
        <w:rPr>
          <w:rFonts w:asciiTheme="minorEastAsia" w:hAnsiTheme="minorEastAsia" w:eastAsiaTheme="minorEastAsia"/>
          <w:color w:val="auto"/>
          <w:kern w:val="2"/>
          <w:sz w:val="21"/>
          <w:szCs w:val="21"/>
          <w:highlight w:val="none"/>
        </w:rPr>
        <w:t>：</w:t>
      </w:r>
      <w:r>
        <w:rPr>
          <w:rFonts w:hint="eastAsia" w:asciiTheme="minorEastAsia" w:hAnsiTheme="minorEastAsia" w:eastAsiaTheme="minorEastAsia"/>
          <w:color w:val="auto"/>
          <w:kern w:val="2"/>
          <w:sz w:val="21"/>
          <w:szCs w:val="21"/>
          <w:highlight w:val="none"/>
          <w:lang w:eastAsia="zh-CN"/>
        </w:rPr>
        <w:t>自合同生效之日起三年（合同一年一签）</w:t>
      </w:r>
    </w:p>
    <w:p w14:paraId="25579AB3">
      <w:pPr>
        <w:pStyle w:val="19"/>
        <w:spacing w:before="0" w:beforeAutospacing="0" w:after="0" w:afterAutospacing="0" w:line="380" w:lineRule="exact"/>
        <w:ind w:firstLine="420" w:firstLineChars="200"/>
        <w:contextualSpacing/>
        <w:rPr>
          <w:rFonts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本项目（</w:t>
      </w:r>
      <w:r>
        <w:rPr>
          <w:rFonts w:hint="eastAsia" w:asciiTheme="minorEastAsia" w:hAnsiTheme="minorEastAsia" w:eastAsiaTheme="minorEastAsia"/>
          <w:color w:val="auto"/>
          <w:kern w:val="2"/>
          <w:sz w:val="21"/>
          <w:szCs w:val="21"/>
          <w:highlight w:val="none"/>
        </w:rPr>
        <w:t>否</w:t>
      </w:r>
      <w:r>
        <w:rPr>
          <w:rFonts w:asciiTheme="minorEastAsia" w:hAnsiTheme="minorEastAsia" w:eastAsiaTheme="minorEastAsia"/>
          <w:color w:val="auto"/>
          <w:kern w:val="2"/>
          <w:sz w:val="21"/>
          <w:szCs w:val="21"/>
          <w:highlight w:val="none"/>
        </w:rPr>
        <w:t>）接受联合体投标。</w:t>
      </w:r>
    </w:p>
    <w:p w14:paraId="0C9A5087">
      <w:pPr>
        <w:widowControl/>
        <w:spacing w:line="380" w:lineRule="exact"/>
        <w:ind w:firstLine="420" w:firstLineChars="200"/>
        <w:contextualSpacing/>
        <w:jc w:val="left"/>
        <w:rPr>
          <w:rFonts w:cs="宋体" w:asciiTheme="minorEastAsia" w:hAnsiTheme="minorEastAsia"/>
          <w:color w:val="auto"/>
          <w:szCs w:val="21"/>
          <w:highlight w:val="none"/>
        </w:rPr>
      </w:pPr>
      <w:r>
        <w:rPr>
          <w:rFonts w:cs="宋体" w:asciiTheme="minorEastAsia" w:hAnsiTheme="minorEastAsia"/>
          <w:color w:val="auto"/>
          <w:szCs w:val="21"/>
          <w:highlight w:val="none"/>
        </w:rPr>
        <w:t>本项目（</w:t>
      </w:r>
      <w:r>
        <w:rPr>
          <w:rFonts w:hint="eastAsia" w:asciiTheme="minorEastAsia" w:hAnsiTheme="minorEastAsia"/>
          <w:color w:val="auto"/>
          <w:szCs w:val="21"/>
          <w:highlight w:val="none"/>
        </w:rPr>
        <w:t>否</w:t>
      </w:r>
      <w:r>
        <w:rPr>
          <w:rFonts w:cs="宋体" w:asciiTheme="minorEastAsia" w:hAnsiTheme="minorEastAsia"/>
          <w:color w:val="auto"/>
          <w:szCs w:val="21"/>
          <w:highlight w:val="none"/>
        </w:rPr>
        <w:t>）接受</w:t>
      </w:r>
      <w:r>
        <w:rPr>
          <w:rFonts w:hint="eastAsia" w:cs="宋体" w:asciiTheme="minorEastAsia" w:hAnsiTheme="minorEastAsia"/>
          <w:color w:val="auto"/>
          <w:szCs w:val="21"/>
          <w:highlight w:val="none"/>
        </w:rPr>
        <w:t>分包。</w:t>
      </w:r>
    </w:p>
    <w:p w14:paraId="4D4BD3CF">
      <w:pPr>
        <w:widowControl/>
        <w:spacing w:line="380" w:lineRule="exact"/>
        <w:contextualSpacing/>
        <w:jc w:val="left"/>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二、申请人的资格要求</w:t>
      </w:r>
    </w:p>
    <w:p w14:paraId="7DA57DA6">
      <w:pPr>
        <w:keepNext w:val="0"/>
        <w:keepLines w:val="0"/>
        <w:pageBreakBefore w:val="0"/>
        <w:widowControl/>
        <w:kinsoku/>
        <w:wordWrap/>
        <w:overflowPunct/>
        <w:topLinePunct w:val="0"/>
        <w:autoSpaceDE/>
        <w:autoSpaceDN/>
        <w:bidi w:val="0"/>
        <w:adjustRightInd/>
        <w:snapToGrid/>
        <w:spacing w:line="380" w:lineRule="exact"/>
        <w:ind w:firstLine="420" w:firstLineChars="200"/>
        <w:contextualSpacing/>
        <w:textAlignment w:val="auto"/>
        <w:rPr>
          <w:rFonts w:cs="宋体" w:asciiTheme="minorEastAsia" w:hAnsiTheme="minorEastAsia"/>
          <w:color w:val="auto"/>
          <w:szCs w:val="21"/>
          <w:highlight w:val="none"/>
        </w:rPr>
      </w:pPr>
      <w:r>
        <w:rPr>
          <w:rFonts w:cs="宋体" w:asciiTheme="minorEastAsia" w:hAnsiTheme="minorEastAsia"/>
          <w:color w:val="auto"/>
          <w:szCs w:val="21"/>
          <w:highlight w:val="none"/>
        </w:rPr>
        <w:t>1</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满足《中华人民共和国政府采购法》第二十二条规定；未被“信用中国”（www.creditchina.gov.cn)、中国政府采购网（www.ccgp.gov.cn）列入失信被执行人、重大税收违法</w:t>
      </w:r>
      <w:r>
        <w:rPr>
          <w:rFonts w:hint="eastAsia" w:cs="宋体" w:asciiTheme="minorEastAsia" w:hAnsiTheme="minorEastAsia"/>
          <w:color w:val="auto"/>
          <w:szCs w:val="21"/>
          <w:highlight w:val="none"/>
        </w:rPr>
        <w:t>失信主体</w:t>
      </w:r>
      <w:r>
        <w:rPr>
          <w:rFonts w:cs="宋体" w:asciiTheme="minorEastAsia" w:hAnsiTheme="minorEastAsia"/>
          <w:color w:val="auto"/>
          <w:szCs w:val="21"/>
          <w:highlight w:val="none"/>
        </w:rPr>
        <w:t>、政府采购严重违法失信行为记录名单。</w:t>
      </w:r>
    </w:p>
    <w:p w14:paraId="72E55707">
      <w:pPr>
        <w:widowControl/>
        <w:spacing w:line="380" w:lineRule="exact"/>
        <w:ind w:firstLine="420" w:firstLineChars="200"/>
        <w:contextualSpacing/>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2、落实政府采购政策需满足的资格要求：</w:t>
      </w:r>
      <w:r>
        <w:rPr>
          <w:rFonts w:hint="eastAsia" w:cs="宋体" w:asciiTheme="minorEastAsia" w:hAnsiTheme="minorEastAsia"/>
          <w:b/>
          <w:bCs/>
          <w:color w:val="auto"/>
          <w:szCs w:val="21"/>
          <w:highlight w:val="none"/>
        </w:rPr>
        <w:t>服务全部由符合政策要求的中小微型企业承接，提供中小企业声明函（残疾人福利性企业、监狱企业视同小微企业）。</w:t>
      </w:r>
    </w:p>
    <w:p w14:paraId="7AFE0111">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3、</w:t>
      </w:r>
      <w:r>
        <w:rPr>
          <w:rFonts w:cs="宋体" w:asciiTheme="minorEastAsia" w:hAnsiTheme="minorEastAsia"/>
          <w:color w:val="auto"/>
          <w:szCs w:val="21"/>
          <w:highlight w:val="none"/>
        </w:rPr>
        <w:t>本项目的特定资格要求：</w:t>
      </w:r>
      <w:r>
        <w:rPr>
          <w:rFonts w:hint="eastAsia" w:cs="宋体" w:asciiTheme="minorEastAsia" w:hAnsiTheme="minorEastAsia"/>
          <w:color w:val="auto"/>
          <w:szCs w:val="21"/>
          <w:highlight w:val="none"/>
        </w:rPr>
        <w:t>无</w:t>
      </w:r>
      <w:r>
        <w:rPr>
          <w:rFonts w:cs="宋体" w:asciiTheme="minorEastAsia" w:hAnsiTheme="minorEastAsia"/>
          <w:color w:val="auto"/>
          <w:szCs w:val="21"/>
          <w:highlight w:val="none"/>
        </w:rPr>
        <w:t>。</w:t>
      </w:r>
    </w:p>
    <w:p w14:paraId="200FDB25">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4、</w:t>
      </w:r>
      <w:r>
        <w:rPr>
          <w:rFonts w:cs="宋体" w:asciiTheme="minorEastAsia" w:hAnsiTheme="minorEastAsia"/>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2A9C21">
      <w:pPr>
        <w:widowControl/>
        <w:spacing w:line="380" w:lineRule="exact"/>
        <w:contextualSpacing/>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三、获取采购文件</w:t>
      </w:r>
    </w:p>
    <w:p w14:paraId="3B7D4381">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时间：</w:t>
      </w:r>
      <w:r>
        <w:rPr>
          <w:rFonts w:cs="宋体" w:asciiTheme="minorEastAsia" w:hAnsiTheme="minorEastAsia"/>
          <w:color w:val="auto"/>
          <w:szCs w:val="21"/>
          <w:highlight w:val="none"/>
        </w:rPr>
        <w:t>/至202</w:t>
      </w:r>
      <w:r>
        <w:rPr>
          <w:rFonts w:hint="eastAsia" w:cs="宋体" w:asciiTheme="minorEastAsia" w:hAnsiTheme="minorEastAsia"/>
          <w:color w:val="auto"/>
          <w:szCs w:val="21"/>
          <w:highlight w:val="none"/>
        </w:rPr>
        <w:t>4</w:t>
      </w:r>
      <w:r>
        <w:rPr>
          <w:rFonts w:cs="宋体" w:asciiTheme="minorEastAsia" w:hAnsiTheme="minorEastAsia"/>
          <w:color w:val="auto"/>
          <w:szCs w:val="21"/>
          <w:highlight w:val="none"/>
        </w:rPr>
        <w:t>年</w:t>
      </w:r>
      <w:r>
        <w:rPr>
          <w:rFonts w:hint="eastAsia" w:cs="宋体" w:asciiTheme="minorEastAsia" w:hAnsiTheme="minorEastAsia"/>
          <w:color w:val="auto"/>
          <w:szCs w:val="21"/>
          <w:highlight w:val="none"/>
        </w:rPr>
        <w:t>11月</w:t>
      </w:r>
      <w:r>
        <w:rPr>
          <w:rFonts w:hint="eastAsia" w:cs="宋体" w:asciiTheme="minorEastAsia" w:hAnsiTheme="minorEastAsia"/>
          <w:color w:val="auto"/>
          <w:szCs w:val="21"/>
          <w:highlight w:val="none"/>
          <w:lang w:val="en-US" w:eastAsia="zh-CN"/>
        </w:rPr>
        <w:t>22</w:t>
      </w:r>
      <w:r>
        <w:rPr>
          <w:rFonts w:hint="eastAsia" w:cs="宋体" w:asciiTheme="minorEastAsia" w:hAnsiTheme="minorEastAsia"/>
          <w:color w:val="auto"/>
          <w:szCs w:val="21"/>
          <w:highlight w:val="none"/>
        </w:rPr>
        <w:t>日</w:t>
      </w:r>
      <w:r>
        <w:rPr>
          <w:rFonts w:cs="宋体" w:asciiTheme="minorEastAsia" w:hAnsiTheme="minorEastAsia"/>
          <w:color w:val="auto"/>
          <w:szCs w:val="21"/>
          <w:highlight w:val="none"/>
        </w:rPr>
        <w:t>，每天上午00:00至12:00 ，下午12:00至23:59（北京时间，线上获取法定节假日均可，线下获取文件法定节假日除外）</w:t>
      </w:r>
    </w:p>
    <w:p w14:paraId="20958521">
      <w:pPr>
        <w:widowControl/>
        <w:spacing w:line="380" w:lineRule="exact"/>
        <w:ind w:firstLine="420" w:firstLineChars="200"/>
        <w:contextualSpacing/>
        <w:rPr>
          <w:rFonts w:cs="宋体" w:asciiTheme="minorEastAsia" w:hAnsiTheme="minorEastAsia"/>
          <w:color w:val="auto"/>
          <w:szCs w:val="21"/>
          <w:highlight w:val="none"/>
        </w:rPr>
      </w:pPr>
      <w:r>
        <w:rPr>
          <w:rFonts w:cs="宋体" w:asciiTheme="minorEastAsia" w:hAnsiTheme="minorEastAsia"/>
          <w:color w:val="auto"/>
          <w:szCs w:val="21"/>
          <w:highlight w:val="none"/>
        </w:rPr>
        <w:t>地点（网址）：</w:t>
      </w:r>
      <w:r>
        <w:rPr>
          <w:rFonts w:hint="eastAsia" w:cs="宋体" w:asciiTheme="minorEastAsia" w:hAnsiTheme="minorEastAsia"/>
          <w:color w:val="auto"/>
          <w:szCs w:val="21"/>
          <w:highlight w:val="none"/>
        </w:rPr>
        <w:t>政采云平台（</w:t>
      </w:r>
      <w:r>
        <w:rPr>
          <w:rFonts w:cs="宋体" w:asciiTheme="minorEastAsia" w:hAnsiTheme="minorEastAsia"/>
          <w:color w:val="auto"/>
          <w:szCs w:val="21"/>
          <w:highlight w:val="none"/>
        </w:rPr>
        <w:t>https://www.zcygov.cn/）</w:t>
      </w:r>
    </w:p>
    <w:p w14:paraId="78246193">
      <w:pPr>
        <w:widowControl/>
        <w:spacing w:line="380" w:lineRule="exact"/>
        <w:ind w:firstLine="420" w:firstLineChars="200"/>
        <w:contextualSpacing/>
        <w:rPr>
          <w:rFonts w:cs="宋体" w:asciiTheme="minorEastAsia" w:hAnsiTheme="minorEastAsia"/>
          <w:color w:val="auto"/>
          <w:szCs w:val="21"/>
          <w:highlight w:val="none"/>
        </w:rPr>
      </w:pPr>
      <w:r>
        <w:rPr>
          <w:rFonts w:cs="宋体" w:asciiTheme="minorEastAsia" w:hAnsiTheme="minorEastAsia"/>
          <w:color w:val="auto"/>
          <w:szCs w:val="21"/>
          <w:highlight w:val="none"/>
        </w:rPr>
        <w:t>方式：</w:t>
      </w:r>
      <w:r>
        <w:rPr>
          <w:rFonts w:hint="eastAsia" w:cs="宋体" w:asciiTheme="minorEastAsia" w:hAnsiTheme="minorEastAsia"/>
          <w:color w:val="auto"/>
          <w:szCs w:val="21"/>
          <w:highlight w:val="none"/>
        </w:rPr>
        <w:t>本项目采购文件实行“政府采购云平台”在线获取，不提供采购文件纸质版。供应商获取采购文件前应先完成“政府采购云平台”的账号注册；</w:t>
      </w:r>
    </w:p>
    <w:p w14:paraId="04E25148">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潜在供应商登陆政采云平台，在线申请获取采购文件（进入“项目采购”应用，在获取采购文件菜单中选择项目，申请获取采购文件；仅需浏览采购文件的供应商可点击“游客，浏览采购文件”直接下载采购文件浏览）；</w:t>
      </w:r>
    </w:p>
    <w:p w14:paraId="300A5C79">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FDB8831">
      <w:pPr>
        <w:widowControl/>
        <w:spacing w:line="380" w:lineRule="exact"/>
        <w:ind w:firstLine="517" w:firstLineChars="245"/>
        <w:contextualSpacing/>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注：请供应商按上述要求获取采购文件，未依法获取采购文件的供应商不得对本项目提起质疑、投诉，不得参加本项目的投标活动；如未在“政采云”系统内完成相关流程，引起的投标无效责任自负。</w:t>
      </w:r>
    </w:p>
    <w:p w14:paraId="331D9AD8">
      <w:pPr>
        <w:widowControl/>
        <w:spacing w:line="380" w:lineRule="exact"/>
        <w:ind w:firstLine="420" w:firstLineChars="200"/>
        <w:contextualSpacing/>
        <w:rPr>
          <w:rFonts w:cs="宋体" w:asciiTheme="minorEastAsia" w:hAnsiTheme="minorEastAsia"/>
          <w:color w:val="auto"/>
          <w:szCs w:val="21"/>
          <w:highlight w:val="none"/>
        </w:rPr>
      </w:pPr>
      <w:r>
        <w:rPr>
          <w:rFonts w:cs="宋体" w:asciiTheme="minorEastAsia" w:hAnsiTheme="minorEastAsia"/>
          <w:color w:val="auto"/>
          <w:szCs w:val="21"/>
          <w:highlight w:val="none"/>
        </w:rPr>
        <w:t>售价（元）：0</w:t>
      </w:r>
    </w:p>
    <w:p w14:paraId="454C9FCC">
      <w:pPr>
        <w:widowControl/>
        <w:spacing w:line="380" w:lineRule="exact"/>
        <w:contextualSpacing/>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四、提交投标文件截止时间、开标时间和地点</w:t>
      </w:r>
    </w:p>
    <w:p w14:paraId="328D35FE">
      <w:pPr>
        <w:widowControl/>
        <w:spacing w:line="380" w:lineRule="exact"/>
        <w:ind w:firstLine="422" w:firstLineChars="200"/>
        <w:contextualSpacing/>
        <w:rPr>
          <w:rFonts w:cs="宋体" w:asciiTheme="minorEastAsia" w:hAnsiTheme="minorEastAsia"/>
          <w:color w:val="auto"/>
          <w:szCs w:val="21"/>
          <w:highlight w:val="none"/>
        </w:rPr>
      </w:pPr>
      <w:r>
        <w:rPr>
          <w:rFonts w:hint="eastAsia" w:cs="宋体" w:asciiTheme="minorEastAsia" w:hAnsiTheme="minorEastAsia"/>
          <w:b/>
          <w:color w:val="auto"/>
          <w:szCs w:val="21"/>
          <w:highlight w:val="none"/>
        </w:rPr>
        <w:t>提交投标文件截止时间：</w:t>
      </w:r>
      <w:r>
        <w:rPr>
          <w:rFonts w:hint="eastAsia" w:cs="宋体" w:asciiTheme="minorEastAsia" w:hAnsiTheme="minorEastAsia"/>
          <w:color w:val="auto"/>
          <w:szCs w:val="21"/>
          <w:highlight w:val="none"/>
        </w:rPr>
        <w:t>2024</w:t>
      </w:r>
      <w:r>
        <w:rPr>
          <w:rFonts w:cs="宋体" w:asciiTheme="minorEastAsia" w:hAnsiTheme="minorEastAsia"/>
          <w:color w:val="auto"/>
          <w:szCs w:val="21"/>
          <w:highlight w:val="none"/>
        </w:rPr>
        <w:t>年</w:t>
      </w:r>
      <w:r>
        <w:rPr>
          <w:rFonts w:hint="eastAsia" w:cs="宋体" w:asciiTheme="minorEastAsia" w:hAnsiTheme="minorEastAsia"/>
          <w:color w:val="auto"/>
          <w:szCs w:val="21"/>
          <w:highlight w:val="none"/>
        </w:rPr>
        <w:t>11月</w:t>
      </w:r>
      <w:r>
        <w:rPr>
          <w:rFonts w:hint="eastAsia" w:cs="宋体" w:asciiTheme="minorEastAsia" w:hAnsiTheme="minorEastAsia"/>
          <w:color w:val="auto"/>
          <w:szCs w:val="21"/>
          <w:highlight w:val="none"/>
          <w:lang w:val="en-US" w:eastAsia="zh-CN"/>
        </w:rPr>
        <w:t>22</w:t>
      </w:r>
      <w:r>
        <w:rPr>
          <w:rFonts w:hint="eastAsia" w:cs="宋体" w:asciiTheme="minorEastAsia" w:hAnsiTheme="minorEastAsia"/>
          <w:color w:val="auto"/>
          <w:szCs w:val="21"/>
          <w:highlight w:val="none"/>
        </w:rPr>
        <w:t>日</w:t>
      </w:r>
      <w:r>
        <w:rPr>
          <w:rFonts w:cs="宋体" w:asciiTheme="minorEastAsia" w:hAnsiTheme="minorEastAsia"/>
          <w:color w:val="auto"/>
          <w:szCs w:val="21"/>
          <w:highlight w:val="none"/>
        </w:rPr>
        <w:t xml:space="preserve"> 09:00:00（北京时间）</w:t>
      </w:r>
    </w:p>
    <w:p w14:paraId="05A8E894">
      <w:pPr>
        <w:widowControl/>
        <w:spacing w:line="380" w:lineRule="exact"/>
        <w:ind w:firstLine="422" w:firstLineChars="200"/>
        <w:contextualSpacing/>
        <w:rPr>
          <w:rFonts w:cs="宋体" w:asciiTheme="minorEastAsia" w:hAnsiTheme="minorEastAsia"/>
          <w:color w:val="auto"/>
          <w:szCs w:val="21"/>
          <w:highlight w:val="none"/>
        </w:rPr>
      </w:pPr>
      <w:r>
        <w:rPr>
          <w:rFonts w:cs="宋体" w:asciiTheme="minorEastAsia" w:hAnsiTheme="minorEastAsia"/>
          <w:b/>
          <w:color w:val="auto"/>
          <w:szCs w:val="21"/>
          <w:highlight w:val="none"/>
        </w:rPr>
        <w:t>投标地点（网址）：</w:t>
      </w:r>
      <w:r>
        <w:rPr>
          <w:rFonts w:hint="eastAsia" w:cs="宋体" w:asciiTheme="minorEastAsia" w:hAnsiTheme="minorEastAsia"/>
          <w:color w:val="auto"/>
          <w:szCs w:val="21"/>
          <w:highlight w:val="none"/>
        </w:rPr>
        <w:t>通过政采云平台（</w:t>
      </w:r>
      <w:r>
        <w:rPr>
          <w:rFonts w:cs="宋体" w:asciiTheme="minorEastAsia" w:hAnsiTheme="minorEastAsia"/>
          <w:color w:val="auto"/>
          <w:szCs w:val="21"/>
          <w:highlight w:val="none"/>
        </w:rPr>
        <w:t xml:space="preserve">www.zcygov.cn）”实行在线投标响应（电子投标） </w:t>
      </w:r>
      <w:r>
        <w:rPr>
          <w:rFonts w:hint="eastAsia" w:cs="宋体" w:asciiTheme="minorEastAsia" w:hAnsiTheme="minorEastAsia"/>
          <w:color w:val="auto"/>
          <w:szCs w:val="21"/>
          <w:highlight w:val="none"/>
        </w:rPr>
        <w:t>。</w:t>
      </w:r>
    </w:p>
    <w:p w14:paraId="749C413C">
      <w:pPr>
        <w:widowControl/>
        <w:spacing w:line="380" w:lineRule="exact"/>
        <w:ind w:firstLine="413" w:firstLineChars="196"/>
        <w:contextualSpacing/>
        <w:rPr>
          <w:rFonts w:cs="宋体" w:asciiTheme="minorEastAsia" w:hAnsiTheme="minorEastAsia"/>
          <w:color w:val="auto"/>
          <w:szCs w:val="21"/>
          <w:highlight w:val="none"/>
        </w:rPr>
      </w:pPr>
      <w:r>
        <w:rPr>
          <w:rFonts w:cs="宋体" w:asciiTheme="minorEastAsia" w:hAnsiTheme="minorEastAsia"/>
          <w:b/>
          <w:color w:val="auto"/>
          <w:szCs w:val="21"/>
          <w:highlight w:val="none"/>
        </w:rPr>
        <w:t>开标时间：</w:t>
      </w:r>
      <w:r>
        <w:rPr>
          <w:rFonts w:hint="eastAsia" w:cs="宋体" w:asciiTheme="minorEastAsia" w:hAnsiTheme="minorEastAsia"/>
          <w:color w:val="auto"/>
          <w:szCs w:val="21"/>
          <w:highlight w:val="none"/>
        </w:rPr>
        <w:t>2024</w:t>
      </w:r>
      <w:r>
        <w:rPr>
          <w:rFonts w:cs="宋体" w:asciiTheme="minorEastAsia" w:hAnsiTheme="minorEastAsia"/>
          <w:color w:val="auto"/>
          <w:szCs w:val="21"/>
          <w:highlight w:val="none"/>
        </w:rPr>
        <w:t>年</w:t>
      </w:r>
      <w:r>
        <w:rPr>
          <w:rFonts w:hint="eastAsia" w:cs="宋体" w:asciiTheme="minorEastAsia" w:hAnsiTheme="minorEastAsia"/>
          <w:color w:val="auto"/>
          <w:szCs w:val="21"/>
          <w:highlight w:val="none"/>
        </w:rPr>
        <w:t>11月</w:t>
      </w:r>
      <w:r>
        <w:rPr>
          <w:rFonts w:hint="eastAsia" w:cs="宋体" w:asciiTheme="minorEastAsia" w:hAnsiTheme="minorEastAsia"/>
          <w:color w:val="auto"/>
          <w:szCs w:val="21"/>
          <w:highlight w:val="none"/>
          <w:lang w:val="en-US" w:eastAsia="zh-CN"/>
        </w:rPr>
        <w:t>22</w:t>
      </w:r>
      <w:r>
        <w:rPr>
          <w:rFonts w:hint="eastAsia" w:cs="宋体" w:asciiTheme="minorEastAsia" w:hAnsiTheme="minorEastAsia"/>
          <w:color w:val="auto"/>
          <w:szCs w:val="21"/>
          <w:highlight w:val="none"/>
        </w:rPr>
        <w:t>日</w:t>
      </w:r>
      <w:r>
        <w:rPr>
          <w:rFonts w:cs="宋体" w:asciiTheme="minorEastAsia" w:hAnsiTheme="minorEastAsia"/>
          <w:color w:val="auto"/>
          <w:szCs w:val="21"/>
          <w:highlight w:val="none"/>
        </w:rPr>
        <w:t xml:space="preserve">09:00:00 </w:t>
      </w:r>
    </w:p>
    <w:p w14:paraId="64C60F59">
      <w:pPr>
        <w:widowControl/>
        <w:spacing w:line="380" w:lineRule="exact"/>
        <w:ind w:firstLine="420" w:firstLineChars="199"/>
        <w:contextualSpacing/>
        <w:rPr>
          <w:rFonts w:cs="宋体" w:asciiTheme="minorEastAsia" w:hAnsiTheme="minorEastAsia"/>
          <w:color w:val="auto"/>
          <w:szCs w:val="21"/>
          <w:highlight w:val="none"/>
        </w:rPr>
      </w:pPr>
      <w:r>
        <w:rPr>
          <w:rFonts w:cs="宋体" w:asciiTheme="minorEastAsia" w:hAnsiTheme="minorEastAsia"/>
          <w:b/>
          <w:color w:val="auto"/>
          <w:szCs w:val="21"/>
          <w:highlight w:val="none"/>
        </w:rPr>
        <w:t>开标地点（网址）：</w:t>
      </w:r>
      <w:r>
        <w:rPr>
          <w:rFonts w:hint="eastAsia" w:cs="宋体" w:asciiTheme="minorEastAsia" w:hAnsiTheme="minorEastAsia"/>
          <w:color w:val="auto"/>
          <w:szCs w:val="21"/>
          <w:highlight w:val="none"/>
        </w:rPr>
        <w:t>浙江省台州市椒江区市府大道</w:t>
      </w:r>
      <w:r>
        <w:rPr>
          <w:rFonts w:cs="宋体" w:asciiTheme="minorEastAsia" w:hAnsiTheme="minorEastAsia"/>
          <w:color w:val="auto"/>
          <w:szCs w:val="21"/>
          <w:highlight w:val="none"/>
        </w:rPr>
        <w:t>777号民泰大楼3楼一号开标室A场地</w:t>
      </w:r>
      <w:r>
        <w:rPr>
          <w:rFonts w:hint="eastAsia" w:cs="宋体" w:asciiTheme="minorEastAsia" w:hAnsiTheme="minorEastAsia"/>
          <w:color w:val="auto"/>
          <w:szCs w:val="21"/>
          <w:highlight w:val="none"/>
        </w:rPr>
        <w:t>。</w:t>
      </w:r>
    </w:p>
    <w:p w14:paraId="57BB852E">
      <w:pPr>
        <w:widowControl/>
        <w:spacing w:line="380" w:lineRule="exact"/>
        <w:contextualSpacing/>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五、公告期限</w:t>
      </w:r>
    </w:p>
    <w:p w14:paraId="7FDA984B">
      <w:pPr>
        <w:widowControl/>
        <w:spacing w:line="380" w:lineRule="exact"/>
        <w:ind w:firstLine="420" w:firstLineChars="200"/>
        <w:contextualSpacing/>
        <w:jc w:val="left"/>
        <w:rPr>
          <w:rFonts w:cs="宋体" w:asciiTheme="minorEastAsia" w:hAnsiTheme="minorEastAsia"/>
          <w:color w:val="auto"/>
          <w:szCs w:val="21"/>
          <w:highlight w:val="none"/>
        </w:rPr>
      </w:pPr>
      <w:r>
        <w:rPr>
          <w:rFonts w:cs="宋体" w:asciiTheme="minorEastAsia" w:hAnsiTheme="minorEastAsia"/>
          <w:color w:val="auto"/>
          <w:szCs w:val="21"/>
          <w:highlight w:val="none"/>
        </w:rPr>
        <w:t>自本公告发布之日起5个工作日。</w:t>
      </w:r>
    </w:p>
    <w:p w14:paraId="3FCA570A">
      <w:pPr>
        <w:widowControl/>
        <w:spacing w:line="380" w:lineRule="exact"/>
        <w:contextualSpacing/>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六、其他补充事宜</w:t>
      </w:r>
    </w:p>
    <w:p w14:paraId="5F9BCCB5">
      <w:pPr>
        <w:widowControl/>
        <w:spacing w:line="380" w:lineRule="exact"/>
        <w:ind w:firstLine="420" w:firstLineChars="200"/>
        <w:contextualSpacing/>
        <w:rPr>
          <w:rFonts w:cs="宋体" w:asciiTheme="minorEastAsia" w:hAnsiTheme="minorEastAsia"/>
          <w:color w:val="auto"/>
          <w:szCs w:val="21"/>
          <w:highlight w:val="none"/>
        </w:rPr>
      </w:pPr>
      <w:bookmarkStart w:id="10" w:name="_Toc28359085"/>
      <w:bookmarkStart w:id="11" w:name="_Toc35393796"/>
      <w:bookmarkStart w:id="12" w:name="_Toc35393627"/>
      <w:bookmarkStart w:id="13" w:name="_Toc28359008"/>
      <w:r>
        <w:rPr>
          <w:rFonts w:cs="宋体" w:asciiTheme="minorEastAsia" w:hAnsiTheme="minorEastAsia"/>
          <w:color w:val="auto"/>
          <w:szCs w:val="21"/>
          <w:highlight w:val="none"/>
        </w:rPr>
        <w:t>1</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供应商认为采购文件使自己的权益受到损害的，可以自获取采购文件之日或者采购文件公告期限届满之日</w:t>
      </w:r>
      <w:r>
        <w:rPr>
          <w:rFonts w:hint="eastAsia" w:cs="宋体" w:asciiTheme="minorEastAsia" w:hAnsiTheme="minorEastAsia"/>
          <w:b/>
          <w:color w:val="auto"/>
          <w:szCs w:val="21"/>
          <w:highlight w:val="none"/>
        </w:rPr>
        <w:t>（公告期限届满后获取采购文件的，以公告期限届满之日为准</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86A548">
      <w:pPr>
        <w:widowControl/>
        <w:spacing w:line="380" w:lineRule="exact"/>
        <w:ind w:firstLine="420" w:firstLineChars="200"/>
        <w:contextualSpacing/>
        <w:rPr>
          <w:rFonts w:cs="宋体" w:asciiTheme="minorEastAsia" w:hAnsiTheme="minorEastAsia"/>
          <w:color w:val="auto"/>
          <w:szCs w:val="21"/>
          <w:highlight w:val="none"/>
        </w:rPr>
      </w:pPr>
      <w:r>
        <w:rPr>
          <w:rFonts w:cs="宋体" w:asciiTheme="minorEastAsia" w:hAnsiTheme="minorEastAsia"/>
          <w:color w:val="auto"/>
          <w:szCs w:val="21"/>
          <w:highlight w:val="none"/>
        </w:rPr>
        <w:t>2</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其他事项：</w:t>
      </w:r>
    </w:p>
    <w:bookmarkEnd w:id="10"/>
    <w:bookmarkEnd w:id="11"/>
    <w:bookmarkEnd w:id="12"/>
    <w:bookmarkEnd w:id="13"/>
    <w:p w14:paraId="1A29A008">
      <w:pPr>
        <w:snapToGrid w:val="0"/>
        <w:spacing w:line="380" w:lineRule="exact"/>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（1）需要落实的政府采购政策：</w:t>
      </w:r>
      <w:r>
        <w:rPr>
          <w:rFonts w:cs="宋体" w:asciiTheme="minorEastAsia" w:hAnsiTheme="minorEastAsia"/>
          <w:color w:val="auto"/>
          <w:szCs w:val="21"/>
          <w:highlight w:val="none"/>
        </w:rPr>
        <w:t>《关于促进残疾人就业政府采购政策的通知》（财库</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2018</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141号）、《</w:t>
      </w:r>
      <w:r>
        <w:rPr>
          <w:rFonts w:hint="eastAsia" w:cs="宋体" w:asciiTheme="minorEastAsia" w:hAnsiTheme="minorEastAsia"/>
          <w:color w:val="auto"/>
          <w:szCs w:val="21"/>
          <w:highlight w:val="none"/>
        </w:rPr>
        <w:t>政府采购促进中小企业发展管理办法</w:t>
      </w:r>
      <w:r>
        <w:rPr>
          <w:rFonts w:cs="宋体" w:asciiTheme="minorEastAsia" w:hAnsiTheme="minorEastAsia"/>
          <w:color w:val="auto"/>
          <w:szCs w:val="21"/>
          <w:highlight w:val="none"/>
        </w:rPr>
        <w:t>》</w:t>
      </w:r>
      <w:r>
        <w:rPr>
          <w:rFonts w:hint="eastAsia" w:cs="宋体" w:asciiTheme="minorEastAsia" w:hAnsiTheme="minorEastAsia"/>
          <w:color w:val="auto"/>
          <w:szCs w:val="21"/>
          <w:highlight w:val="none"/>
        </w:rPr>
        <w:t>（财库〔2020〕46号）</w:t>
      </w:r>
      <w:r>
        <w:rPr>
          <w:rFonts w:cs="宋体" w:asciiTheme="minorEastAsia" w:hAnsiTheme="minorEastAsia"/>
          <w:color w:val="auto"/>
          <w:szCs w:val="21"/>
          <w:highlight w:val="none"/>
        </w:rPr>
        <w:t>、《关于政府采购支持监狱企业发展有关问题的通知》（财库</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2014</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68号）、《关于调整优化节能产品、环境标志产品政府采购执行机制的通知》（财库〔2019〕9号）</w:t>
      </w:r>
      <w:r>
        <w:rPr>
          <w:rFonts w:hint="eastAsia" w:cs="宋体" w:asciiTheme="minorEastAsia" w:hAnsiTheme="minorEastAsia"/>
          <w:color w:val="auto"/>
          <w:szCs w:val="21"/>
          <w:highlight w:val="none"/>
        </w:rPr>
        <w:t>。</w:t>
      </w:r>
    </w:p>
    <w:p w14:paraId="5C8561AA">
      <w:pPr>
        <w:snapToGrid w:val="0"/>
        <w:spacing w:line="380" w:lineRule="exact"/>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（2）电子招投标的说明：</w:t>
      </w:r>
    </w:p>
    <w:p w14:paraId="265256F1">
      <w:pPr>
        <w:snapToGrid w:val="0"/>
        <w:spacing w:line="380" w:lineRule="exact"/>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①电子招投标：本项目以数据电文形式，依托“政府采购云平台（www.zcygov.cn）”进行招投标活动，不接受纸质投标文件；</w:t>
      </w:r>
    </w:p>
    <w:p w14:paraId="7C67F14B">
      <w:pPr>
        <w:snapToGrid w:val="0"/>
        <w:spacing w:line="380" w:lineRule="exact"/>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7555FF8">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③采购文件的获取：使用账号登录或者使用CA登录政采云平台；进入“项目采购”应用，在获取采购文件菜单中选择项目，获取采购文件； </w:t>
      </w:r>
    </w:p>
    <w:p w14:paraId="6E334A63">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④投标文件的制作：在“政采云电子交易客户端”中完成“填写基本信息”、“导入投标文件”、“标书关联”、“标书检查”、“电子签名”、“生成电子标书”等操作；</w:t>
      </w:r>
    </w:p>
    <w:p w14:paraId="7BF6FB7C">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⑤采购人、采购代理机构将依托政采云平台完成本项目的电子交易活动，平台不接受未按上述方式获取采购文件的供应商进行投标活动；</w:t>
      </w:r>
    </w:p>
    <w:p w14:paraId="6A8395C7">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⑥对未按上述方式获取采购文件的供应商对该文件提出的质疑，采购人或采购代理机构将不予处理；</w:t>
      </w:r>
    </w:p>
    <w:p w14:paraId="3454C876">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⑦不提供采购文件纸质版；</w:t>
      </w:r>
    </w:p>
    <w:p w14:paraId="5C38852D">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⑧投标文件的传输递交：投标人在投标截止时间前将加密的投标文件上传至政府采购云平台，并在投标截止时间前递交备份投标文件1份。备份投标文件的制作、递交详见采购文件第二部分“</w:t>
      </w:r>
      <w:r>
        <w:rPr>
          <w:rFonts w:cs="宋体" w:asciiTheme="minorEastAsia" w:hAnsiTheme="minorEastAsia"/>
          <w:color w:val="auto"/>
          <w:szCs w:val="21"/>
          <w:highlight w:val="none"/>
        </w:rPr>
        <w:t>投标资料表</w:t>
      </w:r>
      <w:r>
        <w:rPr>
          <w:rFonts w:hint="eastAsia" w:cs="宋体" w:asciiTheme="minorEastAsia" w:hAnsiTheme="minorEastAsia"/>
          <w:color w:val="auto"/>
          <w:szCs w:val="21"/>
          <w:highlight w:val="none"/>
        </w:rPr>
        <w:t>”第9条；</w:t>
      </w:r>
    </w:p>
    <w:p w14:paraId="754F4945">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⑨投标文件的解密：投标人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12D85695">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⑩具体操作指南：详见政采云平台“服务中心-帮助文档-项目采购-操作流程-电子招投标-政府采购项目电子交易管理操作指南-供应商”。</w:t>
      </w:r>
    </w:p>
    <w:p w14:paraId="03B0844E">
      <w:pPr>
        <w:snapToGrid w:val="0"/>
        <w:spacing w:line="380" w:lineRule="exact"/>
        <w:outlineLvl w:val="1"/>
        <w:rPr>
          <w:rFonts w:cs="仿宋" w:asciiTheme="minorEastAsia" w:hAnsiTheme="minorEastAsia"/>
          <w:b/>
          <w:color w:val="auto"/>
          <w:szCs w:val="21"/>
          <w:highlight w:val="none"/>
        </w:rPr>
      </w:pPr>
      <w:r>
        <w:rPr>
          <w:rFonts w:hint="eastAsia" w:cs="仿宋" w:asciiTheme="minorEastAsia" w:hAnsiTheme="minorEastAsia"/>
          <w:b/>
          <w:color w:val="auto"/>
          <w:szCs w:val="21"/>
          <w:highlight w:val="none"/>
        </w:rPr>
        <w:t>七、对本次采购提出询问、质疑、投诉，请按以下方式联系</w:t>
      </w:r>
    </w:p>
    <w:p w14:paraId="57360EF3">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1、采购人信息</w:t>
      </w:r>
    </w:p>
    <w:p w14:paraId="19323143">
      <w:pPr>
        <w:spacing w:line="380" w:lineRule="exact"/>
        <w:ind w:firstLine="420" w:firstLineChars="200"/>
        <w:contextualSpacing/>
        <w:rPr>
          <w:rFonts w:hint="eastAsia" w:cs="Arial" w:asciiTheme="minorEastAsia" w:hAnsiTheme="minorEastAsia"/>
          <w:color w:val="auto"/>
          <w:szCs w:val="21"/>
          <w:highlight w:val="none"/>
          <w:lang w:eastAsia="zh-CN"/>
        </w:rPr>
      </w:pPr>
      <w:r>
        <w:rPr>
          <w:rFonts w:hint="eastAsia" w:cs="Arial" w:asciiTheme="minorEastAsia" w:hAnsiTheme="minorEastAsia"/>
          <w:color w:val="auto"/>
          <w:szCs w:val="21"/>
          <w:highlight w:val="none"/>
        </w:rPr>
        <w:t>名称：</w:t>
      </w:r>
      <w:r>
        <w:rPr>
          <w:rFonts w:hint="eastAsia" w:cs="Arial" w:asciiTheme="minorEastAsia" w:hAnsiTheme="minorEastAsia"/>
          <w:color w:val="auto"/>
          <w:szCs w:val="21"/>
          <w:highlight w:val="none"/>
          <w:lang w:eastAsia="zh-CN"/>
        </w:rPr>
        <w:t>台州市公安局交通警察局</w:t>
      </w:r>
    </w:p>
    <w:p w14:paraId="5DCA3B00">
      <w:pPr>
        <w:spacing w:line="380" w:lineRule="exact"/>
        <w:ind w:firstLine="420" w:firstLineChars="200"/>
        <w:contextualSpacing/>
        <w:rPr>
          <w:rFonts w:hint="eastAsia" w:cs="Arial" w:asciiTheme="minorEastAsia" w:hAnsiTheme="minorEastAsia"/>
          <w:color w:val="auto"/>
          <w:szCs w:val="21"/>
          <w:highlight w:val="none"/>
          <w:lang w:eastAsia="zh-CN"/>
        </w:rPr>
      </w:pPr>
      <w:r>
        <w:rPr>
          <w:rFonts w:hint="eastAsia" w:cs="Arial" w:asciiTheme="minorEastAsia" w:hAnsiTheme="minorEastAsia"/>
          <w:color w:val="auto"/>
          <w:szCs w:val="21"/>
          <w:highlight w:val="none"/>
        </w:rPr>
        <w:t>地址：</w:t>
      </w:r>
      <w:r>
        <w:rPr>
          <w:rFonts w:hint="eastAsia" w:cs="Arial" w:asciiTheme="minorEastAsia" w:hAnsiTheme="minorEastAsia"/>
          <w:color w:val="auto"/>
          <w:szCs w:val="21"/>
          <w:highlight w:val="none"/>
          <w:lang w:eastAsia="zh-CN"/>
        </w:rPr>
        <w:t>台州市台州湾新区机场路451号</w:t>
      </w:r>
    </w:p>
    <w:p w14:paraId="42F97112">
      <w:pPr>
        <w:spacing w:line="380" w:lineRule="exact"/>
        <w:ind w:firstLine="420" w:firstLineChars="200"/>
        <w:contextualSpacing/>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rPr>
        <w:t>传真：/</w:t>
      </w:r>
    </w:p>
    <w:p w14:paraId="5A4EDC85">
      <w:pPr>
        <w:spacing w:line="380" w:lineRule="exact"/>
        <w:ind w:firstLine="420" w:firstLineChars="200"/>
        <w:contextualSpacing/>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rPr>
        <w:t>项目联系人（询问）：</w:t>
      </w:r>
      <w:r>
        <w:rPr>
          <w:rFonts w:hint="eastAsia" w:cs="Arial" w:asciiTheme="minorEastAsia" w:hAnsiTheme="minorEastAsia"/>
          <w:color w:val="auto"/>
          <w:szCs w:val="21"/>
          <w:highlight w:val="none"/>
          <w:lang w:eastAsia="zh-CN"/>
        </w:rPr>
        <w:t>管</w:t>
      </w:r>
      <w:r>
        <w:rPr>
          <w:rFonts w:hint="eastAsia" w:cs="Arial" w:asciiTheme="minorEastAsia" w:hAnsiTheme="minorEastAsia"/>
          <w:color w:val="auto"/>
          <w:szCs w:val="21"/>
          <w:highlight w:val="none"/>
          <w:lang w:val="en-US" w:eastAsia="zh-CN"/>
        </w:rPr>
        <w:t>警官</w:t>
      </w:r>
    </w:p>
    <w:p w14:paraId="0A6C3B83">
      <w:pPr>
        <w:spacing w:line="380" w:lineRule="exact"/>
        <w:ind w:firstLine="420" w:firstLineChars="200"/>
        <w:contextualSpacing/>
        <w:rPr>
          <w:rFonts w:hint="default"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rPr>
        <w:t>项目联系方式（询问）：</w:t>
      </w:r>
      <w:r>
        <w:rPr>
          <w:rFonts w:hint="eastAsia" w:cs="Arial" w:asciiTheme="minorEastAsia" w:hAnsiTheme="minorEastAsia"/>
          <w:color w:val="auto"/>
          <w:szCs w:val="21"/>
          <w:highlight w:val="none"/>
          <w:lang w:val="en-US" w:eastAsia="zh-CN"/>
        </w:rPr>
        <w:t>0576-81895128</w:t>
      </w:r>
    </w:p>
    <w:p w14:paraId="77E47B25">
      <w:pPr>
        <w:spacing w:line="380" w:lineRule="exact"/>
        <w:ind w:firstLine="420" w:firstLineChars="200"/>
        <w:contextualSpacing/>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rPr>
        <w:t>质疑联系人：</w:t>
      </w:r>
      <w:r>
        <w:rPr>
          <w:rFonts w:hint="eastAsia" w:cs="Arial" w:asciiTheme="minorEastAsia" w:hAnsiTheme="minorEastAsia"/>
          <w:color w:val="auto"/>
          <w:szCs w:val="21"/>
          <w:highlight w:val="none"/>
          <w:lang w:val="en-US" w:eastAsia="zh-CN"/>
        </w:rPr>
        <w:t>杨警官</w:t>
      </w:r>
    </w:p>
    <w:p w14:paraId="33DC1EF4">
      <w:pPr>
        <w:spacing w:line="380" w:lineRule="exact"/>
        <w:ind w:firstLine="420" w:firstLineChars="200"/>
        <w:contextualSpacing/>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rPr>
        <w:t>质疑联系方式：0576-88212750</w:t>
      </w:r>
    </w:p>
    <w:p w14:paraId="2EAC361E">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2、采购代理机构信息</w:t>
      </w:r>
    </w:p>
    <w:p w14:paraId="11847832">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名称：中冠工程管理咨询有限公司</w:t>
      </w:r>
    </w:p>
    <w:p w14:paraId="39C784A5">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地址：浙江省台州市椒江区东海大道378号4楼</w:t>
      </w:r>
    </w:p>
    <w:p w14:paraId="601A02FB">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项目联系人（询问）：戴艳燕、陈金泉、王莎莎</w:t>
      </w:r>
    </w:p>
    <w:p w14:paraId="7783D3A9">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项目联系方式（询问）：</w:t>
      </w:r>
      <w:r>
        <w:rPr>
          <w:rFonts w:cs="Arial" w:asciiTheme="minorEastAsia" w:hAnsiTheme="minorEastAsia"/>
          <w:color w:val="auto"/>
          <w:szCs w:val="21"/>
          <w:highlight w:val="none"/>
        </w:rPr>
        <w:t>0576-81810227、18968407875</w:t>
      </w:r>
    </w:p>
    <w:p w14:paraId="7D7472E1">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质疑联系人：唐虹波</w:t>
      </w:r>
    </w:p>
    <w:p w14:paraId="71969E9F">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质疑联系方式：</w:t>
      </w:r>
      <w:r>
        <w:rPr>
          <w:rFonts w:cs="Arial" w:asciiTheme="minorEastAsia" w:hAnsiTheme="minorEastAsia"/>
          <w:color w:val="auto"/>
          <w:szCs w:val="21"/>
          <w:highlight w:val="none"/>
        </w:rPr>
        <w:t>0576-81810270</w:t>
      </w:r>
    </w:p>
    <w:p w14:paraId="15C72264">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3、同级政府采购监督管理部门</w:t>
      </w:r>
    </w:p>
    <w:p w14:paraId="7347A807">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名称：台州市财政局政府采购监管处</w:t>
      </w:r>
    </w:p>
    <w:p w14:paraId="123BFB0B">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地址：浙江省台州市椒江区纬一路</w:t>
      </w:r>
      <w:r>
        <w:rPr>
          <w:rFonts w:cs="Arial" w:asciiTheme="minorEastAsia" w:hAnsiTheme="minorEastAsia"/>
          <w:color w:val="auto"/>
          <w:szCs w:val="21"/>
          <w:highlight w:val="none"/>
        </w:rPr>
        <w:t>66号</w:t>
      </w:r>
    </w:p>
    <w:p w14:paraId="016F85EF">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传真：/</w:t>
      </w:r>
    </w:p>
    <w:p w14:paraId="69FCB4C8">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联系人：陈老师、李老师</w:t>
      </w:r>
    </w:p>
    <w:p w14:paraId="3ED31BDC">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监督投诉电话：</w:t>
      </w:r>
      <w:r>
        <w:rPr>
          <w:rFonts w:cs="Arial" w:asciiTheme="minorEastAsia" w:hAnsiTheme="minorEastAsia"/>
          <w:color w:val="auto"/>
          <w:szCs w:val="21"/>
          <w:highlight w:val="none"/>
        </w:rPr>
        <w:t xml:space="preserve">0576-88206705 、88206731  </w:t>
      </w:r>
    </w:p>
    <w:p w14:paraId="24CC7832">
      <w:pPr>
        <w:pStyle w:val="5"/>
        <w:ind w:firstLine="0" w:firstLineChars="0"/>
        <w:jc w:val="center"/>
        <w:rPr>
          <w:rFonts w:asciiTheme="minorEastAsia" w:hAnsiTheme="minorEastAsia" w:eastAsiaTheme="minorEastAsia"/>
          <w:b/>
          <w:color w:val="auto"/>
          <w:szCs w:val="21"/>
          <w:highlight w:val="none"/>
        </w:rPr>
      </w:pPr>
    </w:p>
    <w:bookmarkEnd w:id="7"/>
    <w:p w14:paraId="14EDE802">
      <w:pPr>
        <w:spacing w:line="360" w:lineRule="auto"/>
        <w:rPr>
          <w:rFonts w:asciiTheme="minorEastAsia" w:hAnsiTheme="minorEastAsia"/>
          <w:b/>
          <w:color w:val="auto"/>
          <w:szCs w:val="21"/>
          <w:highlight w:val="none"/>
        </w:rPr>
      </w:pPr>
      <w:r>
        <w:rPr>
          <w:rFonts w:hint="eastAsia" w:asciiTheme="minorEastAsia" w:hAnsiTheme="minorEastAsia"/>
          <w:b/>
          <w:color w:val="auto"/>
          <w:szCs w:val="21"/>
          <w:highlight w:val="none"/>
        </w:rPr>
        <w:t>八、</w:t>
      </w:r>
      <w:r>
        <w:rPr>
          <w:rFonts w:hint="eastAsia" w:cs="宋体" w:asciiTheme="minorEastAsia" w:hAnsiTheme="minorEastAsia"/>
          <w:b/>
          <w:color w:val="auto"/>
          <w:szCs w:val="21"/>
          <w:highlight w:val="none"/>
        </w:rPr>
        <w:t>中标人如有融资需求，可使用以下服务</w:t>
      </w:r>
    </w:p>
    <w:p w14:paraId="69FC9885">
      <w:pPr>
        <w:pStyle w:val="5"/>
        <w:ind w:firstLine="0" w:firstLineChars="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政采贷联系方式</w:t>
      </w:r>
    </w:p>
    <w:tbl>
      <w:tblPr>
        <w:tblStyle w:val="23"/>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1691"/>
        <w:gridCol w:w="1830"/>
        <w:gridCol w:w="3991"/>
      </w:tblGrid>
      <w:tr w14:paraId="5CFC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07B8BE3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银行</w:t>
            </w:r>
          </w:p>
        </w:tc>
        <w:tc>
          <w:tcPr>
            <w:tcW w:w="1691" w:type="dxa"/>
            <w:vAlign w:val="center"/>
          </w:tcPr>
          <w:p w14:paraId="380C87A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贷款年利率</w:t>
            </w:r>
          </w:p>
        </w:tc>
        <w:tc>
          <w:tcPr>
            <w:tcW w:w="1830" w:type="dxa"/>
            <w:vAlign w:val="center"/>
          </w:tcPr>
          <w:p w14:paraId="4635F8EE">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联系人</w:t>
            </w:r>
          </w:p>
        </w:tc>
        <w:tc>
          <w:tcPr>
            <w:tcW w:w="3991" w:type="dxa"/>
            <w:vAlign w:val="center"/>
          </w:tcPr>
          <w:p w14:paraId="5D0367F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联系电话</w:t>
            </w:r>
          </w:p>
        </w:tc>
      </w:tr>
      <w:tr w14:paraId="18F8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3A14168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中国工商银行</w:t>
            </w:r>
          </w:p>
        </w:tc>
        <w:tc>
          <w:tcPr>
            <w:tcW w:w="1691" w:type="dxa"/>
            <w:vAlign w:val="center"/>
          </w:tcPr>
          <w:p w14:paraId="731D311A">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3.8%起</w:t>
            </w:r>
          </w:p>
        </w:tc>
        <w:tc>
          <w:tcPr>
            <w:tcW w:w="1830" w:type="dxa"/>
            <w:vAlign w:val="center"/>
          </w:tcPr>
          <w:p w14:paraId="40613B83">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卢嘉诚</w:t>
            </w:r>
          </w:p>
        </w:tc>
        <w:tc>
          <w:tcPr>
            <w:tcW w:w="3991" w:type="dxa"/>
            <w:vAlign w:val="center"/>
          </w:tcPr>
          <w:p w14:paraId="6B065AA9">
            <w:pPr>
              <w:ind w:left="480" w:hanging="480"/>
              <w:jc w:val="center"/>
              <w:rPr>
                <w:rFonts w:eastAsia="宋体" w:cs="Times New Roman" w:asciiTheme="minorEastAsia" w:hAnsiTheme="minorEastAsia"/>
                <w:color w:val="auto"/>
                <w:kern w:val="0"/>
                <w:sz w:val="20"/>
                <w:szCs w:val="21"/>
                <w:highlight w:val="none"/>
              </w:rPr>
            </w:pPr>
            <w:r>
              <w:rPr>
                <w:rFonts w:eastAsia="宋体" w:cs="Times New Roman" w:asciiTheme="minorEastAsia" w:hAnsiTheme="minorEastAsia"/>
                <w:color w:val="auto"/>
                <w:kern w:val="0"/>
                <w:sz w:val="20"/>
                <w:szCs w:val="21"/>
                <w:highlight w:val="none"/>
              </w:rPr>
              <w:t>13867658508</w:t>
            </w:r>
          </w:p>
        </w:tc>
      </w:tr>
      <w:tr w14:paraId="077A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257B5C2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中国农业银行</w:t>
            </w:r>
          </w:p>
        </w:tc>
        <w:tc>
          <w:tcPr>
            <w:tcW w:w="1691" w:type="dxa"/>
            <w:vAlign w:val="center"/>
          </w:tcPr>
          <w:p w14:paraId="7B62A34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3.8%起</w:t>
            </w:r>
          </w:p>
        </w:tc>
        <w:tc>
          <w:tcPr>
            <w:tcW w:w="1830" w:type="dxa"/>
            <w:vAlign w:val="center"/>
          </w:tcPr>
          <w:p w14:paraId="5D67F182">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龚盛</w:t>
            </w:r>
          </w:p>
        </w:tc>
        <w:tc>
          <w:tcPr>
            <w:tcW w:w="3991" w:type="dxa"/>
            <w:vAlign w:val="center"/>
          </w:tcPr>
          <w:p w14:paraId="27F1EDF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15858682216</w:t>
            </w:r>
          </w:p>
        </w:tc>
      </w:tr>
      <w:tr w14:paraId="5E45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2A148B0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中国建设银行</w:t>
            </w:r>
          </w:p>
        </w:tc>
        <w:tc>
          <w:tcPr>
            <w:tcW w:w="1691" w:type="dxa"/>
            <w:vAlign w:val="center"/>
          </w:tcPr>
          <w:p w14:paraId="30512E4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3.8%起</w:t>
            </w:r>
          </w:p>
        </w:tc>
        <w:tc>
          <w:tcPr>
            <w:tcW w:w="1830" w:type="dxa"/>
            <w:vAlign w:val="center"/>
          </w:tcPr>
          <w:p w14:paraId="13DE2767">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梅晶晶</w:t>
            </w:r>
          </w:p>
        </w:tc>
        <w:tc>
          <w:tcPr>
            <w:tcW w:w="3991" w:type="dxa"/>
            <w:vAlign w:val="center"/>
          </w:tcPr>
          <w:p w14:paraId="2561D253">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88525339、13736585303</w:t>
            </w:r>
          </w:p>
        </w:tc>
      </w:tr>
      <w:tr w14:paraId="1D45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0CB6D305">
            <w:pPr>
              <w:ind w:left="480" w:hanging="480"/>
              <w:jc w:val="center"/>
              <w:rPr>
                <w:rFonts w:hint="eastAsia"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中国银行</w:t>
            </w:r>
          </w:p>
        </w:tc>
        <w:tc>
          <w:tcPr>
            <w:tcW w:w="1691" w:type="dxa"/>
            <w:vAlign w:val="center"/>
          </w:tcPr>
          <w:p w14:paraId="36E8D105">
            <w:pPr>
              <w:ind w:left="480" w:hanging="480"/>
              <w:jc w:val="center"/>
              <w:rPr>
                <w:rFonts w:hint="eastAsia"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3.75%起</w:t>
            </w:r>
          </w:p>
        </w:tc>
        <w:tc>
          <w:tcPr>
            <w:tcW w:w="1830" w:type="dxa"/>
            <w:vAlign w:val="center"/>
          </w:tcPr>
          <w:p w14:paraId="0236C7DF">
            <w:pPr>
              <w:ind w:left="480" w:hanging="480"/>
              <w:jc w:val="center"/>
              <w:rPr>
                <w:rFonts w:hint="eastAsia"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lang w:eastAsia="zh-CN"/>
              </w:rPr>
              <w:t>王海</w:t>
            </w:r>
          </w:p>
        </w:tc>
        <w:tc>
          <w:tcPr>
            <w:tcW w:w="3991" w:type="dxa"/>
            <w:vAlign w:val="center"/>
          </w:tcPr>
          <w:p w14:paraId="109C6A1B">
            <w:pPr>
              <w:ind w:left="480" w:hanging="480"/>
              <w:jc w:val="center"/>
              <w:rPr>
                <w:rFonts w:hint="eastAsia"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lang w:eastAsia="zh-CN"/>
              </w:rPr>
              <w:t>13857677798</w:t>
            </w:r>
          </w:p>
        </w:tc>
      </w:tr>
      <w:tr w14:paraId="7D75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60841D54">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浦发银行台州分行</w:t>
            </w:r>
          </w:p>
        </w:tc>
        <w:tc>
          <w:tcPr>
            <w:tcW w:w="1691" w:type="dxa"/>
            <w:vAlign w:val="center"/>
          </w:tcPr>
          <w:p w14:paraId="46F869E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4.05%起</w:t>
            </w:r>
          </w:p>
        </w:tc>
        <w:tc>
          <w:tcPr>
            <w:tcW w:w="1830" w:type="dxa"/>
            <w:vAlign w:val="center"/>
          </w:tcPr>
          <w:p w14:paraId="3E450509">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王渊</w:t>
            </w:r>
          </w:p>
        </w:tc>
        <w:tc>
          <w:tcPr>
            <w:tcW w:w="3991" w:type="dxa"/>
            <w:vAlign w:val="center"/>
          </w:tcPr>
          <w:p w14:paraId="0C2DA8E7">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13616676319</w:t>
            </w:r>
          </w:p>
        </w:tc>
      </w:tr>
      <w:tr w14:paraId="2E30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1DE0BBD9">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浦发银行椒江分行</w:t>
            </w:r>
          </w:p>
        </w:tc>
        <w:tc>
          <w:tcPr>
            <w:tcW w:w="1691" w:type="dxa"/>
            <w:vAlign w:val="center"/>
          </w:tcPr>
          <w:p w14:paraId="5A55BBB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4.05%起</w:t>
            </w:r>
          </w:p>
        </w:tc>
        <w:tc>
          <w:tcPr>
            <w:tcW w:w="1830" w:type="dxa"/>
            <w:vAlign w:val="center"/>
          </w:tcPr>
          <w:p w14:paraId="277ECB2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孙瑞华</w:t>
            </w:r>
          </w:p>
        </w:tc>
        <w:tc>
          <w:tcPr>
            <w:tcW w:w="3991" w:type="dxa"/>
            <w:vAlign w:val="center"/>
          </w:tcPr>
          <w:p w14:paraId="0392A334">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13857688081</w:t>
            </w:r>
          </w:p>
        </w:tc>
      </w:tr>
      <w:tr w14:paraId="2AFD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5B68A2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交通银行台州分行</w:t>
            </w:r>
          </w:p>
        </w:tc>
        <w:tc>
          <w:tcPr>
            <w:tcW w:w="1691" w:type="dxa"/>
            <w:vAlign w:val="center"/>
          </w:tcPr>
          <w:p w14:paraId="6B5BF8B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3.75%起</w:t>
            </w:r>
          </w:p>
        </w:tc>
        <w:tc>
          <w:tcPr>
            <w:tcW w:w="1830" w:type="dxa"/>
            <w:vAlign w:val="center"/>
          </w:tcPr>
          <w:p w14:paraId="663841A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周翔宇</w:t>
            </w:r>
          </w:p>
        </w:tc>
        <w:tc>
          <w:tcPr>
            <w:tcW w:w="3991" w:type="dxa"/>
            <w:vAlign w:val="center"/>
          </w:tcPr>
          <w:p w14:paraId="67400EEE">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13867697018</w:t>
            </w:r>
          </w:p>
        </w:tc>
      </w:tr>
      <w:tr w14:paraId="127A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041F288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招商银行台州分行</w:t>
            </w:r>
          </w:p>
        </w:tc>
        <w:tc>
          <w:tcPr>
            <w:tcW w:w="1691" w:type="dxa"/>
            <w:vAlign w:val="center"/>
          </w:tcPr>
          <w:p w14:paraId="2B8E9D2C">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4.32%起</w:t>
            </w:r>
          </w:p>
        </w:tc>
        <w:tc>
          <w:tcPr>
            <w:tcW w:w="1830" w:type="dxa"/>
            <w:vAlign w:val="center"/>
          </w:tcPr>
          <w:p w14:paraId="110D4489">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王海玲</w:t>
            </w:r>
          </w:p>
        </w:tc>
        <w:tc>
          <w:tcPr>
            <w:tcW w:w="3991" w:type="dxa"/>
            <w:vAlign w:val="center"/>
          </w:tcPr>
          <w:p w14:paraId="32B6B3AC">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13566413827</w:t>
            </w:r>
          </w:p>
        </w:tc>
      </w:tr>
      <w:tr w14:paraId="2AEF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516191D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浙商银行台州分行</w:t>
            </w:r>
          </w:p>
        </w:tc>
        <w:tc>
          <w:tcPr>
            <w:tcW w:w="1691" w:type="dxa"/>
            <w:vAlign w:val="center"/>
          </w:tcPr>
          <w:p w14:paraId="305194E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5.01%起</w:t>
            </w:r>
          </w:p>
        </w:tc>
        <w:tc>
          <w:tcPr>
            <w:tcW w:w="1830" w:type="dxa"/>
            <w:vAlign w:val="center"/>
          </w:tcPr>
          <w:p w14:paraId="4A354044">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章涉漪</w:t>
            </w:r>
          </w:p>
        </w:tc>
        <w:tc>
          <w:tcPr>
            <w:tcW w:w="3991" w:type="dxa"/>
            <w:vAlign w:val="center"/>
          </w:tcPr>
          <w:p w14:paraId="2C0A05D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81880185、13606681262</w:t>
            </w:r>
          </w:p>
        </w:tc>
      </w:tr>
      <w:tr w14:paraId="00B3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5D523C6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中信银行台州分行</w:t>
            </w:r>
          </w:p>
        </w:tc>
        <w:tc>
          <w:tcPr>
            <w:tcW w:w="1691" w:type="dxa"/>
            <w:vAlign w:val="center"/>
          </w:tcPr>
          <w:p w14:paraId="6D674B53">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4.15%起</w:t>
            </w:r>
          </w:p>
        </w:tc>
        <w:tc>
          <w:tcPr>
            <w:tcW w:w="1830" w:type="dxa"/>
            <w:vAlign w:val="center"/>
          </w:tcPr>
          <w:p w14:paraId="44222DFC">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陈金园</w:t>
            </w:r>
          </w:p>
        </w:tc>
        <w:tc>
          <w:tcPr>
            <w:tcW w:w="3991" w:type="dxa"/>
            <w:vAlign w:val="center"/>
          </w:tcPr>
          <w:p w14:paraId="5EBC3E22">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13586052161</w:t>
            </w:r>
          </w:p>
        </w:tc>
      </w:tr>
      <w:tr w14:paraId="0B4D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4D2FD999">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华夏银行台州分行</w:t>
            </w:r>
          </w:p>
        </w:tc>
        <w:tc>
          <w:tcPr>
            <w:tcW w:w="1691" w:type="dxa"/>
            <w:vAlign w:val="center"/>
          </w:tcPr>
          <w:p w14:paraId="75E17E9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4.5%起</w:t>
            </w:r>
          </w:p>
        </w:tc>
        <w:tc>
          <w:tcPr>
            <w:tcW w:w="1830" w:type="dxa"/>
            <w:vAlign w:val="center"/>
          </w:tcPr>
          <w:p w14:paraId="52B211A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邱明达</w:t>
            </w:r>
          </w:p>
        </w:tc>
        <w:tc>
          <w:tcPr>
            <w:tcW w:w="3991" w:type="dxa"/>
            <w:vAlign w:val="center"/>
          </w:tcPr>
          <w:p w14:paraId="3414089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81871518、13736252233</w:t>
            </w:r>
          </w:p>
        </w:tc>
      </w:tr>
      <w:tr w14:paraId="70E5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4923650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泰隆银行开发区支行</w:t>
            </w:r>
          </w:p>
        </w:tc>
        <w:tc>
          <w:tcPr>
            <w:tcW w:w="1691" w:type="dxa"/>
            <w:vAlign w:val="center"/>
          </w:tcPr>
          <w:p w14:paraId="694C51C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5.6%起</w:t>
            </w:r>
          </w:p>
        </w:tc>
        <w:tc>
          <w:tcPr>
            <w:tcW w:w="1830" w:type="dxa"/>
            <w:vAlign w:val="center"/>
          </w:tcPr>
          <w:p w14:paraId="7A240C53">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梁宛莉</w:t>
            </w:r>
          </w:p>
        </w:tc>
        <w:tc>
          <w:tcPr>
            <w:tcW w:w="3991" w:type="dxa"/>
            <w:vAlign w:val="center"/>
          </w:tcPr>
          <w:p w14:paraId="766B225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13306869100</w:t>
            </w:r>
          </w:p>
        </w:tc>
      </w:tr>
      <w:tr w14:paraId="51E1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65202F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民泰银行椒江支行</w:t>
            </w:r>
          </w:p>
        </w:tc>
        <w:tc>
          <w:tcPr>
            <w:tcW w:w="1691" w:type="dxa"/>
            <w:vAlign w:val="center"/>
          </w:tcPr>
          <w:p w14:paraId="2AE98EEA">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5.8%起</w:t>
            </w:r>
          </w:p>
        </w:tc>
        <w:tc>
          <w:tcPr>
            <w:tcW w:w="1830" w:type="dxa"/>
            <w:vAlign w:val="center"/>
          </w:tcPr>
          <w:p w14:paraId="65CECDBC">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陈慧珠</w:t>
            </w:r>
          </w:p>
        </w:tc>
        <w:tc>
          <w:tcPr>
            <w:tcW w:w="3991" w:type="dxa"/>
            <w:vAlign w:val="center"/>
          </w:tcPr>
          <w:p w14:paraId="326913E7">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13857699669</w:t>
            </w:r>
          </w:p>
        </w:tc>
      </w:tr>
      <w:tr w14:paraId="6E37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312518D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绍兴银行台州分行</w:t>
            </w:r>
          </w:p>
        </w:tc>
        <w:tc>
          <w:tcPr>
            <w:tcW w:w="1691" w:type="dxa"/>
            <w:vAlign w:val="center"/>
          </w:tcPr>
          <w:p w14:paraId="7309203A">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5.1%起</w:t>
            </w:r>
          </w:p>
        </w:tc>
        <w:tc>
          <w:tcPr>
            <w:tcW w:w="1830" w:type="dxa"/>
            <w:vAlign w:val="center"/>
          </w:tcPr>
          <w:p w14:paraId="1CC1ED9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郭庭斌</w:t>
            </w:r>
          </w:p>
        </w:tc>
        <w:tc>
          <w:tcPr>
            <w:tcW w:w="3991" w:type="dxa"/>
            <w:vAlign w:val="center"/>
          </w:tcPr>
          <w:p w14:paraId="1DF8BF5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15958633119</w:t>
            </w:r>
          </w:p>
        </w:tc>
      </w:tr>
      <w:tr w14:paraId="74AB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67207EB1">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温州银行台州分行</w:t>
            </w:r>
          </w:p>
        </w:tc>
        <w:tc>
          <w:tcPr>
            <w:tcW w:w="1691" w:type="dxa"/>
            <w:vAlign w:val="center"/>
          </w:tcPr>
          <w:p w14:paraId="033008E1">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4.55%起</w:t>
            </w:r>
          </w:p>
        </w:tc>
        <w:tc>
          <w:tcPr>
            <w:tcW w:w="1830" w:type="dxa"/>
            <w:vAlign w:val="center"/>
          </w:tcPr>
          <w:p w14:paraId="182D367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王晓波</w:t>
            </w:r>
          </w:p>
        </w:tc>
        <w:tc>
          <w:tcPr>
            <w:tcW w:w="3991" w:type="dxa"/>
            <w:vAlign w:val="center"/>
          </w:tcPr>
          <w:p w14:paraId="653BF6BB">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15824005475</w:t>
            </w:r>
          </w:p>
        </w:tc>
      </w:tr>
      <w:tr w14:paraId="6E8A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6024C53B">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平安银行台州分行</w:t>
            </w:r>
          </w:p>
        </w:tc>
        <w:tc>
          <w:tcPr>
            <w:tcW w:w="1691" w:type="dxa"/>
            <w:vAlign w:val="center"/>
          </w:tcPr>
          <w:p w14:paraId="4AB64512">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6.53%起</w:t>
            </w:r>
          </w:p>
        </w:tc>
        <w:tc>
          <w:tcPr>
            <w:tcW w:w="1830" w:type="dxa"/>
            <w:vAlign w:val="center"/>
          </w:tcPr>
          <w:p w14:paraId="21F8DB3E">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李俊丽</w:t>
            </w:r>
          </w:p>
        </w:tc>
        <w:tc>
          <w:tcPr>
            <w:tcW w:w="3991" w:type="dxa"/>
            <w:vAlign w:val="center"/>
          </w:tcPr>
          <w:p w14:paraId="5902A157">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15906861035</w:t>
            </w:r>
          </w:p>
        </w:tc>
      </w:tr>
      <w:tr w14:paraId="00F9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84077FB">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宁波银行台州分行</w:t>
            </w:r>
          </w:p>
        </w:tc>
        <w:tc>
          <w:tcPr>
            <w:tcW w:w="1691" w:type="dxa"/>
            <w:vAlign w:val="center"/>
          </w:tcPr>
          <w:p w14:paraId="26F8391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4.35%起</w:t>
            </w:r>
          </w:p>
        </w:tc>
        <w:tc>
          <w:tcPr>
            <w:tcW w:w="1830" w:type="dxa"/>
            <w:vAlign w:val="center"/>
          </w:tcPr>
          <w:p w14:paraId="28172721">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戴莉丽</w:t>
            </w:r>
          </w:p>
        </w:tc>
        <w:tc>
          <w:tcPr>
            <w:tcW w:w="3991" w:type="dxa"/>
            <w:vAlign w:val="center"/>
          </w:tcPr>
          <w:p w14:paraId="6E07150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13566627207</w:t>
            </w:r>
          </w:p>
        </w:tc>
      </w:tr>
      <w:tr w14:paraId="4DB3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40C5375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金华银行台州分行</w:t>
            </w:r>
          </w:p>
        </w:tc>
        <w:tc>
          <w:tcPr>
            <w:tcW w:w="1691" w:type="dxa"/>
            <w:vAlign w:val="center"/>
          </w:tcPr>
          <w:p w14:paraId="20FF48DE">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4.05%起</w:t>
            </w:r>
          </w:p>
        </w:tc>
        <w:tc>
          <w:tcPr>
            <w:tcW w:w="1830" w:type="dxa"/>
            <w:vAlign w:val="center"/>
          </w:tcPr>
          <w:p w14:paraId="40156CC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金雪婷</w:t>
            </w:r>
          </w:p>
        </w:tc>
        <w:tc>
          <w:tcPr>
            <w:tcW w:w="3991" w:type="dxa"/>
            <w:vAlign w:val="center"/>
          </w:tcPr>
          <w:p w14:paraId="0E750B1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81886670、15968661569</w:t>
            </w:r>
          </w:p>
        </w:tc>
      </w:tr>
      <w:tr w14:paraId="628E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18B10813">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台州银行</w:t>
            </w:r>
          </w:p>
        </w:tc>
        <w:tc>
          <w:tcPr>
            <w:tcW w:w="1691" w:type="dxa"/>
            <w:vAlign w:val="center"/>
          </w:tcPr>
          <w:p w14:paraId="288C38F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5.6%起</w:t>
            </w:r>
          </w:p>
        </w:tc>
        <w:tc>
          <w:tcPr>
            <w:tcW w:w="1830" w:type="dxa"/>
            <w:vAlign w:val="center"/>
          </w:tcPr>
          <w:p w14:paraId="7B0AFC5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洪婷</w:t>
            </w:r>
          </w:p>
        </w:tc>
        <w:tc>
          <w:tcPr>
            <w:tcW w:w="3991" w:type="dxa"/>
            <w:vAlign w:val="center"/>
          </w:tcPr>
          <w:p w14:paraId="167BAA41">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15858624999</w:t>
            </w:r>
          </w:p>
        </w:tc>
      </w:tr>
      <w:tr w14:paraId="7CF3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46BFEADB">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邮储银行台州分行</w:t>
            </w:r>
          </w:p>
        </w:tc>
        <w:tc>
          <w:tcPr>
            <w:tcW w:w="1691" w:type="dxa"/>
            <w:vAlign w:val="center"/>
          </w:tcPr>
          <w:p w14:paraId="1B9FCC54">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3.85%起</w:t>
            </w:r>
          </w:p>
        </w:tc>
        <w:tc>
          <w:tcPr>
            <w:tcW w:w="1830" w:type="dxa"/>
            <w:vAlign w:val="center"/>
          </w:tcPr>
          <w:p w14:paraId="782F6BC2">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董庆</w:t>
            </w:r>
          </w:p>
        </w:tc>
        <w:tc>
          <w:tcPr>
            <w:tcW w:w="3991" w:type="dxa"/>
            <w:vAlign w:val="center"/>
          </w:tcPr>
          <w:p w14:paraId="0C2F60D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81888982、18957683757</w:t>
            </w:r>
          </w:p>
        </w:tc>
      </w:tr>
    </w:tbl>
    <w:p w14:paraId="634FA4A2">
      <w:pPr>
        <w:pStyle w:val="11"/>
        <w:spacing w:beforeLines="50" w:afterLines="50" w:line="360" w:lineRule="auto"/>
        <w:outlineLvl w:val="0"/>
        <w:rPr>
          <w:rFonts w:asciiTheme="minorEastAsia" w:hAnsiTheme="minorEastAsia" w:eastAsiaTheme="minorEastAsia"/>
          <w:color w:val="auto"/>
          <w:highlight w:val="none"/>
        </w:rPr>
      </w:pPr>
    </w:p>
    <w:p w14:paraId="5D8AE294">
      <w:pPr>
        <w:pStyle w:val="5"/>
        <w:ind w:firstLine="422"/>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合同履约保函联系方式</w:t>
      </w:r>
    </w:p>
    <w:tbl>
      <w:tblPr>
        <w:tblStyle w:val="23"/>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3403"/>
        <w:gridCol w:w="1276"/>
        <w:gridCol w:w="1983"/>
      </w:tblGrid>
      <w:tr w14:paraId="76E9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7AC99CE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保险公司名称</w:t>
            </w:r>
          </w:p>
        </w:tc>
        <w:tc>
          <w:tcPr>
            <w:tcW w:w="3403" w:type="dxa"/>
            <w:vAlign w:val="center"/>
          </w:tcPr>
          <w:p w14:paraId="0FB89DAE">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保费率</w:t>
            </w:r>
          </w:p>
        </w:tc>
        <w:tc>
          <w:tcPr>
            <w:tcW w:w="1276" w:type="dxa"/>
            <w:vAlign w:val="center"/>
          </w:tcPr>
          <w:p w14:paraId="2D63937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联系人</w:t>
            </w:r>
          </w:p>
        </w:tc>
        <w:tc>
          <w:tcPr>
            <w:tcW w:w="1983" w:type="dxa"/>
            <w:vAlign w:val="center"/>
          </w:tcPr>
          <w:p w14:paraId="0F4835D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联系电话</w:t>
            </w:r>
          </w:p>
        </w:tc>
      </w:tr>
      <w:tr w14:paraId="0C59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38933176">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中国人寿财产保险股份有限公司台州中心支公司</w:t>
            </w:r>
          </w:p>
        </w:tc>
        <w:tc>
          <w:tcPr>
            <w:tcW w:w="3403" w:type="dxa"/>
            <w:vAlign w:val="center"/>
          </w:tcPr>
          <w:p w14:paraId="41CCF6FD">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年费率1%，最低保费500元</w:t>
            </w:r>
          </w:p>
        </w:tc>
        <w:tc>
          <w:tcPr>
            <w:tcW w:w="1276" w:type="dxa"/>
            <w:vAlign w:val="center"/>
          </w:tcPr>
          <w:p w14:paraId="43C19561">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徐凌</w:t>
            </w:r>
          </w:p>
        </w:tc>
        <w:tc>
          <w:tcPr>
            <w:tcW w:w="1983" w:type="dxa"/>
            <w:vAlign w:val="center"/>
          </w:tcPr>
          <w:p w14:paraId="5DF93826">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13905168070</w:t>
            </w:r>
          </w:p>
        </w:tc>
      </w:tr>
      <w:tr w14:paraId="5640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4F1D8A9A">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永诚财产保险股份有限公司台州分公司</w:t>
            </w:r>
          </w:p>
        </w:tc>
        <w:tc>
          <w:tcPr>
            <w:tcW w:w="3403" w:type="dxa"/>
            <w:vAlign w:val="center"/>
          </w:tcPr>
          <w:p w14:paraId="21D44F1A">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年费率1%，最低保费1000元</w:t>
            </w:r>
          </w:p>
        </w:tc>
        <w:tc>
          <w:tcPr>
            <w:tcW w:w="1276" w:type="dxa"/>
            <w:vAlign w:val="center"/>
          </w:tcPr>
          <w:p w14:paraId="475ED853">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尹刚强</w:t>
            </w:r>
          </w:p>
        </w:tc>
        <w:tc>
          <w:tcPr>
            <w:tcW w:w="1983" w:type="dxa"/>
            <w:vAlign w:val="center"/>
          </w:tcPr>
          <w:p w14:paraId="10D86E3C">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13750668184</w:t>
            </w:r>
          </w:p>
        </w:tc>
      </w:tr>
      <w:tr w14:paraId="3D6A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6628EAC5">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华泰财产保险有限公司台州中心支公司</w:t>
            </w:r>
          </w:p>
        </w:tc>
        <w:tc>
          <w:tcPr>
            <w:tcW w:w="3403" w:type="dxa"/>
            <w:vAlign w:val="center"/>
          </w:tcPr>
          <w:p w14:paraId="05F85979">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年费率0.5%，最低保费1000元</w:t>
            </w:r>
          </w:p>
        </w:tc>
        <w:tc>
          <w:tcPr>
            <w:tcW w:w="1276" w:type="dxa"/>
            <w:vAlign w:val="center"/>
          </w:tcPr>
          <w:p w14:paraId="57588F1B">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王灵芳</w:t>
            </w:r>
          </w:p>
        </w:tc>
        <w:tc>
          <w:tcPr>
            <w:tcW w:w="1983" w:type="dxa"/>
            <w:vAlign w:val="center"/>
          </w:tcPr>
          <w:p w14:paraId="2BA8C8DE">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88869818、13586123199</w:t>
            </w:r>
          </w:p>
        </w:tc>
      </w:tr>
      <w:tr w14:paraId="38D8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014C89A8">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中国大地财产保险股份有限公司台州中心支公司</w:t>
            </w:r>
          </w:p>
        </w:tc>
        <w:tc>
          <w:tcPr>
            <w:tcW w:w="3403" w:type="dxa"/>
            <w:vAlign w:val="center"/>
          </w:tcPr>
          <w:p w14:paraId="1C55B5BA">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年费率1.5%，最低保费1000元</w:t>
            </w:r>
          </w:p>
        </w:tc>
        <w:tc>
          <w:tcPr>
            <w:tcW w:w="1276" w:type="dxa"/>
            <w:vAlign w:val="center"/>
          </w:tcPr>
          <w:p w14:paraId="29073B11">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徐小明</w:t>
            </w:r>
          </w:p>
        </w:tc>
        <w:tc>
          <w:tcPr>
            <w:tcW w:w="1983" w:type="dxa"/>
            <w:vAlign w:val="center"/>
          </w:tcPr>
          <w:p w14:paraId="279FBEA6">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88552788、13968603112</w:t>
            </w:r>
          </w:p>
        </w:tc>
      </w:tr>
      <w:tr w14:paraId="1E4F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3F5724D1">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阳光保险台州中心支公司</w:t>
            </w:r>
          </w:p>
        </w:tc>
        <w:tc>
          <w:tcPr>
            <w:tcW w:w="3403" w:type="dxa"/>
            <w:vAlign w:val="center"/>
          </w:tcPr>
          <w:p w14:paraId="5D5EB141">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年费率1%，最低保费500元</w:t>
            </w:r>
          </w:p>
        </w:tc>
        <w:tc>
          <w:tcPr>
            <w:tcW w:w="1276" w:type="dxa"/>
            <w:vAlign w:val="center"/>
          </w:tcPr>
          <w:p w14:paraId="2C82F7CD">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林高明</w:t>
            </w:r>
          </w:p>
        </w:tc>
        <w:tc>
          <w:tcPr>
            <w:tcW w:w="1983" w:type="dxa"/>
            <w:vAlign w:val="center"/>
          </w:tcPr>
          <w:p w14:paraId="258A6C63">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15888682693</w:t>
            </w:r>
          </w:p>
        </w:tc>
      </w:tr>
      <w:tr w14:paraId="1978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12CB025E">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中华联合财产保险股份有限公司台州中心支公司</w:t>
            </w:r>
          </w:p>
        </w:tc>
        <w:tc>
          <w:tcPr>
            <w:tcW w:w="3403" w:type="dxa"/>
            <w:vAlign w:val="center"/>
          </w:tcPr>
          <w:p w14:paraId="1A2CCA43">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年费率2%，最低保费500元</w:t>
            </w:r>
          </w:p>
        </w:tc>
        <w:tc>
          <w:tcPr>
            <w:tcW w:w="1276" w:type="dxa"/>
            <w:vAlign w:val="center"/>
          </w:tcPr>
          <w:p w14:paraId="02EEB193">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王仙高</w:t>
            </w:r>
          </w:p>
        </w:tc>
        <w:tc>
          <w:tcPr>
            <w:tcW w:w="1983" w:type="dxa"/>
            <w:vAlign w:val="center"/>
          </w:tcPr>
          <w:p w14:paraId="6E035465">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13858600221</w:t>
            </w:r>
          </w:p>
        </w:tc>
      </w:tr>
      <w:tr w14:paraId="78EF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010D6DB9">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中国人民财产保险股份有限公司台州中心支公司</w:t>
            </w:r>
          </w:p>
        </w:tc>
        <w:tc>
          <w:tcPr>
            <w:tcW w:w="3403" w:type="dxa"/>
            <w:vAlign w:val="center"/>
          </w:tcPr>
          <w:p w14:paraId="0B1094E8">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年费率0.3%，最低保费1000元</w:t>
            </w:r>
          </w:p>
        </w:tc>
        <w:tc>
          <w:tcPr>
            <w:tcW w:w="1276" w:type="dxa"/>
            <w:vAlign w:val="center"/>
          </w:tcPr>
          <w:p w14:paraId="5EE893E4">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王仙春</w:t>
            </w:r>
          </w:p>
        </w:tc>
        <w:tc>
          <w:tcPr>
            <w:tcW w:w="1983" w:type="dxa"/>
            <w:vAlign w:val="center"/>
          </w:tcPr>
          <w:p w14:paraId="5CAE0CC7">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13515769179</w:t>
            </w:r>
          </w:p>
        </w:tc>
      </w:tr>
      <w:tr w14:paraId="08AF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00294C29">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永安财产保险股份有限公司台州中心支公司</w:t>
            </w:r>
          </w:p>
        </w:tc>
        <w:tc>
          <w:tcPr>
            <w:tcW w:w="3403" w:type="dxa"/>
            <w:vAlign w:val="center"/>
          </w:tcPr>
          <w:p w14:paraId="6EB1EA25">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年费率0.3%，最低保费1000</w:t>
            </w:r>
          </w:p>
        </w:tc>
        <w:tc>
          <w:tcPr>
            <w:tcW w:w="1276" w:type="dxa"/>
            <w:vAlign w:val="center"/>
          </w:tcPr>
          <w:p w14:paraId="4DD5E8A4">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王春宇</w:t>
            </w:r>
          </w:p>
        </w:tc>
        <w:tc>
          <w:tcPr>
            <w:tcW w:w="1983" w:type="dxa"/>
            <w:vAlign w:val="center"/>
          </w:tcPr>
          <w:p w14:paraId="766B6645">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13676675331</w:t>
            </w:r>
          </w:p>
        </w:tc>
      </w:tr>
    </w:tbl>
    <w:p w14:paraId="55D50E0B">
      <w:pPr>
        <w:spacing w:line="276" w:lineRule="auto"/>
        <w:ind w:firstLine="738" w:firstLineChars="350"/>
        <w:jc w:val="center"/>
        <w:rPr>
          <w:rFonts w:cs="宋体" w:asciiTheme="minorEastAsia" w:hAnsiTheme="minorEastAsia"/>
          <w:b/>
          <w:color w:val="auto"/>
          <w:szCs w:val="21"/>
          <w:highlight w:val="none"/>
        </w:rPr>
      </w:pPr>
    </w:p>
    <w:p w14:paraId="203C273E">
      <w:pPr>
        <w:spacing w:line="276" w:lineRule="auto"/>
        <w:ind w:firstLine="738" w:firstLineChars="350"/>
        <w:jc w:val="center"/>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预付款保函联系方式</w:t>
      </w:r>
    </w:p>
    <w:tbl>
      <w:tblPr>
        <w:tblStyle w:val="23"/>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4"/>
        <w:gridCol w:w="3300"/>
        <w:gridCol w:w="1275"/>
        <w:gridCol w:w="1966"/>
      </w:tblGrid>
      <w:tr w14:paraId="483A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24" w:type="dxa"/>
            <w:vAlign w:val="center"/>
          </w:tcPr>
          <w:p w14:paraId="14D11F70">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保险公司名称</w:t>
            </w:r>
          </w:p>
        </w:tc>
        <w:tc>
          <w:tcPr>
            <w:tcW w:w="3300" w:type="dxa"/>
            <w:vAlign w:val="center"/>
          </w:tcPr>
          <w:p w14:paraId="36C37A52">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保费率</w:t>
            </w:r>
          </w:p>
        </w:tc>
        <w:tc>
          <w:tcPr>
            <w:tcW w:w="1275" w:type="dxa"/>
            <w:vAlign w:val="center"/>
          </w:tcPr>
          <w:p w14:paraId="0312E536">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联系人</w:t>
            </w:r>
          </w:p>
        </w:tc>
        <w:tc>
          <w:tcPr>
            <w:tcW w:w="1966" w:type="dxa"/>
            <w:vAlign w:val="center"/>
          </w:tcPr>
          <w:p w14:paraId="7537CCEE">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联系电话</w:t>
            </w:r>
          </w:p>
        </w:tc>
      </w:tr>
      <w:tr w14:paraId="293E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4" w:type="dxa"/>
            <w:vAlign w:val="center"/>
          </w:tcPr>
          <w:p w14:paraId="3D4629A0">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中国人寿财产保险股份有限公司台州中心支公司</w:t>
            </w:r>
          </w:p>
        </w:tc>
        <w:tc>
          <w:tcPr>
            <w:tcW w:w="3300" w:type="dxa"/>
            <w:vAlign w:val="center"/>
          </w:tcPr>
          <w:p w14:paraId="301AC0FD">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年费率3%，最低保费500元</w:t>
            </w:r>
          </w:p>
        </w:tc>
        <w:tc>
          <w:tcPr>
            <w:tcW w:w="1275" w:type="dxa"/>
            <w:vAlign w:val="center"/>
          </w:tcPr>
          <w:p w14:paraId="63CBF4AA">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徐凌</w:t>
            </w:r>
          </w:p>
        </w:tc>
        <w:tc>
          <w:tcPr>
            <w:tcW w:w="1966" w:type="dxa"/>
            <w:vAlign w:val="center"/>
          </w:tcPr>
          <w:p w14:paraId="73BAB02B">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13905168070</w:t>
            </w:r>
          </w:p>
        </w:tc>
      </w:tr>
      <w:tr w14:paraId="5334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4" w:type="dxa"/>
            <w:vAlign w:val="center"/>
          </w:tcPr>
          <w:p w14:paraId="6D329634">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阳光保险台州中心支公司</w:t>
            </w:r>
          </w:p>
        </w:tc>
        <w:tc>
          <w:tcPr>
            <w:tcW w:w="3300" w:type="dxa"/>
            <w:vAlign w:val="center"/>
          </w:tcPr>
          <w:p w14:paraId="526597B2">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年费率1%，最低保费500元</w:t>
            </w:r>
          </w:p>
        </w:tc>
        <w:tc>
          <w:tcPr>
            <w:tcW w:w="1275" w:type="dxa"/>
            <w:vAlign w:val="center"/>
          </w:tcPr>
          <w:p w14:paraId="3D6D11F7">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林高明</w:t>
            </w:r>
          </w:p>
        </w:tc>
        <w:tc>
          <w:tcPr>
            <w:tcW w:w="1966" w:type="dxa"/>
            <w:vAlign w:val="center"/>
          </w:tcPr>
          <w:p w14:paraId="2F0D72C4">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15888682693</w:t>
            </w:r>
          </w:p>
        </w:tc>
      </w:tr>
      <w:tr w14:paraId="761C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4" w:type="dxa"/>
            <w:vAlign w:val="center"/>
          </w:tcPr>
          <w:p w14:paraId="210FF521">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天安财产保险股份有限公司台州中心支公司</w:t>
            </w:r>
          </w:p>
        </w:tc>
        <w:tc>
          <w:tcPr>
            <w:tcW w:w="3300" w:type="dxa"/>
            <w:vAlign w:val="center"/>
          </w:tcPr>
          <w:p w14:paraId="04A2F202">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年费率1%-2%，最低保费500元</w:t>
            </w:r>
          </w:p>
        </w:tc>
        <w:tc>
          <w:tcPr>
            <w:tcW w:w="1275" w:type="dxa"/>
            <w:vAlign w:val="center"/>
          </w:tcPr>
          <w:p w14:paraId="7238B407">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罗赛</w:t>
            </w:r>
          </w:p>
        </w:tc>
        <w:tc>
          <w:tcPr>
            <w:tcW w:w="1966" w:type="dxa"/>
            <w:vAlign w:val="center"/>
          </w:tcPr>
          <w:p w14:paraId="4B1139D2">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13736605643</w:t>
            </w:r>
          </w:p>
        </w:tc>
      </w:tr>
    </w:tbl>
    <w:p w14:paraId="3EB17E78">
      <w:pPr>
        <w:spacing w:line="400" w:lineRule="exact"/>
        <w:contextualSpacing/>
        <w:jc w:val="left"/>
        <w:rPr>
          <w:rFonts w:cs="Arial" w:asciiTheme="minorEastAsia" w:hAnsiTheme="minorEastAsia"/>
          <w:b/>
          <w:color w:val="auto"/>
          <w:szCs w:val="21"/>
          <w:highlight w:val="none"/>
        </w:rPr>
      </w:pPr>
      <w:r>
        <w:rPr>
          <w:rFonts w:hint="eastAsia" w:cs="Arial" w:asciiTheme="minorEastAsia" w:hAnsiTheme="minorEastAsia"/>
          <w:b/>
          <w:color w:val="auto"/>
          <w:szCs w:val="21"/>
          <w:highlight w:val="none"/>
        </w:rPr>
        <w:t>若对项目采购电子交易系统操作有疑问，可登录政采云（https://www.zcygov.cn/），点击右侧咨询小采，获取采小蜜智能服务管家帮助，或拨打政采云服务热线</w:t>
      </w:r>
      <w:r>
        <w:rPr>
          <w:rFonts w:cs="Arial" w:asciiTheme="minorEastAsia" w:hAnsiTheme="minorEastAsia"/>
          <w:b/>
          <w:color w:val="auto"/>
          <w:szCs w:val="21"/>
          <w:highlight w:val="none"/>
        </w:rPr>
        <w:t>95763</w:t>
      </w:r>
      <w:r>
        <w:rPr>
          <w:rFonts w:hint="eastAsia" w:cs="Arial" w:asciiTheme="minorEastAsia" w:hAnsiTheme="minorEastAsia"/>
          <w:b/>
          <w:color w:val="auto"/>
          <w:szCs w:val="21"/>
          <w:highlight w:val="none"/>
        </w:rPr>
        <w:t>获取热线服务帮助。</w:t>
      </w:r>
    </w:p>
    <w:p w14:paraId="7C1A939D">
      <w:pPr>
        <w:spacing w:line="400" w:lineRule="exact"/>
        <w:ind w:firstLine="422" w:firstLineChars="200"/>
        <w:contextualSpacing/>
        <w:jc w:val="left"/>
        <w:rPr>
          <w:rFonts w:cs="Arial" w:asciiTheme="minorEastAsia" w:hAnsiTheme="minorEastAsia"/>
          <w:b/>
          <w:color w:val="auto"/>
          <w:szCs w:val="21"/>
          <w:highlight w:val="none"/>
        </w:rPr>
      </w:pPr>
      <w:r>
        <w:rPr>
          <w:rFonts w:hint="eastAsia" w:cs="Arial" w:asciiTheme="minorEastAsia" w:hAnsiTheme="minorEastAsia"/>
          <w:b/>
          <w:color w:val="auto"/>
          <w:szCs w:val="21"/>
          <w:highlight w:val="none"/>
        </w:rPr>
        <w:t>CA问题联系电话（人工）：汇信CA400-888-4636；天谷CA400-087-8198。</w:t>
      </w:r>
    </w:p>
    <w:p w14:paraId="0CBD9C26">
      <w:pPr>
        <w:rPr>
          <w:color w:val="auto"/>
          <w:highlight w:val="none"/>
        </w:rPr>
      </w:pPr>
    </w:p>
    <w:p w14:paraId="79A81B32">
      <w:pPr>
        <w:spacing w:line="360" w:lineRule="auto"/>
        <w:rPr>
          <w:color w:val="auto"/>
          <w:szCs w:val="21"/>
          <w:highlight w:val="none"/>
        </w:rPr>
        <w:sectPr>
          <w:footerReference r:id="rId7" w:type="default"/>
          <w:pgSz w:w="11907" w:h="16840"/>
          <w:pgMar w:top="1247" w:right="1531" w:bottom="1304" w:left="1531" w:header="284" w:footer="705" w:gutter="0"/>
          <w:pgBorders>
            <w:top w:val="none" w:sz="0" w:space="0"/>
            <w:left w:val="none" w:sz="0" w:space="0"/>
            <w:bottom w:val="none" w:sz="0" w:space="0"/>
            <w:right w:val="none" w:sz="0" w:space="0"/>
          </w:pgBorders>
          <w:pgNumType w:fmt="decimal" w:start="1"/>
          <w:cols w:space="720" w:num="1"/>
          <w:docGrid w:linePitch="285" w:charSpace="0"/>
        </w:sectPr>
      </w:pPr>
    </w:p>
    <w:bookmarkEnd w:id="8"/>
    <w:bookmarkEnd w:id="9"/>
    <w:p w14:paraId="638DCD31">
      <w:pPr>
        <w:pageBreakBefore/>
        <w:shd w:val="clear" w:color="auto" w:fill="FFFFFF"/>
        <w:snapToGrid w:val="0"/>
        <w:spacing w:line="360" w:lineRule="auto"/>
        <w:ind w:left="105"/>
        <w:jc w:val="center"/>
        <w:outlineLvl w:val="0"/>
        <w:rPr>
          <w:rFonts w:ascii="Times New Roman" w:hAnsi="Times New Roman"/>
          <w:color w:val="auto"/>
          <w:sz w:val="36"/>
          <w:szCs w:val="36"/>
          <w:highlight w:val="none"/>
        </w:rPr>
      </w:pPr>
      <w:bookmarkStart w:id="14" w:name="_Toc11440"/>
      <w:bookmarkStart w:id="15" w:name="_Toc3692"/>
      <w:bookmarkStart w:id="16" w:name="_Toc18266"/>
      <w:bookmarkStart w:id="17" w:name="_Toc32413"/>
      <w:bookmarkStart w:id="18" w:name="_Toc25794"/>
      <w:bookmarkStart w:id="19" w:name="_Toc22671"/>
      <w:r>
        <w:rPr>
          <w:rFonts w:hint="eastAsia" w:cs="宋体" w:asciiTheme="minorEastAsia" w:hAnsiTheme="minorEastAsia"/>
          <w:b/>
          <w:bCs/>
          <w:color w:val="auto"/>
          <w:sz w:val="32"/>
          <w:szCs w:val="32"/>
          <w:highlight w:val="none"/>
        </w:rPr>
        <w:t xml:space="preserve">第二部分  </w:t>
      </w:r>
      <w:bookmarkEnd w:id="14"/>
      <w:bookmarkEnd w:id="15"/>
      <w:bookmarkEnd w:id="16"/>
      <w:bookmarkEnd w:id="17"/>
      <w:bookmarkEnd w:id="18"/>
      <w:bookmarkEnd w:id="19"/>
      <w:bookmarkStart w:id="20" w:name="_Toc53870597"/>
      <w:r>
        <w:rPr>
          <w:rFonts w:hint="eastAsia" w:cs="宋体" w:asciiTheme="minorEastAsia" w:hAnsiTheme="minorEastAsia"/>
          <w:b/>
          <w:bCs/>
          <w:color w:val="auto"/>
          <w:sz w:val="32"/>
          <w:szCs w:val="32"/>
          <w:highlight w:val="none"/>
        </w:rPr>
        <w:t>投标资料表</w:t>
      </w:r>
      <w:bookmarkEnd w:id="20"/>
    </w:p>
    <w:tbl>
      <w:tblPr>
        <w:tblStyle w:val="22"/>
        <w:tblW w:w="985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3"/>
        <w:gridCol w:w="9029"/>
      </w:tblGrid>
      <w:tr w14:paraId="7C91BC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23" w:type="dxa"/>
            <w:tcBorders>
              <w:bottom w:val="single" w:color="auto" w:sz="4" w:space="0"/>
            </w:tcBorders>
            <w:vAlign w:val="center"/>
          </w:tcPr>
          <w:p w14:paraId="17F1DDEF">
            <w:pPr>
              <w:spacing w:line="360" w:lineRule="exact"/>
              <w:ind w:left="-108" w:right="-113"/>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9029" w:type="dxa"/>
            <w:tcBorders>
              <w:bottom w:val="single" w:color="auto" w:sz="4" w:space="0"/>
            </w:tcBorders>
            <w:vAlign w:val="center"/>
          </w:tcPr>
          <w:p w14:paraId="78ACF523">
            <w:pPr>
              <w:spacing w:line="360" w:lineRule="exact"/>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内         容</w:t>
            </w:r>
          </w:p>
        </w:tc>
      </w:tr>
      <w:tr w14:paraId="55ED12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restart"/>
            <w:vAlign w:val="center"/>
          </w:tcPr>
          <w:p w14:paraId="5AE44978">
            <w:pPr>
              <w:autoSpaceDE w:val="0"/>
              <w:autoSpaceDN w:val="0"/>
              <w:snapToGrid w:val="0"/>
              <w:spacing w:line="360" w:lineRule="exact"/>
              <w:ind w:left="-95" w:right="-129"/>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9029" w:type="dxa"/>
            <w:vAlign w:val="center"/>
          </w:tcPr>
          <w:p w14:paraId="242881E4">
            <w:pPr>
              <w:tabs>
                <w:tab w:val="left" w:pos="1580"/>
                <w:tab w:val="left" w:pos="3436"/>
                <w:tab w:val="left" w:pos="5512"/>
              </w:tabs>
              <w:spacing w:line="360" w:lineRule="exact"/>
              <w:ind w:left="21"/>
              <w:contextualSpacing/>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采购人：</w:t>
            </w:r>
            <w:r>
              <w:rPr>
                <w:rFonts w:hint="eastAsia" w:asciiTheme="minorEastAsia" w:hAnsiTheme="minorEastAsia"/>
                <w:color w:val="auto"/>
                <w:szCs w:val="21"/>
                <w:highlight w:val="none"/>
                <w:lang w:eastAsia="zh-CN"/>
              </w:rPr>
              <w:t>台州市公安局交通警察局</w:t>
            </w:r>
          </w:p>
          <w:p w14:paraId="3778CF00">
            <w:pPr>
              <w:tabs>
                <w:tab w:val="left" w:pos="1580"/>
                <w:tab w:val="left" w:pos="3436"/>
                <w:tab w:val="left" w:pos="5512"/>
              </w:tabs>
              <w:spacing w:line="360" w:lineRule="exact"/>
              <w:ind w:left="21"/>
              <w:contextualSpacing/>
              <w:rPr>
                <w:rFonts w:asciiTheme="minorEastAsia" w:hAnsiTheme="minorEastAsia"/>
                <w:color w:val="auto"/>
                <w:szCs w:val="21"/>
                <w:highlight w:val="none"/>
              </w:rPr>
            </w:pPr>
            <w:r>
              <w:rPr>
                <w:rFonts w:hint="eastAsia" w:asciiTheme="minorEastAsia" w:hAnsiTheme="minorEastAsia"/>
                <w:color w:val="auto"/>
                <w:szCs w:val="21"/>
                <w:highlight w:val="none"/>
              </w:rPr>
              <w:t>项目联系人：管警官     联系方式：0576-81895128</w:t>
            </w:r>
          </w:p>
        </w:tc>
      </w:tr>
      <w:tr w14:paraId="68FAC9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continue"/>
            <w:vAlign w:val="center"/>
          </w:tcPr>
          <w:p w14:paraId="3F5E42F4">
            <w:pPr>
              <w:autoSpaceDE w:val="0"/>
              <w:autoSpaceDN w:val="0"/>
              <w:snapToGrid w:val="0"/>
              <w:spacing w:line="360" w:lineRule="exact"/>
              <w:ind w:left="-95" w:right="-129"/>
              <w:contextualSpacing/>
              <w:jc w:val="center"/>
              <w:rPr>
                <w:rFonts w:asciiTheme="minorEastAsia" w:hAnsiTheme="minorEastAsia"/>
                <w:b/>
                <w:color w:val="auto"/>
                <w:szCs w:val="21"/>
                <w:highlight w:val="none"/>
              </w:rPr>
            </w:pPr>
          </w:p>
        </w:tc>
        <w:tc>
          <w:tcPr>
            <w:tcW w:w="9029" w:type="dxa"/>
            <w:vAlign w:val="center"/>
          </w:tcPr>
          <w:p w14:paraId="51158731">
            <w:pPr>
              <w:tabs>
                <w:tab w:val="left" w:pos="1580"/>
                <w:tab w:val="left" w:pos="3436"/>
                <w:tab w:val="left" w:pos="5512"/>
              </w:tabs>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采购</w:t>
            </w:r>
            <w:r>
              <w:rPr>
                <w:rFonts w:asciiTheme="minorEastAsia" w:hAnsiTheme="minorEastAsia"/>
                <w:color w:val="auto"/>
                <w:szCs w:val="21"/>
                <w:highlight w:val="none"/>
              </w:rPr>
              <w:t>代理机构：中冠工程管理咨询有限公司</w:t>
            </w:r>
          </w:p>
          <w:p w14:paraId="31428F52">
            <w:pPr>
              <w:tabs>
                <w:tab w:val="left" w:pos="1300"/>
              </w:tabs>
              <w:spacing w:line="360" w:lineRule="exact"/>
              <w:ind w:left="21"/>
              <w:contextualSpacing/>
              <w:rPr>
                <w:rFonts w:asciiTheme="minorEastAsia" w:hAnsiTheme="minorEastAsia"/>
                <w:color w:val="auto"/>
                <w:szCs w:val="21"/>
                <w:highlight w:val="none"/>
              </w:rPr>
            </w:pPr>
            <w:r>
              <w:rPr>
                <w:rFonts w:hint="eastAsia" w:asciiTheme="minorEastAsia" w:hAnsiTheme="minorEastAsia"/>
                <w:color w:val="auto"/>
                <w:szCs w:val="21"/>
                <w:highlight w:val="none"/>
              </w:rPr>
              <w:t>联系人：</w:t>
            </w:r>
            <w:r>
              <w:rPr>
                <w:rFonts w:hint="eastAsia" w:cs="Arial" w:asciiTheme="minorEastAsia" w:hAnsiTheme="minorEastAsia"/>
                <w:color w:val="auto"/>
                <w:szCs w:val="21"/>
                <w:highlight w:val="none"/>
              </w:rPr>
              <w:t>戴艳燕、陈金泉、王莎莎</w:t>
            </w:r>
          </w:p>
          <w:p w14:paraId="24C32966">
            <w:pPr>
              <w:spacing w:line="400" w:lineRule="exact"/>
              <w:contextualSpacing/>
              <w:rPr>
                <w:rFonts w:cs="Arial" w:asciiTheme="minorEastAsia" w:hAnsiTheme="minorEastAsia"/>
                <w:color w:val="auto"/>
                <w:szCs w:val="21"/>
                <w:highlight w:val="none"/>
              </w:rPr>
            </w:pPr>
            <w:r>
              <w:rPr>
                <w:rFonts w:hint="eastAsia" w:asciiTheme="minorEastAsia" w:hAnsiTheme="minorEastAsia"/>
                <w:color w:val="auto"/>
                <w:szCs w:val="21"/>
                <w:highlight w:val="none"/>
              </w:rPr>
              <w:t>电话：</w:t>
            </w:r>
            <w:r>
              <w:rPr>
                <w:rFonts w:cs="Arial" w:asciiTheme="minorEastAsia" w:hAnsiTheme="minorEastAsia"/>
                <w:color w:val="auto"/>
                <w:szCs w:val="21"/>
                <w:highlight w:val="none"/>
              </w:rPr>
              <w:t>0576-81810227、18968407875</w:t>
            </w:r>
            <w:r>
              <w:rPr>
                <w:rFonts w:hint="eastAsia" w:asciiTheme="minorEastAsia" w:hAnsiTheme="minorEastAsia"/>
                <w:color w:val="auto"/>
                <w:szCs w:val="21"/>
                <w:highlight w:val="none"/>
              </w:rPr>
              <w:t xml:space="preserve">    传真：</w:t>
            </w:r>
            <w:r>
              <w:rPr>
                <w:rFonts w:cs="Arial" w:asciiTheme="minorEastAsia" w:hAnsiTheme="minorEastAsia"/>
                <w:color w:val="auto"/>
                <w:szCs w:val="21"/>
                <w:highlight w:val="none"/>
              </w:rPr>
              <w:t>0576-81810806</w:t>
            </w:r>
          </w:p>
        </w:tc>
      </w:tr>
      <w:tr w14:paraId="68A7AD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1C9A2E64">
            <w:pPr>
              <w:spacing w:line="360" w:lineRule="exact"/>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2</w:t>
            </w:r>
          </w:p>
        </w:tc>
        <w:tc>
          <w:tcPr>
            <w:tcW w:w="9029" w:type="dxa"/>
            <w:tcBorders>
              <w:top w:val="single" w:color="auto" w:sz="4" w:space="0"/>
              <w:bottom w:val="single" w:color="auto" w:sz="2" w:space="0"/>
            </w:tcBorders>
            <w:vAlign w:val="center"/>
          </w:tcPr>
          <w:p w14:paraId="6AB55A61">
            <w:pPr>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经批准的本次采购方式：公开招标</w:t>
            </w:r>
          </w:p>
        </w:tc>
      </w:tr>
      <w:tr w14:paraId="2A3D57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612DD60D">
            <w:pPr>
              <w:spacing w:line="360" w:lineRule="exact"/>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3</w:t>
            </w:r>
          </w:p>
        </w:tc>
        <w:tc>
          <w:tcPr>
            <w:tcW w:w="9029" w:type="dxa"/>
            <w:tcBorders>
              <w:top w:val="single" w:color="auto" w:sz="4" w:space="0"/>
              <w:bottom w:val="single" w:color="auto" w:sz="2" w:space="0"/>
            </w:tcBorders>
            <w:vAlign w:val="center"/>
          </w:tcPr>
          <w:p w14:paraId="11139096">
            <w:pPr>
              <w:spacing w:line="360" w:lineRule="exact"/>
              <w:contextualSpacing/>
              <w:rPr>
                <w:rFonts w:cs="Arial" w:asciiTheme="minorEastAsia" w:hAnsiTheme="minorEastAsia"/>
                <w:bCs/>
                <w:color w:val="auto"/>
                <w:szCs w:val="21"/>
                <w:highlight w:val="none"/>
              </w:rPr>
            </w:pPr>
            <w:r>
              <w:rPr>
                <w:rFonts w:hint="eastAsia" w:cs="Arial" w:asciiTheme="minorEastAsia" w:hAnsiTheme="minorEastAsia"/>
                <w:bCs/>
                <w:color w:val="auto"/>
                <w:szCs w:val="21"/>
                <w:highlight w:val="none"/>
              </w:rPr>
              <w:t>投标人</w:t>
            </w:r>
            <w:r>
              <w:rPr>
                <w:rFonts w:cs="Arial" w:asciiTheme="minorEastAsia" w:hAnsiTheme="minorEastAsia"/>
                <w:bCs/>
                <w:color w:val="auto"/>
                <w:szCs w:val="21"/>
                <w:highlight w:val="none"/>
              </w:rPr>
              <w:t>的资格要求：</w:t>
            </w:r>
            <w:r>
              <w:rPr>
                <w:rFonts w:hint="eastAsia" w:asciiTheme="minorEastAsia" w:hAnsiTheme="minorEastAsia"/>
                <w:color w:val="auto"/>
                <w:szCs w:val="21"/>
                <w:highlight w:val="none"/>
              </w:rPr>
              <w:t>详见“第一部分 采购</w:t>
            </w:r>
            <w:r>
              <w:rPr>
                <w:rFonts w:asciiTheme="minorEastAsia" w:hAnsiTheme="minorEastAsia"/>
                <w:color w:val="auto"/>
                <w:szCs w:val="21"/>
                <w:highlight w:val="none"/>
              </w:rPr>
              <w:t>公告</w:t>
            </w:r>
            <w:r>
              <w:rPr>
                <w:rFonts w:hint="eastAsia" w:asciiTheme="minorEastAsia" w:hAnsiTheme="minorEastAsia"/>
                <w:color w:val="auto"/>
                <w:szCs w:val="21"/>
                <w:highlight w:val="none"/>
              </w:rPr>
              <w:t>”。</w:t>
            </w:r>
          </w:p>
        </w:tc>
      </w:tr>
      <w:tr w14:paraId="5372AC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734BBC01">
            <w:pPr>
              <w:spacing w:line="360" w:lineRule="exact"/>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4</w:t>
            </w:r>
          </w:p>
        </w:tc>
        <w:tc>
          <w:tcPr>
            <w:tcW w:w="9029" w:type="dxa"/>
            <w:tcBorders>
              <w:top w:val="single" w:color="auto" w:sz="4" w:space="0"/>
              <w:bottom w:val="single" w:color="auto" w:sz="2" w:space="0"/>
            </w:tcBorders>
            <w:vAlign w:val="center"/>
          </w:tcPr>
          <w:p w14:paraId="58F0D6B4">
            <w:pPr>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资格审查：本项目采用资格后审。</w:t>
            </w:r>
          </w:p>
        </w:tc>
      </w:tr>
      <w:tr w14:paraId="0C47C3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3" w:type="dxa"/>
            <w:vAlign w:val="center"/>
          </w:tcPr>
          <w:p w14:paraId="4920386E">
            <w:pPr>
              <w:tabs>
                <w:tab w:val="left" w:pos="1580"/>
                <w:tab w:val="left" w:pos="3436"/>
                <w:tab w:val="left" w:pos="5512"/>
              </w:tabs>
              <w:spacing w:line="360" w:lineRule="exact"/>
              <w:ind w:left="21"/>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▲5</w:t>
            </w:r>
          </w:p>
        </w:tc>
        <w:tc>
          <w:tcPr>
            <w:tcW w:w="9029" w:type="dxa"/>
            <w:vAlign w:val="center"/>
          </w:tcPr>
          <w:p w14:paraId="422FCD44">
            <w:pPr>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商务条款资料部分：见“第五部分 采购内容及要求”</w:t>
            </w:r>
          </w:p>
        </w:tc>
      </w:tr>
      <w:tr w14:paraId="5F7B63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2B5A582F">
            <w:pPr>
              <w:tabs>
                <w:tab w:val="left" w:pos="1580"/>
                <w:tab w:val="left" w:pos="3436"/>
                <w:tab w:val="left" w:pos="5512"/>
              </w:tabs>
              <w:spacing w:line="360" w:lineRule="exact"/>
              <w:ind w:left="21"/>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▲6</w:t>
            </w:r>
          </w:p>
        </w:tc>
        <w:tc>
          <w:tcPr>
            <w:tcW w:w="9029" w:type="dxa"/>
            <w:vAlign w:val="center"/>
          </w:tcPr>
          <w:p w14:paraId="0894F44B">
            <w:pPr>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投标报价：</w:t>
            </w:r>
          </w:p>
          <w:p w14:paraId="4D03D667">
            <w:pPr>
              <w:spacing w:line="360" w:lineRule="exact"/>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1、最高限价：本项目按结算率报价，每项产品的</w:t>
            </w:r>
            <w:r>
              <w:rPr>
                <w:rFonts w:hint="eastAsia" w:asciiTheme="minorEastAsia" w:hAnsiTheme="minorEastAsia"/>
                <w:b/>
                <w:color w:val="auto"/>
                <w:szCs w:val="21"/>
                <w:highlight w:val="none"/>
                <w:lang w:eastAsia="zh-CN"/>
              </w:rPr>
              <w:t>最终结算</w:t>
            </w:r>
            <w:r>
              <w:rPr>
                <w:rFonts w:hint="eastAsia" w:asciiTheme="minorEastAsia" w:hAnsiTheme="minorEastAsia"/>
                <w:b/>
                <w:color w:val="auto"/>
                <w:szCs w:val="21"/>
                <w:highlight w:val="none"/>
              </w:rPr>
              <w:t>单价不得超过采购需求单价最高限价。</w:t>
            </w:r>
          </w:p>
          <w:p w14:paraId="4FD77D6E">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b/>
                <w:color w:val="auto"/>
                <w:sz w:val="21"/>
                <w:szCs w:val="21"/>
                <w:highlight w:val="none"/>
              </w:rPr>
              <w:t>投标报价：</w:t>
            </w:r>
            <w:r>
              <w:rPr>
                <w:rFonts w:hint="eastAsia" w:cs="Times New Roman" w:asciiTheme="minorEastAsia" w:hAnsiTheme="minorEastAsia" w:eastAsiaTheme="minorEastAsia"/>
                <w:b w:val="0"/>
                <w:bCs/>
                <w:color w:val="auto"/>
                <w:sz w:val="21"/>
                <w:szCs w:val="21"/>
                <w:highlight w:val="none"/>
              </w:rPr>
              <w:t>投标人的报价应包含员工基本工资、节假日补贴、高温补贴、社保、税费、员工福利、管理费等一切费用。</w:t>
            </w:r>
          </w:p>
          <w:p w14:paraId="24419BDB">
            <w:pPr>
              <w:spacing w:line="300" w:lineRule="auto"/>
              <w:contextualSpacing/>
              <w:rPr>
                <w:rFonts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 w:val="21"/>
                <w:szCs w:val="21"/>
                <w:highlight w:val="none"/>
              </w:rPr>
              <w:t>3、不论中标结果如何，投标人均应自行承担所有与投标有关的全部费用。</w:t>
            </w:r>
            <w:r>
              <w:rPr>
                <w:rFonts w:hint="eastAsia" w:ascii="宋体" w:hAnsi="宋体" w:cs="宋体"/>
                <w:color w:val="auto"/>
                <w:szCs w:val="24"/>
                <w:highlight w:val="none"/>
              </w:rPr>
              <w:t>报价包括完成项目所需人工费、材料费、招标代理服务费等全部费用</w:t>
            </w:r>
            <w:r>
              <w:rPr>
                <w:rFonts w:hint="eastAsia" w:ascii="宋体" w:hAnsi="宋体" w:cs="宋体"/>
                <w:bCs/>
                <w:color w:val="auto"/>
                <w:szCs w:val="24"/>
                <w:highlight w:val="none"/>
              </w:rPr>
              <w:t>。</w:t>
            </w:r>
          </w:p>
        </w:tc>
      </w:tr>
      <w:tr w14:paraId="4060F2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310B0910">
            <w:pPr>
              <w:tabs>
                <w:tab w:val="left" w:pos="1580"/>
                <w:tab w:val="left" w:pos="3436"/>
                <w:tab w:val="left" w:pos="5512"/>
              </w:tabs>
              <w:spacing w:line="360" w:lineRule="exact"/>
              <w:ind w:left="21"/>
              <w:contextualSpacing/>
              <w:jc w:val="center"/>
              <w:rPr>
                <w:rFonts w:hint="eastAsia" w:asciiTheme="minorEastAsia" w:hAnsiTheme="minorEastAsia" w:eastAsiaTheme="minorEastAsia"/>
                <w:b/>
                <w:color w:val="auto"/>
                <w:szCs w:val="21"/>
                <w:highlight w:val="none"/>
                <w:lang w:val="en-US" w:eastAsia="zh-CN"/>
              </w:rPr>
            </w:pPr>
            <w:r>
              <w:rPr>
                <w:rFonts w:hint="eastAsia" w:asciiTheme="minorEastAsia" w:hAnsiTheme="minorEastAsia"/>
                <w:b/>
                <w:color w:val="auto"/>
                <w:szCs w:val="21"/>
                <w:highlight w:val="none"/>
                <w:lang w:val="en-US" w:eastAsia="zh-CN"/>
              </w:rPr>
              <w:t>7</w:t>
            </w:r>
          </w:p>
        </w:tc>
        <w:tc>
          <w:tcPr>
            <w:tcW w:w="9029" w:type="dxa"/>
            <w:vAlign w:val="center"/>
          </w:tcPr>
          <w:p w14:paraId="1314DD02">
            <w:pPr>
              <w:spacing w:line="300" w:lineRule="auto"/>
              <w:contextualSpacing/>
              <w:rPr>
                <w:rFonts w:hint="eastAsia" w:cs="Times New Roman" w:asciiTheme="minorEastAsia" w:hAnsiTheme="minorEastAsia"/>
                <w:color w:val="auto"/>
                <w:sz w:val="21"/>
                <w:szCs w:val="21"/>
                <w:highlight w:val="none"/>
                <w:lang w:eastAsia="zh-CN"/>
              </w:rPr>
            </w:pPr>
            <w:r>
              <w:rPr>
                <w:rFonts w:hint="eastAsia" w:cs="Times New Roman" w:asciiTheme="minorEastAsia" w:hAnsiTheme="minorEastAsia"/>
                <w:color w:val="auto"/>
                <w:sz w:val="21"/>
                <w:szCs w:val="21"/>
                <w:highlight w:val="none"/>
                <w:lang w:eastAsia="zh-CN"/>
              </w:rPr>
              <w:t>履约保证金：</w:t>
            </w:r>
          </w:p>
          <w:p w14:paraId="7535DAF3">
            <w:pPr>
              <w:pStyle w:val="7"/>
              <w:rPr>
                <w:rFonts w:hint="eastAsia"/>
                <w:color w:val="auto"/>
                <w:highlight w:val="none"/>
                <w:lang w:eastAsia="zh-CN"/>
              </w:rPr>
            </w:pPr>
            <w:r>
              <w:rPr>
                <w:rFonts w:hint="eastAsia" w:cs="Times New Roman" w:asciiTheme="minorEastAsia" w:hAnsiTheme="minorEastAsia" w:eastAsiaTheme="minorEastAsia"/>
                <w:color w:val="auto"/>
                <w:kern w:val="2"/>
                <w:sz w:val="21"/>
                <w:szCs w:val="21"/>
                <w:highlight w:val="none"/>
                <w:lang w:val="en-US" w:eastAsia="zh-CN" w:bidi="ar-SA"/>
              </w:rPr>
              <w:t>履约保证金为合同金额的1%，签订合同后10日内向采购人提交（履约保证金可采用支票、汇票、保函、担保等形式），</w:t>
            </w:r>
            <w:r>
              <w:rPr>
                <w:rFonts w:hint="eastAsia" w:cs="宋体" w:asciiTheme="minorEastAsia" w:hAnsiTheme="minorEastAsia" w:eastAsiaTheme="minorEastAsia"/>
                <w:color w:val="auto"/>
                <w:highlight w:val="none"/>
              </w:rPr>
              <w:t>在合同履约到期且无质量、服务投诉和索赔后该款项10个工作日内无息返还。</w:t>
            </w:r>
          </w:p>
        </w:tc>
      </w:tr>
      <w:tr w14:paraId="5B2D8B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7D518DD">
            <w:pPr>
              <w:tabs>
                <w:tab w:val="left" w:pos="1580"/>
                <w:tab w:val="left" w:pos="3436"/>
                <w:tab w:val="left" w:pos="5512"/>
              </w:tabs>
              <w:spacing w:line="360" w:lineRule="exact"/>
              <w:ind w:left="21"/>
              <w:contextualSpacing/>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w:t>
            </w:r>
            <w:r>
              <w:rPr>
                <w:rFonts w:hint="eastAsia" w:asciiTheme="minorEastAsia" w:hAnsiTheme="minorEastAsia"/>
                <w:b/>
                <w:color w:val="auto"/>
                <w:szCs w:val="21"/>
                <w:highlight w:val="none"/>
                <w:lang w:val="en-US" w:eastAsia="zh-CN"/>
              </w:rPr>
              <w:t>8</w:t>
            </w:r>
          </w:p>
        </w:tc>
        <w:tc>
          <w:tcPr>
            <w:tcW w:w="9029" w:type="dxa"/>
            <w:vAlign w:val="center"/>
          </w:tcPr>
          <w:p w14:paraId="4BB1540B">
            <w:pPr>
              <w:autoSpaceDE w:val="0"/>
              <w:autoSpaceDN w:val="0"/>
              <w:snapToGrid w:val="0"/>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投标有效期：开标之日起90日历天。</w:t>
            </w:r>
          </w:p>
        </w:tc>
      </w:tr>
      <w:tr w14:paraId="485F01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32FDAD5F">
            <w:pPr>
              <w:autoSpaceDE w:val="0"/>
              <w:autoSpaceDN w:val="0"/>
              <w:snapToGrid w:val="0"/>
              <w:spacing w:line="360" w:lineRule="exact"/>
              <w:ind w:left="-95" w:right="-129"/>
              <w:contextualSpacing/>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lang w:val="en-US" w:eastAsia="zh-CN"/>
              </w:rPr>
              <w:t>9</w:t>
            </w:r>
          </w:p>
        </w:tc>
        <w:tc>
          <w:tcPr>
            <w:tcW w:w="9029" w:type="dxa"/>
            <w:vAlign w:val="center"/>
          </w:tcPr>
          <w:p w14:paraId="7F687926">
            <w:pPr>
              <w:spacing w:line="444" w:lineRule="exact"/>
              <w:jc w:val="left"/>
              <w:rPr>
                <w:rFonts w:asciiTheme="minorEastAsia" w:hAnsiTheme="minorEastAsia"/>
                <w:color w:val="auto"/>
                <w:szCs w:val="21"/>
                <w:highlight w:val="none"/>
              </w:rPr>
            </w:pPr>
            <w:r>
              <w:rPr>
                <w:rFonts w:hint="eastAsia" w:asciiTheme="minorEastAsia" w:hAnsiTheme="minorEastAsia"/>
                <w:color w:val="auto"/>
                <w:szCs w:val="21"/>
                <w:highlight w:val="none"/>
              </w:rPr>
              <w:t>投标文件的制作和投标：</w:t>
            </w:r>
          </w:p>
          <w:p w14:paraId="0B7445FF">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请投标供应商在投标前仔细阅读“政府采购项目电子交易操作指南”。</w:t>
            </w:r>
          </w:p>
          <w:p w14:paraId="01B78713">
            <w:pPr>
              <w:pStyle w:val="10"/>
              <w:spacing w:line="444" w:lineRule="exact"/>
              <w:ind w:left="105" w:leftChars="50"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1</w:t>
            </w: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投标文件的制作：投标供应商按照本项目</w:t>
            </w:r>
            <w:r>
              <w:rPr>
                <w:rFonts w:hint="eastAsia" w:cs="Times New Roman" w:asciiTheme="minorEastAsia" w:hAnsiTheme="minorEastAsia" w:eastAsiaTheme="minorEastAsia"/>
                <w:color w:val="auto"/>
                <w:sz w:val="21"/>
                <w:szCs w:val="21"/>
                <w:highlight w:val="none"/>
              </w:rPr>
              <w:t>采购</w:t>
            </w:r>
            <w:r>
              <w:rPr>
                <w:rFonts w:cs="Times New Roman" w:asciiTheme="minorEastAsia" w:hAnsiTheme="minorEastAsia" w:eastAsiaTheme="minorEastAsia"/>
                <w:color w:val="auto"/>
                <w:sz w:val="21"/>
                <w:szCs w:val="21"/>
                <w:highlight w:val="none"/>
              </w:rPr>
              <w:t>文件和政采云平台的要求,通过“政采云电子交易客户端”编制、加密并递交投标文件（下载网址：https://zfcg.czt.zj.gov.cn/download/index.html）。</w:t>
            </w:r>
          </w:p>
          <w:p w14:paraId="0701B524">
            <w:pPr>
              <w:pStyle w:val="10"/>
              <w:spacing w:line="444" w:lineRule="exact"/>
              <w:ind w:left="105" w:leftChars="50"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68E520CB">
            <w:pPr>
              <w:pStyle w:val="10"/>
              <w:spacing w:line="444" w:lineRule="exact"/>
              <w:ind w:left="105" w:leftChars="50"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3</w:t>
            </w: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投标文件解密：投标供应商应在开标后30分钟内完成解密。</w:t>
            </w:r>
          </w:p>
          <w:p w14:paraId="03F03749">
            <w:pPr>
              <w:pStyle w:val="10"/>
              <w:spacing w:line="444" w:lineRule="exact"/>
              <w:ind w:firstLine="105" w:firstLineChars="50"/>
              <w:jc w:val="left"/>
              <w:rPr>
                <w:rFonts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sz w:val="21"/>
                <w:szCs w:val="21"/>
                <w:highlight w:val="none"/>
              </w:rPr>
              <w:t>4、中标人中标后需提供纸质投标文件给采购人作为备案存档，纸质投标文件系电子投标文件纸质版，两者内容应一致；数量为：资格证明文件2份；资格及商务技术文件2份；报价文件2份。</w:t>
            </w:r>
          </w:p>
        </w:tc>
      </w:tr>
      <w:tr w14:paraId="6BE51A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3C8C4498">
            <w:pPr>
              <w:autoSpaceDE w:val="0"/>
              <w:autoSpaceDN w:val="0"/>
              <w:snapToGrid w:val="0"/>
              <w:spacing w:line="360" w:lineRule="exact"/>
              <w:ind w:left="-95" w:right="-129"/>
              <w:contextualSpacing/>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b/>
                <w:color w:val="auto"/>
                <w:szCs w:val="21"/>
                <w:highlight w:val="none"/>
                <w:lang w:val="en-US" w:eastAsia="zh-CN"/>
              </w:rPr>
              <w:t>10</w:t>
            </w:r>
          </w:p>
        </w:tc>
        <w:tc>
          <w:tcPr>
            <w:tcW w:w="9029" w:type="dxa"/>
            <w:vAlign w:val="center"/>
          </w:tcPr>
          <w:p w14:paraId="38899BD1">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投标文件组成与份数：</w:t>
            </w:r>
          </w:p>
          <w:p w14:paraId="7AB19C4B">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1、上传到政府采购云平台的电子加密投标文件（含资格证明文件、技术商务文件、报价文件）1份。</w:t>
            </w:r>
          </w:p>
          <w:p w14:paraId="0CC1BB19">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2、电子备份投标文件（含资格证明文件、技术商务文件、报价文件）1份。备份投标文件是通过政采云电子交易客户端制作投标文件产生的备份文件</w:t>
            </w:r>
            <w:r>
              <w:rPr>
                <w:rFonts w:hint="eastAsia" w:cs="Times New Roman" w:asciiTheme="minorEastAsia" w:hAnsiTheme="minorEastAsia" w:eastAsiaTheme="minorEastAsia"/>
                <w:color w:val="auto"/>
                <w:sz w:val="21"/>
                <w:szCs w:val="21"/>
                <w:highlight w:val="none"/>
                <w:lang w:eastAsia="zh-CN"/>
              </w:rPr>
              <w:t>（bfbs格式）</w:t>
            </w:r>
            <w:r>
              <w:rPr>
                <w:rFonts w:hint="eastAsia" w:cs="Times New Roman" w:asciiTheme="minorEastAsia" w:hAnsiTheme="minorEastAsia" w:eastAsiaTheme="minorEastAsia"/>
                <w:color w:val="auto"/>
                <w:sz w:val="21"/>
                <w:szCs w:val="21"/>
                <w:highlight w:val="none"/>
              </w:rPr>
              <w:t>，请投标供应商自行妥善保管。</w:t>
            </w:r>
          </w:p>
          <w:p w14:paraId="2FA822A7">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（1）使用前提：投标供应商自行在线解密操作失败无法按时寻求技术人员帮助解密，或者投标供应商寻求技术人员帮助仍无法按时完成解密。</w:t>
            </w:r>
          </w:p>
          <w:p w14:paraId="421F5DA7">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（2）递交截止时间：同投标截止时间。</w:t>
            </w:r>
          </w:p>
          <w:p w14:paraId="36CB0F83">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（3）投递邮箱：</w:t>
            </w:r>
            <w:r>
              <w:rPr>
                <w:color w:val="auto"/>
                <w:highlight w:val="none"/>
              </w:rPr>
              <w:fldChar w:fldCharType="begin"/>
            </w:r>
            <w:r>
              <w:rPr>
                <w:color w:val="auto"/>
                <w:highlight w:val="none"/>
              </w:rPr>
              <w:instrText xml:space="preserve"> HYPERLINK "mailto:zgtzfgs@163.com" </w:instrText>
            </w:r>
            <w:r>
              <w:rPr>
                <w:color w:val="auto"/>
                <w:highlight w:val="none"/>
              </w:rPr>
              <w:fldChar w:fldCharType="separate"/>
            </w:r>
            <w:r>
              <w:rPr>
                <w:rFonts w:hint="eastAsia" w:cs="Times New Roman" w:asciiTheme="minorEastAsia" w:hAnsiTheme="minorEastAsia" w:eastAsiaTheme="minorEastAsia"/>
                <w:b/>
                <w:color w:val="auto"/>
                <w:sz w:val="21"/>
                <w:szCs w:val="21"/>
                <w:highlight w:val="none"/>
              </w:rPr>
              <w:t>zgtzfgs@163.com</w:t>
            </w:r>
            <w:r>
              <w:rPr>
                <w:rFonts w:hint="eastAsia" w:cs="Times New Roman" w:asciiTheme="minorEastAsia" w:hAnsiTheme="minorEastAsia" w:eastAsiaTheme="minorEastAsia"/>
                <w:b/>
                <w:color w:val="auto"/>
                <w:sz w:val="21"/>
                <w:szCs w:val="21"/>
                <w:highlight w:val="none"/>
              </w:rPr>
              <w:fldChar w:fldCharType="end"/>
            </w:r>
            <w:r>
              <w:rPr>
                <w:rFonts w:hint="eastAsia" w:cs="Times New Roman" w:asciiTheme="minorEastAsia" w:hAnsiTheme="minorEastAsia" w:eastAsiaTheme="minorEastAsia"/>
                <w:b/>
                <w:color w:val="auto"/>
                <w:sz w:val="21"/>
                <w:szCs w:val="21"/>
                <w:highlight w:val="none"/>
              </w:rPr>
              <w:t>。</w:t>
            </w:r>
          </w:p>
          <w:p w14:paraId="5BE6EAFF">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（4）备份投标文件由供应商自行确定是否提交，因备份投标文件未加密而造成失密等情况，采购代理机构概不负责。未在系统上提交投标文件而仅提交备份投标文件的，其投标无效。</w:t>
            </w:r>
          </w:p>
        </w:tc>
      </w:tr>
      <w:tr w14:paraId="45C63A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2" w:space="0"/>
            </w:tcBorders>
            <w:vAlign w:val="center"/>
          </w:tcPr>
          <w:p w14:paraId="02972CAD">
            <w:pPr>
              <w:autoSpaceDE w:val="0"/>
              <w:autoSpaceDN w:val="0"/>
              <w:snapToGrid w:val="0"/>
              <w:spacing w:line="360" w:lineRule="exact"/>
              <w:ind w:left="-95" w:right="-129"/>
              <w:contextualSpacing/>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1</w:t>
            </w:r>
            <w:r>
              <w:rPr>
                <w:rFonts w:hint="eastAsia" w:asciiTheme="minorEastAsia" w:hAnsiTheme="minorEastAsia"/>
                <w:b/>
                <w:color w:val="auto"/>
                <w:szCs w:val="21"/>
                <w:highlight w:val="none"/>
                <w:lang w:val="en-US" w:eastAsia="zh-CN"/>
              </w:rPr>
              <w:t>1</w:t>
            </w:r>
          </w:p>
        </w:tc>
        <w:tc>
          <w:tcPr>
            <w:tcW w:w="9029" w:type="dxa"/>
            <w:tcBorders>
              <w:top w:val="single" w:color="auto" w:sz="2" w:space="0"/>
            </w:tcBorders>
            <w:vAlign w:val="center"/>
          </w:tcPr>
          <w:p w14:paraId="784F756D">
            <w:pPr>
              <w:autoSpaceDE w:val="0"/>
              <w:autoSpaceDN w:val="0"/>
              <w:snapToGrid w:val="0"/>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采购公告与中标公告发布网站：</w:t>
            </w:r>
            <w:r>
              <w:rPr>
                <w:rFonts w:hint="eastAsia" w:cs="Arial" w:asciiTheme="minorEastAsia" w:hAnsiTheme="minorEastAsia"/>
                <w:color w:val="auto"/>
                <w:szCs w:val="21"/>
                <w:highlight w:val="none"/>
              </w:rPr>
              <w:t>浙江政府采购网（www.zjzfcg.gov.cn）。</w:t>
            </w:r>
          </w:p>
        </w:tc>
      </w:tr>
      <w:tr w14:paraId="6D6465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2" w:space="0"/>
            </w:tcBorders>
            <w:vAlign w:val="center"/>
          </w:tcPr>
          <w:p w14:paraId="342C11C1">
            <w:pPr>
              <w:autoSpaceDE w:val="0"/>
              <w:autoSpaceDN w:val="0"/>
              <w:snapToGrid w:val="0"/>
              <w:spacing w:line="360" w:lineRule="exact"/>
              <w:ind w:left="-95" w:right="-129"/>
              <w:contextualSpacing/>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1</w:t>
            </w:r>
            <w:r>
              <w:rPr>
                <w:rFonts w:hint="eastAsia" w:asciiTheme="minorEastAsia" w:hAnsiTheme="minorEastAsia"/>
                <w:b/>
                <w:color w:val="auto"/>
                <w:szCs w:val="21"/>
                <w:highlight w:val="none"/>
                <w:lang w:val="en-US" w:eastAsia="zh-CN"/>
              </w:rPr>
              <w:t>2</w:t>
            </w:r>
          </w:p>
        </w:tc>
        <w:tc>
          <w:tcPr>
            <w:tcW w:w="9029" w:type="dxa"/>
            <w:tcBorders>
              <w:top w:val="single" w:color="auto" w:sz="2" w:space="0"/>
            </w:tcBorders>
            <w:vAlign w:val="center"/>
          </w:tcPr>
          <w:p w14:paraId="15B6A8C3">
            <w:pPr>
              <w:autoSpaceDE w:val="0"/>
              <w:autoSpaceDN w:val="0"/>
              <w:snapToGrid w:val="0"/>
              <w:spacing w:line="360" w:lineRule="exact"/>
              <w:contextualSpacing/>
              <w:jc w:val="left"/>
              <w:rPr>
                <w:rFonts w:asciiTheme="minorEastAsia" w:hAnsiTheme="minorEastAsia"/>
                <w:color w:val="auto"/>
                <w:szCs w:val="21"/>
                <w:highlight w:val="none"/>
              </w:rPr>
            </w:pPr>
            <w:r>
              <w:rPr>
                <w:rFonts w:hint="eastAsia" w:ascii="宋体" w:hAnsi="宋体" w:cs="宋体"/>
                <w:color w:val="auto"/>
                <w:szCs w:val="21"/>
                <w:highlight w:val="none"/>
              </w:rPr>
              <w:t>信用信息查询渠道</w:t>
            </w:r>
            <w:r>
              <w:rPr>
                <w:rFonts w:hint="eastAsia" w:asciiTheme="minorEastAsia" w:hAnsiTheme="minorEastAsia"/>
                <w:color w:val="auto"/>
                <w:szCs w:val="21"/>
                <w:highlight w:val="none"/>
              </w:rPr>
              <w:t>：</w:t>
            </w:r>
            <w:r>
              <w:rPr>
                <w:rFonts w:asciiTheme="minorEastAsia" w:hAnsiTheme="minorEastAsia"/>
                <w:color w:val="auto"/>
                <w:szCs w:val="21"/>
                <w:highlight w:val="none"/>
              </w:rPr>
              <w:t>信用中国网站（www.creditchina.gov.cn）、中国政府采购网（www.ccgp.gov.cn）</w:t>
            </w:r>
            <w:r>
              <w:rPr>
                <w:rFonts w:hint="eastAsia" w:asciiTheme="minorEastAsia" w:hAnsiTheme="minorEastAsia"/>
                <w:color w:val="auto"/>
                <w:szCs w:val="21"/>
                <w:highlight w:val="none"/>
              </w:rPr>
              <w:t>。</w:t>
            </w:r>
          </w:p>
        </w:tc>
      </w:tr>
      <w:tr w14:paraId="1E8E0F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29B34B66">
            <w:pPr>
              <w:autoSpaceDE w:val="0"/>
              <w:autoSpaceDN w:val="0"/>
              <w:snapToGrid w:val="0"/>
              <w:spacing w:line="360" w:lineRule="exact"/>
              <w:ind w:left="-95" w:right="-129"/>
              <w:contextualSpacing/>
              <w:jc w:val="center"/>
              <w:rPr>
                <w:rFonts w:hint="default" w:cs="宋体" w:asciiTheme="minorEastAsia" w:hAnsiTheme="minorEastAsia" w:eastAsiaTheme="minorEastAsia"/>
                <w:b/>
                <w:color w:val="auto"/>
                <w:szCs w:val="21"/>
                <w:highlight w:val="none"/>
                <w:lang w:val="en-US" w:eastAsia="zh-CN"/>
              </w:rPr>
            </w:pPr>
            <w:r>
              <w:rPr>
                <w:rFonts w:hint="eastAsia" w:asciiTheme="minorEastAsia" w:hAnsiTheme="minorEastAsia"/>
                <w:b/>
                <w:color w:val="auto"/>
                <w:szCs w:val="21"/>
                <w:highlight w:val="none"/>
                <w:lang w:val="en-US" w:eastAsia="zh-CN"/>
              </w:rPr>
              <w:t>13</w:t>
            </w:r>
          </w:p>
        </w:tc>
        <w:tc>
          <w:tcPr>
            <w:tcW w:w="9029" w:type="dxa"/>
            <w:vAlign w:val="center"/>
          </w:tcPr>
          <w:p w14:paraId="1B4DC1B8">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1、踏勘现场时间及地点：不组织，各投标单位根据自己需要，自行前往勘察现场和周围环境，所产生的费用由投标单位自理。</w:t>
            </w:r>
          </w:p>
          <w:p w14:paraId="78AECF2B">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2、节能产品、环保产品：无要求；</w:t>
            </w:r>
          </w:p>
          <w:p w14:paraId="64A55DDB">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3、样品：</w:t>
            </w:r>
            <w:r>
              <w:rPr>
                <w:rFonts w:hint="eastAsia" w:cs="Times New Roman" w:asciiTheme="minorEastAsia" w:hAnsiTheme="minorEastAsia" w:eastAsiaTheme="minorEastAsia"/>
                <w:color w:val="auto"/>
                <w:sz w:val="21"/>
                <w:szCs w:val="21"/>
                <w:highlight w:val="none"/>
              </w:rPr>
              <w:t>无</w:t>
            </w:r>
            <w:r>
              <w:rPr>
                <w:rFonts w:cs="Times New Roman" w:asciiTheme="minorEastAsia" w:hAnsiTheme="minorEastAsia" w:eastAsiaTheme="minorEastAsia"/>
                <w:color w:val="auto"/>
                <w:sz w:val="21"/>
                <w:szCs w:val="21"/>
                <w:highlight w:val="none"/>
              </w:rPr>
              <w:t>；</w:t>
            </w:r>
          </w:p>
          <w:p w14:paraId="2D5B4D81">
            <w:pPr>
              <w:pStyle w:val="10"/>
              <w:spacing w:line="444" w:lineRule="exact"/>
              <w:ind w:firstLine="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4、现场演示：</w:t>
            </w:r>
            <w:r>
              <w:rPr>
                <w:rFonts w:hint="eastAsia" w:cs="Times New Roman" w:asciiTheme="minorEastAsia" w:hAnsiTheme="minorEastAsia" w:eastAsiaTheme="minorEastAsia"/>
                <w:color w:val="auto"/>
                <w:sz w:val="21"/>
                <w:szCs w:val="21"/>
                <w:highlight w:val="none"/>
              </w:rPr>
              <w:t>无</w:t>
            </w:r>
            <w:r>
              <w:rPr>
                <w:rFonts w:cs="Times New Roman" w:asciiTheme="minorEastAsia" w:hAnsiTheme="minorEastAsia" w:eastAsiaTheme="minorEastAsia"/>
                <w:color w:val="auto"/>
                <w:sz w:val="21"/>
                <w:szCs w:val="21"/>
                <w:highlight w:val="none"/>
              </w:rPr>
              <w:t>。</w:t>
            </w:r>
          </w:p>
        </w:tc>
      </w:tr>
      <w:tr w14:paraId="5A630D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2ACBEF1E">
            <w:pPr>
              <w:autoSpaceDE w:val="0"/>
              <w:autoSpaceDN w:val="0"/>
              <w:snapToGrid w:val="0"/>
              <w:spacing w:line="360" w:lineRule="exact"/>
              <w:ind w:left="-95" w:right="-129"/>
              <w:contextualSpacing/>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1</w:t>
            </w:r>
            <w:r>
              <w:rPr>
                <w:rFonts w:hint="eastAsia" w:asciiTheme="minorEastAsia" w:hAnsiTheme="minorEastAsia"/>
                <w:b/>
                <w:color w:val="auto"/>
                <w:szCs w:val="21"/>
                <w:highlight w:val="none"/>
                <w:lang w:val="en-US" w:eastAsia="zh-CN"/>
              </w:rPr>
              <w:t>4</w:t>
            </w:r>
          </w:p>
        </w:tc>
        <w:tc>
          <w:tcPr>
            <w:tcW w:w="9029" w:type="dxa"/>
            <w:vAlign w:val="center"/>
          </w:tcPr>
          <w:p w14:paraId="79CDC4B6">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代理服务费：</w:t>
            </w:r>
          </w:p>
          <w:p w14:paraId="71E0171F">
            <w:pPr>
              <w:pStyle w:val="10"/>
              <w:spacing w:line="444" w:lineRule="exact"/>
              <w:ind w:firstLine="0"/>
              <w:jc w:val="left"/>
              <w:rPr>
                <w:rFonts w:ascii="宋体" w:hAnsi="宋体" w:eastAsia="宋体" w:cs="宋体"/>
                <w:b/>
                <w:color w:val="auto"/>
                <w:sz w:val="24"/>
                <w:highlight w:val="none"/>
              </w:rPr>
            </w:pPr>
            <w:r>
              <w:rPr>
                <w:rFonts w:hint="eastAsia" w:cs="Times New Roman" w:asciiTheme="minorEastAsia" w:hAnsiTheme="minorEastAsia" w:eastAsiaTheme="minorEastAsia"/>
                <w:color w:val="auto"/>
                <w:sz w:val="21"/>
                <w:szCs w:val="21"/>
                <w:highlight w:val="none"/>
              </w:rPr>
              <w:t>1、代理费金额：本项目招标代理费用参照下表中</w:t>
            </w:r>
            <w:r>
              <w:rPr>
                <w:rFonts w:hint="eastAsia" w:cs="Times New Roman" w:asciiTheme="minorEastAsia" w:hAnsiTheme="minorEastAsia" w:eastAsiaTheme="minorEastAsia"/>
                <w:color w:val="auto"/>
                <w:sz w:val="21"/>
                <w:szCs w:val="21"/>
                <w:highlight w:val="none"/>
                <w:lang w:eastAsia="zh-CN"/>
              </w:rPr>
              <w:t>服务</w:t>
            </w:r>
            <w:r>
              <w:rPr>
                <w:rFonts w:hint="eastAsia" w:cs="Times New Roman" w:asciiTheme="minorEastAsia" w:hAnsiTheme="minorEastAsia" w:eastAsiaTheme="minorEastAsia"/>
                <w:color w:val="auto"/>
                <w:sz w:val="21"/>
                <w:szCs w:val="21"/>
                <w:highlight w:val="none"/>
              </w:rPr>
              <w:t>类计算标准乘以7</w:t>
            </w:r>
            <w:r>
              <w:rPr>
                <w:rFonts w:hint="eastAsia" w:cs="Times New Roman" w:asciiTheme="minorEastAsia" w:hAnsiTheme="minorEastAsia" w:eastAsiaTheme="minorEastAsia"/>
                <w:color w:val="auto"/>
                <w:sz w:val="21"/>
                <w:szCs w:val="21"/>
                <w:highlight w:val="none"/>
                <w:lang w:val="en-US" w:eastAsia="zh-CN"/>
              </w:rPr>
              <w:t>0%</w:t>
            </w:r>
            <w:r>
              <w:rPr>
                <w:rFonts w:hint="eastAsia" w:cs="Times New Roman" w:asciiTheme="minorEastAsia" w:hAnsiTheme="minorEastAsia" w:eastAsiaTheme="minorEastAsia"/>
                <w:color w:val="auto"/>
                <w:sz w:val="21"/>
                <w:szCs w:val="21"/>
                <w:highlight w:val="none"/>
              </w:rPr>
              <w:t>计算（差额定率累进法），按照</w:t>
            </w:r>
            <w:r>
              <w:rPr>
                <w:rFonts w:hint="eastAsia" w:cs="Times New Roman" w:asciiTheme="minorEastAsia" w:hAnsiTheme="minorEastAsia" w:eastAsiaTheme="minorEastAsia"/>
                <w:color w:val="auto"/>
                <w:sz w:val="21"/>
                <w:szCs w:val="21"/>
                <w:highlight w:val="none"/>
                <w:lang w:eastAsia="zh-CN"/>
              </w:rPr>
              <w:t>项目预算金额</w:t>
            </w:r>
            <w:r>
              <w:rPr>
                <w:rFonts w:hint="eastAsia" w:cs="Times New Roman" w:asciiTheme="minorEastAsia" w:hAnsiTheme="minorEastAsia" w:eastAsiaTheme="minorEastAsia"/>
                <w:color w:val="auto"/>
                <w:sz w:val="21"/>
                <w:szCs w:val="21"/>
                <w:highlight w:val="none"/>
              </w:rPr>
              <w:t>，向</w:t>
            </w:r>
            <w:r>
              <w:rPr>
                <w:rFonts w:hint="eastAsia" w:cs="Times New Roman" w:asciiTheme="minorEastAsia" w:hAnsiTheme="minorEastAsia" w:eastAsiaTheme="minorEastAsia"/>
                <w:color w:val="auto"/>
                <w:sz w:val="21"/>
                <w:szCs w:val="21"/>
                <w:highlight w:val="none"/>
                <w:lang w:eastAsia="zh-CN"/>
              </w:rPr>
              <w:t>中标人</w:t>
            </w:r>
            <w:r>
              <w:rPr>
                <w:rFonts w:hint="eastAsia" w:cs="Times New Roman" w:asciiTheme="minorEastAsia" w:hAnsiTheme="minorEastAsia" w:eastAsiaTheme="minorEastAsia"/>
                <w:color w:val="auto"/>
                <w:sz w:val="21"/>
                <w:szCs w:val="21"/>
                <w:highlight w:val="none"/>
              </w:rPr>
              <w:t>收取招标代理服务费。</w:t>
            </w:r>
          </w:p>
          <w:tbl>
            <w:tblPr>
              <w:tblStyle w:val="22"/>
              <w:tblW w:w="8158"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0"/>
              <w:gridCol w:w="1776"/>
              <w:gridCol w:w="1954"/>
              <w:gridCol w:w="1798"/>
            </w:tblGrid>
            <w:tr w14:paraId="2A97F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2630" w:type="dxa"/>
                </w:tcPr>
                <w:p w14:paraId="33B918D0">
                  <w:pPr>
                    <w:spacing w:line="440" w:lineRule="exact"/>
                    <w:ind w:firstLine="1155" w:firstLineChars="550"/>
                    <w:jc w:val="left"/>
                    <w:rPr>
                      <w:rFonts w:ascii="宋体" w:hAnsi="宋体" w:eastAsia="宋体" w:cs="宋体"/>
                      <w:color w:val="auto"/>
                      <w:szCs w:val="21"/>
                      <w:highlight w:val="none"/>
                    </w:rPr>
                  </w:pPr>
                  <w:r>
                    <w:rPr>
                      <w:rFonts w:ascii="宋体" w:hAnsi="宋体" w:eastAsia="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234950</wp:posOffset>
                            </wp:positionH>
                            <wp:positionV relativeFrom="paragraph">
                              <wp:posOffset>1270</wp:posOffset>
                            </wp:positionV>
                            <wp:extent cx="1383665" cy="836930"/>
                            <wp:effectExtent l="2540" t="3810" r="4445" b="16510"/>
                            <wp:wrapNone/>
                            <wp:docPr id="2" name="直线 3"/>
                            <wp:cNvGraphicFramePr/>
                            <a:graphic xmlns:a="http://schemas.openxmlformats.org/drawingml/2006/main">
                              <a:graphicData uri="http://schemas.microsoft.com/office/word/2010/wordprocessingShape">
                                <wps:wsp>
                                  <wps:cNvCnPr/>
                                  <wps:spPr>
                                    <a:xfrm flipH="1" flipV="1">
                                      <a:off x="0" y="0"/>
                                      <a:ext cx="1383665" cy="8369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x y;margin-left:18.5pt;margin-top:0.1pt;height:65.9pt;width:108.95pt;z-index:251660288;mso-width-relative:page;mso-height-relative:page;" filled="f" stroked="t" coordsize="21600,21600" o:gfxdata="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yzmS9MAAAAHAQAADwAAAAAAAAABACAAAAAiAAAAZHJzL2Rvd25yZXYueG1s&#10;UEsBAhQAFAAAAAgAh07iQI+dHAL9AQAAAgQAAA4AAAAAAAAAAQAgAAAAIgEAAGRycy9lMm9Eb2Mu&#10;eG1sUEsFBgAAAAAGAAYAWQEAAJE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服务类型</w:t>
                  </w:r>
                </w:p>
                <w:p w14:paraId="0982E7CE">
                  <w:pPr>
                    <w:spacing w:line="440" w:lineRule="exact"/>
                    <w:ind w:firstLine="945" w:firstLineChars="450"/>
                    <w:jc w:val="left"/>
                    <w:rPr>
                      <w:rFonts w:ascii="宋体" w:hAnsi="宋体" w:eastAsia="宋体" w:cs="宋体"/>
                      <w:color w:val="auto"/>
                      <w:szCs w:val="21"/>
                      <w:highlight w:val="none"/>
                    </w:rPr>
                  </w:pPr>
                  <w:r>
                    <w:rPr>
                      <w:rFonts w:ascii="宋体" w:hAnsi="宋体" w:eastAsia="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22860</wp:posOffset>
                            </wp:positionV>
                            <wp:extent cx="1684655" cy="535940"/>
                            <wp:effectExtent l="1270" t="4445" r="9525" b="12065"/>
                            <wp:wrapNone/>
                            <wp:docPr id="3" name="直线 4"/>
                            <wp:cNvGraphicFramePr/>
                            <a:graphic xmlns:a="http://schemas.openxmlformats.org/drawingml/2006/main">
                              <a:graphicData uri="http://schemas.microsoft.com/office/word/2010/wordprocessingShape">
                                <wps:wsp>
                                  <wps:cNvCnPr/>
                                  <wps:spPr>
                                    <a:xfrm flipH="1" flipV="1">
                                      <a:off x="0" y="0"/>
                                      <a:ext cx="1684655" cy="5359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x y;margin-left:-5.2pt;margin-top:1.8pt;height:42.2pt;width:132.65pt;z-index:251661312;mso-width-relative:page;mso-height-relative:page;" filled="f" stroked="t" coordsize="21600,21600" o:gfxdata="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x+3FrVAAAACAEAAA8AAAAAAAAAAQAgAAAAIgAAAGRycy9kb3ducmV2&#10;LnhtbFBLAQIUABQAAAAIAIdO4kAVnpAk/wEAAAIEAAAOAAAAAAAAAAEAIAAAACQBAABkcnMvZTJv&#10;RG9jLnhtbFBLBQYAAAAABgAGAFkBAACVBQ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费率</w:t>
                  </w:r>
                </w:p>
                <w:p w14:paraId="5997DF98">
                  <w:pPr>
                    <w:spacing w:line="44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1776" w:type="dxa"/>
                  <w:vAlign w:val="center"/>
                </w:tcPr>
                <w:p w14:paraId="1AF4AF2B">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货物招标</w:t>
                  </w:r>
                </w:p>
              </w:tc>
              <w:tc>
                <w:tcPr>
                  <w:tcW w:w="1954" w:type="dxa"/>
                  <w:vAlign w:val="center"/>
                </w:tcPr>
                <w:p w14:paraId="22F59FCB">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服务招标</w:t>
                  </w:r>
                </w:p>
              </w:tc>
              <w:tc>
                <w:tcPr>
                  <w:tcW w:w="1798" w:type="dxa"/>
                  <w:vAlign w:val="center"/>
                </w:tcPr>
                <w:p w14:paraId="54F1069C">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工程招标</w:t>
                  </w:r>
                </w:p>
              </w:tc>
            </w:tr>
            <w:tr w14:paraId="7506B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2630" w:type="dxa"/>
                  <w:vAlign w:val="center"/>
                </w:tcPr>
                <w:p w14:paraId="489C4502">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100以下</w:t>
                  </w:r>
                </w:p>
              </w:tc>
              <w:tc>
                <w:tcPr>
                  <w:tcW w:w="1776" w:type="dxa"/>
                </w:tcPr>
                <w:p w14:paraId="7210ADFC">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954" w:type="dxa"/>
                </w:tcPr>
                <w:p w14:paraId="6111E1FD">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798" w:type="dxa"/>
                </w:tcPr>
                <w:p w14:paraId="7D1909F0">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r>
            <w:tr w14:paraId="5B9EB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2630" w:type="dxa"/>
                  <w:vAlign w:val="center"/>
                </w:tcPr>
                <w:p w14:paraId="6CC431F4">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100-500</w:t>
                  </w:r>
                </w:p>
              </w:tc>
              <w:tc>
                <w:tcPr>
                  <w:tcW w:w="1776" w:type="dxa"/>
                </w:tcPr>
                <w:p w14:paraId="688A1515">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954" w:type="dxa"/>
                </w:tcPr>
                <w:p w14:paraId="1CDD275D">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0.8%</w:t>
                  </w:r>
                </w:p>
              </w:tc>
              <w:tc>
                <w:tcPr>
                  <w:tcW w:w="1798" w:type="dxa"/>
                </w:tcPr>
                <w:p w14:paraId="75878868">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0.7%</w:t>
                  </w:r>
                </w:p>
              </w:tc>
            </w:tr>
            <w:tr w14:paraId="0787F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2630" w:type="dxa"/>
                  <w:vAlign w:val="center"/>
                </w:tcPr>
                <w:p w14:paraId="4EB1E3E9">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500-1000</w:t>
                  </w:r>
                </w:p>
              </w:tc>
              <w:tc>
                <w:tcPr>
                  <w:tcW w:w="1776" w:type="dxa"/>
                </w:tcPr>
                <w:p w14:paraId="3DFEC8AA">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0.8%</w:t>
                  </w:r>
                </w:p>
              </w:tc>
              <w:tc>
                <w:tcPr>
                  <w:tcW w:w="1954" w:type="dxa"/>
                </w:tcPr>
                <w:p w14:paraId="19BE5E99">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0.45%</w:t>
                  </w:r>
                </w:p>
              </w:tc>
              <w:tc>
                <w:tcPr>
                  <w:tcW w:w="1798" w:type="dxa"/>
                </w:tcPr>
                <w:p w14:paraId="78B75CA2">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0.55%</w:t>
                  </w:r>
                </w:p>
              </w:tc>
            </w:tr>
          </w:tbl>
          <w:p w14:paraId="7479C191">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2、中标人应在接到代理机构通知之日起5个工作日之内向采购代理机构支付代理服务费。</w:t>
            </w:r>
          </w:p>
          <w:p w14:paraId="667BC38D">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3、收费账号：</w:t>
            </w:r>
          </w:p>
          <w:p w14:paraId="38F0BD30">
            <w:pPr>
              <w:pStyle w:val="10"/>
              <w:spacing w:line="444" w:lineRule="exact"/>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开户银行：中国农业银行股份有限公司台州经济开发区支行</w:t>
            </w:r>
          </w:p>
          <w:p w14:paraId="68D3673E">
            <w:pPr>
              <w:pStyle w:val="10"/>
              <w:spacing w:line="444" w:lineRule="exact"/>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户名：中冠工程管理咨询有限公司台州分公司</w:t>
            </w:r>
          </w:p>
          <w:p w14:paraId="3598EEF1">
            <w:pPr>
              <w:pStyle w:val="10"/>
              <w:spacing w:line="444" w:lineRule="exact"/>
              <w:ind w:firstLine="420" w:firstLineChars="200"/>
              <w:jc w:val="left"/>
              <w:rPr>
                <w:color w:val="auto"/>
                <w:highlight w:val="none"/>
              </w:rPr>
            </w:pPr>
            <w:r>
              <w:rPr>
                <w:rFonts w:hint="eastAsia" w:cs="Times New Roman" w:asciiTheme="minorEastAsia" w:hAnsiTheme="minorEastAsia" w:eastAsiaTheme="minorEastAsia"/>
                <w:color w:val="auto"/>
                <w:sz w:val="21"/>
                <w:szCs w:val="21"/>
                <w:highlight w:val="none"/>
              </w:rPr>
              <w:t>账号：19900101040031566</w:t>
            </w:r>
          </w:p>
        </w:tc>
      </w:tr>
      <w:tr w14:paraId="6BCECC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314B213">
            <w:pPr>
              <w:autoSpaceDE w:val="0"/>
              <w:autoSpaceDN w:val="0"/>
              <w:snapToGrid w:val="0"/>
              <w:spacing w:line="360" w:lineRule="exact"/>
              <w:ind w:left="-95" w:right="-129"/>
              <w:contextualSpacing/>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1</w:t>
            </w:r>
            <w:r>
              <w:rPr>
                <w:rFonts w:hint="eastAsia" w:asciiTheme="minorEastAsia" w:hAnsiTheme="minorEastAsia"/>
                <w:b/>
                <w:color w:val="auto"/>
                <w:szCs w:val="21"/>
                <w:highlight w:val="none"/>
                <w:lang w:val="en-US" w:eastAsia="zh-CN"/>
              </w:rPr>
              <w:t>5</w:t>
            </w:r>
          </w:p>
        </w:tc>
        <w:tc>
          <w:tcPr>
            <w:tcW w:w="9029" w:type="dxa"/>
            <w:vAlign w:val="center"/>
          </w:tcPr>
          <w:p w14:paraId="751FA60D">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带“▲”的条款是实质性条款。</w:t>
            </w:r>
          </w:p>
        </w:tc>
      </w:tr>
      <w:tr w14:paraId="3273F4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823" w:type="dxa"/>
            <w:vAlign w:val="center"/>
          </w:tcPr>
          <w:p w14:paraId="09F92F1F">
            <w:pPr>
              <w:autoSpaceDE w:val="0"/>
              <w:autoSpaceDN w:val="0"/>
              <w:snapToGrid w:val="0"/>
              <w:spacing w:line="360" w:lineRule="exact"/>
              <w:ind w:left="-95" w:right="-129"/>
              <w:contextualSpacing/>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1</w:t>
            </w:r>
            <w:r>
              <w:rPr>
                <w:rFonts w:hint="eastAsia" w:asciiTheme="minorEastAsia" w:hAnsiTheme="minorEastAsia"/>
                <w:b/>
                <w:color w:val="auto"/>
                <w:szCs w:val="21"/>
                <w:highlight w:val="none"/>
                <w:lang w:val="en-US" w:eastAsia="zh-CN"/>
              </w:rPr>
              <w:t>6</w:t>
            </w:r>
          </w:p>
        </w:tc>
        <w:tc>
          <w:tcPr>
            <w:tcW w:w="9029" w:type="dxa"/>
            <w:vAlign w:val="center"/>
          </w:tcPr>
          <w:p w14:paraId="73951EDD">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本采购文件解释权属于采购人和采购代理机构。</w:t>
            </w:r>
          </w:p>
        </w:tc>
      </w:tr>
    </w:tbl>
    <w:p w14:paraId="13FECF8C">
      <w:pPr>
        <w:pStyle w:val="11"/>
        <w:pageBreakBefore/>
        <w:snapToGrid w:val="0"/>
        <w:spacing w:before="120" w:after="120" w:line="360" w:lineRule="auto"/>
        <w:jc w:val="center"/>
        <w:outlineLvl w:val="0"/>
        <w:rPr>
          <w:rFonts w:asciiTheme="minorEastAsia" w:hAnsiTheme="minorEastAsia" w:eastAsiaTheme="minorEastAsia"/>
          <w:bCs/>
          <w:color w:val="auto"/>
          <w:sz w:val="30"/>
          <w:szCs w:val="30"/>
          <w:highlight w:val="none"/>
        </w:rPr>
      </w:pPr>
      <w:bookmarkStart w:id="21" w:name="_Toc10621"/>
      <w:bookmarkStart w:id="22" w:name="_Toc5157"/>
      <w:bookmarkStart w:id="23" w:name="_Toc22412"/>
      <w:bookmarkStart w:id="24" w:name="_Toc28191"/>
      <w:bookmarkStart w:id="25" w:name="_Toc1293"/>
      <w:bookmarkStart w:id="26" w:name="_Toc19894"/>
      <w:r>
        <w:rPr>
          <w:rFonts w:hint="eastAsia" w:asciiTheme="minorEastAsia" w:hAnsiTheme="minorEastAsia" w:eastAsiaTheme="minorEastAsia"/>
          <w:b/>
          <w:bCs/>
          <w:color w:val="auto"/>
          <w:sz w:val="32"/>
          <w:szCs w:val="32"/>
          <w:highlight w:val="none"/>
        </w:rPr>
        <w:t>第三部分  投标人须知</w:t>
      </w:r>
      <w:bookmarkEnd w:id="21"/>
      <w:bookmarkEnd w:id="22"/>
      <w:bookmarkEnd w:id="23"/>
      <w:bookmarkEnd w:id="24"/>
      <w:bookmarkEnd w:id="25"/>
      <w:bookmarkEnd w:id="26"/>
    </w:p>
    <w:p w14:paraId="6B91D334">
      <w:pPr>
        <w:pStyle w:val="30"/>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一 、说 明</w:t>
      </w:r>
    </w:p>
    <w:p w14:paraId="548F8EB7">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1、项目概况</w:t>
      </w:r>
    </w:p>
    <w:p w14:paraId="020EFE6E">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1.1</w:t>
      </w:r>
      <w:r>
        <w:rPr>
          <w:rFonts w:ascii="Times New Roman" w:hAnsi="Times New Roman"/>
          <w:color w:val="auto"/>
          <w:szCs w:val="21"/>
          <w:highlight w:val="none"/>
        </w:rPr>
        <w:t>采购人的项目（载明在《投标资料表》中）已经政府采购行政管理部门批准。采购人委托中冠工程管理咨询有限公司代理本次招标采购工作。有关采购人、</w:t>
      </w:r>
      <w:r>
        <w:rPr>
          <w:rFonts w:hint="eastAsia" w:ascii="Times New Roman" w:hAnsi="Times New Roman"/>
          <w:color w:val="auto"/>
          <w:szCs w:val="21"/>
          <w:highlight w:val="none"/>
        </w:rPr>
        <w:t>采购代理机构</w:t>
      </w:r>
      <w:r>
        <w:rPr>
          <w:rFonts w:ascii="Times New Roman" w:hAnsi="Times New Roman"/>
          <w:color w:val="auto"/>
          <w:szCs w:val="21"/>
          <w:highlight w:val="none"/>
        </w:rPr>
        <w:t>的名称、联系人、电话、传真等信息载明在《投标资料表》中。</w:t>
      </w:r>
    </w:p>
    <w:p w14:paraId="152B6360">
      <w:pPr>
        <w:spacing w:line="360" w:lineRule="auto"/>
        <w:ind w:firstLine="420" w:firstLineChars="200"/>
        <w:contextualSpacing/>
        <w:rPr>
          <w:rFonts w:ascii="Times New Roman" w:hAnsi="Times New Roman"/>
          <w:color w:val="auto"/>
          <w:sz w:val="24"/>
          <w:highlight w:val="none"/>
        </w:rPr>
      </w:pPr>
      <w:r>
        <w:rPr>
          <w:rFonts w:hint="eastAsia" w:ascii="Times New Roman" w:hAnsi="Times New Roman"/>
          <w:color w:val="auto"/>
          <w:szCs w:val="21"/>
          <w:highlight w:val="none"/>
        </w:rPr>
        <w:t>1.2</w:t>
      </w:r>
      <w:r>
        <w:rPr>
          <w:rFonts w:ascii="Times New Roman" w:hAnsi="Times New Roman"/>
          <w:color w:val="auto"/>
          <w:szCs w:val="21"/>
          <w:highlight w:val="none"/>
        </w:rPr>
        <w:t>经批准的本次采购方式载明在《投标资料表》中。</w:t>
      </w:r>
    </w:p>
    <w:p w14:paraId="6B702F17">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二、投标人</w:t>
      </w:r>
    </w:p>
    <w:p w14:paraId="2ACF5E61">
      <w:pPr>
        <w:pStyle w:val="4"/>
        <w:tabs>
          <w:tab w:val="left" w:pos="350"/>
        </w:tabs>
        <w:spacing w:before="0" w:after="0"/>
        <w:contextualSpacing/>
        <w:jc w:val="left"/>
        <w:rPr>
          <w:rFonts w:ascii="宋体" w:hAnsi="宋体" w:eastAsia="宋体"/>
          <w:color w:val="auto"/>
          <w:kern w:val="2"/>
          <w:sz w:val="21"/>
          <w:szCs w:val="21"/>
          <w:highlight w:val="none"/>
        </w:rPr>
      </w:pPr>
      <w:bookmarkStart w:id="27" w:name="_Toc12594"/>
      <w:r>
        <w:rPr>
          <w:rFonts w:hint="eastAsia" w:ascii="宋体" w:hAnsi="宋体" w:eastAsia="宋体"/>
          <w:color w:val="auto"/>
          <w:kern w:val="2"/>
          <w:sz w:val="21"/>
          <w:szCs w:val="21"/>
          <w:highlight w:val="none"/>
        </w:rPr>
        <w:t>2、</w:t>
      </w:r>
      <w:r>
        <w:rPr>
          <w:rFonts w:ascii="宋体" w:hAnsi="宋体" w:eastAsia="宋体"/>
          <w:color w:val="auto"/>
          <w:kern w:val="2"/>
          <w:sz w:val="21"/>
          <w:szCs w:val="21"/>
          <w:highlight w:val="none"/>
        </w:rPr>
        <w:t>合格的投标人</w:t>
      </w:r>
      <w:bookmarkEnd w:id="27"/>
    </w:p>
    <w:p w14:paraId="66FD2C3C">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2.1</w:t>
      </w:r>
      <w:r>
        <w:rPr>
          <w:rFonts w:ascii="Times New Roman" w:hAnsi="Times New Roman"/>
          <w:color w:val="auto"/>
          <w:szCs w:val="21"/>
          <w:highlight w:val="none"/>
        </w:rPr>
        <w:t>投标人应该是符合《投标资料表》的报名条件。</w:t>
      </w:r>
    </w:p>
    <w:p w14:paraId="029A19C4">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2.2</w:t>
      </w:r>
      <w:r>
        <w:rPr>
          <w:rFonts w:ascii="Times New Roman" w:hAnsi="Times New Roman"/>
          <w:color w:val="auto"/>
          <w:szCs w:val="21"/>
          <w:highlight w:val="none"/>
        </w:rPr>
        <w:t>参加本次投标活动的投标人应具备以下条件，并遵守国家有关的法律、法令和条例的规定：</w:t>
      </w:r>
    </w:p>
    <w:p w14:paraId="3755E1E3">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w:t>
      </w:r>
      <w:r>
        <w:rPr>
          <w:rFonts w:ascii="Times New Roman" w:hAnsi="Times New Roman"/>
          <w:color w:val="auto"/>
          <w:szCs w:val="21"/>
          <w:highlight w:val="none"/>
        </w:rPr>
        <w:t>具有良好的商业信誉和健全的财务会计制度；</w:t>
      </w:r>
    </w:p>
    <w:p w14:paraId="24382B63">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w:t>
      </w:r>
      <w:r>
        <w:rPr>
          <w:rFonts w:ascii="Times New Roman" w:hAnsi="Times New Roman"/>
          <w:color w:val="auto"/>
          <w:szCs w:val="21"/>
          <w:highlight w:val="none"/>
        </w:rPr>
        <w:t>具有履行合同要求提供服务所必须的设备、人员和专业技术能力；</w:t>
      </w:r>
    </w:p>
    <w:p w14:paraId="23B7677B">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w:t>
      </w:r>
      <w:r>
        <w:rPr>
          <w:rFonts w:ascii="Times New Roman" w:hAnsi="Times New Roman"/>
          <w:color w:val="auto"/>
          <w:szCs w:val="21"/>
          <w:highlight w:val="none"/>
        </w:rPr>
        <w:t>有依法缴纳税收和社会保障资金的良好纪录；</w:t>
      </w:r>
    </w:p>
    <w:p w14:paraId="67D68038">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w:t>
      </w:r>
      <w:r>
        <w:rPr>
          <w:rFonts w:ascii="Times New Roman" w:hAnsi="Times New Roman"/>
          <w:color w:val="auto"/>
          <w:szCs w:val="21"/>
          <w:highlight w:val="none"/>
        </w:rPr>
        <w:t>参加本次</w:t>
      </w:r>
      <w:r>
        <w:rPr>
          <w:rFonts w:hint="eastAsia" w:ascii="Times New Roman" w:hAnsi="Times New Roman"/>
          <w:color w:val="auto"/>
          <w:szCs w:val="21"/>
          <w:highlight w:val="none"/>
        </w:rPr>
        <w:t>投标</w:t>
      </w:r>
      <w:r>
        <w:rPr>
          <w:rFonts w:ascii="Times New Roman" w:hAnsi="Times New Roman"/>
          <w:color w:val="auto"/>
          <w:szCs w:val="21"/>
          <w:highlight w:val="none"/>
        </w:rPr>
        <w:t>活动之前三年内经营活动无重大违法纪录</w:t>
      </w:r>
      <w:r>
        <w:rPr>
          <w:rFonts w:hint="eastAsia" w:ascii="Times New Roman" w:hAnsi="Times New Roman"/>
          <w:color w:val="auto"/>
          <w:szCs w:val="21"/>
          <w:highlight w:val="none"/>
        </w:rPr>
        <w:t>；</w:t>
      </w:r>
    </w:p>
    <w:p w14:paraId="245C17A7">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）满足采购人为获得满意服务供应而提出的其他要求。（见采购文件中资格要求）</w:t>
      </w:r>
    </w:p>
    <w:p w14:paraId="1B39F314">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）单位负责人为同一人或者存在直接控股、管理关系的不同供应商，不得参加同一合同项下的政府采购活动；</w:t>
      </w:r>
    </w:p>
    <w:p w14:paraId="0A3FCC56">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7</w:t>
      </w:r>
      <w:r>
        <w:rPr>
          <w:rFonts w:hint="eastAsia" w:ascii="Times New Roman" w:hAnsi="Times New Roman"/>
          <w:color w:val="auto"/>
          <w:szCs w:val="21"/>
          <w:highlight w:val="none"/>
        </w:rPr>
        <w:t>）</w:t>
      </w:r>
      <w:r>
        <w:rPr>
          <w:rFonts w:ascii="Times New Roman" w:hAnsi="Times New Roman"/>
          <w:color w:val="auto"/>
          <w:szCs w:val="21"/>
          <w:highlight w:val="none"/>
        </w:rPr>
        <w:t>除单一来源采购项目外，为采购项目提供整体设计、规范编制或者项目管理、监理、检测等服务的供应商，不得再参加该采购项目的其他采购活动。</w:t>
      </w:r>
    </w:p>
    <w:p w14:paraId="3D917AED">
      <w:pPr>
        <w:pStyle w:val="4"/>
        <w:tabs>
          <w:tab w:val="left" w:pos="350"/>
        </w:tabs>
        <w:spacing w:before="0" w:after="0"/>
        <w:contextualSpacing/>
        <w:jc w:val="left"/>
        <w:rPr>
          <w:rFonts w:eastAsia="宋体"/>
          <w:color w:val="auto"/>
          <w:sz w:val="21"/>
          <w:szCs w:val="21"/>
          <w:highlight w:val="none"/>
        </w:rPr>
      </w:pPr>
      <w:r>
        <w:rPr>
          <w:rFonts w:hint="eastAsia" w:eastAsia="宋体"/>
          <w:color w:val="auto"/>
          <w:sz w:val="21"/>
          <w:szCs w:val="21"/>
          <w:highlight w:val="none"/>
        </w:rPr>
        <w:t>3、投标人代表</w:t>
      </w:r>
    </w:p>
    <w:p w14:paraId="55C424AC">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若投标人为中国境内企业或组织必须为该企业或组织的人员，若投标人为自然人必须为中国合法公民。</w:t>
      </w:r>
    </w:p>
    <w:p w14:paraId="5103E8E5">
      <w:pPr>
        <w:pStyle w:val="4"/>
        <w:tabs>
          <w:tab w:val="left" w:pos="350"/>
        </w:tabs>
        <w:spacing w:before="0" w:after="0"/>
        <w:contextualSpacing/>
        <w:jc w:val="left"/>
        <w:rPr>
          <w:rFonts w:eastAsia="宋体"/>
          <w:color w:val="auto"/>
          <w:sz w:val="21"/>
          <w:szCs w:val="21"/>
          <w:highlight w:val="none"/>
        </w:rPr>
      </w:pPr>
      <w:r>
        <w:rPr>
          <w:rFonts w:hint="eastAsia" w:eastAsia="宋体"/>
          <w:color w:val="auto"/>
          <w:sz w:val="21"/>
          <w:szCs w:val="21"/>
          <w:highlight w:val="none"/>
        </w:rPr>
        <w:t>4、</w:t>
      </w:r>
      <w:r>
        <w:rPr>
          <w:rFonts w:eastAsia="宋体"/>
          <w:color w:val="auto"/>
          <w:sz w:val="21"/>
          <w:szCs w:val="21"/>
          <w:highlight w:val="none"/>
        </w:rPr>
        <w:t>投标费用</w:t>
      </w:r>
    </w:p>
    <w:p w14:paraId="150D57E7">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不论招标的结果如何，投标人自行承担其参加本次投标有关的全部费用。</w:t>
      </w:r>
    </w:p>
    <w:p w14:paraId="64294D72">
      <w:pPr>
        <w:pStyle w:val="4"/>
        <w:tabs>
          <w:tab w:val="left" w:pos="350"/>
        </w:tabs>
        <w:spacing w:before="0" w:after="0"/>
        <w:contextualSpacing/>
        <w:jc w:val="left"/>
        <w:rPr>
          <w:rFonts w:eastAsia="宋体"/>
          <w:b w:val="0"/>
          <w:color w:val="auto"/>
          <w:sz w:val="21"/>
          <w:szCs w:val="21"/>
          <w:highlight w:val="none"/>
        </w:rPr>
      </w:pPr>
      <w:r>
        <w:rPr>
          <w:rFonts w:hint="eastAsia" w:eastAsia="宋体"/>
          <w:color w:val="auto"/>
          <w:sz w:val="21"/>
          <w:szCs w:val="21"/>
          <w:highlight w:val="none"/>
        </w:rPr>
        <w:t>5、特别</w:t>
      </w:r>
      <w:r>
        <w:rPr>
          <w:rFonts w:eastAsia="宋体"/>
          <w:color w:val="auto"/>
          <w:sz w:val="21"/>
          <w:szCs w:val="21"/>
          <w:highlight w:val="none"/>
        </w:rPr>
        <w:t>说明</w:t>
      </w:r>
      <w:r>
        <w:rPr>
          <w:rFonts w:hint="eastAsia" w:eastAsia="宋体"/>
          <w:color w:val="auto"/>
          <w:sz w:val="21"/>
          <w:szCs w:val="21"/>
          <w:highlight w:val="none"/>
        </w:rPr>
        <w:t>（针对</w:t>
      </w:r>
      <w:r>
        <w:rPr>
          <w:rFonts w:eastAsia="宋体"/>
          <w:color w:val="auto"/>
          <w:sz w:val="21"/>
          <w:szCs w:val="21"/>
          <w:highlight w:val="none"/>
        </w:rPr>
        <w:t>货物采购</w:t>
      </w:r>
      <w:r>
        <w:rPr>
          <w:rFonts w:hint="eastAsia" w:eastAsia="宋体"/>
          <w:color w:val="auto"/>
          <w:sz w:val="21"/>
          <w:szCs w:val="21"/>
          <w:highlight w:val="none"/>
        </w:rPr>
        <w:t>）</w:t>
      </w:r>
      <w:r>
        <w:rPr>
          <w:rFonts w:hint="eastAsia" w:eastAsia="宋体"/>
          <w:b w:val="0"/>
          <w:color w:val="auto"/>
          <w:sz w:val="21"/>
          <w:szCs w:val="21"/>
          <w:highlight w:val="none"/>
        </w:rPr>
        <w:t>：/</w:t>
      </w:r>
    </w:p>
    <w:p w14:paraId="45AD488D">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三、采购文件</w:t>
      </w:r>
    </w:p>
    <w:p w14:paraId="6E221B3D">
      <w:pPr>
        <w:pStyle w:val="30"/>
        <w:spacing w:line="460" w:lineRule="exact"/>
        <w:ind w:left="0" w:leftChars="0" w:firstLine="0" w:firstLineChars="0"/>
        <w:rPr>
          <w:rFonts w:asciiTheme="minorEastAsia" w:hAnsiTheme="minorEastAsia"/>
          <w:b/>
          <w:color w:val="auto"/>
          <w:sz w:val="21"/>
          <w:szCs w:val="21"/>
          <w:highlight w:val="none"/>
        </w:rPr>
      </w:pPr>
      <w:r>
        <w:rPr>
          <w:rFonts w:asciiTheme="minorEastAsia" w:hAnsiTheme="minorEastAsia"/>
          <w:b/>
          <w:color w:val="auto"/>
          <w:sz w:val="21"/>
          <w:szCs w:val="21"/>
          <w:highlight w:val="none"/>
        </w:rPr>
        <w:t>6</w:t>
      </w:r>
      <w:r>
        <w:rPr>
          <w:rFonts w:hint="eastAsia" w:asciiTheme="minorEastAsia" w:hAnsiTheme="minorEastAsia"/>
          <w:b/>
          <w:color w:val="auto"/>
          <w:sz w:val="21"/>
          <w:szCs w:val="21"/>
          <w:highlight w:val="none"/>
        </w:rPr>
        <w:t>、采购文件构成</w:t>
      </w:r>
    </w:p>
    <w:p w14:paraId="455020FA">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采购文件</w:t>
      </w:r>
      <w:r>
        <w:rPr>
          <w:rFonts w:hint="eastAsia" w:ascii="Times New Roman" w:hAnsi="Times New Roman"/>
          <w:color w:val="auto"/>
          <w:szCs w:val="21"/>
          <w:highlight w:val="none"/>
        </w:rPr>
        <w:t>含</w:t>
      </w:r>
      <w:r>
        <w:rPr>
          <w:rFonts w:ascii="Times New Roman" w:hAnsi="Times New Roman"/>
          <w:color w:val="auto"/>
          <w:szCs w:val="21"/>
          <w:highlight w:val="none"/>
        </w:rPr>
        <w:t>有</w:t>
      </w:r>
      <w:r>
        <w:rPr>
          <w:rFonts w:hint="eastAsia" w:ascii="Times New Roman" w:hAnsi="Times New Roman"/>
          <w:color w:val="auto"/>
          <w:szCs w:val="21"/>
          <w:highlight w:val="none"/>
        </w:rPr>
        <w:t>以下</w:t>
      </w:r>
      <w:r>
        <w:rPr>
          <w:rFonts w:ascii="Times New Roman" w:hAnsi="Times New Roman"/>
          <w:color w:val="auto"/>
          <w:szCs w:val="21"/>
          <w:highlight w:val="none"/>
        </w:rPr>
        <w:t>部分，内容如下：</w:t>
      </w:r>
    </w:p>
    <w:p w14:paraId="65C65BBF">
      <w:pPr>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第一部分</w:t>
      </w:r>
      <w:r>
        <w:rPr>
          <w:rFonts w:hint="eastAsia" w:ascii="Times New Roman" w:hAnsi="Times New Roman"/>
          <w:color w:val="auto"/>
          <w:szCs w:val="21"/>
          <w:highlight w:val="none"/>
        </w:rPr>
        <w:t xml:space="preserve"> 采购公告</w:t>
      </w:r>
    </w:p>
    <w:p w14:paraId="0175CDA3">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第二部分 投标资料表</w:t>
      </w:r>
    </w:p>
    <w:p w14:paraId="6CD32430">
      <w:pPr>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第</w:t>
      </w:r>
      <w:r>
        <w:rPr>
          <w:rFonts w:hint="eastAsia" w:ascii="Times New Roman" w:hAnsi="Times New Roman"/>
          <w:color w:val="auto"/>
          <w:szCs w:val="21"/>
          <w:highlight w:val="none"/>
        </w:rPr>
        <w:t>三</w:t>
      </w:r>
      <w:r>
        <w:rPr>
          <w:rFonts w:ascii="Times New Roman" w:hAnsi="Times New Roman"/>
          <w:color w:val="auto"/>
          <w:szCs w:val="21"/>
          <w:highlight w:val="none"/>
        </w:rPr>
        <w:t>部分投标人须知</w:t>
      </w:r>
    </w:p>
    <w:p w14:paraId="0A5BC888">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第四部分 评标办法及</w:t>
      </w:r>
      <w:r>
        <w:rPr>
          <w:rFonts w:ascii="Times New Roman" w:hAnsi="Times New Roman"/>
          <w:color w:val="auto"/>
          <w:szCs w:val="21"/>
          <w:highlight w:val="none"/>
        </w:rPr>
        <w:t>标准</w:t>
      </w:r>
    </w:p>
    <w:p w14:paraId="648E2B2A">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第五部分 采购内容及要求</w:t>
      </w:r>
    </w:p>
    <w:p w14:paraId="3009126F">
      <w:pPr>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第</w:t>
      </w:r>
      <w:r>
        <w:rPr>
          <w:rFonts w:hint="eastAsia" w:ascii="Times New Roman" w:hAnsi="Times New Roman"/>
          <w:color w:val="auto"/>
          <w:szCs w:val="21"/>
          <w:highlight w:val="none"/>
        </w:rPr>
        <w:t>六</w:t>
      </w:r>
      <w:r>
        <w:rPr>
          <w:rFonts w:ascii="Times New Roman" w:hAnsi="Times New Roman"/>
          <w:color w:val="auto"/>
          <w:szCs w:val="21"/>
          <w:highlight w:val="none"/>
        </w:rPr>
        <w:t>部分</w:t>
      </w:r>
      <w:r>
        <w:rPr>
          <w:rFonts w:hint="eastAsia" w:ascii="Times New Roman" w:hAnsi="Times New Roman"/>
          <w:color w:val="auto"/>
          <w:szCs w:val="21"/>
          <w:highlight w:val="none"/>
        </w:rPr>
        <w:t xml:space="preserve"> 拟签订的合同文本</w:t>
      </w:r>
    </w:p>
    <w:p w14:paraId="1D1ADEB9">
      <w:pPr>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第七部分</w:t>
      </w:r>
      <w:r>
        <w:rPr>
          <w:rFonts w:hint="eastAsia" w:ascii="Times New Roman" w:hAnsi="Times New Roman"/>
          <w:color w:val="auto"/>
          <w:szCs w:val="21"/>
          <w:highlight w:val="none"/>
        </w:rPr>
        <w:t xml:space="preserve"> 格式与表格</w:t>
      </w:r>
    </w:p>
    <w:p w14:paraId="2CD207EB">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投标人应详细阅读采购文件的全部内容和要求，不按采购文件的要求递交投标文件和资料导致的风险由投标人承担。</w:t>
      </w:r>
    </w:p>
    <w:p w14:paraId="052D5E44">
      <w:pPr>
        <w:spacing w:line="360" w:lineRule="auto"/>
        <w:contextualSpacing/>
        <w:rPr>
          <w:rFonts w:ascii="Times New Roman" w:hAnsi="Times New Roman"/>
          <w:color w:val="auto"/>
          <w:szCs w:val="21"/>
          <w:highlight w:val="none"/>
        </w:rPr>
      </w:pPr>
      <w:r>
        <w:rPr>
          <w:rFonts w:ascii="Times New Roman" w:hAnsi="Times New Roman"/>
          <w:color w:val="auto"/>
          <w:szCs w:val="21"/>
          <w:highlight w:val="none"/>
        </w:rPr>
        <w:t>7</w:t>
      </w:r>
      <w:r>
        <w:rPr>
          <w:rFonts w:hint="eastAsia" w:ascii="Times New Roman" w:hAnsi="Times New Roman"/>
          <w:color w:val="auto"/>
          <w:szCs w:val="21"/>
          <w:highlight w:val="none"/>
        </w:rPr>
        <w:t>、质疑与投诉</w:t>
      </w:r>
    </w:p>
    <w:p w14:paraId="10A3EEBF">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7</w:t>
      </w:r>
      <w:r>
        <w:rPr>
          <w:rFonts w:hint="eastAsia" w:ascii="Times New Roman" w:hAnsi="Times New Roman"/>
          <w:color w:val="auto"/>
          <w:szCs w:val="21"/>
          <w:highlight w:val="none"/>
        </w:rPr>
        <w:t>.1</w:t>
      </w:r>
      <w:r>
        <w:rPr>
          <w:rFonts w:hint="eastAsia" w:ascii="Times New Roman" w:hAnsi="Times New Roman"/>
          <w:color w:val="auto"/>
          <w:szCs w:val="21"/>
          <w:highlight w:val="none"/>
        </w:rPr>
        <w:tab/>
      </w:r>
      <w:r>
        <w:rPr>
          <w:rFonts w:hint="eastAsia" w:ascii="Times New Roman" w:hAnsi="Times New Roman"/>
          <w:color w:val="auto"/>
          <w:szCs w:val="21"/>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ascii="Times New Roman" w:hAnsi="Times New Roman"/>
          <w:b/>
          <w:color w:val="auto"/>
          <w:szCs w:val="21"/>
          <w:highlight w:val="none"/>
        </w:rPr>
        <w:t>（注</w:t>
      </w:r>
      <w:r>
        <w:rPr>
          <w:rFonts w:ascii="Times New Roman" w:hAnsi="Times New Roman"/>
          <w:b/>
          <w:color w:val="auto"/>
          <w:szCs w:val="21"/>
          <w:highlight w:val="none"/>
        </w:rPr>
        <w:t>：</w:t>
      </w:r>
      <w:r>
        <w:rPr>
          <w:rFonts w:hint="eastAsia" w:ascii="Times New Roman" w:hAnsi="Times New Roman"/>
          <w:b/>
          <w:color w:val="auto"/>
          <w:szCs w:val="21"/>
          <w:highlight w:val="none"/>
        </w:rPr>
        <w:t>投标人须</w:t>
      </w:r>
      <w:r>
        <w:rPr>
          <w:rFonts w:ascii="Times New Roman" w:hAnsi="Times New Roman"/>
          <w:b/>
          <w:color w:val="auto"/>
          <w:szCs w:val="21"/>
          <w:highlight w:val="none"/>
        </w:rPr>
        <w:t>在法定质疑期内一次性提出针对同一采购程序环节的质疑</w:t>
      </w:r>
      <w:r>
        <w:rPr>
          <w:rFonts w:hint="eastAsia" w:ascii="Times New Roman" w:hAnsi="Times New Roman"/>
          <w:b/>
          <w:color w:val="auto"/>
          <w:szCs w:val="21"/>
          <w:highlight w:val="none"/>
        </w:rPr>
        <w:t>）</w:t>
      </w:r>
      <w:r>
        <w:rPr>
          <w:rFonts w:hint="eastAsia" w:ascii="Times New Roman" w:hAnsi="Times New Roman"/>
          <w:color w:val="auto"/>
          <w:szCs w:val="21"/>
          <w:highlight w:val="none"/>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14:paraId="0F3F8D90">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7</w:t>
      </w:r>
      <w:r>
        <w:rPr>
          <w:rFonts w:hint="eastAsia" w:ascii="Times New Roman" w:hAnsi="Times New Roman"/>
          <w:color w:val="auto"/>
          <w:szCs w:val="21"/>
          <w:highlight w:val="none"/>
        </w:rPr>
        <w:t>.2</w:t>
      </w:r>
      <w:r>
        <w:rPr>
          <w:rFonts w:hint="eastAsia" w:ascii="Times New Roman" w:hAnsi="Times New Roman"/>
          <w:color w:val="auto"/>
          <w:szCs w:val="21"/>
          <w:highlight w:val="none"/>
        </w:rPr>
        <w:tab/>
      </w:r>
      <w:r>
        <w:rPr>
          <w:rFonts w:hint="eastAsia" w:ascii="Times New Roman" w:hAnsi="Times New Roman"/>
          <w:color w:val="auto"/>
          <w:szCs w:val="21"/>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23AB318A">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7.3</w:t>
      </w:r>
      <w:r>
        <w:rPr>
          <w:rFonts w:hint="eastAsia" w:ascii="Times New Roman" w:hAnsi="Times New Roman"/>
          <w:color w:val="auto"/>
          <w:szCs w:val="21"/>
          <w:highlight w:val="none"/>
        </w:rPr>
        <w:tab/>
      </w:r>
      <w:r>
        <w:rPr>
          <w:rFonts w:hint="eastAsia" w:ascii="Times New Roman" w:hAnsi="Times New Roman"/>
          <w:color w:val="auto"/>
          <w:szCs w:val="21"/>
          <w:highlight w:val="none"/>
        </w:rPr>
        <w:t>采购代理机构发送的答疑文件是采购文件的组成部分，对投标人具有约束力。</w:t>
      </w:r>
    </w:p>
    <w:p w14:paraId="64CAE7EF">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7.4未尽事宜，见《政府采购质疑和投诉办法》（中华人民共和国财政部令第94号）。</w:t>
      </w:r>
    </w:p>
    <w:p w14:paraId="651BF570">
      <w:pPr>
        <w:spacing w:line="360" w:lineRule="auto"/>
        <w:contextualSpacing/>
        <w:rPr>
          <w:rFonts w:ascii="Times New Roman" w:hAnsi="Times New Roman"/>
          <w:color w:val="auto"/>
          <w:szCs w:val="21"/>
          <w:highlight w:val="none"/>
        </w:rPr>
      </w:pPr>
      <w:r>
        <w:rPr>
          <w:rFonts w:ascii="Times New Roman" w:hAnsi="Times New Roman"/>
          <w:color w:val="auto"/>
          <w:szCs w:val="21"/>
          <w:highlight w:val="none"/>
        </w:rPr>
        <w:t>8</w:t>
      </w:r>
      <w:r>
        <w:rPr>
          <w:rFonts w:hint="eastAsia" w:ascii="Times New Roman" w:hAnsi="Times New Roman"/>
          <w:color w:val="auto"/>
          <w:szCs w:val="21"/>
          <w:highlight w:val="none"/>
        </w:rPr>
        <w:t>、采购文件的澄清与修改</w:t>
      </w:r>
    </w:p>
    <w:p w14:paraId="3FF609D6">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8</w:t>
      </w:r>
      <w:r>
        <w:rPr>
          <w:rFonts w:hint="eastAsia" w:ascii="Times New Roman" w:hAnsi="Times New Roman"/>
          <w:color w:val="auto"/>
          <w:szCs w:val="21"/>
          <w:highlight w:val="none"/>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17415B2D">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澄清或者修改的内容可能影响投标文件编制的，采购人或者采购代理机构应当在投标截止时间至少</w:t>
      </w:r>
      <w:r>
        <w:rPr>
          <w:rFonts w:ascii="Times New Roman" w:hAnsi="Times New Roman"/>
          <w:color w:val="auto"/>
          <w:szCs w:val="21"/>
          <w:highlight w:val="none"/>
        </w:rPr>
        <w:t>15</w:t>
      </w:r>
      <w:r>
        <w:rPr>
          <w:rFonts w:hint="eastAsia" w:ascii="Times New Roman" w:hAnsi="Times New Roman"/>
          <w:color w:val="auto"/>
          <w:szCs w:val="21"/>
          <w:highlight w:val="none"/>
        </w:rPr>
        <w:t>日前，以书面形式通知所有获取采购文件的潜在投标人；不足</w:t>
      </w:r>
      <w:r>
        <w:rPr>
          <w:rFonts w:ascii="Times New Roman" w:hAnsi="Times New Roman"/>
          <w:color w:val="auto"/>
          <w:szCs w:val="21"/>
          <w:highlight w:val="none"/>
        </w:rPr>
        <w:t>15</w:t>
      </w:r>
      <w:r>
        <w:rPr>
          <w:rFonts w:hint="eastAsia" w:ascii="Times New Roman" w:hAnsi="Times New Roman"/>
          <w:color w:val="auto"/>
          <w:szCs w:val="21"/>
          <w:highlight w:val="none"/>
        </w:rPr>
        <w:t>日的，采购人或者采购代理机构应当顺延提交投标文件的截止时间。</w:t>
      </w:r>
    </w:p>
    <w:p w14:paraId="16E2BF4D">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8</w:t>
      </w:r>
      <w:r>
        <w:rPr>
          <w:rFonts w:hint="eastAsia" w:ascii="Times New Roman" w:hAnsi="Times New Roman"/>
          <w:color w:val="auto"/>
          <w:szCs w:val="21"/>
          <w:highlight w:val="none"/>
        </w:rPr>
        <w:t>.2</w:t>
      </w:r>
      <w:r>
        <w:rPr>
          <w:rFonts w:ascii="Times New Roman" w:hAnsi="Times New Roman"/>
          <w:color w:val="auto"/>
          <w:szCs w:val="21"/>
          <w:highlight w:val="none"/>
        </w:rPr>
        <w:t>采购代理机构必须以书面形式答复投标人要求澄清的问题，并将不包含问题来源的答复书面通知所有</w:t>
      </w:r>
      <w:r>
        <w:rPr>
          <w:rFonts w:hint="eastAsia" w:ascii="Times New Roman" w:hAnsi="Times New Roman"/>
          <w:color w:val="auto"/>
          <w:szCs w:val="21"/>
          <w:highlight w:val="none"/>
        </w:rPr>
        <w:t>获取</w:t>
      </w:r>
      <w:r>
        <w:rPr>
          <w:rFonts w:ascii="Times New Roman" w:hAnsi="Times New Roman"/>
          <w:color w:val="auto"/>
          <w:szCs w:val="21"/>
          <w:highlight w:val="none"/>
        </w:rPr>
        <w:t>采购文件的投标人；除书面答复以外的其他澄清方式及澄清内容均无效。</w:t>
      </w:r>
    </w:p>
    <w:p w14:paraId="32C58665">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8</w:t>
      </w:r>
      <w:r>
        <w:rPr>
          <w:rFonts w:hint="eastAsia" w:ascii="Times New Roman" w:hAnsi="Times New Roman"/>
          <w:color w:val="auto"/>
          <w:szCs w:val="21"/>
          <w:highlight w:val="none"/>
        </w:rPr>
        <w:t>.3</w:t>
      </w:r>
      <w:r>
        <w:rPr>
          <w:rFonts w:ascii="Times New Roman" w:hAnsi="Times New Roman"/>
          <w:color w:val="auto"/>
          <w:szCs w:val="21"/>
          <w:highlight w:val="none"/>
        </w:rPr>
        <w:t>采购文件澄清、答复、修改、补充的内容为采购文件的组成部分。当采购文件与采购文件的答复、澄清、修改、补充通知就同一内容的表述不一致时，以最后发出的书面文件为准。</w:t>
      </w:r>
    </w:p>
    <w:p w14:paraId="1D1159EA">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8</w:t>
      </w:r>
      <w:r>
        <w:rPr>
          <w:rFonts w:hint="eastAsia" w:ascii="Times New Roman" w:hAnsi="Times New Roman"/>
          <w:color w:val="auto"/>
          <w:szCs w:val="21"/>
          <w:highlight w:val="none"/>
        </w:rPr>
        <w:t>.4</w:t>
      </w:r>
      <w:r>
        <w:rPr>
          <w:rFonts w:ascii="Times New Roman" w:hAnsi="Times New Roman"/>
          <w:color w:val="auto"/>
          <w:szCs w:val="21"/>
          <w:highlight w:val="none"/>
        </w:rPr>
        <w:t>采购文件的澄清、答复、修改或补充都应该通过本代理机构以法定形式发布，采购人非通过本机构，不得擅自澄清、答复、修改或补充采购文件。</w:t>
      </w:r>
    </w:p>
    <w:p w14:paraId="74C2DA69">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9</w:t>
      </w:r>
      <w:r>
        <w:rPr>
          <w:rFonts w:hint="eastAsia" w:ascii="Times New Roman" w:hAnsi="Times New Roman"/>
          <w:color w:val="auto"/>
          <w:szCs w:val="21"/>
          <w:highlight w:val="none"/>
        </w:rPr>
        <w:t>、关于分公司投标</w:t>
      </w:r>
    </w:p>
    <w:p w14:paraId="526E2201">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除金融、保险、通讯等特定行业外，法人的分支机构由于不能独立承担民事责任，不能以分支机构的身份参加政府采购，只能法人身份参加。</w:t>
      </w:r>
    </w:p>
    <w:p w14:paraId="4674F38E">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10</w:t>
      </w:r>
      <w:r>
        <w:rPr>
          <w:rFonts w:hint="eastAsia" w:ascii="Times New Roman" w:hAnsi="Times New Roman"/>
          <w:color w:val="auto"/>
          <w:szCs w:val="21"/>
          <w:highlight w:val="none"/>
        </w:rPr>
        <w:t>、关于知识产权</w:t>
      </w:r>
    </w:p>
    <w:p w14:paraId="43EDDE9B">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10</w:t>
      </w: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164A22F4">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10.2</w:t>
      </w:r>
      <w:r>
        <w:rPr>
          <w:rFonts w:hint="eastAsia" w:ascii="Times New Roman" w:hAnsi="Times New Roman"/>
          <w:color w:val="auto"/>
          <w:szCs w:val="21"/>
          <w:highlight w:val="none"/>
        </w:rPr>
        <w:t>投标报价应包含所有应向所有权人支付的专利权、商标权或其它知识产权的一切相关费用。</w:t>
      </w:r>
    </w:p>
    <w:p w14:paraId="73D18D21">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10.3</w:t>
      </w:r>
      <w:r>
        <w:rPr>
          <w:rFonts w:hint="eastAsia" w:ascii="Times New Roman" w:hAnsi="Times New Roman"/>
          <w:color w:val="auto"/>
          <w:szCs w:val="21"/>
          <w:highlight w:val="none"/>
        </w:rPr>
        <w:t>系统软件、通用软件必须是具有在中国境内的合法使用权或版权的正版软件，涉及到第三方提出侵权或知识产权的起诉及支付版税等费用由供应商承担所有责任及费用。</w:t>
      </w:r>
    </w:p>
    <w:p w14:paraId="67E7DD19">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四、投标文件</w:t>
      </w:r>
    </w:p>
    <w:p w14:paraId="2074DD6D">
      <w:pPr>
        <w:pStyle w:val="30"/>
        <w:spacing w:line="460" w:lineRule="exact"/>
        <w:ind w:left="0" w:leftChars="0" w:firstLine="413" w:firstLineChars="196"/>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14:paraId="22BF2A5F">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11、投标文件的组成</w:t>
      </w:r>
    </w:p>
    <w:p w14:paraId="4D157F4F">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11</w:t>
      </w:r>
      <w:r>
        <w:rPr>
          <w:rFonts w:hint="eastAsia" w:ascii="Times New Roman" w:hAnsi="Times New Roman"/>
          <w:color w:val="auto"/>
          <w:szCs w:val="21"/>
          <w:highlight w:val="none"/>
        </w:rPr>
        <w:t>.1投标文件分为资格证明文件、报价文件、技术商务文件三部分；</w:t>
      </w:r>
    </w:p>
    <w:p w14:paraId="763F96FD">
      <w:pPr>
        <w:pStyle w:val="30"/>
        <w:spacing w:line="460" w:lineRule="exact"/>
        <w:ind w:left="0" w:leftChars="0" w:firstLine="0" w:firstLineChars="0"/>
        <w:rPr>
          <w:rFonts w:cs="FangSong_GB2312" w:asciiTheme="minorEastAsia" w:hAnsiTheme="minorEastAsia"/>
          <w:color w:val="auto"/>
          <w:sz w:val="21"/>
          <w:szCs w:val="21"/>
          <w:highlight w:val="none"/>
          <w:lang w:val="zh-CN"/>
        </w:rPr>
      </w:pPr>
      <w:r>
        <w:rPr>
          <w:rFonts w:hint="eastAsia" w:asciiTheme="minorEastAsia" w:hAnsiTheme="minorEastAsia"/>
          <w:color w:val="auto"/>
          <w:sz w:val="21"/>
          <w:szCs w:val="21"/>
          <w:highlight w:val="none"/>
          <w:lang w:val="zh-CN"/>
        </w:rPr>
        <w:t>【特别提示：如有要求提供各项证书、合同、报告等证明的，请将原件清晰扫描做入投标文件。】</w:t>
      </w:r>
    </w:p>
    <w:p w14:paraId="3A045DF0">
      <w:pPr>
        <w:pStyle w:val="30"/>
        <w:spacing w:line="460" w:lineRule="exact"/>
        <w:ind w:left="0" w:leftChars="0" w:firstLine="316" w:firstLineChars="150"/>
        <w:jc w:val="left"/>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资格证明文件包含但不限于以下文件：</w:t>
      </w:r>
    </w:p>
    <w:p w14:paraId="479557E1">
      <w:pPr>
        <w:tabs>
          <w:tab w:val="left" w:pos="709"/>
        </w:tabs>
        <w:spacing w:line="360" w:lineRule="auto"/>
        <w:ind w:firstLine="420" w:firstLineChars="200"/>
        <w:contextualSpacing/>
        <w:rPr>
          <w:rFonts w:hint="eastAsia" w:ascii="Times New Roman" w:hAnsi="Times New Roman"/>
          <w:color w:val="auto"/>
          <w:szCs w:val="21"/>
          <w:highlight w:val="none"/>
          <w:lang w:eastAsia="zh-CN"/>
        </w:rPr>
      </w:pPr>
      <w:bookmarkStart w:id="28" w:name="_Hlk534492801"/>
      <w:r>
        <w:rPr>
          <w:rFonts w:hint="eastAsia" w:ascii="Times New Roman" w:hAnsi="Times New Roman"/>
          <w:color w:val="auto"/>
          <w:szCs w:val="21"/>
          <w:highlight w:val="none"/>
        </w:rPr>
        <w:t>（1）资格条件自查表（格式见附件）</w:t>
      </w:r>
      <w:r>
        <w:rPr>
          <w:rFonts w:hint="eastAsia" w:ascii="Times New Roman" w:hAnsi="Times New Roman"/>
          <w:color w:val="auto"/>
          <w:szCs w:val="21"/>
          <w:highlight w:val="none"/>
          <w:lang w:eastAsia="zh-CN"/>
        </w:rPr>
        <w:t>；</w:t>
      </w:r>
    </w:p>
    <w:p w14:paraId="1D4A3C83">
      <w:pPr>
        <w:tabs>
          <w:tab w:val="left" w:pos="709"/>
        </w:tabs>
        <w:spacing w:line="360" w:lineRule="auto"/>
        <w:ind w:firstLine="420" w:firstLineChars="200"/>
        <w:contextualSpacing/>
        <w:rPr>
          <w:rFonts w:hint="eastAsia" w:ascii="Times New Roman" w:hAnsi="Times New Roman"/>
          <w:color w:val="auto"/>
          <w:szCs w:val="21"/>
          <w:highlight w:val="none"/>
        </w:rPr>
      </w:pPr>
      <w:r>
        <w:rPr>
          <w:rFonts w:hint="eastAsia" w:ascii="Times New Roman" w:hAnsi="Times New Roman"/>
          <w:color w:val="auto"/>
          <w:szCs w:val="21"/>
          <w:highlight w:val="none"/>
        </w:rPr>
        <w:t>（2）有效的企业法人营业执照（或事业法人登记证）、其他组织（个体工商户）的营业执照或者民办非企业单位登记证书</w:t>
      </w:r>
      <w:r>
        <w:rPr>
          <w:rFonts w:hint="eastAsia" w:ascii="Times New Roman" w:hAnsi="Times New Roman"/>
          <w:color w:val="auto"/>
          <w:szCs w:val="21"/>
          <w:highlight w:val="none"/>
          <w:lang w:eastAsia="zh-CN"/>
        </w:rPr>
        <w:t>扫描件</w:t>
      </w:r>
      <w:r>
        <w:rPr>
          <w:rFonts w:hint="eastAsia" w:ascii="Times New Roman" w:hAnsi="Times New Roman"/>
          <w:color w:val="auto"/>
          <w:szCs w:val="21"/>
          <w:highlight w:val="none"/>
        </w:rPr>
        <w:t xml:space="preserve">； </w:t>
      </w:r>
    </w:p>
    <w:p w14:paraId="3E0824EC">
      <w:pPr>
        <w:tabs>
          <w:tab w:val="left" w:pos="709"/>
        </w:tabs>
        <w:spacing w:line="360" w:lineRule="auto"/>
        <w:ind w:firstLine="420" w:firstLineChars="200"/>
        <w:contextualSpacing/>
        <w:rPr>
          <w:rFonts w:hint="eastAsia"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3</w:t>
      </w:r>
      <w:r>
        <w:rPr>
          <w:rFonts w:hint="eastAsia" w:ascii="Times New Roman" w:hAnsi="Times New Roman"/>
          <w:color w:val="auto"/>
          <w:szCs w:val="21"/>
          <w:highlight w:val="none"/>
        </w:rPr>
        <w:t>）关于资格的承诺函（格式见附件）；</w:t>
      </w:r>
    </w:p>
    <w:p w14:paraId="6C6A6295">
      <w:pPr>
        <w:tabs>
          <w:tab w:val="left" w:pos="709"/>
        </w:tabs>
        <w:spacing w:line="360" w:lineRule="auto"/>
        <w:ind w:firstLine="420" w:firstLineChars="200"/>
        <w:contextualSpacing/>
        <w:rPr>
          <w:rFonts w:hint="eastAsia"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rPr>
        <w:t>）中小企业声明函（格式见附件）；</w:t>
      </w:r>
    </w:p>
    <w:p w14:paraId="1F703207">
      <w:pPr>
        <w:tabs>
          <w:tab w:val="left" w:pos="709"/>
        </w:tabs>
        <w:spacing w:line="360" w:lineRule="auto"/>
        <w:ind w:firstLine="420" w:firstLineChars="200"/>
        <w:contextualSpacing/>
        <w:rPr>
          <w:rFonts w:hint="eastAsia"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5</w:t>
      </w:r>
      <w:r>
        <w:rPr>
          <w:rFonts w:hint="eastAsia" w:ascii="Times New Roman" w:hAnsi="Times New Roman"/>
          <w:color w:val="auto"/>
          <w:szCs w:val="21"/>
          <w:highlight w:val="none"/>
        </w:rPr>
        <w:t>）残疾人福利单位声明函（非残疾人福利性单位，无需提供本函）；（如有，格式见附件；注：残疾人福利性单位视同小型、微型企业）</w:t>
      </w:r>
    </w:p>
    <w:p w14:paraId="664E8448">
      <w:pPr>
        <w:tabs>
          <w:tab w:val="left" w:pos="709"/>
        </w:tabs>
        <w:spacing w:line="360" w:lineRule="auto"/>
        <w:ind w:firstLine="420" w:firstLineChars="200"/>
        <w:contextualSpacing/>
        <w:rPr>
          <w:rFonts w:hint="eastAsia"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6</w:t>
      </w:r>
      <w:r>
        <w:rPr>
          <w:rFonts w:hint="eastAsia" w:ascii="Times New Roman" w:hAnsi="Times New Roman"/>
          <w:color w:val="auto"/>
          <w:szCs w:val="21"/>
          <w:highlight w:val="none"/>
        </w:rPr>
        <w:t>）投标人认为需要提交的其他文件资料。</w:t>
      </w:r>
    </w:p>
    <w:p w14:paraId="718C8DDF">
      <w:pPr>
        <w:tabs>
          <w:tab w:val="left" w:pos="709"/>
        </w:tabs>
        <w:spacing w:line="360" w:lineRule="auto"/>
        <w:ind w:firstLine="420" w:firstLineChars="200"/>
        <w:contextualSpacing/>
        <w:rPr>
          <w:rFonts w:hint="eastAsia" w:ascii="Times New Roman" w:hAnsi="Times New Roman"/>
          <w:color w:val="auto"/>
          <w:szCs w:val="21"/>
          <w:highlight w:val="none"/>
        </w:rPr>
      </w:pPr>
      <w:r>
        <w:rPr>
          <w:rFonts w:hint="eastAsia" w:ascii="Times New Roman" w:hAnsi="Times New Roman"/>
          <w:color w:val="auto"/>
          <w:szCs w:val="21"/>
          <w:highlight w:val="none"/>
        </w:rPr>
        <w:t>注：采购人或采购代理机构在资格审查时，通过“信用中国”网站（www.creditchina.gov.cn）、中国政府采购网（www.ccgp.gov.cn）等渠道查询供应商的信用记录并保存。投标人若被列入失信被执行人或重大税收违法失信主体或政府采购严重违法失信行为记录名单的，则否决其投标。若开标当天因不可抗力事件导致无法查询且一时无法恢复的，可在中标通知书发出前对中标人进行查询，如中标人为失信被执行人的，则取消中标资格。</w:t>
      </w:r>
    </w:p>
    <w:bookmarkEnd w:id="28"/>
    <w:p w14:paraId="46F5C7BE">
      <w:pPr>
        <w:pStyle w:val="30"/>
        <w:spacing w:line="460" w:lineRule="exact"/>
        <w:ind w:left="0" w:leftChars="0" w:firstLine="211" w:firstLineChars="100"/>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报价文件包含但不限于以下文件</w:t>
      </w:r>
    </w:p>
    <w:p w14:paraId="5CE202EB">
      <w:pPr>
        <w:pStyle w:val="30"/>
        <w:spacing w:line="460" w:lineRule="exact"/>
        <w:ind w:left="0" w:leftChars="0" w:firstLine="420" w:firstLineChars="20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（1）投标函</w:t>
      </w:r>
      <w:r>
        <w:rPr>
          <w:rFonts w:hint="eastAsia"/>
          <w:color w:val="auto"/>
          <w:szCs w:val="21"/>
          <w:highlight w:val="none"/>
        </w:rPr>
        <w:t>（格式见附件）</w:t>
      </w:r>
      <w:r>
        <w:rPr>
          <w:rFonts w:hint="eastAsia" w:cs="宋体" w:asciiTheme="minorEastAsia" w:hAnsiTheme="minorEastAsia"/>
          <w:color w:val="auto"/>
          <w:sz w:val="21"/>
          <w:szCs w:val="21"/>
          <w:highlight w:val="none"/>
        </w:rPr>
        <w:t>；</w:t>
      </w:r>
    </w:p>
    <w:p w14:paraId="1B79617D">
      <w:pPr>
        <w:pStyle w:val="30"/>
        <w:spacing w:line="460" w:lineRule="exact"/>
        <w:ind w:left="0" w:leftChars="0" w:firstLine="420" w:firstLineChars="20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（2）开标一览表</w:t>
      </w:r>
      <w:r>
        <w:rPr>
          <w:rFonts w:hint="eastAsia"/>
          <w:color w:val="auto"/>
          <w:szCs w:val="21"/>
          <w:highlight w:val="none"/>
        </w:rPr>
        <w:t>（格式见附件）</w:t>
      </w:r>
      <w:r>
        <w:rPr>
          <w:rFonts w:hint="eastAsia" w:cs="宋体" w:asciiTheme="minorEastAsia" w:hAnsiTheme="minorEastAsia"/>
          <w:color w:val="auto"/>
          <w:sz w:val="21"/>
          <w:szCs w:val="21"/>
          <w:highlight w:val="none"/>
        </w:rPr>
        <w:t>；</w:t>
      </w:r>
    </w:p>
    <w:p w14:paraId="3F8FAF89">
      <w:pPr>
        <w:pStyle w:val="30"/>
        <w:spacing w:line="460" w:lineRule="exact"/>
        <w:ind w:left="0" w:leftChars="0" w:firstLine="420" w:firstLineChars="20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3</w:t>
      </w: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投标人认为需提交的其他文件资料。</w:t>
      </w:r>
    </w:p>
    <w:p w14:paraId="795EC221">
      <w:pPr>
        <w:pStyle w:val="30"/>
        <w:spacing w:line="460" w:lineRule="exact"/>
        <w:ind w:left="0" w:leftChars="0" w:firstLine="0" w:firstLineChars="0"/>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技术商务文件包含但不限于以下文件：</w:t>
      </w:r>
    </w:p>
    <w:p w14:paraId="0C6BE1C7">
      <w:pPr>
        <w:pStyle w:val="30"/>
        <w:spacing w:line="460" w:lineRule="exact"/>
        <w:ind w:left="0" w:leftChars="0" w:firstLine="420" w:firstLineChars="20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1）商务技术自评表(</w:t>
      </w:r>
      <w:r>
        <w:rPr>
          <w:rFonts w:hint="eastAsia" w:asciiTheme="minorEastAsia" w:hAnsiTheme="minorEastAsia"/>
          <w:color w:val="auto"/>
          <w:sz w:val="21"/>
          <w:szCs w:val="21"/>
          <w:highlight w:val="none"/>
        </w:rPr>
        <w:t>格式见附件</w:t>
      </w:r>
      <w:r>
        <w:rPr>
          <w:rFonts w:cs="宋体" w:asciiTheme="minorEastAsia" w:hAnsiTheme="minorEastAsia"/>
          <w:color w:val="auto"/>
          <w:sz w:val="21"/>
          <w:szCs w:val="21"/>
          <w:highlight w:val="none"/>
        </w:rPr>
        <w:t>)；</w:t>
      </w:r>
    </w:p>
    <w:p w14:paraId="383B54FD">
      <w:pPr>
        <w:pStyle w:val="30"/>
        <w:spacing w:line="460" w:lineRule="exact"/>
        <w:ind w:left="0" w:leftChars="0" w:firstLine="420" w:firstLineChars="20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（2）供应商基本情况表</w:t>
      </w:r>
      <w:r>
        <w:rPr>
          <w:rFonts w:cs="宋体" w:asciiTheme="minorEastAsia" w:hAnsiTheme="minorEastAsia"/>
          <w:color w:val="auto"/>
          <w:sz w:val="21"/>
          <w:szCs w:val="21"/>
          <w:highlight w:val="none"/>
        </w:rPr>
        <w:t>（</w:t>
      </w:r>
      <w:r>
        <w:rPr>
          <w:rFonts w:hint="eastAsia" w:asciiTheme="minorEastAsia" w:hAnsiTheme="minorEastAsia"/>
          <w:color w:val="auto"/>
          <w:sz w:val="21"/>
          <w:szCs w:val="21"/>
          <w:highlight w:val="none"/>
        </w:rPr>
        <w:t>格式见附件</w:t>
      </w:r>
      <w:r>
        <w:rPr>
          <w:rFonts w:cs="宋体" w:asciiTheme="minorEastAsia" w:hAnsiTheme="minorEastAsia"/>
          <w:color w:val="auto"/>
          <w:sz w:val="21"/>
          <w:szCs w:val="21"/>
          <w:highlight w:val="none"/>
        </w:rPr>
        <w:t xml:space="preserve">）； </w:t>
      </w:r>
    </w:p>
    <w:p w14:paraId="27BD4025">
      <w:pPr>
        <w:pStyle w:val="30"/>
        <w:spacing w:line="460" w:lineRule="exact"/>
        <w:ind w:left="0" w:leftChars="0" w:firstLine="420" w:firstLineChars="200"/>
        <w:jc w:val="left"/>
        <w:rPr>
          <w:rFonts w:hint="eastAsia" w:ascii="Times New Roman" w:hAnsi="Times New Roman" w:eastAsia="宋体"/>
          <w:color w:val="auto"/>
          <w:szCs w:val="21"/>
          <w:highlight w:val="none"/>
        </w:rPr>
      </w:pP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3）</w:t>
      </w:r>
      <w:r>
        <w:rPr>
          <w:rFonts w:hint="eastAsia" w:ascii="Times New Roman" w:hAnsi="Times New Roman" w:eastAsia="宋体"/>
          <w:color w:val="auto"/>
          <w:szCs w:val="21"/>
          <w:highlight w:val="none"/>
        </w:rPr>
        <w:t>法定代表人授权书（</w:t>
      </w:r>
      <w:r>
        <w:rPr>
          <w:rFonts w:ascii="Times New Roman" w:hAnsi="Times New Roman" w:eastAsia="宋体"/>
          <w:color w:val="auto"/>
          <w:szCs w:val="21"/>
          <w:highlight w:val="none"/>
        </w:rPr>
        <w:t>若投标人代表系法定代表人，无</w:t>
      </w:r>
      <w:r>
        <w:rPr>
          <w:rFonts w:hint="eastAsia" w:ascii="Times New Roman" w:hAnsi="Times New Roman" w:eastAsia="宋体"/>
          <w:color w:val="auto"/>
          <w:szCs w:val="21"/>
          <w:highlight w:val="none"/>
        </w:rPr>
        <w:t>需提供</w:t>
      </w:r>
      <w:r>
        <w:rPr>
          <w:rFonts w:ascii="Times New Roman" w:hAnsi="Times New Roman" w:eastAsia="宋体"/>
          <w:color w:val="auto"/>
          <w:szCs w:val="21"/>
          <w:highlight w:val="none"/>
        </w:rPr>
        <w:t>授权书，</w:t>
      </w:r>
      <w:r>
        <w:rPr>
          <w:rFonts w:hint="eastAsia" w:ascii="Times New Roman" w:hAnsi="Times New Roman" w:eastAsia="宋体"/>
          <w:color w:val="auto"/>
          <w:szCs w:val="21"/>
          <w:highlight w:val="none"/>
        </w:rPr>
        <w:t>必须提供法定代表人身份证</w:t>
      </w:r>
      <w:r>
        <w:rPr>
          <w:rFonts w:hint="eastAsia" w:ascii="Times New Roman" w:hAnsi="Times New Roman" w:eastAsia="宋体"/>
          <w:color w:val="auto"/>
          <w:szCs w:val="21"/>
          <w:highlight w:val="none"/>
          <w:lang w:eastAsia="zh-CN"/>
        </w:rPr>
        <w:t>扫描件</w:t>
      </w:r>
      <w:r>
        <w:rPr>
          <w:rFonts w:hint="eastAsia" w:ascii="Times New Roman" w:hAnsi="Times New Roman" w:eastAsia="宋体"/>
          <w:color w:val="auto"/>
          <w:szCs w:val="21"/>
          <w:highlight w:val="none"/>
        </w:rPr>
        <w:t>及法定代表人身份证明书（格式见附件）</w:t>
      </w:r>
    </w:p>
    <w:p w14:paraId="2EBA006B">
      <w:pPr>
        <w:pStyle w:val="30"/>
        <w:spacing w:line="460" w:lineRule="exact"/>
        <w:ind w:left="0" w:leftChars="0" w:firstLine="420" w:firstLineChars="200"/>
        <w:jc w:val="left"/>
        <w:rPr>
          <w:rFonts w:hint="eastAsia" w:cs="宋体" w:asciiTheme="minorEastAsia" w:hAnsiTheme="minorEastAsia"/>
          <w:color w:val="auto"/>
          <w:sz w:val="21"/>
          <w:szCs w:val="21"/>
          <w:highlight w:val="none"/>
          <w:lang w:eastAsia="zh-CN"/>
        </w:rPr>
      </w:pPr>
      <w:r>
        <w:rPr>
          <w:rFonts w:hint="eastAsia" w:cs="宋体" w:asciiTheme="minorEastAsia" w:hAnsiTheme="minorEastAsia"/>
          <w:color w:val="auto"/>
          <w:sz w:val="21"/>
          <w:szCs w:val="21"/>
          <w:highlight w:val="none"/>
          <w:lang w:eastAsia="zh-CN"/>
        </w:rPr>
        <w:t>（</w:t>
      </w:r>
      <w:r>
        <w:rPr>
          <w:rFonts w:hint="eastAsia" w:cs="宋体" w:asciiTheme="minorEastAsia" w:hAnsiTheme="minorEastAsia"/>
          <w:color w:val="auto"/>
          <w:sz w:val="21"/>
          <w:szCs w:val="21"/>
          <w:highlight w:val="none"/>
          <w:lang w:val="en-US" w:eastAsia="zh-CN"/>
        </w:rPr>
        <w:t>4</w:t>
      </w:r>
      <w:r>
        <w:rPr>
          <w:rFonts w:hint="eastAsia" w:cs="宋体" w:asciiTheme="minorEastAsia" w:hAnsiTheme="minorEastAsia"/>
          <w:color w:val="auto"/>
          <w:sz w:val="21"/>
          <w:szCs w:val="21"/>
          <w:highlight w:val="none"/>
          <w:lang w:eastAsia="zh-CN"/>
        </w:rPr>
        <w:t>）整体服务方案；</w:t>
      </w:r>
    </w:p>
    <w:p w14:paraId="07FD83DE">
      <w:pPr>
        <w:pStyle w:val="30"/>
        <w:spacing w:line="460" w:lineRule="exact"/>
        <w:ind w:left="0" w:leftChars="0" w:firstLine="420" w:firstLineChars="200"/>
        <w:jc w:val="left"/>
        <w:rPr>
          <w:rFonts w:hint="eastAsia"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lang w:eastAsia="zh-CN"/>
        </w:rPr>
        <w:t>（</w:t>
      </w:r>
      <w:r>
        <w:rPr>
          <w:rFonts w:hint="eastAsia" w:cs="宋体" w:asciiTheme="minorEastAsia" w:hAnsiTheme="minorEastAsia"/>
          <w:color w:val="auto"/>
          <w:sz w:val="21"/>
          <w:szCs w:val="21"/>
          <w:highlight w:val="none"/>
          <w:lang w:val="en-US" w:eastAsia="zh-CN"/>
        </w:rPr>
        <w:t>5</w:t>
      </w:r>
      <w:r>
        <w:rPr>
          <w:rFonts w:hint="eastAsia" w:cs="宋体" w:asciiTheme="minorEastAsia" w:hAnsiTheme="minorEastAsia"/>
          <w:color w:val="auto"/>
          <w:sz w:val="21"/>
          <w:szCs w:val="21"/>
          <w:highlight w:val="none"/>
          <w:lang w:eastAsia="zh-CN"/>
        </w:rPr>
        <w:t>）</w:t>
      </w:r>
      <w:r>
        <w:rPr>
          <w:rFonts w:hint="eastAsia" w:cs="宋体" w:asciiTheme="minorEastAsia" w:hAnsiTheme="minorEastAsia"/>
          <w:color w:val="auto"/>
          <w:sz w:val="21"/>
          <w:szCs w:val="21"/>
          <w:highlight w:val="none"/>
        </w:rPr>
        <w:t>证书一览表（格式见附件）；</w:t>
      </w:r>
    </w:p>
    <w:p w14:paraId="240F694B">
      <w:pPr>
        <w:pStyle w:val="30"/>
        <w:spacing w:line="460" w:lineRule="exact"/>
        <w:ind w:left="0" w:leftChars="0" w:firstLine="420" w:firstLineChars="200"/>
        <w:jc w:val="left"/>
        <w:rPr>
          <w:rFonts w:hint="eastAsia" w:cs="宋体" w:asciiTheme="minorEastAsia" w:hAnsiTheme="minorEastAsia" w:eastAsiaTheme="minorEastAsia"/>
          <w:color w:val="auto"/>
          <w:sz w:val="21"/>
          <w:szCs w:val="21"/>
          <w:highlight w:val="none"/>
          <w:lang w:eastAsia="zh-CN"/>
        </w:rPr>
      </w:pP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6</w:t>
      </w: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eastAsia="zh-CN"/>
        </w:rPr>
        <w:t>技术规范偏离表（格式见附件）；</w:t>
      </w:r>
    </w:p>
    <w:p w14:paraId="2B31A25B">
      <w:pPr>
        <w:pStyle w:val="30"/>
        <w:spacing w:line="460" w:lineRule="exact"/>
        <w:ind w:left="0" w:leftChars="0" w:firstLine="420" w:firstLineChars="20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lang w:eastAsia="zh-CN"/>
        </w:rPr>
        <w:t>（</w:t>
      </w:r>
      <w:r>
        <w:rPr>
          <w:rFonts w:hint="eastAsia" w:cs="宋体" w:asciiTheme="minorEastAsia" w:hAnsiTheme="minorEastAsia"/>
          <w:color w:val="auto"/>
          <w:sz w:val="21"/>
          <w:szCs w:val="21"/>
          <w:highlight w:val="none"/>
          <w:lang w:val="en-US" w:eastAsia="zh-CN"/>
        </w:rPr>
        <w:t>7</w:t>
      </w:r>
      <w:r>
        <w:rPr>
          <w:rFonts w:hint="eastAsia" w:cs="宋体" w:asciiTheme="minorEastAsia" w:hAnsiTheme="minorEastAsia"/>
          <w:color w:val="auto"/>
          <w:sz w:val="21"/>
          <w:szCs w:val="21"/>
          <w:highlight w:val="none"/>
          <w:lang w:eastAsia="zh-CN"/>
        </w:rPr>
        <w:t>）</w:t>
      </w:r>
      <w:r>
        <w:rPr>
          <w:rFonts w:cs="宋体" w:asciiTheme="minorEastAsia" w:hAnsiTheme="minorEastAsia"/>
          <w:color w:val="auto"/>
          <w:sz w:val="21"/>
          <w:szCs w:val="21"/>
          <w:highlight w:val="none"/>
        </w:rPr>
        <w:t>商务偏离表（</w:t>
      </w:r>
      <w:r>
        <w:rPr>
          <w:rFonts w:hint="eastAsia" w:asciiTheme="minorEastAsia" w:hAnsiTheme="minorEastAsia"/>
          <w:color w:val="auto"/>
          <w:sz w:val="21"/>
          <w:szCs w:val="21"/>
          <w:highlight w:val="none"/>
        </w:rPr>
        <w:t>格式见附件</w:t>
      </w:r>
      <w:r>
        <w:rPr>
          <w:rFonts w:cs="宋体" w:asciiTheme="minorEastAsia" w:hAnsiTheme="minorEastAsia"/>
          <w:color w:val="auto"/>
          <w:sz w:val="21"/>
          <w:szCs w:val="21"/>
          <w:highlight w:val="none"/>
        </w:rPr>
        <w:t xml:space="preserve">）； </w:t>
      </w:r>
    </w:p>
    <w:p w14:paraId="4860D945">
      <w:pPr>
        <w:pStyle w:val="30"/>
        <w:spacing w:line="460" w:lineRule="exact"/>
        <w:ind w:left="0" w:leftChars="0" w:firstLine="420" w:firstLineChars="200"/>
        <w:jc w:val="left"/>
        <w:rPr>
          <w:rFonts w:cs="宋体" w:asciiTheme="minorEastAsia" w:hAnsiTheme="minorEastAsia"/>
          <w:color w:val="auto"/>
          <w:sz w:val="21"/>
          <w:szCs w:val="21"/>
          <w:highlight w:val="none"/>
        </w:rPr>
      </w:pP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8</w:t>
      </w: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rPr>
        <w:t>项目实施人员一览表</w:t>
      </w:r>
      <w:r>
        <w:rPr>
          <w:rFonts w:cs="宋体" w:asciiTheme="minorEastAsia" w:hAnsiTheme="minorEastAsia"/>
          <w:color w:val="auto"/>
          <w:sz w:val="21"/>
          <w:szCs w:val="21"/>
          <w:highlight w:val="none"/>
        </w:rPr>
        <w:t>（</w:t>
      </w:r>
      <w:r>
        <w:rPr>
          <w:rFonts w:hint="eastAsia" w:asciiTheme="minorEastAsia" w:hAnsiTheme="minorEastAsia"/>
          <w:color w:val="auto"/>
          <w:sz w:val="21"/>
          <w:szCs w:val="21"/>
          <w:highlight w:val="none"/>
        </w:rPr>
        <w:t>格式见附件</w:t>
      </w:r>
      <w:r>
        <w:rPr>
          <w:rFonts w:cs="宋体" w:asciiTheme="minorEastAsia" w:hAnsiTheme="minorEastAsia"/>
          <w:color w:val="auto"/>
          <w:sz w:val="21"/>
          <w:szCs w:val="21"/>
          <w:highlight w:val="none"/>
        </w:rPr>
        <w:t xml:space="preserve">）； </w:t>
      </w:r>
    </w:p>
    <w:p w14:paraId="02A8A97F">
      <w:pPr>
        <w:pStyle w:val="30"/>
        <w:spacing w:line="460" w:lineRule="exact"/>
        <w:ind w:left="0" w:leftChars="0" w:firstLine="420" w:firstLineChars="20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9</w:t>
      </w: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rPr>
        <w:t>车辆配置表（格式见附件）</w:t>
      </w:r>
      <w:r>
        <w:rPr>
          <w:rFonts w:cs="宋体" w:asciiTheme="minorEastAsia" w:hAnsiTheme="minorEastAsia"/>
          <w:color w:val="auto"/>
          <w:sz w:val="21"/>
          <w:szCs w:val="21"/>
          <w:highlight w:val="none"/>
        </w:rPr>
        <w:t xml:space="preserve">；  </w:t>
      </w:r>
    </w:p>
    <w:p w14:paraId="467A3E3F">
      <w:pPr>
        <w:pStyle w:val="30"/>
        <w:spacing w:line="460" w:lineRule="exact"/>
        <w:ind w:left="0" w:leftChars="0" w:firstLine="420" w:firstLineChars="20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10</w:t>
      </w: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相关项目实施业绩一览表（</w:t>
      </w:r>
      <w:r>
        <w:rPr>
          <w:rFonts w:hint="eastAsia" w:asciiTheme="minorEastAsia" w:hAnsiTheme="minorEastAsia"/>
          <w:color w:val="auto"/>
          <w:sz w:val="21"/>
          <w:szCs w:val="21"/>
          <w:highlight w:val="none"/>
        </w:rPr>
        <w:t>格式见附件</w:t>
      </w:r>
      <w:r>
        <w:rPr>
          <w:rFonts w:cs="宋体" w:asciiTheme="minorEastAsia" w:hAnsiTheme="minorEastAsia"/>
          <w:color w:val="auto"/>
          <w:sz w:val="21"/>
          <w:szCs w:val="21"/>
          <w:highlight w:val="none"/>
        </w:rPr>
        <w:t xml:space="preserve">件）；  </w:t>
      </w:r>
    </w:p>
    <w:p w14:paraId="600FCDBA">
      <w:pPr>
        <w:pStyle w:val="30"/>
        <w:spacing w:line="460" w:lineRule="exact"/>
        <w:ind w:left="0" w:leftChars="0" w:firstLine="420" w:firstLineChars="200"/>
        <w:jc w:val="left"/>
        <w:rPr>
          <w:rFonts w:cs="宋体" w:asciiTheme="minorEastAsia" w:hAnsiTheme="minorEastAsia"/>
          <w:color w:val="auto"/>
          <w:sz w:val="21"/>
          <w:szCs w:val="21"/>
          <w:highlight w:val="none"/>
        </w:rPr>
      </w:pP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11</w:t>
      </w:r>
      <w:r>
        <w:rPr>
          <w:rFonts w:cs="宋体" w:asciiTheme="minorEastAsia" w:hAnsiTheme="minorEastAsia"/>
          <w:color w:val="auto"/>
          <w:sz w:val="21"/>
          <w:szCs w:val="21"/>
          <w:highlight w:val="none"/>
        </w:rPr>
        <w:t xml:space="preserve">）评分标准或采购文件需要提供的其他技术商务材料； </w:t>
      </w:r>
    </w:p>
    <w:p w14:paraId="4297A66C">
      <w:pPr>
        <w:pStyle w:val="30"/>
        <w:spacing w:line="460" w:lineRule="exact"/>
        <w:ind w:left="0" w:leftChars="0" w:firstLine="420" w:firstLineChars="200"/>
        <w:jc w:val="left"/>
        <w:rPr>
          <w:rFonts w:cs="宋体" w:asciiTheme="minorEastAsia" w:hAnsiTheme="minorEastAsia"/>
          <w:color w:val="auto"/>
          <w:sz w:val="21"/>
          <w:szCs w:val="21"/>
          <w:highlight w:val="none"/>
        </w:rPr>
      </w:pP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12</w:t>
      </w:r>
      <w:r>
        <w:rPr>
          <w:rFonts w:cs="宋体" w:asciiTheme="minorEastAsia" w:hAnsiTheme="minorEastAsia"/>
          <w:color w:val="auto"/>
          <w:sz w:val="21"/>
          <w:szCs w:val="21"/>
          <w:highlight w:val="none"/>
        </w:rPr>
        <w:t>）供应商认为有必要提供的其他技术商务文件资料。</w:t>
      </w:r>
    </w:p>
    <w:p w14:paraId="4CF3E3B1">
      <w:pPr>
        <w:pStyle w:val="30"/>
        <w:spacing w:line="460" w:lineRule="exact"/>
        <w:ind w:left="0" w:leftChars="0" w:firstLine="0" w:firstLineChars="0"/>
        <w:jc w:val="left"/>
        <w:rPr>
          <w:rFonts w:cs="宋体" w:asciiTheme="minorEastAsia" w:hAnsiTheme="minorEastAsia"/>
          <w:color w:val="auto"/>
          <w:sz w:val="21"/>
          <w:szCs w:val="21"/>
          <w:highlight w:val="none"/>
        </w:rPr>
      </w:pPr>
      <w:r>
        <w:rPr>
          <w:rFonts w:hint="eastAsia" w:asciiTheme="minorEastAsia" w:hAnsiTheme="minorEastAsia"/>
          <w:b/>
          <w:color w:val="auto"/>
          <w:sz w:val="21"/>
          <w:szCs w:val="21"/>
          <w:highlight w:val="none"/>
        </w:rPr>
        <w:t>12、投标文件的制作、封装及递交要求</w:t>
      </w:r>
    </w:p>
    <w:p w14:paraId="1708D900">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12.1、投标文件的制作要求</w:t>
      </w:r>
    </w:p>
    <w:p w14:paraId="284BC433">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14:paraId="2AE480EF">
      <w:pPr>
        <w:pStyle w:val="30"/>
        <w:spacing w:line="460" w:lineRule="exact"/>
        <w:ind w:left="0" w:leftChars="0" w:firstLine="413" w:firstLineChars="196"/>
        <w:rPr>
          <w:rFonts w:cs="FangSong_GB2312" w:asciiTheme="minorEastAsia" w:hAnsiTheme="minorEastAsia"/>
          <w:b/>
          <w:color w:val="auto"/>
          <w:sz w:val="21"/>
          <w:szCs w:val="21"/>
          <w:highlight w:val="none"/>
        </w:rPr>
      </w:pPr>
      <w:r>
        <w:rPr>
          <w:rFonts w:hint="eastAsia" w:cs="FangSong_GB2312" w:asciiTheme="minorEastAsia" w:hAnsiTheme="minorEastAsia"/>
          <w:b/>
          <w:color w:val="auto"/>
          <w:sz w:val="21"/>
          <w:szCs w:val="21"/>
          <w:highlight w:val="none"/>
        </w:rPr>
        <w:t>电子投标文件部分：投标人应根据“政采云供应商项目采购-电子招投标操作指南”及本规定的格式和顺序编制电子投标文件并进行关联定位。</w:t>
      </w:r>
    </w:p>
    <w:p w14:paraId="3627A5A2">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备份电子投标文件：通过“政采云”平台电子投标工具制作投标文件所产生的备份文件</w:t>
      </w:r>
    </w:p>
    <w:p w14:paraId="018EA02E">
      <w:pPr>
        <w:pStyle w:val="30"/>
        <w:spacing w:line="460" w:lineRule="exact"/>
        <w:ind w:left="0" w:leftChars="0" w:firstLine="420" w:firstLineChars="200"/>
        <w:rPr>
          <w:rFonts w:cs="Lucida Sans" w:asciiTheme="minorEastAsia" w:hAnsiTheme="minorEastAsia"/>
          <w:color w:val="auto"/>
          <w:sz w:val="21"/>
          <w:szCs w:val="21"/>
          <w:highlight w:val="none"/>
        </w:rPr>
      </w:pPr>
      <w:r>
        <w:rPr>
          <w:rFonts w:hint="eastAsia" w:cs="Lucida Sans" w:asciiTheme="minorEastAsia" w:hAnsiTheme="minorEastAsia"/>
          <w:color w:val="auto"/>
          <w:sz w:val="21"/>
          <w:szCs w:val="21"/>
          <w:highlight w:val="none"/>
        </w:rPr>
        <w:t>（2）投标人应对所提供的全部资料的真实性、有效性承担法律责任，电子投标文件中所须加盖公章部分均采用CA签章。</w:t>
      </w:r>
    </w:p>
    <w:p w14:paraId="5B63975F">
      <w:pPr>
        <w:pStyle w:val="30"/>
        <w:spacing w:line="460" w:lineRule="exact"/>
        <w:ind w:left="0" w:leftChars="0" w:firstLine="420" w:firstLineChars="200"/>
        <w:rPr>
          <w:rFonts w:cs="Lucida Sans" w:asciiTheme="minorEastAsia" w:hAnsiTheme="minorEastAsia"/>
          <w:color w:val="auto"/>
          <w:sz w:val="21"/>
          <w:szCs w:val="21"/>
          <w:highlight w:val="none"/>
        </w:rPr>
      </w:pPr>
      <w:r>
        <w:rPr>
          <w:rFonts w:hint="eastAsia" w:asciiTheme="minorEastAsia" w:hAnsiTheme="minorEastAsia"/>
          <w:color w:val="auto"/>
          <w:sz w:val="21"/>
          <w:szCs w:val="21"/>
          <w:highlight w:val="none"/>
        </w:rPr>
        <w:t>（3）</w:t>
      </w:r>
      <w:r>
        <w:rPr>
          <w:rFonts w:asciiTheme="minorEastAsia" w:hAnsiTheme="minorEastAsia"/>
          <w:color w:val="auto"/>
          <w:sz w:val="21"/>
          <w:szCs w:val="21"/>
          <w:highlight w:val="none"/>
        </w:rPr>
        <w:t>投标文件以及投标人与</w:t>
      </w:r>
      <w:r>
        <w:rPr>
          <w:rFonts w:hint="eastAsia" w:asciiTheme="minorEastAsia" w:hAnsiTheme="minorEastAsia"/>
          <w:color w:val="auto"/>
          <w:sz w:val="21"/>
          <w:szCs w:val="21"/>
          <w:highlight w:val="none"/>
        </w:rPr>
        <w:t>采购代理机构</w:t>
      </w:r>
      <w:r>
        <w:rPr>
          <w:rFonts w:asciiTheme="minorEastAsia" w:hAnsiTheme="minorEastAsia"/>
          <w:color w:val="auto"/>
          <w:sz w:val="21"/>
          <w:szCs w:val="21"/>
          <w:highlight w:val="none"/>
        </w:rPr>
        <w:t>就有关投标事宜的所有来往函电，均应以中文汉语书写。除</w:t>
      </w:r>
      <w:r>
        <w:rPr>
          <w:rFonts w:hint="eastAsia" w:asciiTheme="minorEastAsia" w:hAnsiTheme="minorEastAsia"/>
          <w:color w:val="auto"/>
          <w:sz w:val="21"/>
          <w:szCs w:val="21"/>
          <w:highlight w:val="none"/>
        </w:rPr>
        <w:t>签字</w:t>
      </w:r>
      <w:r>
        <w:rPr>
          <w:rFonts w:asciiTheme="minorEastAsia" w:hAnsiTheme="minorEastAsia"/>
          <w:color w:val="auto"/>
          <w:sz w:val="21"/>
          <w:szCs w:val="21"/>
          <w:highlight w:val="none"/>
        </w:rPr>
        <w:t>、盖章、专用名称等特殊情形外，以中文汉语以外的文字表述的投标文件视同未提供。</w:t>
      </w:r>
    </w:p>
    <w:p w14:paraId="506EB7DD">
      <w:pPr>
        <w:pStyle w:val="30"/>
        <w:spacing w:line="460" w:lineRule="exact"/>
        <w:ind w:left="0" w:leftChars="0"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（4）</w:t>
      </w:r>
      <w:r>
        <w:rPr>
          <w:rFonts w:asciiTheme="minorEastAsia" w:hAnsiTheme="minorEastAsia"/>
          <w:color w:val="auto"/>
          <w:sz w:val="21"/>
          <w:szCs w:val="21"/>
          <w:highlight w:val="none"/>
        </w:rPr>
        <w:t>投标计量单位，已有明确规定的，使用规定的计量单位；没有规定的，应采用中华人民共和国法定计量单位（货币单位：人民币元）。</w:t>
      </w:r>
    </w:p>
    <w:p w14:paraId="582C604E">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（5）</w:t>
      </w:r>
      <w:r>
        <w:rPr>
          <w:rFonts w:asciiTheme="minorEastAsia" w:hAnsiTheme="minorEastAsia"/>
          <w:color w:val="auto"/>
          <w:sz w:val="21"/>
          <w:szCs w:val="21"/>
          <w:highlight w:val="none"/>
        </w:rPr>
        <w:t>若投标人不按的要求提供资格审查材料，其风险由投标人自行承担。</w:t>
      </w:r>
    </w:p>
    <w:p w14:paraId="43D74795">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（6）与本次投标无关的内容请不要制作在内，确保投标文件有针对性、简洁明了。</w:t>
      </w:r>
    </w:p>
    <w:p w14:paraId="0E2BE1DD">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12.2、投标文件的编制、递交要求</w:t>
      </w:r>
    </w:p>
    <w:p w14:paraId="61865A2A">
      <w:pPr>
        <w:pStyle w:val="30"/>
        <w:spacing w:line="460" w:lineRule="exact"/>
        <w:ind w:left="0" w:leftChars="0" w:firstLine="420" w:firstLineChars="200"/>
        <w:rPr>
          <w:rFonts w:asciiTheme="minorEastAsia" w:hAnsiTheme="minorEastAsia"/>
          <w:color w:val="auto"/>
          <w:sz w:val="21"/>
          <w:szCs w:val="21"/>
          <w:highlight w:val="none"/>
        </w:rPr>
      </w:pPr>
      <w:r>
        <w:rPr>
          <w:rFonts w:hint="eastAsia" w:cs="宋体" w:asciiTheme="minorEastAsia" w:hAnsiTheme="minorEastAsia"/>
          <w:color w:val="auto"/>
          <w:sz w:val="21"/>
          <w:szCs w:val="21"/>
          <w:highlight w:val="none"/>
        </w:rPr>
        <w:t>（1）投标人须按照采购文件和政采云平台的要求编制并加密投标文件。在投标文件递交截止时间以前完成投标文件的传输递交。</w:t>
      </w:r>
    </w:p>
    <w:p w14:paraId="5CC2052B">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（2）备份电子投标文件必须在规定时间前发送至指定邮箱</w:t>
      </w:r>
      <w:r>
        <w:rPr>
          <w:rFonts w:hint="eastAsia" w:cs="宋体" w:asciiTheme="minorEastAsia" w:hAnsiTheme="minorEastAsia"/>
          <w:color w:val="auto"/>
          <w:sz w:val="21"/>
          <w:szCs w:val="21"/>
          <w:highlight w:val="none"/>
        </w:rPr>
        <w:t>。</w:t>
      </w:r>
      <w:r>
        <w:rPr>
          <w:rFonts w:hint="eastAsia" w:asciiTheme="minorEastAsia" w:hAnsiTheme="minorEastAsia"/>
          <w:color w:val="auto"/>
          <w:sz w:val="21"/>
          <w:szCs w:val="21"/>
          <w:highlight w:val="none"/>
        </w:rPr>
        <w:t>备份电子投标文件在截止时间后提交，采购代理机构将拒绝接收。</w:t>
      </w:r>
    </w:p>
    <w:p w14:paraId="70CD9FDD">
      <w:pPr>
        <w:pStyle w:val="30"/>
        <w:spacing w:line="460" w:lineRule="exact"/>
        <w:ind w:left="0" w:leftChars="0"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（3）如有特殊情况，采购代理机构延长截止时间和开标时间，采购代理机构和投标人的权利和义务将受到新的截止时间和开标时间的约束。</w:t>
      </w:r>
    </w:p>
    <w:p w14:paraId="4779E484">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12.3、投标文件的补充、修改和撤回</w:t>
      </w:r>
    </w:p>
    <w:p w14:paraId="11D20641">
      <w:pPr>
        <w:pStyle w:val="30"/>
        <w:spacing w:line="460" w:lineRule="exact"/>
        <w:ind w:left="0" w:leftChars="0" w:firstLine="315" w:firstLineChars="150"/>
        <w:rPr>
          <w:rFonts w:asciiTheme="minorEastAsia" w:hAnsiTheme="minorEastAsia"/>
          <w:color w:val="auto"/>
          <w:sz w:val="21"/>
          <w:szCs w:val="21"/>
          <w:highlight w:val="none"/>
        </w:rPr>
      </w:pPr>
      <w:r>
        <w:rPr>
          <w:rFonts w:hint="eastAsia" w:cs="宋体" w:asciiTheme="minorEastAsia" w:hAnsiTheme="minorEastAsia"/>
          <w:color w:val="auto"/>
          <w:sz w:val="21"/>
          <w:szCs w:val="21"/>
          <w:highlight w:val="none"/>
        </w:rPr>
        <w:t>（1）</w:t>
      </w:r>
      <w:r>
        <w:rPr>
          <w:rFonts w:hint="eastAsia" w:asciiTheme="minorEastAsia" w:hAnsiTheme="minorEastAsia"/>
          <w:color w:val="auto"/>
          <w:sz w:val="21"/>
          <w:szCs w:val="21"/>
          <w:highlight w:val="none"/>
        </w:rPr>
        <w:t>补充或者修改投标文件的，应当先行撤回原文件，补充、修改后重新传输递交。投标截止时间前未完成传输的，视为撤回投标文件。</w:t>
      </w:r>
    </w:p>
    <w:p w14:paraId="212BB19C">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12</w:t>
      </w:r>
      <w:r>
        <w:rPr>
          <w:rFonts w:asciiTheme="minorEastAsia" w:hAnsiTheme="minorEastAsia"/>
          <w:b/>
          <w:color w:val="auto"/>
          <w:sz w:val="21"/>
          <w:szCs w:val="21"/>
          <w:highlight w:val="none"/>
        </w:rPr>
        <w:t>.4</w:t>
      </w:r>
      <w:r>
        <w:rPr>
          <w:rFonts w:hint="eastAsia" w:asciiTheme="minorEastAsia" w:hAnsiTheme="minorEastAsia"/>
          <w:b/>
          <w:color w:val="auto"/>
          <w:sz w:val="21"/>
          <w:szCs w:val="21"/>
          <w:highlight w:val="none"/>
        </w:rPr>
        <w:t>投标文件的有效期</w:t>
      </w:r>
    </w:p>
    <w:p w14:paraId="01A0D465">
      <w:pPr>
        <w:pStyle w:val="30"/>
        <w:spacing w:line="460" w:lineRule="exact"/>
        <w:ind w:left="0" w:leftChars="0" w:firstLine="315" w:firstLineChars="150"/>
        <w:rPr>
          <w:rFonts w:cs="FangSong_GB2312" w:asciiTheme="minorEastAsia" w:hAnsiTheme="minorEastAsia"/>
          <w:color w:val="auto"/>
          <w:sz w:val="21"/>
          <w:szCs w:val="21"/>
          <w:highlight w:val="none"/>
          <w:lang w:val="en-GB"/>
        </w:rPr>
      </w:pPr>
      <w:r>
        <w:rPr>
          <w:rFonts w:hint="eastAsia" w:asciiTheme="minorEastAsia" w:hAnsiTheme="minorEastAsia"/>
          <w:color w:val="auto"/>
          <w:sz w:val="21"/>
          <w:szCs w:val="21"/>
          <w:highlight w:val="none"/>
          <w:lang w:val="en-GB"/>
        </w:rPr>
        <w:t>（1）自投标截止日起90天投标文件应保持有效。有效期不足的投标文件将被拒绝。</w:t>
      </w:r>
    </w:p>
    <w:p w14:paraId="285D3E33">
      <w:pPr>
        <w:pStyle w:val="30"/>
        <w:spacing w:line="460" w:lineRule="exact"/>
        <w:ind w:left="0" w:leftChars="0" w:firstLine="315" w:firstLineChars="150"/>
        <w:rPr>
          <w:rFonts w:asciiTheme="minorEastAsia" w:hAnsiTheme="minorEastAsia"/>
          <w:color w:val="auto"/>
          <w:sz w:val="21"/>
          <w:szCs w:val="21"/>
          <w:highlight w:val="none"/>
          <w:lang w:val="en-GB"/>
        </w:rPr>
      </w:pPr>
      <w:r>
        <w:rPr>
          <w:rFonts w:hint="eastAsia" w:asciiTheme="minorEastAsia" w:hAnsiTheme="minorEastAsia"/>
          <w:color w:val="auto"/>
          <w:sz w:val="21"/>
          <w:szCs w:val="21"/>
          <w:highlight w:val="none"/>
          <w:lang w:val="en-GB"/>
        </w:rPr>
        <w:t>（2）在特殊情况下，采购人可与投标人协商延长投标文件的有效期，这种要求和答复均</w:t>
      </w:r>
      <w:r>
        <w:rPr>
          <w:rFonts w:hint="eastAsia" w:asciiTheme="minorEastAsia" w:hAnsiTheme="minorEastAsia"/>
          <w:color w:val="auto"/>
          <w:sz w:val="21"/>
          <w:szCs w:val="21"/>
          <w:highlight w:val="none"/>
          <w:lang w:val="en-US" w:eastAsia="zh-CN"/>
        </w:rPr>
        <w:t>应</w:t>
      </w:r>
      <w:r>
        <w:rPr>
          <w:rFonts w:hint="eastAsia" w:asciiTheme="minorEastAsia" w:hAnsiTheme="minorEastAsia"/>
          <w:color w:val="auto"/>
          <w:sz w:val="21"/>
          <w:szCs w:val="21"/>
          <w:highlight w:val="none"/>
          <w:lang w:val="en-GB"/>
        </w:rPr>
        <w:t>以书面形式进行。</w:t>
      </w:r>
    </w:p>
    <w:p w14:paraId="5FBA151B">
      <w:pPr>
        <w:pStyle w:val="30"/>
        <w:spacing w:line="460" w:lineRule="exact"/>
        <w:ind w:left="0" w:leftChars="0" w:firstLine="315" w:firstLineChars="150"/>
        <w:rPr>
          <w:rFonts w:asciiTheme="minorEastAsia" w:hAnsiTheme="minorEastAsia"/>
          <w:color w:val="auto"/>
          <w:sz w:val="21"/>
          <w:szCs w:val="21"/>
          <w:highlight w:val="none"/>
        </w:rPr>
      </w:pPr>
      <w:bookmarkStart w:id="29" w:name="_Toc15470"/>
      <w:bookmarkStart w:id="30" w:name="_Toc24220"/>
      <w:bookmarkStart w:id="31" w:name="_Toc30825"/>
      <w:r>
        <w:rPr>
          <w:rFonts w:hint="eastAsia" w:asciiTheme="minorEastAsia" w:hAnsiTheme="minorEastAsia"/>
          <w:color w:val="auto"/>
          <w:sz w:val="21"/>
          <w:szCs w:val="21"/>
          <w:highlight w:val="none"/>
          <w:lang w:val="en-GB"/>
        </w:rPr>
        <w:t>（3）</w:t>
      </w:r>
      <w:r>
        <w:rPr>
          <w:rFonts w:asciiTheme="minorEastAsia" w:hAnsiTheme="minorEastAsia"/>
          <w:color w:val="auto"/>
          <w:sz w:val="21"/>
          <w:szCs w:val="21"/>
          <w:highlight w:val="none"/>
        </w:rPr>
        <w:t>中标人的投标文件自开标之日起至合同履行完毕均应保持有效。</w:t>
      </w:r>
      <w:bookmarkEnd w:id="29"/>
      <w:bookmarkEnd w:id="30"/>
      <w:bookmarkEnd w:id="31"/>
    </w:p>
    <w:p w14:paraId="31503E4F">
      <w:pPr>
        <w:pStyle w:val="30"/>
        <w:spacing w:line="460" w:lineRule="exact"/>
        <w:ind w:firstLine="422"/>
        <w:jc w:val="center"/>
        <w:rPr>
          <w:rFonts w:hint="eastAsia" w:asciiTheme="minorEastAsia" w:hAnsiTheme="minorEastAsia"/>
          <w:b/>
          <w:color w:val="auto"/>
          <w:sz w:val="21"/>
          <w:szCs w:val="21"/>
          <w:highlight w:val="none"/>
        </w:rPr>
      </w:pPr>
    </w:p>
    <w:p w14:paraId="3E5F7CEC">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四、开标</w:t>
      </w:r>
    </w:p>
    <w:p w14:paraId="095FFB3C">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13、开标准备</w:t>
      </w:r>
    </w:p>
    <w:p w14:paraId="6582CE3C">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采购代理机构将在规定的时间和地点进行开标，供应商的法定代表人或其授权代表可参加开标会。供应商的法定代表人或其授权代表未按时签到登记的，视同放弃开标监督权利、认可开标结果，不得事后对开标过程提出任何异议</w:t>
      </w:r>
    </w:p>
    <w:p w14:paraId="3A640F72">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14、 开标程序：</w:t>
      </w:r>
    </w:p>
    <w:p w14:paraId="7AC210CB">
      <w:pPr>
        <w:spacing w:line="360" w:lineRule="auto"/>
        <w:ind w:firstLine="420" w:firstLineChars="200"/>
        <w:contextualSpacing/>
        <w:rPr>
          <w:rFonts w:ascii="Times New Roman" w:hAnsi="Times New Roman" w:cs="宋体"/>
          <w:color w:val="auto"/>
          <w:szCs w:val="21"/>
          <w:highlight w:val="none"/>
        </w:rPr>
      </w:pPr>
      <w:r>
        <w:rPr>
          <w:rFonts w:ascii="Times New Roman" w:hAnsi="Times New Roman" w:cs="宋体"/>
          <w:color w:val="auto"/>
          <w:szCs w:val="21"/>
          <w:highlight w:val="none"/>
        </w:rPr>
        <w:t>1</w:t>
      </w:r>
      <w:r>
        <w:rPr>
          <w:rFonts w:hint="eastAsia" w:ascii="Times New Roman" w:hAnsi="Times New Roman" w:cs="宋体"/>
          <w:color w:val="auto"/>
          <w:szCs w:val="21"/>
          <w:highlight w:val="none"/>
        </w:rPr>
        <w:t>4</w:t>
      </w:r>
      <w:r>
        <w:rPr>
          <w:rFonts w:ascii="Times New Roman" w:hAnsi="Times New Roman" w:cs="宋体"/>
          <w:color w:val="auto"/>
          <w:szCs w:val="21"/>
          <w:highlight w:val="none"/>
        </w:rPr>
        <w:t>.1</w:t>
      </w:r>
      <w:r>
        <w:rPr>
          <w:rFonts w:hint="eastAsia" w:ascii="Times New Roman" w:hAnsi="Times New Roman" w:cs="宋体"/>
          <w:color w:val="auto"/>
          <w:szCs w:val="21"/>
          <w:highlight w:val="none"/>
        </w:rPr>
        <w:t>电子招投标开标程序：</w:t>
      </w:r>
    </w:p>
    <w:p w14:paraId="1A6B1B1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ascii="Times New Roman" w:hAnsi="Times New Roman" w:cs="宋体"/>
          <w:color w:val="auto"/>
          <w:szCs w:val="21"/>
          <w:highlight w:val="none"/>
        </w:rPr>
      </w:pPr>
      <w:r>
        <w:rPr>
          <w:rFonts w:hint="eastAsia" w:ascii="Times New Roman" w:hAnsi="Times New Roman" w:cs="宋体"/>
          <w:color w:val="auto"/>
          <w:szCs w:val="21"/>
          <w:highlight w:val="none"/>
        </w:rPr>
        <w:t>第一阶段：</w:t>
      </w:r>
    </w:p>
    <w:p w14:paraId="7D2F2E67">
      <w:pPr>
        <w:pStyle w:val="30"/>
        <w:keepNext w:val="0"/>
        <w:keepLines w:val="0"/>
        <w:pageBreakBefore w:val="0"/>
        <w:widowControl w:val="0"/>
        <w:kinsoku/>
        <w:wordWrap/>
        <w:overflowPunct/>
        <w:topLinePunct w:val="0"/>
        <w:autoSpaceDE/>
        <w:autoSpaceDN/>
        <w:bidi w:val="0"/>
        <w:adjustRightInd w:val="0"/>
        <w:snapToGrid w:val="0"/>
        <w:spacing w:line="460" w:lineRule="exact"/>
        <w:ind w:left="0" w:leftChars="0" w:firstLine="440"/>
        <w:textAlignment w:val="auto"/>
        <w:rPr>
          <w:rFonts w:eastAsia="宋体" w:cs="Times New Roman"/>
          <w:b/>
          <w:color w:val="auto"/>
          <w:sz w:val="21"/>
          <w:szCs w:val="21"/>
          <w:highlight w:val="none"/>
        </w:rPr>
      </w:pPr>
      <w:r>
        <w:rPr>
          <w:rFonts w:hint="eastAsia" w:ascii="Times New Roman" w:hAnsi="Times New Roman" w:eastAsia="宋体" w:cs="宋体"/>
          <w:color w:val="auto"/>
          <w:szCs w:val="21"/>
          <w:highlight w:val="none"/>
        </w:rPr>
        <w:t>投标截止时间后，供应商登录政府采购云平台，用“项目采购-开标评标”功能对电子投标文件进行在线解密，在线解密电子投标文件时间为开标时间后30分钟内。</w:t>
      </w:r>
      <w:r>
        <w:rPr>
          <w:rFonts w:hint="eastAsia" w:asciiTheme="minorEastAsia" w:hAnsiTheme="minorEastAsia"/>
          <w:b/>
          <w:color w:val="auto"/>
          <w:sz w:val="21"/>
          <w:szCs w:val="21"/>
          <w:highlight w:val="none"/>
        </w:rPr>
        <w:t>投标文件解密结束，投标供应商通过电子邮件形式将经授权代表签署的《政府采购活动现场确认声明书》（格式见最后一页内容）的扫描件（或图片）发至采购代理机构邮箱：zgtzfgs@163.com。开评标活动结束之前投标供应商拒不发送《政府采购活动现场确认声明书》的，不填写或未按规定发出邮件的，视同默认不存在确认声明书中的相关违规情形。由此产生的一切风险责任由供应商自行承担。</w:t>
      </w:r>
    </w:p>
    <w:p w14:paraId="5261F327">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在政府采购云平台开启已解密供应商的“资格文件、商务技术文件”，并做开标记录；</w:t>
      </w:r>
    </w:p>
    <w:p w14:paraId="068BDD6B">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第二阶段：</w:t>
      </w:r>
    </w:p>
    <w:p w14:paraId="01631A33">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（1）公布经第一阶段评审符合采购文件要求的供应商的商务技术得分情况；</w:t>
      </w:r>
    </w:p>
    <w:p w14:paraId="15CE7C51">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（2）在政府采购云平台开启除第一阶段无效标外的供应商的“报价文件”，并做开标记录；</w:t>
      </w:r>
    </w:p>
    <w:p w14:paraId="2E8CDC6E">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（3）在政府采购云平台公布评审结果。</w:t>
      </w:r>
    </w:p>
    <w:p w14:paraId="1CC2D49F">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（4）开标会议结束。</w:t>
      </w:r>
    </w:p>
    <w:p w14:paraId="2BECE905">
      <w:pPr>
        <w:spacing w:line="360" w:lineRule="auto"/>
        <w:ind w:firstLine="420" w:firstLineChars="200"/>
        <w:contextualSpacing/>
        <w:rPr>
          <w:rFonts w:ascii="Times New Roman" w:hAnsi="Times New Roman" w:cs="宋体"/>
          <w:color w:val="auto"/>
          <w:szCs w:val="21"/>
          <w:highlight w:val="none"/>
        </w:rPr>
      </w:pPr>
      <w:r>
        <w:rPr>
          <w:rFonts w:ascii="Times New Roman" w:hAnsi="Times New Roman" w:cs="宋体"/>
          <w:color w:val="auto"/>
          <w:szCs w:val="21"/>
          <w:highlight w:val="none"/>
        </w:rPr>
        <w:t>1</w:t>
      </w:r>
      <w:r>
        <w:rPr>
          <w:rFonts w:hint="eastAsia" w:ascii="Times New Roman" w:hAnsi="Times New Roman" w:cs="宋体"/>
          <w:color w:val="auto"/>
          <w:szCs w:val="21"/>
          <w:highlight w:val="none"/>
        </w:rPr>
        <w:t>4</w:t>
      </w:r>
      <w:r>
        <w:rPr>
          <w:rFonts w:ascii="Times New Roman" w:hAnsi="Times New Roman" w:cs="宋体"/>
          <w:color w:val="auto"/>
          <w:szCs w:val="21"/>
          <w:highlight w:val="none"/>
        </w:rPr>
        <w:t>.</w:t>
      </w:r>
      <w:r>
        <w:rPr>
          <w:rFonts w:hint="eastAsia" w:ascii="Times New Roman" w:hAnsi="Times New Roman" w:cs="宋体"/>
          <w:color w:val="auto"/>
          <w:szCs w:val="21"/>
          <w:highlight w:val="none"/>
        </w:rPr>
        <w:t>2特别说明：政府采购云平台如对电子化开标及评审程序有调整的，按调整后的程序操作。</w:t>
      </w:r>
    </w:p>
    <w:p w14:paraId="42836690">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本项目原则上采用政采云电子招投标开标程序，但有以下情形之一的，按以下处理：</w:t>
      </w:r>
    </w:p>
    <w:p w14:paraId="6E045B24">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w:t>
      </w:r>
      <w:r>
        <w:rPr>
          <w:rFonts w:ascii="Times New Roman" w:hAnsi="Times New Roman" w:cs="宋体"/>
          <w:color w:val="auto"/>
          <w:szCs w:val="21"/>
          <w:highlight w:val="none"/>
        </w:rPr>
        <w:t>1</w:t>
      </w:r>
      <w:r>
        <w:rPr>
          <w:rFonts w:hint="eastAsia" w:ascii="Times New Roman" w:hAnsi="Times New Roman" w:cs="宋体"/>
          <w:color w:val="auto"/>
          <w:szCs w:val="21"/>
          <w:highlight w:val="none"/>
        </w:rPr>
        <w:t>）若有供应商在规定时间内无法解密或解密失败，代理机构将开启该供应商递交的电子备份投标文件，上传至政采云平台项目采购模块，以完成开标，电子投标文件自动失效。</w:t>
      </w:r>
    </w:p>
    <w:p w14:paraId="621DC08F">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（2）采购过程中出现以下情形，导致电子交易平台无法正常运行，或者无法保证电子交易的公平、公正和安全时，采购人（或代理机构）可中止电子交易活动：</w:t>
      </w:r>
    </w:p>
    <w:p w14:paraId="5AEA4619">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①电子交易平台发生故障而无法登录访问的；</w:t>
      </w:r>
    </w:p>
    <w:p w14:paraId="1AEA7220">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②电子交易平台应用或数据库出现错误，不能进行正常操作的；</w:t>
      </w:r>
    </w:p>
    <w:p w14:paraId="41CB054B">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③电子交易平台发现严重安全漏洞，有潜在泄密危险的；</w:t>
      </w:r>
    </w:p>
    <w:p w14:paraId="2413F366">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④病毒发作导致不能进行正常操作的；</w:t>
      </w:r>
    </w:p>
    <w:p w14:paraId="298F4A80">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⑤其他无法保证电子交易的公平、公正和安全的情况。</w:t>
      </w:r>
    </w:p>
    <w:p w14:paraId="7BEFF959">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出现前款规定情形，不影响采购公平、公正性的，采购人（或代理机构）可以待上述情形消除后继续组织电子交易活动。</w:t>
      </w:r>
    </w:p>
    <w:p w14:paraId="34A2C5B0">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w:t>
      </w:r>
      <w:r>
        <w:rPr>
          <w:rFonts w:ascii="Times New Roman" w:hAnsi="Times New Roman" w:cs="宋体"/>
          <w:color w:val="auto"/>
          <w:szCs w:val="21"/>
          <w:highlight w:val="none"/>
        </w:rPr>
        <w:t>4</w:t>
      </w:r>
      <w:r>
        <w:rPr>
          <w:rFonts w:hint="eastAsia" w:ascii="Times New Roman" w:hAnsi="Times New Roman" w:cs="宋体"/>
          <w:color w:val="auto"/>
          <w:szCs w:val="21"/>
          <w:highlight w:val="none"/>
        </w:rPr>
        <w:t>）未开启的备份投标文件现场不予以退还。</w:t>
      </w:r>
    </w:p>
    <w:p w14:paraId="2732E0F2">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六、评标和定标</w:t>
      </w:r>
    </w:p>
    <w:p w14:paraId="5E6D5BB1">
      <w:pPr>
        <w:pStyle w:val="30"/>
        <w:spacing w:line="460" w:lineRule="exact"/>
        <w:ind w:left="0" w:leftChars="0" w:firstLine="0" w:firstLineChars="0"/>
        <w:rPr>
          <w:rFonts w:asciiTheme="minorEastAsia" w:hAnsiTheme="minorEastAsia"/>
          <w:b/>
          <w:color w:val="auto"/>
          <w:sz w:val="21"/>
          <w:szCs w:val="21"/>
          <w:highlight w:val="none"/>
        </w:rPr>
      </w:pPr>
      <w:bookmarkStart w:id="32" w:name="_Toc425780292"/>
      <w:bookmarkStart w:id="33" w:name="_Toc429407708"/>
      <w:bookmarkStart w:id="34" w:name="_Toc425151748"/>
      <w:bookmarkStart w:id="35" w:name="_Toc430790229"/>
      <w:r>
        <w:rPr>
          <w:rFonts w:hint="eastAsia" w:asciiTheme="minorEastAsia" w:hAnsiTheme="minorEastAsia"/>
          <w:b/>
          <w:color w:val="auto"/>
          <w:sz w:val="21"/>
          <w:szCs w:val="21"/>
          <w:highlight w:val="none"/>
        </w:rPr>
        <w:t>15、</w:t>
      </w:r>
      <w:r>
        <w:rPr>
          <w:rFonts w:asciiTheme="minorEastAsia" w:hAnsiTheme="minorEastAsia"/>
          <w:b/>
          <w:color w:val="auto"/>
          <w:sz w:val="21"/>
          <w:szCs w:val="21"/>
          <w:highlight w:val="none"/>
        </w:rPr>
        <w:t>评标委员会</w:t>
      </w:r>
      <w:bookmarkEnd w:id="32"/>
      <w:bookmarkEnd w:id="33"/>
      <w:bookmarkEnd w:id="34"/>
      <w:bookmarkEnd w:id="35"/>
    </w:p>
    <w:p w14:paraId="4C9242EA">
      <w:pPr>
        <w:pStyle w:val="30"/>
        <w:spacing w:line="460" w:lineRule="exact"/>
        <w:ind w:left="0" w:leftChars="0" w:firstLine="420"/>
        <w:rPr>
          <w:rFonts w:ascii="Times New Roman" w:hAnsi="Times New Roman" w:eastAsia="宋体"/>
          <w:color w:val="auto"/>
          <w:sz w:val="21"/>
          <w:szCs w:val="21"/>
          <w:highlight w:val="none"/>
        </w:rPr>
      </w:pPr>
      <w:r>
        <w:rPr>
          <w:rFonts w:hint="eastAsia" w:asciiTheme="minorEastAsia" w:hAnsiTheme="minorEastAsia"/>
          <w:color w:val="auto"/>
          <w:sz w:val="21"/>
          <w:szCs w:val="21"/>
          <w:highlight w:val="none"/>
        </w:rPr>
        <w:t>15.1</w:t>
      </w:r>
      <w:r>
        <w:rPr>
          <w:rFonts w:ascii="Times New Roman" w:hAnsi="Times New Roman" w:eastAsia="宋体" w:cs="Times New Roman"/>
          <w:color w:val="auto"/>
          <w:sz w:val="21"/>
          <w:szCs w:val="21"/>
          <w:highlight w:val="none"/>
        </w:rPr>
        <w:t>受采购人的委托，采购代理机构根据《</w:t>
      </w:r>
      <w:r>
        <w:rPr>
          <w:rFonts w:hint="eastAsia" w:ascii="Times New Roman" w:hAnsi="Times New Roman" w:eastAsia="宋体" w:cs="Times New Roman"/>
          <w:color w:val="auto"/>
          <w:sz w:val="21"/>
          <w:szCs w:val="21"/>
          <w:highlight w:val="none"/>
        </w:rPr>
        <w:t>中华人民共和国</w:t>
      </w:r>
      <w:r>
        <w:rPr>
          <w:rFonts w:ascii="Times New Roman" w:hAnsi="Times New Roman" w:eastAsia="宋体" w:cs="Times New Roman"/>
          <w:color w:val="auto"/>
          <w:sz w:val="21"/>
          <w:szCs w:val="21"/>
          <w:highlight w:val="none"/>
        </w:rPr>
        <w:t>政府采购法》、财政部第8</w:t>
      </w:r>
      <w:r>
        <w:rPr>
          <w:rFonts w:hint="eastAsia" w:ascii="Times New Roman" w:hAnsi="Times New Roman" w:eastAsia="宋体" w:cs="Times New Roman"/>
          <w:color w:val="auto"/>
          <w:sz w:val="21"/>
          <w:szCs w:val="21"/>
          <w:highlight w:val="none"/>
        </w:rPr>
        <w:t>7</w:t>
      </w:r>
      <w:r>
        <w:rPr>
          <w:rFonts w:ascii="Times New Roman" w:hAnsi="Times New Roman" w:eastAsia="宋体" w:cs="Times New Roman"/>
          <w:color w:val="auto"/>
          <w:sz w:val="21"/>
          <w:szCs w:val="21"/>
          <w:highlight w:val="none"/>
        </w:rPr>
        <w:t>号令的规定和有关的</w:t>
      </w:r>
      <w:r>
        <w:rPr>
          <w:rFonts w:hint="eastAsia" w:ascii="Times New Roman" w:hAnsi="Times New Roman" w:eastAsia="宋体" w:cs="Times New Roman"/>
          <w:color w:val="auto"/>
          <w:sz w:val="21"/>
          <w:szCs w:val="21"/>
          <w:highlight w:val="none"/>
        </w:rPr>
        <w:t>法律</w:t>
      </w:r>
      <w:r>
        <w:rPr>
          <w:rFonts w:ascii="Times New Roman" w:hAnsi="Times New Roman" w:eastAsia="宋体" w:cs="Times New Roman"/>
          <w:color w:val="auto"/>
          <w:sz w:val="21"/>
          <w:szCs w:val="21"/>
          <w:highlight w:val="none"/>
        </w:rPr>
        <w:t>法规组建评标委员会，评标委员会负责评标工作。评标委员会由</w:t>
      </w:r>
      <w:r>
        <w:rPr>
          <w:rFonts w:hint="eastAsia" w:ascii="Times New Roman" w:hAnsi="Times New Roman" w:eastAsia="宋体" w:cs="Times New Roman"/>
          <w:color w:val="auto"/>
          <w:sz w:val="21"/>
          <w:szCs w:val="21"/>
          <w:highlight w:val="none"/>
        </w:rPr>
        <w:t>采购人</w:t>
      </w:r>
      <w:r>
        <w:rPr>
          <w:rFonts w:ascii="Times New Roman" w:hAnsi="Times New Roman" w:eastAsia="宋体" w:cs="Times New Roman"/>
          <w:color w:val="auto"/>
          <w:sz w:val="21"/>
          <w:szCs w:val="21"/>
          <w:highlight w:val="none"/>
        </w:rPr>
        <w:t>代表</w:t>
      </w:r>
      <w:r>
        <w:rPr>
          <w:rFonts w:hint="eastAsia" w:ascii="Times New Roman" w:hAnsi="Times New Roman" w:eastAsia="宋体" w:cs="Times New Roman"/>
          <w:color w:val="auto"/>
          <w:sz w:val="21"/>
          <w:szCs w:val="21"/>
          <w:highlight w:val="none"/>
        </w:rPr>
        <w:t>（≤1人）</w:t>
      </w:r>
      <w:r>
        <w:rPr>
          <w:rFonts w:ascii="Times New Roman" w:hAnsi="Times New Roman" w:eastAsia="宋体" w:cs="Times New Roman"/>
          <w:color w:val="auto"/>
          <w:sz w:val="21"/>
          <w:szCs w:val="21"/>
          <w:highlight w:val="none"/>
        </w:rPr>
        <w:t>和</w:t>
      </w:r>
      <w:r>
        <w:rPr>
          <w:rFonts w:hint="eastAsia" w:ascii="Times New Roman" w:hAnsi="Times New Roman" w:eastAsia="宋体" w:cs="Times New Roman"/>
          <w:color w:val="auto"/>
          <w:sz w:val="21"/>
          <w:szCs w:val="21"/>
          <w:highlight w:val="none"/>
        </w:rPr>
        <w:t>评审</w:t>
      </w:r>
      <w:r>
        <w:rPr>
          <w:rFonts w:ascii="Times New Roman" w:hAnsi="Times New Roman" w:eastAsia="宋体" w:cs="Times New Roman"/>
          <w:color w:val="auto"/>
          <w:sz w:val="21"/>
          <w:szCs w:val="21"/>
          <w:highlight w:val="none"/>
        </w:rPr>
        <w:t>专家</w:t>
      </w:r>
      <w:r>
        <w:rPr>
          <w:rFonts w:hint="eastAsia" w:ascii="Times New Roman" w:hAnsi="Times New Roman" w:eastAsia="宋体" w:cs="Times New Roman"/>
          <w:color w:val="auto"/>
          <w:sz w:val="21"/>
          <w:szCs w:val="21"/>
          <w:highlight w:val="none"/>
        </w:rPr>
        <w:t>（≥4人）</w:t>
      </w:r>
      <w:r>
        <w:rPr>
          <w:rFonts w:ascii="Times New Roman" w:hAnsi="Times New Roman" w:eastAsia="宋体" w:cs="Times New Roman"/>
          <w:color w:val="auto"/>
          <w:sz w:val="21"/>
          <w:szCs w:val="21"/>
          <w:highlight w:val="none"/>
        </w:rPr>
        <w:t>组成。</w:t>
      </w:r>
      <w:r>
        <w:rPr>
          <w:rFonts w:hint="eastAsia" w:ascii="Times New Roman" w:hAnsi="Times New Roman" w:eastAsia="宋体" w:cs="Times New Roman"/>
          <w:color w:val="auto"/>
          <w:sz w:val="21"/>
          <w:szCs w:val="21"/>
          <w:highlight w:val="none"/>
        </w:rPr>
        <w:t>评标委员会成员名单在评标结果公告前应当保密。</w:t>
      </w:r>
    </w:p>
    <w:p w14:paraId="74DF887B">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15.2</w:t>
      </w:r>
      <w:r>
        <w:rPr>
          <w:rFonts w:asciiTheme="minorEastAsia" w:hAnsiTheme="minorEastAsia"/>
          <w:color w:val="auto"/>
          <w:sz w:val="21"/>
          <w:szCs w:val="21"/>
          <w:highlight w:val="none"/>
        </w:rPr>
        <w:t>评标委员会将遵循公平、公正、科学、廉洁的原则和规定的程序进行评标，并且只依据投标文件本身对采购文件的响应情况进行评审，不考虑投标人在开标后提交的任何的补充声明、修正方案。</w:t>
      </w:r>
    </w:p>
    <w:p w14:paraId="78F576BE">
      <w:pPr>
        <w:pStyle w:val="30"/>
        <w:spacing w:line="460" w:lineRule="exact"/>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1</w:t>
      </w:r>
      <w:r>
        <w:rPr>
          <w:rFonts w:hint="eastAsia" w:asciiTheme="minorEastAsia" w:hAnsiTheme="minorEastAsia"/>
          <w:color w:val="auto"/>
          <w:sz w:val="21"/>
          <w:szCs w:val="21"/>
          <w:highlight w:val="none"/>
        </w:rPr>
        <w:t>5</w:t>
      </w:r>
      <w:r>
        <w:rPr>
          <w:rFonts w:asciiTheme="minorEastAsia" w:hAnsiTheme="minorEastAsia"/>
          <w:color w:val="auto"/>
          <w:sz w:val="21"/>
          <w:szCs w:val="21"/>
          <w:highlight w:val="none"/>
        </w:rPr>
        <w:t>.3评委依法独立评审，并对评审意见承担个人责任。对明显畸高、畸低的评分（其个人主观打分偏离所有评审小组成员主观评分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61946E57">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15.4</w:t>
      </w:r>
      <w:r>
        <w:rPr>
          <w:rFonts w:asciiTheme="minorEastAsia" w:hAnsiTheme="minorEastAsia"/>
          <w:color w:val="auto"/>
          <w:sz w:val="21"/>
          <w:szCs w:val="21"/>
          <w:highlight w:val="none"/>
        </w:rPr>
        <w:t>评标委员会将核对投标价格和</w:t>
      </w:r>
      <w:r>
        <w:rPr>
          <w:rFonts w:hint="eastAsia" w:asciiTheme="minorEastAsia" w:hAnsiTheme="minorEastAsia"/>
          <w:color w:val="auto"/>
          <w:sz w:val="21"/>
          <w:szCs w:val="21"/>
          <w:highlight w:val="none"/>
        </w:rPr>
        <w:t>服务内容</w:t>
      </w:r>
      <w:r>
        <w:rPr>
          <w:rFonts w:asciiTheme="minorEastAsia" w:hAnsiTheme="minorEastAsia"/>
          <w:color w:val="auto"/>
          <w:sz w:val="21"/>
          <w:szCs w:val="21"/>
          <w:highlight w:val="none"/>
        </w:rPr>
        <w:t>，对发现的价格计算错误按下述原则处理：</w:t>
      </w:r>
    </w:p>
    <w:p w14:paraId="48E750DB">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（1）投标文件中开标一览表内容与投标文件中相应内容不一致的，以开标一览表为准。</w:t>
      </w:r>
    </w:p>
    <w:p w14:paraId="120285D8">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（2）投标文件的大写金额和小写金额不一致的，以大写金额为准。</w:t>
      </w:r>
    </w:p>
    <w:p w14:paraId="2803D610">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（3）单价金额小数点或者百分比有明显错位的，以开标一览表的总价为准，并修改单价；</w:t>
      </w:r>
    </w:p>
    <w:p w14:paraId="7A21A082">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（4）总价金额与按单价汇总金额不一致，以单价金额计算结果为准。</w:t>
      </w:r>
    </w:p>
    <w:p w14:paraId="3C28D05A">
      <w:pPr>
        <w:pStyle w:val="30"/>
        <w:spacing w:line="460" w:lineRule="exact"/>
        <w:ind w:left="0" w:leftChars="0" w:firstLine="422"/>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w:t>
      </w:r>
      <w:r>
        <w:rPr>
          <w:rFonts w:asciiTheme="minorEastAsia" w:hAnsiTheme="minorEastAsia"/>
          <w:b/>
          <w:color w:val="auto"/>
          <w:sz w:val="21"/>
          <w:szCs w:val="21"/>
          <w:highlight w:val="none"/>
        </w:rPr>
        <w:t>5）客户端填写的报价与以pdf格式上传文件中的报价不一致的，应以pdf格式上传文件中的报价为准。</w:t>
      </w:r>
    </w:p>
    <w:p w14:paraId="5B8A5C7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asciiTheme="minorEastAsia" w:hAnsiTheme="minorEastAsia"/>
          <w:color w:val="auto"/>
          <w:szCs w:val="21"/>
          <w:highlight w:val="none"/>
        </w:rPr>
      </w:pPr>
      <w:r>
        <w:rPr>
          <w:rFonts w:hint="eastAsia" w:asciiTheme="minorEastAsia" w:hAnsiTheme="minorEastAsia"/>
          <w:color w:val="auto"/>
          <w:szCs w:val="21"/>
          <w:highlight w:val="none"/>
        </w:rPr>
        <w:t>同时出现两种以上不一致的，按照前款规定的顺序修正。修正后的报价经投标人确认后产生约束力，投标人不确认的，其投标无效。</w:t>
      </w:r>
    </w:p>
    <w:p w14:paraId="6573B0CE">
      <w:pPr>
        <w:pStyle w:val="30"/>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textAlignment w:val="auto"/>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15.5</w:t>
      </w:r>
      <w:r>
        <w:rPr>
          <w:rFonts w:asciiTheme="minorEastAsia" w:hAnsiTheme="minorEastAsia"/>
          <w:color w:val="auto"/>
          <w:sz w:val="21"/>
          <w:szCs w:val="21"/>
          <w:highlight w:val="none"/>
        </w:rPr>
        <w:t>评标委员会根据采购文件的《评标办法》及在《投标资料表》和《</w:t>
      </w:r>
      <w:r>
        <w:rPr>
          <w:rFonts w:hint="eastAsia" w:asciiTheme="minorEastAsia" w:hAnsiTheme="minorEastAsia"/>
          <w:color w:val="auto"/>
          <w:sz w:val="21"/>
          <w:szCs w:val="21"/>
          <w:highlight w:val="none"/>
        </w:rPr>
        <w:t>采购内容及要求</w:t>
      </w:r>
      <w:r>
        <w:rPr>
          <w:rFonts w:asciiTheme="minorEastAsia" w:hAnsiTheme="minorEastAsia"/>
          <w:color w:val="auto"/>
          <w:sz w:val="21"/>
          <w:szCs w:val="21"/>
          <w:highlight w:val="none"/>
        </w:rPr>
        <w:t>》中所列的具体标准，对投标文件进行评审和比较。</w:t>
      </w:r>
    </w:p>
    <w:p w14:paraId="37CF92D5">
      <w:pPr>
        <w:pStyle w:val="30"/>
        <w:spacing w:line="460" w:lineRule="exact"/>
        <w:ind w:left="0" w:leftChars="0" w:firstLine="0" w:firstLineChars="0"/>
        <w:rPr>
          <w:rFonts w:asciiTheme="minorEastAsia" w:hAnsiTheme="minorEastAsia"/>
          <w:b/>
          <w:color w:val="auto"/>
          <w:sz w:val="21"/>
          <w:szCs w:val="21"/>
          <w:highlight w:val="none"/>
        </w:rPr>
      </w:pPr>
      <w:bookmarkStart w:id="36" w:name="_Toc425780293"/>
      <w:bookmarkStart w:id="37" w:name="_Toc429407709"/>
      <w:bookmarkStart w:id="38" w:name="_Toc425151749"/>
      <w:bookmarkStart w:id="39" w:name="_Toc430790230"/>
      <w:r>
        <w:rPr>
          <w:rFonts w:hint="eastAsia" w:asciiTheme="minorEastAsia" w:hAnsiTheme="minorEastAsia"/>
          <w:b/>
          <w:color w:val="auto"/>
          <w:sz w:val="21"/>
          <w:szCs w:val="21"/>
          <w:highlight w:val="none"/>
        </w:rPr>
        <w:t>16、</w:t>
      </w:r>
      <w:bookmarkEnd w:id="36"/>
      <w:bookmarkEnd w:id="37"/>
      <w:bookmarkEnd w:id="38"/>
      <w:bookmarkEnd w:id="39"/>
      <w:bookmarkStart w:id="40" w:name="_Toc430790231"/>
      <w:bookmarkStart w:id="41" w:name="_Toc429407710"/>
      <w:bookmarkStart w:id="42" w:name="_Toc425151750"/>
      <w:bookmarkStart w:id="43" w:name="_Toc425780294"/>
      <w:r>
        <w:rPr>
          <w:rFonts w:hint="eastAsia" w:asciiTheme="minorEastAsia" w:hAnsiTheme="minorEastAsia"/>
          <w:b/>
          <w:color w:val="auto"/>
          <w:sz w:val="21"/>
          <w:szCs w:val="21"/>
          <w:highlight w:val="none"/>
        </w:rPr>
        <w:t>澄清问题的形式</w:t>
      </w:r>
    </w:p>
    <w:p w14:paraId="5FE13E5A">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16.1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6C35C49F">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16.2政采云具体操作如下：</w:t>
      </w:r>
    </w:p>
    <w:p w14:paraId="2B3841DB">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1C50A782">
      <w:pPr>
        <w:pStyle w:val="30"/>
        <w:spacing w:line="460" w:lineRule="exact"/>
        <w:ind w:left="0" w:leftChars="0"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路径：用户中心—项目采购—询标澄清</w:t>
      </w:r>
    </w:p>
    <w:p w14:paraId="7CA255DB">
      <w:pPr>
        <w:pStyle w:val="30"/>
        <w:spacing w:line="460" w:lineRule="exact"/>
        <w:ind w:left="0" w:leftChars="0"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（1）政采云平台通过待办事项和短信提醒供应商在截止时间前完成澄清。</w:t>
      </w:r>
    </w:p>
    <w:p w14:paraId="50294593">
      <w:pPr>
        <w:pStyle w:val="30"/>
        <w:spacing w:line="460" w:lineRule="exact"/>
        <w:ind w:left="0" w:leftChars="0"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（2）投标供应商在“询标澄清-待办理”标签页下选择状态为“待澄清”的项目，点击操作栏【澄清】。</w:t>
      </w:r>
    </w:p>
    <w:p w14:paraId="0B64AB56">
      <w:pPr>
        <w:pStyle w:val="30"/>
        <w:spacing w:line="460" w:lineRule="exact"/>
        <w:ind w:left="0" w:leftChars="0"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（3）查看函内容，在澄清截止时间前上传澄清文件并对澄清文件进行签章。（注：澄清文件必须以PDF格式上传，文件大小：50M）</w:t>
      </w:r>
    </w:p>
    <w:p w14:paraId="77D0B5D6">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（4）签章完成，文件名称处显示“已签章”，供应商可“撤回签章”修改澄清函和“查看文件”。</w:t>
      </w:r>
    </w:p>
    <w:p w14:paraId="038F9E58">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60125FE4">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（6）完成状态：供应商澄清文件提交成功后，在“询标澄清-全部”标签页下显示状态为“已澄清”。</w:t>
      </w:r>
    </w:p>
    <w:p w14:paraId="62D7AB9A">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16.3投标供应商未在截止时间前完成澄清，将被视作自动放弃。</w:t>
      </w:r>
    </w:p>
    <w:p w14:paraId="3C3B6B36">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17、</w:t>
      </w:r>
      <w:r>
        <w:rPr>
          <w:rFonts w:asciiTheme="minorEastAsia" w:hAnsiTheme="minorEastAsia"/>
          <w:b/>
          <w:color w:val="auto"/>
          <w:sz w:val="21"/>
          <w:szCs w:val="21"/>
          <w:highlight w:val="none"/>
        </w:rPr>
        <w:t>评标办法</w:t>
      </w:r>
      <w:bookmarkEnd w:id="40"/>
      <w:bookmarkEnd w:id="41"/>
      <w:bookmarkEnd w:id="42"/>
      <w:bookmarkEnd w:id="43"/>
    </w:p>
    <w:p w14:paraId="2BBCB60C">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17.1本项目</w:t>
      </w:r>
      <w:r>
        <w:rPr>
          <w:rFonts w:asciiTheme="minorEastAsia" w:hAnsiTheme="minorEastAsia"/>
          <w:color w:val="auto"/>
          <w:sz w:val="21"/>
          <w:szCs w:val="21"/>
          <w:highlight w:val="none"/>
        </w:rPr>
        <w:t>采用综合评分法。本次招标</w:t>
      </w:r>
      <w:r>
        <w:rPr>
          <w:rFonts w:hint="eastAsia" w:asciiTheme="minorEastAsia" w:hAnsiTheme="minorEastAsia"/>
          <w:color w:val="auto"/>
          <w:sz w:val="21"/>
          <w:szCs w:val="21"/>
          <w:highlight w:val="none"/>
        </w:rPr>
        <w:t>采购</w:t>
      </w:r>
      <w:r>
        <w:rPr>
          <w:rFonts w:asciiTheme="minorEastAsia" w:hAnsiTheme="minorEastAsia"/>
          <w:color w:val="auto"/>
          <w:sz w:val="21"/>
          <w:szCs w:val="21"/>
          <w:highlight w:val="none"/>
        </w:rPr>
        <w:t>采用的评标方法</w:t>
      </w:r>
      <w:r>
        <w:rPr>
          <w:rFonts w:hint="eastAsia" w:asciiTheme="minorEastAsia" w:hAnsiTheme="minorEastAsia"/>
          <w:color w:val="auto"/>
          <w:sz w:val="21"/>
          <w:szCs w:val="21"/>
          <w:highlight w:val="none"/>
        </w:rPr>
        <w:t>具体说明</w:t>
      </w:r>
      <w:r>
        <w:rPr>
          <w:rFonts w:asciiTheme="minorEastAsia" w:hAnsiTheme="minorEastAsia"/>
          <w:color w:val="auto"/>
          <w:sz w:val="21"/>
          <w:szCs w:val="21"/>
          <w:highlight w:val="none"/>
        </w:rPr>
        <w:t>载明在采购文件</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评标</w:t>
      </w:r>
      <w:r>
        <w:rPr>
          <w:rFonts w:hint="eastAsia" w:asciiTheme="minorEastAsia" w:hAnsiTheme="minorEastAsia"/>
          <w:color w:val="auto"/>
          <w:sz w:val="21"/>
          <w:szCs w:val="21"/>
          <w:highlight w:val="none"/>
        </w:rPr>
        <w:t>办法”</w:t>
      </w:r>
      <w:r>
        <w:rPr>
          <w:rFonts w:asciiTheme="minorEastAsia" w:hAnsiTheme="minorEastAsia"/>
          <w:color w:val="auto"/>
          <w:sz w:val="21"/>
          <w:szCs w:val="21"/>
          <w:highlight w:val="none"/>
        </w:rPr>
        <w:t>部分中。</w:t>
      </w:r>
    </w:p>
    <w:p w14:paraId="57C9B963">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17.2</w:t>
      </w:r>
      <w:r>
        <w:rPr>
          <w:rFonts w:asciiTheme="minorEastAsia" w:hAnsiTheme="minorEastAsia"/>
          <w:color w:val="auto"/>
          <w:sz w:val="21"/>
          <w:szCs w:val="21"/>
          <w:highlight w:val="none"/>
        </w:rPr>
        <w:t>综合评分法：</w:t>
      </w:r>
    </w:p>
    <w:p w14:paraId="2B9572BA">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投标文件满足采购文件全部实质性要求，且按照评审因素的量化指标评审得分最高的投标人为中标候选人的评标方法。</w:t>
      </w:r>
    </w:p>
    <w:p w14:paraId="0CE05055">
      <w:pPr>
        <w:pStyle w:val="30"/>
        <w:spacing w:line="460" w:lineRule="exact"/>
        <w:ind w:left="0" w:leftChars="0" w:firstLine="0" w:firstLineChars="0"/>
        <w:rPr>
          <w:rFonts w:asciiTheme="minorEastAsia" w:hAnsiTheme="minorEastAsia"/>
          <w:b/>
          <w:color w:val="auto"/>
          <w:sz w:val="21"/>
          <w:szCs w:val="21"/>
          <w:highlight w:val="none"/>
        </w:rPr>
      </w:pPr>
      <w:bookmarkStart w:id="44" w:name="_Toc422996818"/>
      <w:bookmarkEnd w:id="44"/>
      <w:bookmarkStart w:id="45" w:name="_Toc422996819"/>
      <w:bookmarkEnd w:id="45"/>
      <w:bookmarkStart w:id="46" w:name="_Toc422996749"/>
      <w:bookmarkEnd w:id="46"/>
      <w:bookmarkStart w:id="47" w:name="_Toc422996750"/>
      <w:bookmarkEnd w:id="47"/>
      <w:bookmarkStart w:id="48" w:name="_Toc430790232"/>
      <w:bookmarkStart w:id="49" w:name="_Toc425151751"/>
      <w:bookmarkStart w:id="50" w:name="_Toc429407711"/>
      <w:bookmarkStart w:id="51" w:name="_Toc425780295"/>
      <w:r>
        <w:rPr>
          <w:rFonts w:hint="eastAsia" w:asciiTheme="minorEastAsia" w:hAnsiTheme="minorEastAsia"/>
          <w:b/>
          <w:color w:val="auto"/>
          <w:sz w:val="21"/>
          <w:szCs w:val="21"/>
          <w:highlight w:val="none"/>
        </w:rPr>
        <w:t>18、</w:t>
      </w:r>
      <w:r>
        <w:rPr>
          <w:rFonts w:asciiTheme="minorEastAsia" w:hAnsiTheme="minorEastAsia"/>
          <w:b/>
          <w:color w:val="auto"/>
          <w:sz w:val="21"/>
          <w:szCs w:val="21"/>
          <w:highlight w:val="none"/>
        </w:rPr>
        <w:t>评标程序和原则</w:t>
      </w:r>
      <w:bookmarkEnd w:id="48"/>
      <w:bookmarkEnd w:id="49"/>
      <w:bookmarkEnd w:id="50"/>
      <w:bookmarkEnd w:id="51"/>
    </w:p>
    <w:p w14:paraId="6A39E903">
      <w:pPr>
        <w:pStyle w:val="30"/>
        <w:spacing w:line="460" w:lineRule="exact"/>
        <w:ind w:left="0" w:leftChars="0" w:firstLine="420"/>
        <w:rPr>
          <w:rFonts w:asciiTheme="minorEastAsia" w:hAnsiTheme="minorEastAsia"/>
          <w:b/>
          <w:color w:val="auto"/>
          <w:sz w:val="21"/>
          <w:szCs w:val="21"/>
          <w:highlight w:val="none"/>
        </w:rPr>
      </w:pPr>
      <w:r>
        <w:rPr>
          <w:rFonts w:hint="eastAsia" w:asciiTheme="minorEastAsia" w:hAnsiTheme="minorEastAsia"/>
          <w:color w:val="auto"/>
          <w:sz w:val="21"/>
          <w:szCs w:val="21"/>
          <w:highlight w:val="none"/>
        </w:rPr>
        <w:t>18.1</w:t>
      </w:r>
      <w:r>
        <w:rPr>
          <w:rFonts w:asciiTheme="minorEastAsia" w:hAnsiTheme="minorEastAsia"/>
          <w:color w:val="auto"/>
          <w:sz w:val="21"/>
          <w:szCs w:val="21"/>
          <w:highlight w:val="none"/>
        </w:rPr>
        <w:t>评标程序：遵循初步审查、澄清有关问题、比较与评价、推荐中标候选人的程序依次进行。</w:t>
      </w:r>
    </w:p>
    <w:p w14:paraId="49AC4A7C">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18.2</w:t>
      </w:r>
      <w:r>
        <w:rPr>
          <w:rFonts w:asciiTheme="minorEastAsia" w:hAnsiTheme="minorEastAsia"/>
          <w:color w:val="auto"/>
          <w:sz w:val="21"/>
          <w:szCs w:val="21"/>
          <w:highlight w:val="none"/>
        </w:rPr>
        <w:t>初步审查</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包含资格性审查和符合性审查。初步审查不合格者不进入澄清有关问题及后续的评标程序。</w:t>
      </w:r>
    </w:p>
    <w:p w14:paraId="715572B9">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w:t>
      </w:r>
      <w:r>
        <w:rPr>
          <w:rFonts w:asciiTheme="minorEastAsia" w:hAnsiTheme="minorEastAsia"/>
          <w:color w:val="auto"/>
          <w:sz w:val="21"/>
          <w:szCs w:val="21"/>
          <w:highlight w:val="none"/>
        </w:rPr>
        <w:t>）资格性审查：</w:t>
      </w:r>
    </w:p>
    <w:p w14:paraId="4C5AE5AE">
      <w:pPr>
        <w:pStyle w:val="30"/>
        <w:spacing w:line="460" w:lineRule="exact"/>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依据法律法规和采购文件的规定，</w:t>
      </w:r>
      <w:r>
        <w:rPr>
          <w:rFonts w:hint="eastAsia" w:asciiTheme="minorEastAsia" w:hAnsiTheme="minorEastAsia"/>
          <w:color w:val="auto"/>
          <w:sz w:val="21"/>
          <w:szCs w:val="21"/>
          <w:highlight w:val="none"/>
        </w:rPr>
        <w:t>采购人或采购代理机构</w:t>
      </w:r>
      <w:r>
        <w:rPr>
          <w:rFonts w:asciiTheme="minorEastAsia" w:hAnsiTheme="minorEastAsia"/>
          <w:color w:val="auto"/>
          <w:sz w:val="21"/>
          <w:szCs w:val="21"/>
          <w:highlight w:val="none"/>
        </w:rPr>
        <w:t>对其资格证明文件齐全性和有效性等方面进行审查，以确定投标人是否具备投标资格。</w:t>
      </w:r>
    </w:p>
    <w:p w14:paraId="64E7CBC7">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w:t>
      </w:r>
      <w:r>
        <w:rPr>
          <w:rFonts w:asciiTheme="minorEastAsia" w:hAnsiTheme="minorEastAsia"/>
          <w:color w:val="auto"/>
          <w:sz w:val="21"/>
          <w:szCs w:val="21"/>
          <w:highlight w:val="none"/>
        </w:rPr>
        <w:t>符合性检查：</w:t>
      </w:r>
    </w:p>
    <w:p w14:paraId="40FA72D7">
      <w:pPr>
        <w:pStyle w:val="30"/>
        <w:spacing w:line="460" w:lineRule="exact"/>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依据采购文件的规定，</w:t>
      </w:r>
      <w:r>
        <w:rPr>
          <w:rFonts w:hint="eastAsia" w:asciiTheme="minorEastAsia" w:hAnsiTheme="minorEastAsia"/>
          <w:color w:val="auto"/>
          <w:sz w:val="21"/>
          <w:szCs w:val="21"/>
          <w:highlight w:val="none"/>
        </w:rPr>
        <w:t>评标委员会</w:t>
      </w:r>
      <w:r>
        <w:rPr>
          <w:rFonts w:asciiTheme="minorEastAsia" w:hAnsiTheme="minorEastAsia"/>
          <w:color w:val="auto"/>
          <w:sz w:val="21"/>
          <w:szCs w:val="21"/>
          <w:highlight w:val="none"/>
        </w:rPr>
        <w:t>从投标文件的有效性、完整性和对采购文件的响应程度进行审查，以确定是否对采购文件的要求作出实质性响应。</w:t>
      </w:r>
    </w:p>
    <w:p w14:paraId="22F8CBBC">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18.3</w:t>
      </w:r>
      <w:r>
        <w:rPr>
          <w:rFonts w:asciiTheme="minorEastAsia" w:hAnsiTheme="minorEastAsia"/>
          <w:color w:val="auto"/>
          <w:sz w:val="21"/>
          <w:szCs w:val="21"/>
          <w:highlight w:val="none"/>
        </w:rPr>
        <w:t>澄清有关问题：按第</w:t>
      </w:r>
      <w:r>
        <w:rPr>
          <w:rFonts w:hint="eastAsia" w:asciiTheme="minorEastAsia" w:hAnsiTheme="minorEastAsia"/>
          <w:color w:val="auto"/>
          <w:sz w:val="21"/>
          <w:szCs w:val="21"/>
          <w:highlight w:val="none"/>
        </w:rPr>
        <w:t>16</w:t>
      </w:r>
      <w:r>
        <w:rPr>
          <w:rFonts w:asciiTheme="minorEastAsia" w:hAnsiTheme="minorEastAsia"/>
          <w:color w:val="auto"/>
          <w:sz w:val="21"/>
          <w:szCs w:val="21"/>
          <w:highlight w:val="none"/>
        </w:rPr>
        <w:t>条规定进行。</w:t>
      </w:r>
    </w:p>
    <w:p w14:paraId="1AA060B7">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18.4</w:t>
      </w:r>
      <w:r>
        <w:rPr>
          <w:rFonts w:asciiTheme="minorEastAsia" w:hAnsiTheme="minorEastAsia"/>
          <w:color w:val="auto"/>
          <w:sz w:val="21"/>
          <w:szCs w:val="21"/>
          <w:highlight w:val="none"/>
        </w:rPr>
        <w:t>比较与评价：</w:t>
      </w:r>
    </w:p>
    <w:p w14:paraId="3E5B3902">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w:t>
      </w:r>
      <w:r>
        <w:rPr>
          <w:rFonts w:asciiTheme="minorEastAsia" w:hAnsiTheme="minorEastAsia"/>
          <w:color w:val="auto"/>
          <w:sz w:val="21"/>
          <w:szCs w:val="21"/>
          <w:highlight w:val="none"/>
        </w:rPr>
        <w:t>技术</w:t>
      </w:r>
      <w:r>
        <w:rPr>
          <w:rFonts w:hint="eastAsia" w:asciiTheme="minorEastAsia" w:hAnsiTheme="minorEastAsia"/>
          <w:color w:val="auto"/>
          <w:sz w:val="21"/>
          <w:szCs w:val="21"/>
          <w:highlight w:val="none"/>
        </w:rPr>
        <w:t>商务</w:t>
      </w:r>
      <w:r>
        <w:rPr>
          <w:rFonts w:asciiTheme="minorEastAsia" w:hAnsiTheme="minorEastAsia"/>
          <w:color w:val="auto"/>
          <w:sz w:val="21"/>
          <w:szCs w:val="21"/>
          <w:highlight w:val="none"/>
        </w:rPr>
        <w:t>评价：按照采购文件的要求和</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评标</w:t>
      </w:r>
      <w:r>
        <w:rPr>
          <w:rFonts w:hint="eastAsia" w:asciiTheme="minorEastAsia" w:hAnsiTheme="minorEastAsia"/>
          <w:color w:val="auto"/>
          <w:sz w:val="21"/>
          <w:szCs w:val="21"/>
          <w:highlight w:val="none"/>
        </w:rPr>
        <w:t>标准》</w:t>
      </w:r>
      <w:r>
        <w:rPr>
          <w:rFonts w:asciiTheme="minorEastAsia" w:hAnsiTheme="minorEastAsia"/>
          <w:color w:val="auto"/>
          <w:sz w:val="21"/>
          <w:szCs w:val="21"/>
          <w:highlight w:val="none"/>
        </w:rPr>
        <w:t>对照投标文件的响应进行</w:t>
      </w:r>
      <w:r>
        <w:rPr>
          <w:rFonts w:hint="eastAsia" w:asciiTheme="minorEastAsia" w:hAnsiTheme="minorEastAsia"/>
          <w:color w:val="auto"/>
          <w:sz w:val="21"/>
          <w:szCs w:val="21"/>
          <w:highlight w:val="none"/>
        </w:rPr>
        <w:t>技术商务</w:t>
      </w:r>
      <w:r>
        <w:rPr>
          <w:rFonts w:asciiTheme="minorEastAsia" w:hAnsiTheme="minorEastAsia"/>
          <w:color w:val="auto"/>
          <w:sz w:val="21"/>
          <w:szCs w:val="21"/>
          <w:highlight w:val="none"/>
        </w:rPr>
        <w:t>评价，评定其偏差程度，并计算其相应的</w:t>
      </w:r>
      <w:r>
        <w:rPr>
          <w:rFonts w:hint="eastAsia" w:asciiTheme="minorEastAsia" w:hAnsiTheme="minorEastAsia"/>
          <w:color w:val="auto"/>
          <w:sz w:val="21"/>
          <w:szCs w:val="21"/>
          <w:highlight w:val="none"/>
        </w:rPr>
        <w:t>技术商务评分</w:t>
      </w:r>
      <w:r>
        <w:rPr>
          <w:rFonts w:asciiTheme="minorEastAsia" w:hAnsiTheme="minorEastAsia"/>
          <w:color w:val="auto"/>
          <w:sz w:val="21"/>
          <w:szCs w:val="21"/>
          <w:highlight w:val="none"/>
        </w:rPr>
        <w:t>分值。</w:t>
      </w:r>
    </w:p>
    <w:p w14:paraId="4D6B1C48">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w:t>
      </w:r>
      <w:r>
        <w:rPr>
          <w:rFonts w:asciiTheme="minorEastAsia" w:hAnsiTheme="minorEastAsia"/>
          <w:color w:val="auto"/>
          <w:sz w:val="21"/>
          <w:szCs w:val="21"/>
          <w:highlight w:val="none"/>
        </w:rPr>
        <w:t>综合评价：对经过技术</w:t>
      </w:r>
      <w:r>
        <w:rPr>
          <w:rFonts w:hint="eastAsia" w:asciiTheme="minorEastAsia" w:hAnsiTheme="minorEastAsia"/>
          <w:color w:val="auto"/>
          <w:sz w:val="21"/>
          <w:szCs w:val="21"/>
          <w:highlight w:val="none"/>
        </w:rPr>
        <w:t>商务</w:t>
      </w:r>
      <w:r>
        <w:rPr>
          <w:rFonts w:asciiTheme="minorEastAsia" w:hAnsiTheme="minorEastAsia"/>
          <w:color w:val="auto"/>
          <w:sz w:val="21"/>
          <w:szCs w:val="21"/>
          <w:highlight w:val="none"/>
        </w:rPr>
        <w:t>评价的投标，按</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评标标准</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规定的评价办法进行综合评价，并按以下原则进行评审计算：</w:t>
      </w:r>
    </w:p>
    <w:p w14:paraId="16365FAB">
      <w:pPr>
        <w:pStyle w:val="30"/>
        <w:spacing w:line="460" w:lineRule="exact"/>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综合评分法的</w:t>
      </w:r>
      <w:r>
        <w:rPr>
          <w:rFonts w:hint="eastAsia" w:asciiTheme="minorEastAsia" w:hAnsiTheme="minorEastAsia"/>
          <w:color w:val="auto"/>
          <w:sz w:val="21"/>
          <w:szCs w:val="21"/>
          <w:highlight w:val="none"/>
        </w:rPr>
        <w:t>最终</w:t>
      </w:r>
      <w:r>
        <w:rPr>
          <w:rFonts w:asciiTheme="minorEastAsia" w:hAnsiTheme="minorEastAsia"/>
          <w:color w:val="auto"/>
          <w:sz w:val="21"/>
          <w:szCs w:val="21"/>
          <w:highlight w:val="none"/>
        </w:rPr>
        <w:t>得分计算：综合得分=</w:t>
      </w:r>
      <w:r>
        <w:rPr>
          <w:rFonts w:hint="eastAsia" w:asciiTheme="minorEastAsia" w:hAnsiTheme="minorEastAsia"/>
          <w:color w:val="auto"/>
          <w:sz w:val="21"/>
          <w:szCs w:val="21"/>
          <w:highlight w:val="none"/>
        </w:rPr>
        <w:t>报价</w:t>
      </w:r>
      <w:r>
        <w:rPr>
          <w:rFonts w:asciiTheme="minorEastAsia" w:hAnsiTheme="minorEastAsia"/>
          <w:color w:val="auto"/>
          <w:sz w:val="21"/>
          <w:szCs w:val="21"/>
          <w:highlight w:val="none"/>
        </w:rPr>
        <w:t>得分+技术</w:t>
      </w:r>
      <w:r>
        <w:rPr>
          <w:rFonts w:hint="eastAsia" w:asciiTheme="minorEastAsia" w:hAnsiTheme="minorEastAsia"/>
          <w:color w:val="auto"/>
          <w:sz w:val="21"/>
          <w:szCs w:val="21"/>
          <w:highlight w:val="none"/>
        </w:rPr>
        <w:t>商务</w:t>
      </w:r>
      <w:r>
        <w:rPr>
          <w:rFonts w:asciiTheme="minorEastAsia" w:hAnsiTheme="minorEastAsia"/>
          <w:color w:val="auto"/>
          <w:sz w:val="21"/>
          <w:szCs w:val="21"/>
          <w:highlight w:val="none"/>
        </w:rPr>
        <w:t>评审得分</w:t>
      </w:r>
    </w:p>
    <w:p w14:paraId="2F8A211B">
      <w:pPr>
        <w:pStyle w:val="30"/>
        <w:spacing w:line="460" w:lineRule="exact"/>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综合评价结束，按照上述第</w:t>
      </w:r>
      <w:r>
        <w:rPr>
          <w:rFonts w:hint="eastAsia" w:asciiTheme="minorEastAsia" w:hAnsiTheme="minorEastAsia"/>
          <w:color w:val="auto"/>
          <w:sz w:val="21"/>
          <w:szCs w:val="21"/>
          <w:highlight w:val="none"/>
        </w:rPr>
        <w:t>17</w:t>
      </w:r>
      <w:r>
        <w:rPr>
          <w:rFonts w:asciiTheme="minorEastAsia" w:hAnsiTheme="minorEastAsia"/>
          <w:color w:val="auto"/>
          <w:sz w:val="21"/>
          <w:szCs w:val="21"/>
          <w:highlight w:val="none"/>
        </w:rPr>
        <w:t>条规定，列出进入最终评审各投标</w:t>
      </w:r>
      <w:r>
        <w:rPr>
          <w:rFonts w:hint="eastAsia" w:asciiTheme="minorEastAsia" w:hAnsiTheme="minorEastAsia"/>
          <w:color w:val="auto"/>
          <w:sz w:val="21"/>
          <w:szCs w:val="21"/>
          <w:highlight w:val="none"/>
        </w:rPr>
        <w:t>人</w:t>
      </w:r>
      <w:r>
        <w:rPr>
          <w:rFonts w:asciiTheme="minorEastAsia" w:hAnsiTheme="minorEastAsia"/>
          <w:color w:val="auto"/>
          <w:sz w:val="21"/>
          <w:szCs w:val="21"/>
          <w:highlight w:val="none"/>
        </w:rPr>
        <w:t>排序次序。</w:t>
      </w:r>
    </w:p>
    <w:p w14:paraId="7F38B6EF">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18.5</w:t>
      </w:r>
      <w:r>
        <w:rPr>
          <w:rFonts w:asciiTheme="minorEastAsia" w:hAnsiTheme="minorEastAsia"/>
          <w:color w:val="auto"/>
          <w:sz w:val="21"/>
          <w:szCs w:val="21"/>
          <w:highlight w:val="none"/>
        </w:rPr>
        <w:t>推荐中标</w:t>
      </w:r>
      <w:r>
        <w:rPr>
          <w:rFonts w:hint="eastAsia" w:asciiTheme="minorEastAsia" w:hAnsiTheme="minorEastAsia"/>
          <w:color w:val="auto"/>
          <w:sz w:val="21"/>
          <w:szCs w:val="21"/>
          <w:highlight w:val="none"/>
        </w:rPr>
        <w:t>候选人</w:t>
      </w:r>
      <w:r>
        <w:rPr>
          <w:rFonts w:asciiTheme="minorEastAsia" w:hAnsiTheme="minorEastAsia"/>
          <w:color w:val="auto"/>
          <w:sz w:val="21"/>
          <w:szCs w:val="21"/>
          <w:highlight w:val="none"/>
        </w:rPr>
        <w:t>：按</w:t>
      </w:r>
      <w:r>
        <w:rPr>
          <w:rFonts w:hint="eastAsia" w:asciiTheme="minorEastAsia" w:hAnsiTheme="minorEastAsia"/>
          <w:color w:val="auto"/>
          <w:sz w:val="21"/>
          <w:szCs w:val="21"/>
          <w:highlight w:val="none"/>
        </w:rPr>
        <w:t>19</w:t>
      </w:r>
      <w:r>
        <w:rPr>
          <w:rFonts w:asciiTheme="minorEastAsia" w:hAnsiTheme="minorEastAsia"/>
          <w:color w:val="auto"/>
          <w:sz w:val="21"/>
          <w:szCs w:val="21"/>
          <w:highlight w:val="none"/>
        </w:rPr>
        <w:t>条规定推荐中标</w:t>
      </w:r>
      <w:r>
        <w:rPr>
          <w:rFonts w:hint="eastAsia" w:asciiTheme="minorEastAsia" w:hAnsiTheme="minorEastAsia"/>
          <w:color w:val="auto"/>
          <w:sz w:val="21"/>
          <w:szCs w:val="21"/>
          <w:highlight w:val="none"/>
        </w:rPr>
        <w:t>候选人</w:t>
      </w:r>
      <w:r>
        <w:rPr>
          <w:rFonts w:asciiTheme="minorEastAsia" w:hAnsiTheme="minorEastAsia"/>
          <w:color w:val="auto"/>
          <w:sz w:val="21"/>
          <w:szCs w:val="21"/>
          <w:highlight w:val="none"/>
        </w:rPr>
        <w:t>。</w:t>
      </w:r>
    </w:p>
    <w:p w14:paraId="7BE0443A">
      <w:pPr>
        <w:pStyle w:val="30"/>
        <w:spacing w:line="460" w:lineRule="exact"/>
        <w:ind w:left="0" w:leftChars="0" w:firstLine="0" w:firstLineChars="0"/>
        <w:rPr>
          <w:rFonts w:asciiTheme="minorEastAsia" w:hAnsiTheme="minorEastAsia"/>
          <w:b/>
          <w:color w:val="auto"/>
          <w:sz w:val="21"/>
          <w:szCs w:val="21"/>
          <w:highlight w:val="none"/>
        </w:rPr>
      </w:pPr>
      <w:bookmarkStart w:id="52" w:name="_Toc429407712"/>
      <w:bookmarkStart w:id="53" w:name="_Toc430790233"/>
      <w:bookmarkStart w:id="54" w:name="_Toc425151752"/>
      <w:bookmarkStart w:id="55" w:name="_Toc425780296"/>
      <w:r>
        <w:rPr>
          <w:rFonts w:hint="eastAsia" w:asciiTheme="minorEastAsia" w:hAnsiTheme="minorEastAsia"/>
          <w:b/>
          <w:color w:val="auto"/>
          <w:sz w:val="21"/>
          <w:szCs w:val="21"/>
          <w:highlight w:val="none"/>
        </w:rPr>
        <w:t>19、</w:t>
      </w:r>
      <w:r>
        <w:rPr>
          <w:rFonts w:asciiTheme="minorEastAsia" w:hAnsiTheme="minorEastAsia"/>
          <w:b/>
          <w:color w:val="auto"/>
          <w:sz w:val="21"/>
          <w:szCs w:val="21"/>
          <w:highlight w:val="none"/>
        </w:rPr>
        <w:t>推荐中标</w:t>
      </w:r>
      <w:r>
        <w:rPr>
          <w:rFonts w:hint="eastAsia" w:asciiTheme="minorEastAsia" w:hAnsiTheme="minorEastAsia"/>
          <w:b/>
          <w:color w:val="auto"/>
          <w:sz w:val="21"/>
          <w:szCs w:val="21"/>
          <w:highlight w:val="none"/>
        </w:rPr>
        <w:t>候选人</w:t>
      </w:r>
      <w:bookmarkEnd w:id="52"/>
      <w:bookmarkEnd w:id="53"/>
      <w:bookmarkEnd w:id="54"/>
      <w:bookmarkEnd w:id="55"/>
    </w:p>
    <w:p w14:paraId="446AEF27">
      <w:pPr>
        <w:pStyle w:val="30"/>
        <w:spacing w:line="460" w:lineRule="exact"/>
        <w:ind w:left="0" w:leftChars="0" w:firstLine="413" w:firstLineChars="196"/>
        <w:rPr>
          <w:rFonts w:asciiTheme="minorEastAsia" w:hAnsiTheme="minorEastAsia"/>
          <w:b/>
          <w:color w:val="auto"/>
          <w:sz w:val="21"/>
          <w:szCs w:val="21"/>
          <w:highlight w:val="none"/>
        </w:rPr>
      </w:pPr>
      <w:bookmarkStart w:id="56" w:name="_Toc430790234"/>
      <w:bookmarkStart w:id="57" w:name="_Toc425780297"/>
      <w:bookmarkStart w:id="58" w:name="_Toc429407713"/>
      <w:bookmarkStart w:id="59" w:name="_Toc425151753"/>
      <w:r>
        <w:rPr>
          <w:rFonts w:hint="eastAsia" w:asciiTheme="minorEastAsia" w:hAnsiTheme="minorEastAsia"/>
          <w:b/>
          <w:color w:val="auto"/>
          <w:sz w:val="21"/>
          <w:szCs w:val="21"/>
          <w:highlight w:val="none"/>
        </w:rPr>
        <w:t>评标委员会根据各投标人的综合得分由高到低排定顺序，推荐本项目</w:t>
      </w:r>
      <w:r>
        <w:rPr>
          <w:rFonts w:asciiTheme="minorEastAsia" w:hAnsiTheme="minorEastAsia"/>
          <w:b/>
          <w:color w:val="auto"/>
          <w:sz w:val="21"/>
          <w:szCs w:val="21"/>
          <w:highlight w:val="none"/>
        </w:rPr>
        <w:t>的</w:t>
      </w:r>
      <w:r>
        <w:rPr>
          <w:rFonts w:hint="eastAsia" w:asciiTheme="minorEastAsia" w:hAnsiTheme="minorEastAsia"/>
          <w:b/>
          <w:color w:val="auto"/>
          <w:sz w:val="21"/>
          <w:szCs w:val="21"/>
          <w:highlight w:val="none"/>
        </w:rPr>
        <w:t>中标候选人，推荐一名中标候选人。</w:t>
      </w:r>
    </w:p>
    <w:p w14:paraId="627665FE">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20、</w:t>
      </w:r>
      <w:bookmarkEnd w:id="56"/>
      <w:bookmarkEnd w:id="57"/>
      <w:bookmarkEnd w:id="58"/>
      <w:bookmarkEnd w:id="59"/>
      <w:r>
        <w:rPr>
          <w:rFonts w:asciiTheme="minorEastAsia" w:hAnsiTheme="minorEastAsia"/>
          <w:b/>
          <w:color w:val="auto"/>
          <w:sz w:val="21"/>
          <w:szCs w:val="21"/>
          <w:highlight w:val="none"/>
        </w:rPr>
        <w:t>采购方式</w:t>
      </w:r>
      <w:r>
        <w:rPr>
          <w:rFonts w:hint="eastAsia" w:asciiTheme="minorEastAsia" w:hAnsiTheme="minorEastAsia"/>
          <w:b/>
          <w:color w:val="auto"/>
          <w:sz w:val="21"/>
          <w:szCs w:val="21"/>
          <w:highlight w:val="none"/>
        </w:rPr>
        <w:t>转换</w:t>
      </w:r>
    </w:p>
    <w:p w14:paraId="4FEFCC07">
      <w:pPr>
        <w:pStyle w:val="30"/>
        <w:spacing w:line="460" w:lineRule="exact"/>
        <w:ind w:left="0" w:leftChars="0" w:firstLine="525" w:firstLineChars="2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公开招标数额标准以上的采购项目，投标截止后投标人不足3家或者通过资格审查或符合性审查的投标人不足3家的，除采购任务取消情形外，按照以下方式处理： </w:t>
      </w:r>
    </w:p>
    <w:p w14:paraId="12B7A366">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20.1采购文件存在不合理条款或者招标程序不符合规定的，采购人、采购代理机构改正后依法重新招标；</w:t>
      </w:r>
    </w:p>
    <w:p w14:paraId="63B26336">
      <w:pPr>
        <w:pStyle w:val="30"/>
        <w:spacing w:line="460" w:lineRule="exact"/>
        <w:ind w:left="0" w:leftChars="0"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20.2采购文件没有不合理条款、招标程序符合规定，需要采用其他采购方式采购的，采购人依法报财政部门批准。</w:t>
      </w:r>
    </w:p>
    <w:p w14:paraId="0204AA8D">
      <w:pPr>
        <w:pStyle w:val="30"/>
        <w:spacing w:line="460" w:lineRule="exact"/>
        <w:ind w:left="0" w:leftChars="0" w:firstLine="0" w:firstLineChars="0"/>
        <w:rPr>
          <w:rFonts w:asciiTheme="minorEastAsia" w:hAnsiTheme="minorEastAsia"/>
          <w:b/>
          <w:color w:val="auto"/>
          <w:sz w:val="21"/>
          <w:szCs w:val="21"/>
          <w:highlight w:val="none"/>
        </w:rPr>
      </w:pPr>
      <w:bookmarkStart w:id="60" w:name="_Toc429407714"/>
      <w:bookmarkStart w:id="61" w:name="_Toc425151754"/>
      <w:bookmarkStart w:id="62" w:name="_Toc425780298"/>
      <w:bookmarkStart w:id="63" w:name="_Toc430790235"/>
      <w:r>
        <w:rPr>
          <w:rFonts w:hint="eastAsia" w:asciiTheme="minorEastAsia" w:hAnsiTheme="minorEastAsia"/>
          <w:b/>
          <w:color w:val="auto"/>
          <w:sz w:val="21"/>
          <w:szCs w:val="21"/>
          <w:highlight w:val="none"/>
        </w:rPr>
        <w:t>21、</w:t>
      </w:r>
      <w:bookmarkEnd w:id="60"/>
      <w:bookmarkEnd w:id="61"/>
      <w:bookmarkEnd w:id="62"/>
      <w:bookmarkEnd w:id="63"/>
      <w:r>
        <w:rPr>
          <w:rFonts w:hint="eastAsia" w:asciiTheme="minorEastAsia" w:hAnsiTheme="minorEastAsia"/>
          <w:b/>
          <w:color w:val="auto"/>
          <w:sz w:val="21"/>
          <w:szCs w:val="21"/>
          <w:highlight w:val="none"/>
        </w:rPr>
        <w:t>评标过程的监控与保密</w:t>
      </w:r>
    </w:p>
    <w:p w14:paraId="7A507AB0">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21.1本项目评标过程实行全程录音、录像监控，投标人在评标过程中所进行的试图影响评标结果的不公正活动，可能导致其投标被拒绝。</w:t>
      </w:r>
    </w:p>
    <w:p w14:paraId="6FE55023">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21.2开标后到中标通知书发出之前，所有涉及评标委员会名单以及对投标文件的澄清、评价、比较等情况，评标委员会成员、采购人和采购代理机构的有关人员均不得向投标人或其他无关人员透露。</w:t>
      </w:r>
    </w:p>
    <w:p w14:paraId="486B18F7">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22、确定中标人、评标结果公示与质疑</w:t>
      </w:r>
    </w:p>
    <w:p w14:paraId="47222EDF">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22.1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52614B3D">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22.2代理机构自中标人确定之日起2个工作日内，在发布采购公告的网站上对中标结果进行公示，中标结果公告期限为1个工作日。如果中标人自动放弃中标资格或因质疑或是投诉被取消中标资格的，可视情况报经财政部门同意后，按本次评标供应商得分排序结果依次替补或重新组织。</w:t>
      </w:r>
    </w:p>
    <w:p w14:paraId="2D2826F3">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22.3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14:paraId="30B6D0E8">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七、无效投标认定</w:t>
      </w:r>
    </w:p>
    <w:p w14:paraId="2E41AD97">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23、实质上没有响应采购文件要求的投标将被视为无效投标。</w:t>
      </w:r>
    </w:p>
    <w:p w14:paraId="2322FFD3">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23.1在资格审查时，不具备采购文件中规定的资格要求的，或者资格证明文件不全的，投标文件将被视为无效。</w:t>
      </w:r>
    </w:p>
    <w:p w14:paraId="26BDFBED">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23.2</w:t>
      </w:r>
      <w:r>
        <w:rPr>
          <w:rFonts w:asciiTheme="minorEastAsia" w:hAnsiTheme="minorEastAsia"/>
          <w:color w:val="auto"/>
          <w:sz w:val="21"/>
          <w:szCs w:val="21"/>
          <w:highlight w:val="none"/>
        </w:rPr>
        <w:t>在符合性审查</w:t>
      </w:r>
      <w:r>
        <w:rPr>
          <w:rFonts w:hint="eastAsia" w:asciiTheme="minorEastAsia" w:hAnsiTheme="minorEastAsia"/>
          <w:color w:val="auto"/>
          <w:sz w:val="21"/>
          <w:szCs w:val="21"/>
          <w:highlight w:val="none"/>
        </w:rPr>
        <w:t>（技术商务文件）</w:t>
      </w:r>
      <w:r>
        <w:rPr>
          <w:rFonts w:asciiTheme="minorEastAsia" w:hAnsiTheme="minorEastAsia"/>
          <w:color w:val="auto"/>
          <w:sz w:val="21"/>
          <w:szCs w:val="21"/>
          <w:highlight w:val="none"/>
        </w:rPr>
        <w:t>时，如发现下列情形之一的，投标文件将被视为无效：</w:t>
      </w:r>
    </w:p>
    <w:p w14:paraId="24FB757A">
      <w:pPr>
        <w:pStyle w:val="30"/>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（1）投标文件未按采购文件要求签署、签章的（不影响投标文件法律效力的除外）；</w:t>
      </w:r>
    </w:p>
    <w:p w14:paraId="14205832">
      <w:pPr>
        <w:pStyle w:val="30"/>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（2）投标有效期不满足采购文件要求的；</w:t>
      </w:r>
    </w:p>
    <w:p w14:paraId="65023687">
      <w:pPr>
        <w:pStyle w:val="30"/>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（3）明显不符合采购文件要求的，或者与采购文件中标注“▲”的条款发生实质性偏离的；</w:t>
      </w:r>
    </w:p>
    <w:p w14:paraId="28EE6208">
      <w:pPr>
        <w:pStyle w:val="30"/>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（4）投标文件中含有采购人不能接受的附加条件的；</w:t>
      </w:r>
    </w:p>
    <w:p w14:paraId="10A0C0DE">
      <w:pPr>
        <w:pStyle w:val="30"/>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（5）投标声明书无法定代表人签名，或委托人未提供法定代表人授权委托书、填写项目不齐全的；</w:t>
      </w:r>
    </w:p>
    <w:p w14:paraId="2FD371A2">
      <w:pPr>
        <w:pStyle w:val="30"/>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（6）投标文件格式不规范、提供资料不齐全或者内容虚假的；</w:t>
      </w:r>
    </w:p>
    <w:p w14:paraId="0B955FA0">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（7）投标文件的实质性内容未使用中文表述、表述不明确、前后矛盾或者使用计量单位不符合采购文要求的（经评标委员会认定并允许其更正的笔误除外）；</w:t>
      </w:r>
    </w:p>
    <w:p w14:paraId="2AFF7079">
      <w:pPr>
        <w:pStyle w:val="30"/>
        <w:spacing w:line="460" w:lineRule="exact"/>
        <w:ind w:left="0" w:leftChars="0" w:firstLine="315" w:firstLineChars="150"/>
        <w:rPr>
          <w:rFonts w:hint="eastAsia" w:cs="宋体" w:asciiTheme="minorEastAsia" w:hAnsiTheme="minorEastAsia"/>
          <w:color w:val="auto"/>
          <w:sz w:val="21"/>
          <w:szCs w:val="21"/>
          <w:highlight w:val="none"/>
        </w:rPr>
      </w:pPr>
      <w:bookmarkStart w:id="64" w:name="OLE_LINK1"/>
      <w:r>
        <w:rPr>
          <w:rFonts w:hint="eastAsia" w:cs="宋体" w:asciiTheme="minorEastAsia" w:hAnsiTheme="minorEastAsia"/>
          <w:color w:val="auto"/>
          <w:sz w:val="21"/>
          <w:szCs w:val="21"/>
          <w:highlight w:val="none"/>
        </w:rPr>
        <w:t>（8）</w:t>
      </w:r>
      <w:bookmarkEnd w:id="64"/>
      <w:r>
        <w:rPr>
          <w:rFonts w:hint="eastAsia" w:cs="宋体" w:asciiTheme="minorEastAsia" w:hAnsiTheme="minorEastAsia"/>
          <w:color w:val="auto"/>
          <w:sz w:val="21"/>
          <w:szCs w:val="21"/>
          <w:highlight w:val="none"/>
        </w:rPr>
        <w:t xml:space="preserve">投标文件的关键内容字迹模糊、无法辨认的，或者投标文件中经修正的内容字迹模糊难以辨认或者修改处未按规定签署、盖章的； </w:t>
      </w:r>
    </w:p>
    <w:p w14:paraId="256AA697">
      <w:pPr>
        <w:pStyle w:val="30"/>
        <w:spacing w:line="460" w:lineRule="exact"/>
        <w:ind w:left="0" w:leftChars="0" w:firstLine="316" w:firstLineChars="150"/>
        <w:rPr>
          <w:rFonts w:hint="eastAsia" w:cs="宋体" w:asciiTheme="minorEastAsia" w:hAnsiTheme="minorEastAsia"/>
          <w:b/>
          <w:bCs/>
          <w:color w:val="auto"/>
          <w:sz w:val="21"/>
          <w:szCs w:val="21"/>
          <w:highlight w:val="none"/>
          <w:lang w:eastAsia="zh-CN"/>
        </w:rPr>
      </w:pPr>
      <w:r>
        <w:rPr>
          <w:rFonts w:hint="eastAsia" w:cs="宋体" w:asciiTheme="minorEastAsia" w:hAnsiTheme="minorEastAsia"/>
          <w:b/>
          <w:bCs/>
          <w:color w:val="auto"/>
          <w:sz w:val="21"/>
          <w:szCs w:val="21"/>
          <w:highlight w:val="none"/>
          <w:lang w:eastAsia="zh-CN"/>
        </w:rPr>
        <w:t>（</w:t>
      </w:r>
      <w:r>
        <w:rPr>
          <w:rFonts w:hint="eastAsia" w:cs="宋体" w:asciiTheme="minorEastAsia" w:hAnsiTheme="minorEastAsia"/>
          <w:b/>
          <w:bCs/>
          <w:color w:val="auto"/>
          <w:sz w:val="21"/>
          <w:szCs w:val="21"/>
          <w:highlight w:val="none"/>
          <w:lang w:val="en-US" w:eastAsia="zh-CN"/>
        </w:rPr>
        <w:t>9</w:t>
      </w:r>
      <w:r>
        <w:rPr>
          <w:rFonts w:hint="eastAsia" w:cs="宋体" w:asciiTheme="minorEastAsia" w:hAnsiTheme="minorEastAsia"/>
          <w:b/>
          <w:bCs/>
          <w:color w:val="auto"/>
          <w:sz w:val="21"/>
          <w:szCs w:val="21"/>
          <w:highlight w:val="none"/>
          <w:lang w:eastAsia="zh-CN"/>
        </w:rPr>
        <w:t>）政采云平台项目采购系统显示投标供应商的 IP、MAC、设备硬件等信息重复的；</w:t>
      </w:r>
    </w:p>
    <w:p w14:paraId="041331CF">
      <w:pPr>
        <w:pStyle w:val="30"/>
        <w:spacing w:line="460" w:lineRule="exact"/>
        <w:ind w:left="0" w:leftChars="0" w:firstLine="315" w:firstLineChars="150"/>
        <w:rPr>
          <w:rFonts w:hint="eastAsia"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10</w:t>
      </w:r>
      <w:r>
        <w:rPr>
          <w:rFonts w:hint="eastAsia" w:cs="宋体" w:asciiTheme="minorEastAsia" w:hAnsiTheme="minorEastAsia"/>
          <w:color w:val="auto"/>
          <w:sz w:val="21"/>
          <w:szCs w:val="21"/>
          <w:highlight w:val="none"/>
        </w:rPr>
        <w:t>）法律、法规和采购文件规定的其他无效情形。</w:t>
      </w:r>
    </w:p>
    <w:p w14:paraId="720410AB">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23.3在符合性审查（报价文件）时，如发现下列情形之一的，投标文件将被视为无效：</w:t>
      </w:r>
    </w:p>
    <w:p w14:paraId="06A8A3B0">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（1）未提交投标函或投标函内容不符合采购文件要求的；</w:t>
      </w:r>
    </w:p>
    <w:p w14:paraId="2A50A3B1">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（2）投标文件未按采购文件要求签署、签章的（不影响投标文件法律效力的除外）；</w:t>
      </w:r>
    </w:p>
    <w:p w14:paraId="55C8157F">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（3）报价超过采购文件中规定的预算金额或者最高限价的；</w:t>
      </w:r>
    </w:p>
    <w:p w14:paraId="2EF9B299">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（4）未采用</w:t>
      </w:r>
      <w:r>
        <w:rPr>
          <w:rFonts w:hint="eastAsia" w:asciiTheme="minorEastAsia" w:hAnsiTheme="minorEastAsia"/>
          <w:color w:val="auto"/>
          <w:sz w:val="21"/>
          <w:szCs w:val="21"/>
          <w:highlight w:val="none"/>
          <w:lang w:eastAsia="zh-CN"/>
        </w:rPr>
        <w:t>采购文件</w:t>
      </w:r>
      <w:r>
        <w:rPr>
          <w:rFonts w:hint="eastAsia" w:asciiTheme="minorEastAsia" w:hAnsiTheme="minorEastAsia"/>
          <w:color w:val="auto"/>
          <w:sz w:val="21"/>
          <w:szCs w:val="21"/>
          <w:highlight w:val="none"/>
        </w:rPr>
        <w:t>要求的报价形式报价的；</w:t>
      </w:r>
    </w:p>
    <w:p w14:paraId="5584B8CD">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（5）投标报价具有选择性的；</w:t>
      </w:r>
    </w:p>
    <w:p w14:paraId="4B768ECF">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6）投标人的报价明显低于其他通过符合性审查投标人的报价，评标委员会认为有可能影响产品质量或者不能诚信履约要求其在合理的时间内提供书面说明，必要时提交相关证明材料，投标人不能证明其报价合理性的；</w:t>
      </w:r>
    </w:p>
    <w:p w14:paraId="2078151F">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（7）采购文件规定的其他无效情形。</w:t>
      </w:r>
    </w:p>
    <w:p w14:paraId="3DC82B9F">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23.4被拒绝的投标文件为无效。</w:t>
      </w:r>
    </w:p>
    <w:p w14:paraId="3DD579EF">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八、授予合同</w:t>
      </w:r>
    </w:p>
    <w:p w14:paraId="6BD69467">
      <w:pPr>
        <w:spacing w:line="360" w:lineRule="auto"/>
        <w:contextualSpacing/>
        <w:rPr>
          <w:rFonts w:ascii="宋体" w:hAnsi="宋体"/>
          <w:b/>
          <w:color w:val="auto"/>
          <w:szCs w:val="21"/>
          <w:highlight w:val="none"/>
        </w:rPr>
      </w:pPr>
      <w:r>
        <w:rPr>
          <w:rFonts w:hint="eastAsia" w:ascii="宋体" w:hAnsi="宋体"/>
          <w:b/>
          <w:color w:val="auto"/>
          <w:szCs w:val="21"/>
          <w:highlight w:val="none"/>
        </w:rPr>
        <w:t>2</w:t>
      </w:r>
      <w:r>
        <w:rPr>
          <w:rFonts w:hint="eastAsia" w:asciiTheme="minorEastAsia" w:hAnsiTheme="minorEastAsia"/>
          <w:b/>
          <w:color w:val="auto"/>
          <w:szCs w:val="21"/>
          <w:highlight w:val="none"/>
        </w:rPr>
        <w:t>4</w:t>
      </w:r>
      <w:r>
        <w:rPr>
          <w:rFonts w:hint="eastAsia" w:ascii="宋体" w:hAnsi="宋体"/>
          <w:b/>
          <w:color w:val="auto"/>
          <w:szCs w:val="21"/>
          <w:highlight w:val="none"/>
        </w:rPr>
        <w:t>、授予合同</w:t>
      </w:r>
    </w:p>
    <w:p w14:paraId="5D19C014">
      <w:pPr>
        <w:spacing w:line="360" w:lineRule="auto"/>
        <w:ind w:firstLine="420" w:firstLineChars="200"/>
        <w:contextualSpacing/>
        <w:rPr>
          <w:rFonts w:ascii="宋体" w:hAnsi="宋体"/>
          <w:color w:val="auto"/>
          <w:szCs w:val="21"/>
          <w:highlight w:val="none"/>
        </w:rPr>
      </w:pPr>
      <w:r>
        <w:rPr>
          <w:rFonts w:ascii="宋体" w:hAnsi="宋体"/>
          <w:color w:val="auto"/>
          <w:szCs w:val="21"/>
          <w:highlight w:val="none"/>
        </w:rPr>
        <w:t>采购人在授予合同时不能对</w:t>
      </w:r>
      <w:r>
        <w:rPr>
          <w:rFonts w:hint="eastAsia" w:ascii="宋体" w:hAnsi="宋体"/>
          <w:color w:val="auto"/>
          <w:szCs w:val="21"/>
          <w:highlight w:val="none"/>
        </w:rPr>
        <w:t>中标</w:t>
      </w:r>
      <w:r>
        <w:rPr>
          <w:rFonts w:ascii="宋体" w:hAnsi="宋体"/>
          <w:color w:val="auto"/>
          <w:szCs w:val="21"/>
          <w:highlight w:val="none"/>
        </w:rPr>
        <w:t>单价或其他</w:t>
      </w:r>
      <w:r>
        <w:rPr>
          <w:rFonts w:hint="eastAsia" w:ascii="宋体" w:hAnsi="宋体"/>
          <w:color w:val="auto"/>
          <w:szCs w:val="21"/>
          <w:highlight w:val="none"/>
        </w:rPr>
        <w:t>实质性</w:t>
      </w:r>
      <w:r>
        <w:rPr>
          <w:rFonts w:ascii="宋体" w:hAnsi="宋体"/>
          <w:color w:val="auto"/>
          <w:szCs w:val="21"/>
          <w:highlight w:val="none"/>
        </w:rPr>
        <w:t>条款和条件作任何改变。</w:t>
      </w:r>
    </w:p>
    <w:p w14:paraId="086F971C">
      <w:pPr>
        <w:spacing w:line="360" w:lineRule="auto"/>
        <w:contextualSpacing/>
        <w:rPr>
          <w:rFonts w:ascii="宋体" w:hAnsi="宋体"/>
          <w:b/>
          <w:color w:val="auto"/>
          <w:szCs w:val="21"/>
          <w:highlight w:val="none"/>
        </w:rPr>
      </w:pPr>
      <w:r>
        <w:rPr>
          <w:rFonts w:hint="eastAsia" w:ascii="宋体" w:hAnsi="宋体"/>
          <w:b/>
          <w:color w:val="auto"/>
          <w:szCs w:val="21"/>
          <w:highlight w:val="none"/>
        </w:rPr>
        <w:t>2</w:t>
      </w:r>
      <w:r>
        <w:rPr>
          <w:rFonts w:hint="eastAsia" w:asciiTheme="minorEastAsia" w:hAnsiTheme="minorEastAsia"/>
          <w:b/>
          <w:color w:val="auto"/>
          <w:szCs w:val="21"/>
          <w:highlight w:val="none"/>
        </w:rPr>
        <w:t>5</w:t>
      </w:r>
      <w:r>
        <w:rPr>
          <w:rFonts w:hint="eastAsia" w:ascii="宋体" w:hAnsi="宋体"/>
          <w:b/>
          <w:color w:val="auto"/>
          <w:szCs w:val="21"/>
          <w:highlight w:val="none"/>
        </w:rPr>
        <w:t>、</w:t>
      </w:r>
      <w:r>
        <w:rPr>
          <w:rFonts w:ascii="宋体" w:hAnsi="宋体"/>
          <w:b/>
          <w:color w:val="auto"/>
          <w:szCs w:val="21"/>
          <w:highlight w:val="none"/>
        </w:rPr>
        <w:t>中标通知</w:t>
      </w:r>
    </w:p>
    <w:p w14:paraId="28513F58">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w:t>
      </w:r>
      <w:r>
        <w:rPr>
          <w:rFonts w:hint="eastAsia" w:asciiTheme="minorEastAsia" w:hAnsiTheme="minorEastAsia"/>
          <w:color w:val="auto"/>
          <w:szCs w:val="21"/>
          <w:highlight w:val="none"/>
        </w:rPr>
        <w:t>4</w:t>
      </w:r>
      <w:r>
        <w:rPr>
          <w:rFonts w:hint="eastAsia" w:ascii="宋体" w:hAnsi="宋体"/>
          <w:color w:val="auto"/>
          <w:szCs w:val="21"/>
          <w:highlight w:val="none"/>
        </w:rPr>
        <w:t>.1采购代理机构自中标人确定之日起2个工作日内，在指定的媒体上公告中标结果，采购文件随中标结果同时公告。中标公告期限为1个工作日。</w:t>
      </w:r>
    </w:p>
    <w:p w14:paraId="23A9505E">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w:t>
      </w:r>
      <w:r>
        <w:rPr>
          <w:rFonts w:hint="eastAsia" w:asciiTheme="minorEastAsia" w:hAnsiTheme="minorEastAsia"/>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2在发布中标公告</w:t>
      </w:r>
      <w:r>
        <w:rPr>
          <w:rFonts w:hint="eastAsia" w:ascii="宋体" w:hAnsi="宋体"/>
          <w:color w:val="auto"/>
          <w:szCs w:val="21"/>
          <w:highlight w:val="none"/>
        </w:rPr>
        <w:t>的同时</w:t>
      </w:r>
      <w:r>
        <w:rPr>
          <w:rFonts w:ascii="宋体" w:hAnsi="宋体"/>
          <w:color w:val="auto"/>
          <w:szCs w:val="21"/>
          <w:highlight w:val="none"/>
        </w:rPr>
        <w:t>本采购代理机构向中标</w:t>
      </w:r>
      <w:r>
        <w:rPr>
          <w:rFonts w:hint="eastAsia" w:ascii="宋体" w:hAnsi="宋体"/>
          <w:color w:val="auto"/>
          <w:szCs w:val="21"/>
          <w:highlight w:val="none"/>
        </w:rPr>
        <w:t>人</w:t>
      </w:r>
      <w:r>
        <w:rPr>
          <w:rFonts w:ascii="宋体" w:hAnsi="宋体"/>
          <w:color w:val="auto"/>
          <w:szCs w:val="21"/>
          <w:highlight w:val="none"/>
        </w:rPr>
        <w:t>发出中标通知</w:t>
      </w:r>
      <w:r>
        <w:rPr>
          <w:rFonts w:hint="eastAsia" w:ascii="宋体" w:hAnsi="宋体"/>
          <w:color w:val="auto"/>
          <w:szCs w:val="21"/>
          <w:highlight w:val="none"/>
        </w:rPr>
        <w:t>书</w:t>
      </w:r>
      <w:r>
        <w:rPr>
          <w:rFonts w:ascii="宋体" w:hAnsi="宋体"/>
          <w:color w:val="auto"/>
          <w:szCs w:val="21"/>
          <w:highlight w:val="none"/>
        </w:rPr>
        <w:t>，向其他投标人发出招标结果通知书，中标通知书对采购人和中标</w:t>
      </w:r>
      <w:r>
        <w:rPr>
          <w:rFonts w:hint="eastAsia" w:ascii="宋体" w:hAnsi="宋体"/>
          <w:color w:val="auto"/>
          <w:szCs w:val="21"/>
          <w:highlight w:val="none"/>
        </w:rPr>
        <w:t>人</w:t>
      </w:r>
      <w:r>
        <w:rPr>
          <w:rFonts w:ascii="宋体" w:hAnsi="宋体"/>
          <w:color w:val="auto"/>
          <w:szCs w:val="21"/>
          <w:highlight w:val="none"/>
        </w:rPr>
        <w:t>具有同等法律效力。</w:t>
      </w:r>
    </w:p>
    <w:p w14:paraId="4E4AD683">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w:t>
      </w:r>
      <w:r>
        <w:rPr>
          <w:rFonts w:hint="eastAsia" w:asciiTheme="minorEastAsia" w:hAnsiTheme="minorEastAsia"/>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3中标</w:t>
      </w:r>
      <w:r>
        <w:rPr>
          <w:rFonts w:hint="eastAsia" w:ascii="宋体" w:hAnsi="宋体"/>
          <w:color w:val="auto"/>
          <w:szCs w:val="21"/>
          <w:highlight w:val="none"/>
        </w:rPr>
        <w:t>人</w:t>
      </w:r>
      <w:r>
        <w:rPr>
          <w:rFonts w:ascii="宋体" w:hAnsi="宋体"/>
          <w:color w:val="auto"/>
          <w:szCs w:val="21"/>
          <w:highlight w:val="none"/>
        </w:rPr>
        <w:t>按下述第30条规定与采购人签订合同，中标通知书是合同的组成部分。</w:t>
      </w:r>
    </w:p>
    <w:p w14:paraId="41B889AE">
      <w:pPr>
        <w:spacing w:line="360" w:lineRule="auto"/>
        <w:contextualSpacing/>
        <w:rPr>
          <w:rFonts w:ascii="宋体" w:hAnsi="宋体"/>
          <w:b/>
          <w:color w:val="auto"/>
          <w:szCs w:val="21"/>
          <w:highlight w:val="none"/>
        </w:rPr>
      </w:pPr>
      <w:r>
        <w:rPr>
          <w:rFonts w:hint="eastAsia" w:asciiTheme="minorEastAsia" w:hAnsiTheme="minorEastAsia"/>
          <w:b/>
          <w:color w:val="auto"/>
          <w:szCs w:val="21"/>
          <w:highlight w:val="none"/>
        </w:rPr>
        <w:t>26</w:t>
      </w:r>
      <w:r>
        <w:rPr>
          <w:rFonts w:hint="eastAsia" w:ascii="宋体" w:hAnsi="宋体"/>
          <w:b/>
          <w:color w:val="auto"/>
          <w:szCs w:val="21"/>
          <w:highlight w:val="none"/>
        </w:rPr>
        <w:t>、</w:t>
      </w:r>
      <w:r>
        <w:rPr>
          <w:rFonts w:ascii="宋体" w:hAnsi="宋体"/>
          <w:b/>
          <w:color w:val="auto"/>
          <w:szCs w:val="21"/>
          <w:highlight w:val="none"/>
        </w:rPr>
        <w:t>签订合同</w:t>
      </w:r>
    </w:p>
    <w:p w14:paraId="33B853F4">
      <w:pPr>
        <w:spacing w:line="360" w:lineRule="auto"/>
        <w:ind w:firstLine="420" w:firstLineChars="200"/>
        <w:contextualSpacing/>
        <w:rPr>
          <w:rFonts w:ascii="宋体" w:hAnsi="宋体"/>
          <w:color w:val="auto"/>
          <w:szCs w:val="21"/>
          <w:highlight w:val="none"/>
        </w:rPr>
      </w:pPr>
      <w:r>
        <w:rPr>
          <w:rFonts w:hint="eastAsia" w:asciiTheme="minorEastAsia" w:hAnsiTheme="minorEastAsia"/>
          <w:color w:val="auto"/>
          <w:szCs w:val="21"/>
          <w:highlight w:val="none"/>
        </w:rPr>
        <w:t>26</w:t>
      </w:r>
      <w:r>
        <w:rPr>
          <w:rFonts w:hint="eastAsia" w:ascii="宋体" w:hAnsi="宋体"/>
          <w:color w:val="auto"/>
          <w:szCs w:val="21"/>
          <w:highlight w:val="none"/>
        </w:rPr>
        <w:t>.1</w:t>
      </w:r>
      <w:r>
        <w:rPr>
          <w:rFonts w:ascii="宋体" w:hAnsi="宋体"/>
          <w:color w:val="auto"/>
          <w:szCs w:val="21"/>
          <w:highlight w:val="none"/>
        </w:rPr>
        <w:t>中标</w:t>
      </w:r>
      <w:r>
        <w:rPr>
          <w:rFonts w:hint="eastAsia" w:ascii="宋体" w:hAnsi="宋体"/>
          <w:color w:val="auto"/>
          <w:szCs w:val="21"/>
          <w:highlight w:val="none"/>
        </w:rPr>
        <w:t>人</w:t>
      </w:r>
      <w:r>
        <w:rPr>
          <w:rFonts w:ascii="宋体" w:hAnsi="宋体"/>
          <w:color w:val="auto"/>
          <w:szCs w:val="21"/>
          <w:highlight w:val="none"/>
        </w:rPr>
        <w:t>在本采购代理机构发出中标通知书的</w:t>
      </w:r>
      <w:r>
        <w:rPr>
          <w:rFonts w:hint="eastAsia" w:ascii="宋体" w:hAnsi="宋体"/>
          <w:color w:val="auto"/>
          <w:szCs w:val="21"/>
          <w:highlight w:val="none"/>
        </w:rPr>
        <w:t>30</w:t>
      </w:r>
      <w:r>
        <w:rPr>
          <w:rFonts w:ascii="宋体" w:hAnsi="宋体"/>
          <w:color w:val="auto"/>
          <w:szCs w:val="21"/>
          <w:highlight w:val="none"/>
        </w:rPr>
        <w:t>日内，应与采购人按照采购文件和中标</w:t>
      </w:r>
      <w:r>
        <w:rPr>
          <w:rFonts w:hint="eastAsia" w:ascii="宋体" w:hAnsi="宋体"/>
          <w:color w:val="auto"/>
          <w:szCs w:val="21"/>
          <w:highlight w:val="none"/>
        </w:rPr>
        <w:t>人</w:t>
      </w:r>
      <w:r>
        <w:rPr>
          <w:rFonts w:ascii="宋体" w:hAnsi="宋体"/>
          <w:color w:val="auto"/>
          <w:szCs w:val="21"/>
          <w:highlight w:val="none"/>
        </w:rPr>
        <w:t>的投标文件的约定内容签订书面合同。否则，采购人可撤销其中标资格并按本须知规定另选中标</w:t>
      </w:r>
      <w:r>
        <w:rPr>
          <w:rFonts w:hint="eastAsia" w:ascii="宋体" w:hAnsi="宋体"/>
          <w:color w:val="auto"/>
          <w:szCs w:val="21"/>
          <w:highlight w:val="none"/>
        </w:rPr>
        <w:t>人</w:t>
      </w:r>
      <w:r>
        <w:rPr>
          <w:rFonts w:ascii="宋体" w:hAnsi="宋体"/>
          <w:color w:val="auto"/>
          <w:szCs w:val="21"/>
          <w:highlight w:val="none"/>
        </w:rPr>
        <w:t>或重新招标。</w:t>
      </w:r>
    </w:p>
    <w:p w14:paraId="4F13B2CC">
      <w:pPr>
        <w:spacing w:line="360" w:lineRule="auto"/>
        <w:ind w:firstLine="420" w:firstLineChars="200"/>
        <w:contextualSpacing/>
        <w:rPr>
          <w:rFonts w:ascii="宋体" w:hAnsi="宋体"/>
          <w:color w:val="auto"/>
          <w:szCs w:val="21"/>
          <w:highlight w:val="none"/>
        </w:rPr>
      </w:pPr>
      <w:r>
        <w:rPr>
          <w:rFonts w:hint="eastAsia" w:asciiTheme="minorEastAsia" w:hAnsiTheme="minorEastAsia"/>
          <w:color w:val="auto"/>
          <w:szCs w:val="21"/>
          <w:highlight w:val="none"/>
        </w:rPr>
        <w:t>26</w:t>
      </w:r>
      <w:r>
        <w:rPr>
          <w:rFonts w:hint="eastAsia" w:ascii="宋体" w:hAnsi="宋体"/>
          <w:color w:val="auto"/>
          <w:szCs w:val="21"/>
          <w:highlight w:val="none"/>
        </w:rPr>
        <w:t>.2</w:t>
      </w:r>
      <w:r>
        <w:rPr>
          <w:rFonts w:ascii="宋体" w:hAnsi="宋体"/>
          <w:color w:val="auto"/>
          <w:szCs w:val="21"/>
          <w:highlight w:val="none"/>
        </w:rPr>
        <w:t>采购文件、中标</w:t>
      </w:r>
      <w:r>
        <w:rPr>
          <w:rFonts w:hint="eastAsia" w:ascii="宋体" w:hAnsi="宋体"/>
          <w:color w:val="auto"/>
          <w:szCs w:val="21"/>
          <w:highlight w:val="none"/>
        </w:rPr>
        <w:t>人</w:t>
      </w:r>
      <w:r>
        <w:rPr>
          <w:rFonts w:ascii="宋体" w:hAnsi="宋体"/>
          <w:color w:val="auto"/>
          <w:szCs w:val="21"/>
          <w:highlight w:val="none"/>
        </w:rPr>
        <w:t>的投标文件及在评标过程中提交的澄清文件均应作为合同附件。</w:t>
      </w:r>
    </w:p>
    <w:p w14:paraId="3292A9D1">
      <w:pPr>
        <w:spacing w:line="360" w:lineRule="auto"/>
        <w:contextualSpacing/>
        <w:rPr>
          <w:rFonts w:ascii="宋体" w:hAnsi="宋体"/>
          <w:b/>
          <w:color w:val="auto"/>
          <w:szCs w:val="21"/>
          <w:highlight w:val="none"/>
        </w:rPr>
      </w:pPr>
      <w:r>
        <w:rPr>
          <w:rFonts w:hint="eastAsia" w:asciiTheme="minorEastAsia" w:hAnsiTheme="minorEastAsia"/>
          <w:b/>
          <w:color w:val="auto"/>
          <w:szCs w:val="21"/>
          <w:highlight w:val="none"/>
        </w:rPr>
        <w:t>27</w:t>
      </w:r>
      <w:r>
        <w:rPr>
          <w:rFonts w:hint="eastAsia" w:ascii="宋体" w:hAnsi="宋体"/>
          <w:b/>
          <w:color w:val="auto"/>
          <w:szCs w:val="21"/>
          <w:highlight w:val="none"/>
        </w:rPr>
        <w:t>、</w:t>
      </w:r>
      <w:r>
        <w:rPr>
          <w:rFonts w:ascii="宋体" w:hAnsi="宋体"/>
          <w:b/>
          <w:color w:val="auto"/>
          <w:szCs w:val="21"/>
          <w:highlight w:val="none"/>
        </w:rPr>
        <w:t>履约保证金</w:t>
      </w:r>
    </w:p>
    <w:p w14:paraId="789728BD">
      <w:pPr>
        <w:spacing w:line="360" w:lineRule="auto"/>
        <w:ind w:firstLine="420" w:firstLineChars="200"/>
        <w:contextualSpacing/>
        <w:rPr>
          <w:rFonts w:ascii="宋体" w:hAnsi="宋体"/>
          <w:color w:val="auto"/>
          <w:szCs w:val="21"/>
          <w:highlight w:val="none"/>
        </w:rPr>
      </w:pPr>
      <w:r>
        <w:rPr>
          <w:rFonts w:hint="eastAsia" w:asciiTheme="minorEastAsia" w:hAnsiTheme="minorEastAsia"/>
          <w:color w:val="auto"/>
          <w:szCs w:val="21"/>
          <w:highlight w:val="none"/>
        </w:rPr>
        <w:t>27</w:t>
      </w:r>
      <w:r>
        <w:rPr>
          <w:rFonts w:hint="eastAsia" w:ascii="宋体" w:hAnsi="宋体"/>
          <w:color w:val="auto"/>
          <w:szCs w:val="21"/>
          <w:highlight w:val="none"/>
        </w:rPr>
        <w:t>.1</w:t>
      </w:r>
      <w:r>
        <w:rPr>
          <w:rFonts w:ascii="宋体" w:hAnsi="宋体"/>
          <w:color w:val="auto"/>
          <w:szCs w:val="21"/>
          <w:highlight w:val="none"/>
        </w:rPr>
        <w:t>签订合同</w:t>
      </w:r>
      <w:r>
        <w:rPr>
          <w:rFonts w:hint="eastAsia" w:ascii="宋体" w:hAnsi="宋体"/>
          <w:color w:val="auto"/>
          <w:szCs w:val="21"/>
          <w:highlight w:val="none"/>
        </w:rPr>
        <w:t>后</w:t>
      </w:r>
      <w:r>
        <w:rPr>
          <w:rFonts w:ascii="宋体" w:hAnsi="宋体"/>
          <w:color w:val="auto"/>
          <w:szCs w:val="21"/>
          <w:highlight w:val="none"/>
        </w:rPr>
        <w:t>，中标人应根据采购文件确定的履约保证金的金额交纳履约保证金。</w:t>
      </w:r>
    </w:p>
    <w:p w14:paraId="2C9C5F92">
      <w:pPr>
        <w:spacing w:line="360" w:lineRule="auto"/>
        <w:ind w:firstLine="420" w:firstLineChars="200"/>
        <w:contextualSpacing/>
        <w:rPr>
          <w:rFonts w:ascii="宋体" w:hAnsi="宋体"/>
          <w:color w:val="auto"/>
          <w:szCs w:val="21"/>
          <w:highlight w:val="none"/>
        </w:rPr>
      </w:pPr>
      <w:r>
        <w:rPr>
          <w:rFonts w:hint="eastAsia" w:asciiTheme="minorEastAsia" w:hAnsiTheme="minorEastAsia"/>
          <w:color w:val="auto"/>
          <w:szCs w:val="21"/>
          <w:highlight w:val="none"/>
        </w:rPr>
        <w:t>27</w:t>
      </w:r>
      <w:r>
        <w:rPr>
          <w:rFonts w:hint="eastAsia" w:ascii="宋体" w:hAnsi="宋体"/>
          <w:color w:val="auto"/>
          <w:szCs w:val="21"/>
          <w:highlight w:val="none"/>
        </w:rPr>
        <w:t>.2</w:t>
      </w:r>
      <w:r>
        <w:rPr>
          <w:rFonts w:ascii="宋体" w:hAnsi="宋体"/>
          <w:color w:val="auto"/>
          <w:szCs w:val="21"/>
          <w:highlight w:val="none"/>
        </w:rPr>
        <w:t>签订合同后，如中标人不按双方合同约定履约，则没收其全部履约保证金，履约保证金不足以赔偿损失的，按实际损失赔偿。</w:t>
      </w:r>
    </w:p>
    <w:p w14:paraId="061B9DA8">
      <w:pPr>
        <w:spacing w:line="360" w:lineRule="auto"/>
        <w:ind w:firstLine="420" w:firstLineChars="200"/>
        <w:contextualSpacing/>
        <w:rPr>
          <w:rFonts w:ascii="宋体" w:hAnsi="宋体"/>
          <w:color w:val="auto"/>
          <w:szCs w:val="21"/>
          <w:highlight w:val="none"/>
        </w:rPr>
      </w:pPr>
      <w:r>
        <w:rPr>
          <w:rFonts w:hint="eastAsia" w:asciiTheme="minorEastAsia" w:hAnsiTheme="minorEastAsia"/>
          <w:color w:val="auto"/>
          <w:szCs w:val="21"/>
          <w:highlight w:val="none"/>
        </w:rPr>
        <w:t>27</w:t>
      </w:r>
      <w:r>
        <w:rPr>
          <w:rFonts w:hint="eastAsia" w:ascii="宋体" w:hAnsi="宋体"/>
          <w:color w:val="auto"/>
          <w:szCs w:val="21"/>
          <w:highlight w:val="none"/>
        </w:rPr>
        <w:t>.3采购人负责对中标人的履约行为进行验收，验收标准为本项目的采购文件以及中标人的投标文件，要求验收必须符合相关政策法规和地方标准。</w:t>
      </w:r>
    </w:p>
    <w:p w14:paraId="4E0BB41B">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九、履约验收</w:t>
      </w:r>
    </w:p>
    <w:p w14:paraId="33ED0C26">
      <w:pPr>
        <w:pStyle w:val="30"/>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28、采购人负责对中标人的履约行为进行验收。政府向社会公众提供的公共服务项目，验收时应当邀请服务对象参与并出具意见，验收结果应当向社会公告。</w:t>
      </w:r>
    </w:p>
    <w:p w14:paraId="444E0D22">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十、代理服务费</w:t>
      </w:r>
    </w:p>
    <w:p w14:paraId="663A7410">
      <w:pPr>
        <w:spacing w:line="360" w:lineRule="auto"/>
        <w:contextualSpacing/>
        <w:rPr>
          <w:b/>
          <w:color w:val="auto"/>
          <w:szCs w:val="21"/>
          <w:highlight w:val="none"/>
        </w:rPr>
      </w:pPr>
      <w:r>
        <w:rPr>
          <w:rFonts w:hint="eastAsia" w:asciiTheme="minorEastAsia" w:hAnsiTheme="minorEastAsia"/>
          <w:b/>
          <w:color w:val="auto"/>
          <w:szCs w:val="21"/>
          <w:highlight w:val="none"/>
        </w:rPr>
        <w:t>29、</w:t>
      </w:r>
      <w:r>
        <w:rPr>
          <w:rFonts w:hint="eastAsia"/>
          <w:b/>
          <w:color w:val="auto"/>
          <w:szCs w:val="21"/>
          <w:highlight w:val="none"/>
        </w:rPr>
        <w:t>代理服务费</w:t>
      </w:r>
    </w:p>
    <w:p w14:paraId="1CD9E0CE">
      <w:pPr>
        <w:spacing w:line="360" w:lineRule="auto"/>
        <w:ind w:firstLine="420" w:firstLineChars="200"/>
        <w:contextualSpacing/>
        <w:jc w:val="left"/>
        <w:rPr>
          <w:color w:val="auto"/>
          <w:sz w:val="24"/>
          <w:highlight w:val="none"/>
        </w:rPr>
      </w:pPr>
      <w:r>
        <w:rPr>
          <w:rFonts w:hint="eastAsia"/>
          <w:color w:val="auto"/>
          <w:szCs w:val="21"/>
          <w:highlight w:val="none"/>
        </w:rPr>
        <w:t>中标人</w:t>
      </w:r>
      <w:r>
        <w:rPr>
          <w:color w:val="auto"/>
          <w:szCs w:val="21"/>
          <w:highlight w:val="none"/>
        </w:rPr>
        <w:t>应向本采购代理机构支付</w:t>
      </w:r>
      <w:r>
        <w:rPr>
          <w:rFonts w:hint="eastAsia"/>
          <w:color w:val="auto"/>
          <w:szCs w:val="21"/>
          <w:highlight w:val="none"/>
        </w:rPr>
        <w:t>代理服务费</w:t>
      </w:r>
      <w:r>
        <w:rPr>
          <w:color w:val="auto"/>
          <w:szCs w:val="21"/>
          <w:highlight w:val="none"/>
        </w:rPr>
        <w:t>。</w:t>
      </w:r>
      <w:r>
        <w:rPr>
          <w:rFonts w:hint="eastAsia"/>
          <w:color w:val="auto"/>
          <w:szCs w:val="21"/>
          <w:highlight w:val="none"/>
        </w:rPr>
        <w:t>代理服务费</w:t>
      </w:r>
      <w:r>
        <w:rPr>
          <w:color w:val="auto"/>
          <w:szCs w:val="21"/>
          <w:highlight w:val="none"/>
        </w:rPr>
        <w:t>的收费依据及相关规定载明在采购文件《投标资料表》中。</w:t>
      </w:r>
    </w:p>
    <w:p w14:paraId="00F7FB7C">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十一、政府采购活动中有关中小企业的相关规定</w:t>
      </w:r>
    </w:p>
    <w:p w14:paraId="151BA460">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（采购进口产品的项目不适用）</w:t>
      </w:r>
    </w:p>
    <w:p w14:paraId="7697F879">
      <w:pPr>
        <w:pStyle w:val="30"/>
        <w:spacing w:line="460" w:lineRule="exact"/>
        <w:ind w:left="0" w:leftChars="0" w:firstLine="0" w:firstLineChars="0"/>
        <w:rPr>
          <w:rFonts w:hint="default" w:asciiTheme="minorEastAsia" w:hAnsiTheme="minorEastAsia" w:eastAsiaTheme="minorEastAsia"/>
          <w:b/>
          <w:color w:val="auto"/>
          <w:sz w:val="21"/>
          <w:szCs w:val="21"/>
          <w:highlight w:val="none"/>
          <w:lang w:val="en-US" w:eastAsia="zh-CN"/>
        </w:rPr>
      </w:pPr>
      <w:r>
        <w:rPr>
          <w:rFonts w:hint="eastAsia" w:asciiTheme="minorEastAsia" w:hAnsiTheme="minorEastAsia"/>
          <w:b/>
          <w:color w:val="auto"/>
          <w:sz w:val="21"/>
          <w:szCs w:val="21"/>
          <w:highlight w:val="none"/>
          <w:lang w:val="en-US" w:eastAsia="zh-CN"/>
        </w:rPr>
        <w:t>30、本项目专门面向中小企业/小微企业采购，投标人须为中小企业/小微企业。。</w:t>
      </w:r>
    </w:p>
    <w:p w14:paraId="5B3B6247">
      <w:pPr>
        <w:pStyle w:val="30"/>
        <w:spacing w:line="460" w:lineRule="exact"/>
        <w:ind w:left="0" w:leftChars="0" w:firstLine="0" w:firstLineChars="0"/>
        <w:rPr>
          <w:rFonts w:asciiTheme="minorEastAsia" w:hAnsiTheme="minorEastAsia"/>
          <w:b/>
          <w:color w:val="auto"/>
          <w:sz w:val="21"/>
          <w:szCs w:val="21"/>
          <w:highlight w:val="none"/>
          <w:u w:val="single"/>
        </w:rPr>
      </w:pPr>
      <w:r>
        <w:rPr>
          <w:rFonts w:hint="eastAsia" w:asciiTheme="minorEastAsia" w:hAnsiTheme="minorEastAsia"/>
          <w:b/>
          <w:color w:val="auto"/>
          <w:sz w:val="21"/>
          <w:szCs w:val="21"/>
          <w:highlight w:val="none"/>
        </w:rPr>
        <w:t>31、本项目对应的中小企业划型标准所属行业：</w:t>
      </w:r>
      <w:r>
        <w:rPr>
          <w:rFonts w:hint="eastAsia" w:asciiTheme="minorEastAsia" w:hAnsiTheme="minorEastAsia"/>
          <w:b/>
          <w:color w:val="auto"/>
          <w:sz w:val="21"/>
          <w:szCs w:val="21"/>
          <w:highlight w:val="none"/>
          <w:u w:val="single"/>
        </w:rPr>
        <w:t>租赁和商务服务业。</w:t>
      </w:r>
    </w:p>
    <w:p w14:paraId="485376C6">
      <w:pPr>
        <w:pStyle w:val="30"/>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32、中小企业，是指在中华人民共和国境内依法设立，依据国务院批准的中小企业划分标准确定的中型企业、小型企业和微型企业，但与大企业的负责人为同一人，或者与大企业存在直接控股、管理关系的除外。</w:t>
      </w:r>
    </w:p>
    <w:p w14:paraId="509D12B5">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符合中小企业划分标准的个体工商户，在政府采购活动中视同中小企业。</w:t>
      </w:r>
    </w:p>
    <w:p w14:paraId="5515C4C1">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国务院批准的中小企业划分标准：具体见工信部联企业[2011]300号。</w:t>
      </w:r>
    </w:p>
    <w:p w14:paraId="43116A2B">
      <w:pPr>
        <w:pStyle w:val="30"/>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33、在政府采购活动中，供应商提供的货物、工程或者服务符合下列情形的，可享受小型、微型企业（以下简称小微企业）的价格扣除：</w:t>
      </w:r>
    </w:p>
    <w:p w14:paraId="28EF0609">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（1）在货物采购项目中，货物由小微企业制造，即货物由小微企业生产且使用该小微企业商号或者注册商标；</w:t>
      </w:r>
    </w:p>
    <w:p w14:paraId="5E93560A">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（2）在工程采购项目中，工程由小微企业承建，即工程施工单位为小微企业；</w:t>
      </w:r>
    </w:p>
    <w:p w14:paraId="4DF62141">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（3）在服务采购项目中，服务由小微企业承接，即提供服务的人员为小微企业依照《中华人民共和国劳动合同法》订立劳动合同的从业人员。</w:t>
      </w:r>
    </w:p>
    <w:p w14:paraId="1F7E0839">
      <w:pPr>
        <w:pStyle w:val="30"/>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34、在货物采购项目中，供应商提供的货物既有中小企业制造货物，也有大型企业制造货物的，不享受的小微企业价格扣除。</w:t>
      </w:r>
    </w:p>
    <w:p w14:paraId="1E2FAD59">
      <w:pPr>
        <w:pStyle w:val="30"/>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35、中小企业应按照采购文件格式要求提供《中小企业声明函》。</w:t>
      </w:r>
    </w:p>
    <w:p w14:paraId="13A70E71">
      <w:pPr>
        <w:pStyle w:val="30"/>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F5CE75B">
      <w:pPr>
        <w:pStyle w:val="30"/>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37、根据《关于促进残疾人就业政府采购政策的通知》（财库[2017]141号）规定，在政府采购活动中，残疾人福利性单位视同小型、微型企业。残疾人福利性单位参加政府采购活动时，提供《残疾人福利性单位声明函》。</w:t>
      </w:r>
    </w:p>
    <w:p w14:paraId="3C08A2B7">
      <w:pPr>
        <w:pStyle w:val="30"/>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38、按规定享受扶持政策获得政府采购合同的，小微企业不得将合同分包给大中型企业，中型企业不得将合同分包给大型企业。</w:t>
      </w:r>
    </w:p>
    <w:p w14:paraId="16919ED9">
      <w:pPr>
        <w:pStyle w:val="30"/>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1"/>
          <w:szCs w:val="21"/>
          <w:highlight w:val="none"/>
        </w:rPr>
        <w:t xml:space="preserve">39、供应商按照《政府采购促进中小企业发展管理办法》（财库﹝2020﹞46号）规定提供声明函内容不实的，属于提供虚假材料谋取中标、成交，依照《中华人民共和国政府采购法》等国家有关规定追究相应责任。 </w:t>
      </w:r>
    </w:p>
    <w:p w14:paraId="70D98424">
      <w:pPr>
        <w:keepNext w:val="0"/>
        <w:keepLines w:val="0"/>
        <w:pageBreakBefore/>
        <w:widowControl w:val="0"/>
        <w:kinsoku/>
        <w:wordWrap/>
        <w:overflowPunct/>
        <w:topLinePunct w:val="0"/>
        <w:autoSpaceDE/>
        <w:autoSpaceDN/>
        <w:bidi w:val="0"/>
        <w:adjustRightInd/>
        <w:snapToGrid/>
        <w:spacing w:after="143" w:afterLines="50" w:line="360" w:lineRule="auto"/>
        <w:jc w:val="center"/>
        <w:textAlignment w:val="auto"/>
        <w:outlineLvl w:val="0"/>
        <w:rPr>
          <w:rFonts w:asciiTheme="minorEastAsia" w:hAnsiTheme="minorEastAsia"/>
          <w:b/>
          <w:color w:val="auto"/>
          <w:sz w:val="36"/>
          <w:szCs w:val="36"/>
          <w:highlight w:val="none"/>
        </w:rPr>
      </w:pPr>
      <w:bookmarkStart w:id="65" w:name="_Toc19405"/>
      <w:bookmarkStart w:id="66" w:name="_Toc4213"/>
      <w:bookmarkStart w:id="67" w:name="_Toc10854"/>
      <w:bookmarkStart w:id="68" w:name="_Toc15940"/>
      <w:bookmarkStart w:id="69" w:name="_Toc9564"/>
      <w:bookmarkStart w:id="70" w:name="_Toc4644"/>
      <w:bookmarkStart w:id="71" w:name="_Toc26138"/>
      <w:bookmarkStart w:id="72" w:name="_Toc29648"/>
      <w:r>
        <w:rPr>
          <w:rFonts w:asciiTheme="minorEastAsia" w:hAnsiTheme="minorEastAsia"/>
          <w:color w:val="auto"/>
          <w:highlight w:val="none"/>
          <w:u w:val="none"/>
        </w:rPr>
        <w:fldChar w:fldCharType="begin"/>
      </w:r>
      <w:r>
        <w:rPr>
          <w:rFonts w:asciiTheme="minorEastAsia" w:hAnsiTheme="minorEastAsia"/>
          <w:color w:val="auto"/>
          <w:highlight w:val="none"/>
          <w:u w:val="none"/>
        </w:rPr>
        <w:instrText xml:space="preserve">HYPERLINK "file:///F:\\微信\\WeChat%20Files\\a29023143\\FileStorage\\File\\2021-11\\台州市公安局特警支队最小作战单元装备建设采购项目10.28.docx" \l "●评分标准"</w:instrText>
      </w:r>
      <w:r>
        <w:rPr>
          <w:rFonts w:asciiTheme="minorEastAsia" w:hAnsiTheme="minorEastAsia"/>
          <w:color w:val="auto"/>
          <w:highlight w:val="none"/>
          <w:u w:val="none"/>
        </w:rPr>
        <w:fldChar w:fldCharType="separate"/>
      </w:r>
      <w:r>
        <w:rPr>
          <w:rStyle w:val="27"/>
          <w:rFonts w:hint="eastAsia" w:asciiTheme="minorEastAsia" w:hAnsiTheme="minorEastAsia"/>
          <w:b/>
          <w:color w:val="auto"/>
          <w:sz w:val="32"/>
          <w:szCs w:val="32"/>
          <w:highlight w:val="none"/>
          <w:u w:val="none"/>
        </w:rPr>
        <w:t>第四部分 评标办法及评分标准</w:t>
      </w:r>
      <w:bookmarkEnd w:id="65"/>
      <w:r>
        <w:rPr>
          <w:rFonts w:asciiTheme="minorEastAsia" w:hAnsiTheme="minorEastAsia"/>
          <w:color w:val="auto"/>
          <w:highlight w:val="none"/>
          <w:u w:val="none"/>
        </w:rPr>
        <w:fldChar w:fldCharType="end"/>
      </w:r>
      <w:bookmarkEnd w:id="66"/>
      <w:bookmarkEnd w:id="67"/>
      <w:bookmarkEnd w:id="68"/>
      <w:bookmarkEnd w:id="69"/>
      <w:bookmarkEnd w:id="70"/>
      <w:bookmarkEnd w:id="71"/>
      <w:bookmarkEnd w:id="72"/>
    </w:p>
    <w:p w14:paraId="799C6010">
      <w:pPr>
        <w:pStyle w:val="30"/>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一、</w:t>
      </w:r>
      <w:r>
        <w:rPr>
          <w:rFonts w:asciiTheme="minorEastAsia" w:hAnsiTheme="minorEastAsia"/>
          <w:color w:val="auto"/>
          <w:sz w:val="21"/>
          <w:szCs w:val="21"/>
          <w:highlight w:val="none"/>
        </w:rPr>
        <w:t>本评标标准是对</w:t>
      </w:r>
      <w:r>
        <w:rPr>
          <w:rFonts w:hint="eastAsia" w:asciiTheme="minorEastAsia" w:hAnsiTheme="minorEastAsia"/>
          <w:color w:val="auto"/>
          <w:sz w:val="21"/>
          <w:szCs w:val="21"/>
          <w:highlight w:val="none"/>
        </w:rPr>
        <w:t>《投标人须知》中</w:t>
      </w:r>
      <w:r>
        <w:rPr>
          <w:rFonts w:asciiTheme="minorEastAsia" w:hAnsiTheme="minorEastAsia"/>
          <w:color w:val="auto"/>
          <w:sz w:val="21"/>
          <w:szCs w:val="21"/>
          <w:highlight w:val="none"/>
        </w:rPr>
        <w:t>的</w:t>
      </w:r>
      <w:r>
        <w:rPr>
          <w:rFonts w:hint="eastAsia" w:asciiTheme="minorEastAsia" w:hAnsiTheme="minorEastAsia"/>
          <w:color w:val="auto"/>
          <w:sz w:val="21"/>
          <w:szCs w:val="21"/>
          <w:highlight w:val="none"/>
        </w:rPr>
        <w:t>“六、</w:t>
      </w:r>
      <w:r>
        <w:rPr>
          <w:rFonts w:asciiTheme="minorEastAsia" w:hAnsiTheme="minorEastAsia"/>
          <w:color w:val="auto"/>
          <w:sz w:val="21"/>
          <w:szCs w:val="21"/>
          <w:highlight w:val="none"/>
        </w:rPr>
        <w:t>评标和定标</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的具体补充，如有不一致，以本办法为准。</w:t>
      </w:r>
    </w:p>
    <w:p w14:paraId="12A65942">
      <w:pPr>
        <w:pStyle w:val="30"/>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二、</w:t>
      </w:r>
      <w:r>
        <w:rPr>
          <w:rFonts w:asciiTheme="minorEastAsia" w:hAnsiTheme="minorEastAsia"/>
          <w:color w:val="auto"/>
          <w:sz w:val="21"/>
          <w:szCs w:val="21"/>
          <w:highlight w:val="none"/>
        </w:rPr>
        <w:t>评标委员会按照</w:t>
      </w:r>
      <w:r>
        <w:rPr>
          <w:rFonts w:hint="eastAsia" w:asciiTheme="minorEastAsia" w:hAnsiTheme="minorEastAsia"/>
          <w:color w:val="auto"/>
          <w:sz w:val="21"/>
          <w:szCs w:val="21"/>
          <w:highlight w:val="none"/>
        </w:rPr>
        <w:t>“投标文件须知</w:t>
      </w:r>
      <w:r>
        <w:rPr>
          <w:rFonts w:asciiTheme="minorEastAsia" w:hAnsiTheme="minorEastAsia"/>
          <w:color w:val="auto"/>
          <w:sz w:val="21"/>
          <w:szCs w:val="21"/>
          <w:highlight w:val="none"/>
        </w:rPr>
        <w:t>”中关于评标委员会、评标办法、评标程序和原则、推荐中标人、定标等规定和本标准开展评标工作。</w:t>
      </w:r>
    </w:p>
    <w:p w14:paraId="6B6F6563">
      <w:pPr>
        <w:pStyle w:val="30"/>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▲评标委员会认为供应商的报价明显低于其他通过符合性审查供应商的报价，有可能影响产品质量或者不能诚信履约的，应当要求其在评标现场</w:t>
      </w:r>
      <w:r>
        <w:rPr>
          <w:rFonts w:hint="eastAsia" w:asciiTheme="minorEastAsia" w:hAnsiTheme="minorEastAsia"/>
          <w:color w:val="auto"/>
          <w:sz w:val="21"/>
          <w:szCs w:val="21"/>
          <w:highlight w:val="none"/>
          <w:lang w:val="en-US" w:eastAsia="zh-CN"/>
        </w:rPr>
        <w:t>30分钟</w:t>
      </w:r>
      <w:r>
        <w:rPr>
          <w:rFonts w:hint="eastAsia" w:asciiTheme="minorEastAsia" w:hAnsiTheme="minorEastAsia"/>
          <w:color w:val="auto"/>
          <w:sz w:val="21"/>
          <w:szCs w:val="21"/>
          <w:highlight w:val="none"/>
        </w:rPr>
        <w:t>内提供书面说明必要时提交相关证明材料；供应商不能证明其报价合理性的，评标委员会应当将其作为无效投标处理。</w:t>
      </w:r>
    </w:p>
    <w:p w14:paraId="13C53AAE">
      <w:pPr>
        <w:pStyle w:val="30"/>
        <w:ind w:left="0" w:leftChars="0" w:firstLine="0" w:firstLineChars="0"/>
        <w:rPr>
          <w:rFonts w:asciiTheme="minorEastAsia" w:hAnsiTheme="minorEastAsia"/>
          <w:color w:val="auto"/>
          <w:sz w:val="21"/>
          <w:szCs w:val="21"/>
          <w:highlight w:val="none"/>
        </w:rPr>
      </w:pPr>
      <w:bookmarkStart w:id="73" w:name="_Toc263083252"/>
      <w:bookmarkStart w:id="74" w:name="_Toc30471"/>
      <w:bookmarkStart w:id="75" w:name="_Toc250837975"/>
      <w:r>
        <w:rPr>
          <w:rFonts w:hint="eastAsia" w:asciiTheme="minorEastAsia" w:hAnsiTheme="minorEastAsia"/>
          <w:color w:val="auto"/>
          <w:sz w:val="21"/>
          <w:szCs w:val="21"/>
          <w:highlight w:val="none"/>
        </w:rPr>
        <w:t>三、</w:t>
      </w:r>
      <w:r>
        <w:rPr>
          <w:rFonts w:asciiTheme="minorEastAsia" w:hAnsiTheme="minorEastAsia"/>
          <w:color w:val="auto"/>
          <w:sz w:val="21"/>
          <w:szCs w:val="21"/>
          <w:highlight w:val="none"/>
        </w:rPr>
        <w:t>评标办法</w:t>
      </w:r>
      <w:bookmarkEnd w:id="73"/>
      <w:bookmarkEnd w:id="74"/>
    </w:p>
    <w:p w14:paraId="4E969491">
      <w:pPr>
        <w:pStyle w:val="30"/>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本次采购招标项目选用：综合评分法</w:t>
      </w:r>
      <w:bookmarkEnd w:id="75"/>
      <w:bookmarkStart w:id="76" w:name="_Toc263083253"/>
      <w:bookmarkStart w:id="77" w:name="_Toc5897"/>
      <w:bookmarkStart w:id="78" w:name="_Toc250837976"/>
      <w:r>
        <w:rPr>
          <w:rFonts w:hint="eastAsia" w:asciiTheme="minorEastAsia" w:hAnsiTheme="minorEastAsia"/>
          <w:color w:val="auto"/>
          <w:sz w:val="21"/>
          <w:szCs w:val="21"/>
          <w:highlight w:val="none"/>
        </w:rPr>
        <w:t>。</w:t>
      </w:r>
    </w:p>
    <w:p w14:paraId="5E326A90">
      <w:pPr>
        <w:pStyle w:val="30"/>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四、</w:t>
      </w:r>
      <w:r>
        <w:rPr>
          <w:rFonts w:asciiTheme="minorEastAsia" w:hAnsiTheme="minorEastAsia"/>
          <w:color w:val="auto"/>
          <w:sz w:val="21"/>
          <w:szCs w:val="21"/>
          <w:highlight w:val="none"/>
        </w:rPr>
        <w:t>评标细则</w:t>
      </w:r>
      <w:bookmarkEnd w:id="76"/>
      <w:bookmarkEnd w:id="77"/>
      <w:bookmarkEnd w:id="78"/>
    </w:p>
    <w:p w14:paraId="768D51CC">
      <w:pPr>
        <w:pStyle w:val="30"/>
        <w:ind w:left="0" w:leftChars="0" w:firstLine="420"/>
        <w:rPr>
          <w:rFonts w:asciiTheme="minorEastAsia" w:hAnsiTheme="minorEastAsia"/>
          <w:color w:val="auto"/>
          <w:sz w:val="21"/>
          <w:szCs w:val="21"/>
          <w:highlight w:val="none"/>
        </w:rPr>
      </w:pPr>
      <w:bookmarkStart w:id="79" w:name="_Toc203406683"/>
      <w:bookmarkStart w:id="80" w:name="_Toc208222299"/>
      <w:bookmarkStart w:id="81" w:name="_Toc15854"/>
      <w:bookmarkStart w:id="82" w:name="_Toc263083254"/>
      <w:bookmarkStart w:id="83" w:name="_Toc243312838"/>
      <w:bookmarkStart w:id="84" w:name="_Toc250837977"/>
      <w:bookmarkStart w:id="85" w:name="_Toc246663002"/>
      <w:bookmarkStart w:id="86" w:name="_Toc202897570"/>
      <w:bookmarkStart w:id="87" w:name="_Toc471938831"/>
      <w:r>
        <w:rPr>
          <w:rFonts w:asciiTheme="minorEastAsia" w:hAnsiTheme="minorEastAsia"/>
          <w:color w:val="auto"/>
          <w:sz w:val="21"/>
          <w:szCs w:val="21"/>
          <w:highlight w:val="none"/>
        </w:rPr>
        <w:t>1、对初步审查（含资格审查、符合性审查）合格者进行评分。</w:t>
      </w:r>
    </w:p>
    <w:p w14:paraId="0465BFF5">
      <w:pPr>
        <w:pStyle w:val="30"/>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2、每位评委根据《评分标准》独立逐栏打分，每栏分值不得超出规定的分值范围；各评分因素分值保留小数点后</w:t>
      </w:r>
      <w:r>
        <w:rPr>
          <w:rFonts w:hint="eastAsia" w:asciiTheme="minorEastAsia" w:hAnsiTheme="minorEastAsia"/>
          <w:color w:val="auto"/>
          <w:sz w:val="21"/>
          <w:szCs w:val="21"/>
          <w:highlight w:val="none"/>
          <w:lang w:eastAsia="zh-CN"/>
        </w:rPr>
        <w:t>一</w:t>
      </w:r>
      <w:r>
        <w:rPr>
          <w:rFonts w:asciiTheme="minorEastAsia" w:hAnsiTheme="minorEastAsia"/>
          <w:color w:val="auto"/>
          <w:sz w:val="21"/>
          <w:szCs w:val="21"/>
          <w:highlight w:val="none"/>
        </w:rPr>
        <w:t>位。</w:t>
      </w:r>
    </w:p>
    <w:p w14:paraId="6B43C1BF">
      <w:pPr>
        <w:pStyle w:val="30"/>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3、价格评审基准价格与价格评审：按照“评分标准”中评审得分公式计算，以四舍五入方法整合到小数点后二位。</w:t>
      </w:r>
    </w:p>
    <w:p w14:paraId="5912D2AA">
      <w:pPr>
        <w:pStyle w:val="30"/>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4、最终得分：各评委技术商务分的算术平均值+投标价格分=最终得分，以四舍五入法整合到小数点后二位。</w:t>
      </w:r>
    </w:p>
    <w:p w14:paraId="404C8D04">
      <w:pPr>
        <w:pStyle w:val="30"/>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5、评价排序：按评审后得分由高到低顺序排列。得分相同的，按投标报价由低到高顺序排列。得分且投标报价相同的并列，投标文件满足全部实质性要求，且按照评审因素的量化指标评审得分最高的供应商为排名第一的中标候选人。</w:t>
      </w:r>
    </w:p>
    <w:bookmarkEnd w:id="79"/>
    <w:bookmarkEnd w:id="80"/>
    <w:bookmarkEnd w:id="81"/>
    <w:bookmarkEnd w:id="82"/>
    <w:bookmarkEnd w:id="83"/>
    <w:bookmarkEnd w:id="84"/>
    <w:bookmarkEnd w:id="85"/>
    <w:bookmarkEnd w:id="86"/>
    <w:bookmarkEnd w:id="87"/>
    <w:p w14:paraId="607CF241">
      <w:pPr>
        <w:pStyle w:val="30"/>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6、其他说明</w:t>
      </w:r>
    </w:p>
    <w:p w14:paraId="6EE676B4">
      <w:pPr>
        <w:pStyle w:val="30"/>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w:t>
      </w:r>
      <w:r>
        <w:rPr>
          <w:rFonts w:asciiTheme="minorEastAsia" w:hAnsiTheme="minorEastAsia"/>
          <w:color w:val="auto"/>
          <w:sz w:val="21"/>
          <w:szCs w:val="21"/>
          <w:highlight w:val="none"/>
        </w:rPr>
        <w:t>有效投标：通过初步审查且投标报价符合评审范围。</w:t>
      </w:r>
    </w:p>
    <w:p w14:paraId="04D14B63">
      <w:pPr>
        <w:widowControl/>
        <w:spacing w:line="380" w:lineRule="exact"/>
        <w:ind w:firstLine="422" w:firstLineChars="200"/>
        <w:contextualSpacing/>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（2）本项目专门面向中小企业/小微企业采购，专门面向中小企业/小微企业采购的项目不再执行价格优惠措施。</w:t>
      </w:r>
    </w:p>
    <w:p w14:paraId="1E8FE21E">
      <w:pPr>
        <w:pStyle w:val="30"/>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w:t>
      </w:r>
      <w:r>
        <w:rPr>
          <w:rFonts w:asciiTheme="minorEastAsia" w:hAnsiTheme="minorEastAsia"/>
          <w:color w:val="auto"/>
          <w:sz w:val="21"/>
          <w:szCs w:val="21"/>
          <w:highlight w:val="none"/>
        </w:rPr>
        <w:t>如果中标人自动放弃中标资格或因质疑或是投诉被取消中标资格的，可视情况报经财政部门同意后根据评审结果按顺序由排在后面的候选供应商递补，以此类推。</w:t>
      </w:r>
    </w:p>
    <w:p w14:paraId="2DCCC377">
      <w:pPr>
        <w:pStyle w:val="30"/>
        <w:ind w:left="0" w:leftChars="0" w:firstLine="0" w:firstLineChars="0"/>
        <w:rPr>
          <w:rFonts w:asciiTheme="minorEastAsia" w:hAnsiTheme="minorEastAsia"/>
          <w:b/>
          <w:color w:val="auto"/>
          <w:sz w:val="21"/>
          <w:szCs w:val="21"/>
          <w:highlight w:val="none"/>
        </w:rPr>
      </w:pPr>
    </w:p>
    <w:p w14:paraId="43BF21E8">
      <w:pPr>
        <w:snapToGrid w:val="0"/>
        <w:spacing w:afterLines="50"/>
        <w:ind w:firstLine="562"/>
        <w:jc w:val="center"/>
        <w:rPr>
          <w:b/>
          <w:color w:val="auto"/>
          <w:sz w:val="28"/>
          <w:szCs w:val="28"/>
          <w:highlight w:val="none"/>
        </w:rPr>
      </w:pPr>
    </w:p>
    <w:p w14:paraId="1E8AA891">
      <w:pPr>
        <w:snapToGrid w:val="0"/>
        <w:spacing w:afterLines="50"/>
        <w:ind w:firstLine="562"/>
        <w:jc w:val="center"/>
        <w:rPr>
          <w:b/>
          <w:color w:val="auto"/>
          <w:sz w:val="28"/>
          <w:szCs w:val="28"/>
          <w:highlight w:val="none"/>
        </w:rPr>
      </w:pPr>
    </w:p>
    <w:p w14:paraId="5BB2611A">
      <w:pPr>
        <w:snapToGrid w:val="0"/>
        <w:spacing w:afterLines="50" w:line="360" w:lineRule="auto"/>
        <w:ind w:firstLine="562" w:firstLineChars="200"/>
        <w:jc w:val="center"/>
        <w:rPr>
          <w:b/>
          <w:color w:val="auto"/>
          <w:sz w:val="28"/>
          <w:szCs w:val="28"/>
          <w:highlight w:val="none"/>
        </w:rPr>
      </w:pPr>
      <w:bookmarkStart w:id="88" w:name="_Toc10462"/>
      <w:bookmarkStart w:id="89" w:name="_Toc16946"/>
      <w:bookmarkStart w:id="90" w:name="_Toc13083"/>
      <w:bookmarkStart w:id="91" w:name="_Toc6241"/>
      <w:bookmarkStart w:id="92" w:name="_Toc15735"/>
      <w:bookmarkStart w:id="93" w:name="_Toc15145"/>
      <w:r>
        <w:rPr>
          <w:b/>
          <w:color w:val="auto"/>
          <w:sz w:val="28"/>
          <w:szCs w:val="28"/>
          <w:highlight w:val="none"/>
        </w:rPr>
        <w:t>评分标准</w:t>
      </w:r>
    </w:p>
    <w:tbl>
      <w:tblPr>
        <w:tblStyle w:val="22"/>
        <w:tblW w:w="10443"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17"/>
        <w:gridCol w:w="5954"/>
        <w:gridCol w:w="1620"/>
        <w:gridCol w:w="648"/>
      </w:tblGrid>
      <w:tr w14:paraId="13E6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04" w:type="dxa"/>
            <w:vAlign w:val="center"/>
          </w:tcPr>
          <w:p w14:paraId="18701717">
            <w:pPr>
              <w:autoSpaceDE w:val="0"/>
              <w:autoSpaceDN w:val="0"/>
              <w:adjustRightInd w:val="0"/>
              <w:spacing w:line="240" w:lineRule="exact"/>
              <w:ind w:right="124"/>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417" w:type="dxa"/>
            <w:vAlign w:val="center"/>
          </w:tcPr>
          <w:p w14:paraId="66080B0A">
            <w:pPr>
              <w:autoSpaceDE w:val="0"/>
              <w:autoSpaceDN w:val="0"/>
              <w:adjustRightInd w:val="0"/>
              <w:spacing w:line="240" w:lineRule="exact"/>
              <w:ind w:right="124"/>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评分内容</w:t>
            </w:r>
          </w:p>
        </w:tc>
        <w:tc>
          <w:tcPr>
            <w:tcW w:w="7574" w:type="dxa"/>
            <w:gridSpan w:val="2"/>
            <w:vAlign w:val="center"/>
          </w:tcPr>
          <w:p w14:paraId="1CF63A4A">
            <w:pPr>
              <w:keepLines/>
              <w:autoSpaceDE w:val="0"/>
              <w:autoSpaceDN w:val="0"/>
              <w:adjustRightInd w:val="0"/>
              <w:snapToGrid w:val="0"/>
              <w:spacing w:line="2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具体评分标准</w:t>
            </w:r>
          </w:p>
        </w:tc>
        <w:tc>
          <w:tcPr>
            <w:tcW w:w="648" w:type="dxa"/>
            <w:vAlign w:val="center"/>
          </w:tcPr>
          <w:p w14:paraId="37A02953">
            <w:pPr>
              <w:autoSpaceDE w:val="0"/>
              <w:autoSpaceDN w:val="0"/>
              <w:adjustRightInd w:val="0"/>
              <w:spacing w:line="240" w:lineRule="exact"/>
              <w:ind w:right="-3"/>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分值</w:t>
            </w:r>
          </w:p>
        </w:tc>
      </w:tr>
      <w:tr w14:paraId="35EE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dxa"/>
            <w:vAlign w:val="center"/>
          </w:tcPr>
          <w:p w14:paraId="3C13BD1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17" w:type="dxa"/>
            <w:vAlign w:val="center"/>
          </w:tcPr>
          <w:p w14:paraId="572D5F6E">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类似业绩  （</w:t>
            </w:r>
            <w:r>
              <w:rPr>
                <w:rFonts w:hint="eastAsia" w:ascii="宋体" w:hAnsi="宋体" w:eastAsia="宋体" w:cs="宋体"/>
                <w:b/>
                <w:snapToGrid w:val="0"/>
                <w:color w:val="auto"/>
                <w:szCs w:val="21"/>
                <w:highlight w:val="none"/>
                <w:lang w:val="en-US" w:eastAsia="zh-CN"/>
              </w:rPr>
              <w:t>2</w:t>
            </w:r>
            <w:r>
              <w:rPr>
                <w:rFonts w:hint="eastAsia" w:ascii="宋体" w:hAnsi="宋体" w:eastAsia="宋体" w:cs="宋体"/>
                <w:b/>
                <w:snapToGrid w:val="0"/>
                <w:color w:val="auto"/>
                <w:szCs w:val="21"/>
                <w:highlight w:val="none"/>
              </w:rPr>
              <w:t>分）</w:t>
            </w:r>
          </w:p>
        </w:tc>
        <w:tc>
          <w:tcPr>
            <w:tcW w:w="7574" w:type="dxa"/>
            <w:gridSpan w:val="2"/>
            <w:vAlign w:val="center"/>
          </w:tcPr>
          <w:p w14:paraId="412CA8F3">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投标供应商自20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年7月1日(含)以来（以合同签订日期为准），承担过类似</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项目的，每提供一个有效合同业绩得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21CCF9EC">
            <w:pPr>
              <w:spacing w:line="320" w:lineRule="exact"/>
              <w:jc w:val="left"/>
              <w:rPr>
                <w:rFonts w:hint="eastAsia" w:ascii="宋体" w:hAnsi="宋体" w:eastAsia="宋体" w:cs="宋体"/>
                <w:b/>
                <w:snapToGrid w:val="0"/>
                <w:color w:val="auto"/>
                <w:szCs w:val="21"/>
                <w:highlight w:val="none"/>
              </w:rPr>
            </w:pPr>
            <w:r>
              <w:rPr>
                <w:rFonts w:hint="eastAsia" w:ascii="宋体" w:hAnsi="宋体" w:eastAsia="宋体" w:cs="宋体"/>
                <w:b/>
                <w:color w:val="auto"/>
                <w:szCs w:val="21"/>
                <w:highlight w:val="none"/>
              </w:rPr>
              <w:t>（注：须提供合同扫描件，未提供或缺项不予得分。）</w:t>
            </w:r>
          </w:p>
        </w:tc>
        <w:tc>
          <w:tcPr>
            <w:tcW w:w="648" w:type="dxa"/>
            <w:vAlign w:val="center"/>
          </w:tcPr>
          <w:p w14:paraId="60010213">
            <w:pPr>
              <w:autoSpaceDE w:val="0"/>
              <w:autoSpaceDN w:val="0"/>
              <w:adjustRightInd w:val="0"/>
              <w:spacing w:line="360" w:lineRule="exact"/>
              <w:jc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val="en-US" w:eastAsia="zh-CN"/>
              </w:rPr>
              <w:t>2</w:t>
            </w:r>
          </w:p>
        </w:tc>
      </w:tr>
      <w:tr w14:paraId="56FF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dxa"/>
            <w:vAlign w:val="center"/>
          </w:tcPr>
          <w:p w14:paraId="15F36EB9">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17" w:type="dxa"/>
            <w:vAlign w:val="center"/>
          </w:tcPr>
          <w:p w14:paraId="0544D7D2">
            <w:pPr>
              <w:spacing w:line="40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 xml:space="preserve">自有车辆 </w:t>
            </w:r>
          </w:p>
          <w:p w14:paraId="520EC1D4">
            <w:pPr>
              <w:spacing w:line="40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w:t>
            </w:r>
            <w:r>
              <w:rPr>
                <w:rFonts w:hint="eastAsia" w:ascii="宋体" w:hAnsi="宋体" w:eastAsia="宋体" w:cs="宋体"/>
                <w:b/>
                <w:snapToGrid w:val="0"/>
                <w:color w:val="auto"/>
                <w:szCs w:val="21"/>
                <w:highlight w:val="none"/>
                <w:lang w:val="en-US" w:eastAsia="zh-CN"/>
              </w:rPr>
              <w:t>9</w:t>
            </w:r>
            <w:r>
              <w:rPr>
                <w:rFonts w:hint="eastAsia" w:ascii="宋体" w:hAnsi="宋体" w:eastAsia="宋体" w:cs="宋体"/>
                <w:b/>
                <w:snapToGrid w:val="0"/>
                <w:color w:val="auto"/>
                <w:szCs w:val="21"/>
                <w:highlight w:val="none"/>
              </w:rPr>
              <w:t>分）</w:t>
            </w:r>
          </w:p>
        </w:tc>
        <w:tc>
          <w:tcPr>
            <w:tcW w:w="7574" w:type="dxa"/>
            <w:gridSpan w:val="2"/>
            <w:vAlign w:val="center"/>
          </w:tcPr>
          <w:p w14:paraId="36A93D74">
            <w:pPr>
              <w:spacing w:line="32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投标供应商自有车辆在规定要求的基础之上（规定自有车辆≥</w:t>
            </w:r>
            <w:r>
              <w:rPr>
                <w:rFonts w:hint="eastAsia" w:ascii="宋体" w:hAnsi="宋体" w:eastAsia="宋体" w:cs="宋体"/>
                <w:snapToGrid w:val="0"/>
                <w:color w:val="auto"/>
                <w:szCs w:val="21"/>
                <w:highlight w:val="none"/>
                <w:lang w:val="en-US" w:eastAsia="zh-CN"/>
              </w:rPr>
              <w:t>6</w:t>
            </w:r>
            <w:r>
              <w:rPr>
                <w:rFonts w:hint="eastAsia" w:ascii="宋体" w:hAnsi="宋体" w:eastAsia="宋体" w:cs="宋体"/>
                <w:snapToGrid w:val="0"/>
                <w:color w:val="auto"/>
                <w:szCs w:val="21"/>
                <w:highlight w:val="none"/>
              </w:rPr>
              <w:t>辆），每多增加一辆加1.5分，最高加</w:t>
            </w:r>
            <w:r>
              <w:rPr>
                <w:rFonts w:hint="eastAsia" w:ascii="宋体" w:hAnsi="宋体" w:eastAsia="宋体" w:cs="宋体"/>
                <w:snapToGrid w:val="0"/>
                <w:color w:val="auto"/>
                <w:szCs w:val="21"/>
                <w:highlight w:val="none"/>
                <w:lang w:val="en-US" w:eastAsia="zh-CN"/>
              </w:rPr>
              <w:t>9</w:t>
            </w:r>
            <w:r>
              <w:rPr>
                <w:rFonts w:hint="eastAsia" w:ascii="宋体" w:hAnsi="宋体" w:eastAsia="宋体" w:cs="宋体"/>
                <w:snapToGrid w:val="0"/>
                <w:color w:val="auto"/>
                <w:szCs w:val="21"/>
                <w:highlight w:val="none"/>
              </w:rPr>
              <w:t>分。</w:t>
            </w:r>
          </w:p>
          <w:p w14:paraId="3C8AEF52">
            <w:pPr>
              <w:spacing w:line="320" w:lineRule="exact"/>
              <w:jc w:val="left"/>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w:t>
            </w:r>
            <w:r>
              <w:rPr>
                <w:rFonts w:hint="eastAsia" w:ascii="宋体" w:hAnsi="宋体" w:eastAsia="宋体" w:cs="宋体"/>
                <w:b/>
                <w:bCs/>
                <w:color w:val="auto"/>
                <w:szCs w:val="21"/>
                <w:highlight w:val="none"/>
                <w:lang w:eastAsia="zh-CN"/>
              </w:rPr>
              <w:t>注：须提供上述车辆照片及有效期内行驶证原件扫描件，机动车行驶证中所有人必须为投标人单位名称或法定代表人姓名（须与投标人营业执照中法定代表人姓名一致），未提供或缺项不得分。）</w:t>
            </w:r>
          </w:p>
        </w:tc>
        <w:tc>
          <w:tcPr>
            <w:tcW w:w="648" w:type="dxa"/>
            <w:vAlign w:val="center"/>
          </w:tcPr>
          <w:p w14:paraId="60A58780">
            <w:pPr>
              <w:autoSpaceDE w:val="0"/>
              <w:autoSpaceDN w:val="0"/>
              <w:adjustRightInd w:val="0"/>
              <w:spacing w:line="360" w:lineRule="exact"/>
              <w:jc w:val="center"/>
              <w:rPr>
                <w:rFonts w:hint="eastAsia" w:ascii="宋体" w:hAnsi="宋体" w:eastAsia="宋体" w:cs="宋体"/>
                <w:b/>
                <w:color w:val="auto"/>
                <w:sz w:val="24"/>
                <w:highlight w:val="none"/>
                <w:lang w:eastAsia="zh-CN"/>
              </w:rPr>
            </w:pPr>
            <w:r>
              <w:rPr>
                <w:rFonts w:hint="eastAsia" w:ascii="宋体" w:hAnsi="宋体" w:eastAsia="宋体" w:cs="宋体"/>
                <w:b/>
                <w:color w:val="auto"/>
                <w:kern w:val="0"/>
                <w:szCs w:val="21"/>
                <w:highlight w:val="none"/>
                <w:lang w:val="en-US" w:eastAsia="zh-CN"/>
              </w:rPr>
              <w:t>9</w:t>
            </w:r>
          </w:p>
        </w:tc>
      </w:tr>
      <w:tr w14:paraId="13E3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04" w:type="dxa"/>
            <w:vAlign w:val="center"/>
          </w:tcPr>
          <w:p w14:paraId="538A6E05">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17" w:type="dxa"/>
            <w:vAlign w:val="center"/>
          </w:tcPr>
          <w:p w14:paraId="07F6B895">
            <w:pPr>
              <w:spacing w:line="240" w:lineRule="atLeast"/>
              <w:jc w:val="center"/>
              <w:textAlignment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项目整体实施方案</w:t>
            </w:r>
          </w:p>
          <w:p w14:paraId="0FEB9F89">
            <w:pPr>
              <w:spacing w:line="240" w:lineRule="atLeast"/>
              <w:jc w:val="center"/>
              <w:textAlignment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（10分）</w:t>
            </w:r>
          </w:p>
        </w:tc>
        <w:tc>
          <w:tcPr>
            <w:tcW w:w="7574" w:type="dxa"/>
            <w:gridSpan w:val="2"/>
            <w:vAlign w:val="center"/>
          </w:tcPr>
          <w:p w14:paraId="225F7425">
            <w:pPr>
              <w:pStyle w:val="13"/>
              <w:spacing w:line="32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根据投标人提供的针对项目的具体实施方案进行综合比较评分：</w:t>
            </w:r>
          </w:p>
          <w:p w14:paraId="25D8B11F">
            <w:pPr>
              <w:spacing w:line="320" w:lineRule="exact"/>
              <w:textAlignment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1、针对本项目的背景和现状、相关标准及规范、需求等等分析非常深入、全面、准确，分析非常到位的得6.8-10分；</w:t>
            </w:r>
          </w:p>
          <w:p w14:paraId="00A7AD9D">
            <w:pPr>
              <w:spacing w:line="320" w:lineRule="exact"/>
              <w:textAlignment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2、针对本项目的背景和现状、相关标准及规范、需求等等分析比较深入、全面、准确，分析比较到位的得3.4-6.7分；</w:t>
            </w:r>
          </w:p>
          <w:p w14:paraId="6DEDCE9D">
            <w:pPr>
              <w:spacing w:line="320" w:lineRule="exact"/>
              <w:textAlignment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3、针对本项目的背景和现状、相关标准及规范、需求等等分析不够深入、全面、准确，分析不够到位的得0.1-3.3分；</w:t>
            </w:r>
          </w:p>
          <w:p w14:paraId="1E88F26B">
            <w:pPr>
              <w:spacing w:line="320" w:lineRule="exact"/>
              <w:textAlignment w:val="center"/>
              <w:rPr>
                <w:rFonts w:hint="eastAsia" w:ascii="宋体" w:hAnsi="宋体" w:eastAsia="宋体" w:cs="宋体"/>
                <w:bCs/>
                <w:color w:val="auto"/>
                <w:szCs w:val="21"/>
                <w:highlight w:val="none"/>
              </w:rPr>
            </w:pPr>
            <w:r>
              <w:rPr>
                <w:rFonts w:hint="eastAsia" w:ascii="宋体" w:hAnsi="宋体" w:eastAsia="宋体" w:cs="宋体"/>
                <w:snapToGrid w:val="0"/>
                <w:color w:val="auto"/>
                <w:szCs w:val="21"/>
                <w:highlight w:val="none"/>
              </w:rPr>
              <w:t>4、缺项不得分。</w:t>
            </w:r>
          </w:p>
        </w:tc>
        <w:tc>
          <w:tcPr>
            <w:tcW w:w="648" w:type="dxa"/>
            <w:vAlign w:val="center"/>
          </w:tcPr>
          <w:p w14:paraId="38134172">
            <w:pPr>
              <w:autoSpaceDE w:val="0"/>
              <w:autoSpaceDN w:val="0"/>
              <w:adjustRightInd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10</w:t>
            </w:r>
          </w:p>
        </w:tc>
      </w:tr>
      <w:tr w14:paraId="54A6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04" w:type="dxa"/>
            <w:vMerge w:val="restart"/>
            <w:vAlign w:val="center"/>
          </w:tcPr>
          <w:p w14:paraId="6B28739F">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17" w:type="dxa"/>
            <w:vMerge w:val="restart"/>
            <w:vAlign w:val="center"/>
          </w:tcPr>
          <w:p w14:paraId="35BCDB30">
            <w:pPr>
              <w:spacing w:line="240" w:lineRule="atLeast"/>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应急响    应方案</w:t>
            </w:r>
          </w:p>
          <w:p w14:paraId="4E92B081">
            <w:pPr>
              <w:spacing w:line="240" w:lineRule="atLeast"/>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（10分）</w:t>
            </w:r>
          </w:p>
        </w:tc>
        <w:tc>
          <w:tcPr>
            <w:tcW w:w="7574" w:type="dxa"/>
            <w:gridSpan w:val="2"/>
            <w:vAlign w:val="center"/>
          </w:tcPr>
          <w:p w14:paraId="0D280F83">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应急响应时间：</w:t>
            </w:r>
          </w:p>
          <w:p w14:paraId="2415C863">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承诺接到采购人电话通知后,30分钟之内做出响应的得1.5分,每减少5分钟加0.5分,最高</w:t>
            </w:r>
            <w:r>
              <w:rPr>
                <w:rFonts w:hint="eastAsia" w:hAnsi="宋体" w:eastAsia="宋体" w:cs="宋体"/>
                <w:color w:val="auto"/>
                <w:sz w:val="21"/>
                <w:szCs w:val="21"/>
                <w:highlight w:val="none"/>
                <w:lang w:eastAsia="zh-CN"/>
              </w:rPr>
              <w:t>加</w:t>
            </w:r>
            <w:bookmarkStart w:id="228" w:name="_GoBack"/>
            <w:bookmarkEnd w:id="228"/>
            <w:r>
              <w:rPr>
                <w:rFonts w:hint="eastAsia" w:ascii="宋体" w:hAnsi="宋体" w:eastAsia="宋体" w:cs="宋体"/>
                <w:color w:val="auto"/>
                <w:sz w:val="21"/>
                <w:szCs w:val="21"/>
                <w:highlight w:val="none"/>
              </w:rPr>
              <w:t>1分；每增加5分钟扣0.5分,扣完为止。</w:t>
            </w:r>
          </w:p>
          <w:p w14:paraId="25129781">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b/>
                <w:snapToGrid w:val="0"/>
                <w:color w:val="auto"/>
                <w:kern w:val="2"/>
                <w:sz w:val="21"/>
                <w:szCs w:val="21"/>
                <w:highlight w:val="none"/>
                <w:lang w:val="en-US" w:eastAsia="zh-CN" w:bidi="ar-SA"/>
              </w:rPr>
              <w:t>（投标文件中提供承诺函并加盖公章，未提供不得分）</w:t>
            </w:r>
          </w:p>
        </w:tc>
        <w:tc>
          <w:tcPr>
            <w:tcW w:w="648" w:type="dxa"/>
            <w:vAlign w:val="center"/>
          </w:tcPr>
          <w:p w14:paraId="65048809">
            <w:pPr>
              <w:spacing w:line="240" w:lineRule="atLeast"/>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w:t>
            </w:r>
          </w:p>
        </w:tc>
      </w:tr>
      <w:tr w14:paraId="0169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04" w:type="dxa"/>
            <w:vMerge w:val="continue"/>
            <w:vAlign w:val="center"/>
          </w:tcPr>
          <w:p w14:paraId="225D3AAB">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1417" w:type="dxa"/>
            <w:vMerge w:val="continue"/>
            <w:vAlign w:val="center"/>
          </w:tcPr>
          <w:p w14:paraId="39202A5A">
            <w:pPr>
              <w:spacing w:line="240" w:lineRule="atLeast"/>
              <w:jc w:val="center"/>
              <w:textAlignment w:val="center"/>
              <w:rPr>
                <w:rFonts w:hint="eastAsia" w:ascii="宋体" w:hAnsi="宋体" w:eastAsia="宋体" w:cs="宋体"/>
                <w:b/>
                <w:color w:val="auto"/>
                <w:szCs w:val="21"/>
                <w:highlight w:val="none"/>
              </w:rPr>
            </w:pPr>
          </w:p>
        </w:tc>
        <w:tc>
          <w:tcPr>
            <w:tcW w:w="7574" w:type="dxa"/>
            <w:gridSpan w:val="2"/>
            <w:vAlign w:val="center"/>
          </w:tcPr>
          <w:p w14:paraId="1FA1E1F1">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根据供应商提供的应急响应方案、措施进行综合评审：</w:t>
            </w:r>
          </w:p>
          <w:p w14:paraId="260B13A9">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1、应急响应方案各项措施描述非常详细到位的得3.5-5分；</w:t>
            </w:r>
          </w:p>
          <w:p w14:paraId="53029224">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2、各项措施描述比较详细到位的得1.7-3.4分；</w:t>
            </w:r>
          </w:p>
          <w:p w14:paraId="43D184FE">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3、各项措施描述不够详细不够到位的得0.1-1.6分；</w:t>
            </w:r>
          </w:p>
          <w:p w14:paraId="232C93AB">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4、缺项不得分。</w:t>
            </w:r>
          </w:p>
        </w:tc>
        <w:tc>
          <w:tcPr>
            <w:tcW w:w="648" w:type="dxa"/>
            <w:vAlign w:val="center"/>
          </w:tcPr>
          <w:p w14:paraId="3321BB19">
            <w:pPr>
              <w:spacing w:line="240" w:lineRule="atLeast"/>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w:t>
            </w:r>
          </w:p>
        </w:tc>
      </w:tr>
      <w:tr w14:paraId="4EEC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04" w:type="dxa"/>
            <w:vMerge w:val="continue"/>
            <w:vAlign w:val="center"/>
          </w:tcPr>
          <w:p w14:paraId="3CC9FF25">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1417" w:type="dxa"/>
            <w:vMerge w:val="continue"/>
            <w:vAlign w:val="center"/>
          </w:tcPr>
          <w:p w14:paraId="026950B5">
            <w:pPr>
              <w:spacing w:line="340" w:lineRule="exact"/>
              <w:jc w:val="center"/>
              <w:rPr>
                <w:rFonts w:hint="eastAsia" w:ascii="宋体" w:hAnsi="宋体" w:eastAsia="宋体" w:cs="宋体"/>
                <w:b/>
                <w:snapToGrid w:val="0"/>
                <w:color w:val="auto"/>
                <w:szCs w:val="21"/>
                <w:highlight w:val="none"/>
              </w:rPr>
            </w:pPr>
          </w:p>
        </w:tc>
        <w:tc>
          <w:tcPr>
            <w:tcW w:w="7574" w:type="dxa"/>
            <w:gridSpan w:val="2"/>
            <w:vAlign w:val="center"/>
          </w:tcPr>
          <w:p w14:paraId="32BC1520">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供应商承诺为本项目配备的驾驶员7*24小时待命的得2.5分。</w:t>
            </w:r>
          </w:p>
          <w:p w14:paraId="7EFB1D74">
            <w:pPr>
              <w:spacing w:line="340" w:lineRule="exact"/>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（投标文件中提供承诺函并加盖公章，未提供不得分）</w:t>
            </w:r>
          </w:p>
        </w:tc>
        <w:tc>
          <w:tcPr>
            <w:tcW w:w="648" w:type="dxa"/>
            <w:vAlign w:val="center"/>
          </w:tcPr>
          <w:p w14:paraId="593D2F8C">
            <w:pPr>
              <w:autoSpaceDE w:val="0"/>
              <w:autoSpaceDN w:val="0"/>
              <w:adjustRightInd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2.5</w:t>
            </w:r>
          </w:p>
        </w:tc>
      </w:tr>
      <w:tr w14:paraId="67BF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04" w:type="dxa"/>
            <w:vAlign w:val="center"/>
          </w:tcPr>
          <w:p w14:paraId="3CF963B8">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17" w:type="dxa"/>
            <w:vAlign w:val="center"/>
          </w:tcPr>
          <w:p w14:paraId="3D5CC360">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拟投入</w:t>
            </w:r>
          </w:p>
          <w:p w14:paraId="12362492">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本项目的</w:t>
            </w:r>
          </w:p>
          <w:p w14:paraId="62888A42">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人员配备</w:t>
            </w:r>
          </w:p>
          <w:p w14:paraId="1B867308">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w:t>
            </w:r>
            <w:r>
              <w:rPr>
                <w:rFonts w:hint="eastAsia" w:ascii="宋体" w:hAnsi="宋体" w:eastAsia="宋体" w:cs="宋体"/>
                <w:b/>
                <w:snapToGrid w:val="0"/>
                <w:color w:val="auto"/>
                <w:szCs w:val="21"/>
                <w:highlight w:val="none"/>
                <w:lang w:val="en-US" w:eastAsia="zh-CN"/>
              </w:rPr>
              <w:t>8</w:t>
            </w:r>
            <w:r>
              <w:rPr>
                <w:rFonts w:hint="eastAsia" w:ascii="宋体" w:hAnsi="宋体" w:eastAsia="宋体" w:cs="宋体"/>
                <w:b/>
                <w:snapToGrid w:val="0"/>
                <w:color w:val="auto"/>
                <w:szCs w:val="21"/>
                <w:highlight w:val="none"/>
              </w:rPr>
              <w:t>分）</w:t>
            </w:r>
          </w:p>
        </w:tc>
        <w:tc>
          <w:tcPr>
            <w:tcW w:w="7574" w:type="dxa"/>
            <w:gridSpan w:val="2"/>
            <w:vAlign w:val="center"/>
          </w:tcPr>
          <w:p w14:paraId="26BAC010">
            <w:pPr>
              <w:adjustRightInd/>
              <w:snapToGrid w:val="0"/>
              <w:spacing w:after="0" w:afterLines="-2147483648" w:line="360" w:lineRule="auto"/>
              <w:jc w:val="both"/>
              <w:outlineLvl w:val="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拟投入本项目驾驶员具有 A 照驾驶证的且具有三年以上拖车服务工作经验，每提供一个得2分；具有B 照驾驶证的且具有三年以上拖车服务工作经验，每提供一个得1分。本项最高得8分。</w:t>
            </w:r>
          </w:p>
          <w:p w14:paraId="64F1E973">
            <w:pPr>
              <w:spacing w:line="340" w:lineRule="exact"/>
              <w:jc w:val="left"/>
              <w:rPr>
                <w:rFonts w:hint="eastAsia" w:ascii="宋体" w:hAnsi="宋体" w:eastAsia="宋体" w:cs="宋体"/>
                <w:b/>
                <w:color w:val="auto"/>
                <w:szCs w:val="21"/>
                <w:highlight w:val="none"/>
                <w:lang w:eastAsia="zh-CN"/>
              </w:rPr>
            </w:pPr>
            <w:r>
              <w:rPr>
                <w:rFonts w:hint="eastAsia" w:ascii="宋体" w:hAnsi="宋体" w:eastAsia="宋体" w:cs="宋体"/>
                <w:b/>
                <w:bCs/>
                <w:color w:val="auto"/>
                <w:kern w:val="0"/>
                <w:sz w:val="21"/>
                <w:szCs w:val="21"/>
                <w:highlight w:val="none"/>
                <w:lang w:val="en-US" w:eastAsia="zh-CN" w:bidi="ar-SA"/>
              </w:rPr>
              <w:t>注：须提供有效驾照原件扫描件及有效工作经验证明材料扫描件，</w:t>
            </w:r>
            <w:r>
              <w:rPr>
                <w:rFonts w:hint="eastAsia" w:ascii="宋体" w:hAnsi="宋体" w:eastAsia="宋体" w:cs="宋体"/>
                <w:b/>
                <w:color w:val="auto"/>
                <w:szCs w:val="21"/>
                <w:highlight w:val="none"/>
              </w:rPr>
              <w:t>未提供或缺项不予得分</w:t>
            </w:r>
            <w:r>
              <w:rPr>
                <w:rFonts w:hint="eastAsia" w:ascii="宋体" w:hAnsi="宋体" w:eastAsia="宋体" w:cs="宋体"/>
                <w:b/>
                <w:color w:val="auto"/>
                <w:szCs w:val="21"/>
                <w:highlight w:val="none"/>
                <w:lang w:eastAsia="zh-CN"/>
              </w:rPr>
              <w:t>。</w:t>
            </w:r>
          </w:p>
        </w:tc>
        <w:tc>
          <w:tcPr>
            <w:tcW w:w="648" w:type="dxa"/>
            <w:vAlign w:val="center"/>
          </w:tcPr>
          <w:p w14:paraId="79EA663C">
            <w:pPr>
              <w:autoSpaceDE w:val="0"/>
              <w:autoSpaceDN w:val="0"/>
              <w:adjustRightInd w:val="0"/>
              <w:spacing w:line="360" w:lineRule="exact"/>
              <w:jc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val="en-US" w:eastAsia="zh-CN"/>
              </w:rPr>
              <w:t>8</w:t>
            </w:r>
          </w:p>
        </w:tc>
      </w:tr>
      <w:tr w14:paraId="0E52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04" w:type="dxa"/>
            <w:vMerge w:val="restart"/>
            <w:vAlign w:val="center"/>
          </w:tcPr>
          <w:p w14:paraId="089DDD80">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17" w:type="dxa"/>
            <w:vMerge w:val="restart"/>
            <w:vAlign w:val="center"/>
          </w:tcPr>
          <w:p w14:paraId="096D7577">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服务</w:t>
            </w:r>
          </w:p>
          <w:p w14:paraId="090309B4">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响应</w:t>
            </w:r>
          </w:p>
          <w:p w14:paraId="163F67AA">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能力</w:t>
            </w:r>
          </w:p>
          <w:p w14:paraId="3998C68E">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（7分）</w:t>
            </w:r>
          </w:p>
        </w:tc>
        <w:tc>
          <w:tcPr>
            <w:tcW w:w="5954" w:type="dxa"/>
            <w:vAlign w:val="center"/>
          </w:tcPr>
          <w:p w14:paraId="0BAE390E">
            <w:pPr>
              <w:spacing w:line="3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设有专职调度人员、受理投诉及 24 小时对外应急救援电话的，得 3 分。</w:t>
            </w:r>
          </w:p>
        </w:tc>
        <w:tc>
          <w:tcPr>
            <w:tcW w:w="1620" w:type="dxa"/>
            <w:vMerge w:val="restart"/>
            <w:vAlign w:val="center"/>
          </w:tcPr>
          <w:p w14:paraId="42641DE9">
            <w:pPr>
              <w:spacing w:line="340" w:lineRule="exact"/>
              <w:jc w:val="left"/>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注：以上人员须提供投标人为其缴纳的近</w:t>
            </w:r>
            <w:r>
              <w:rPr>
                <w:rFonts w:hint="eastAsia" w:ascii="宋体" w:hAnsi="宋体" w:eastAsia="宋体" w:cs="宋体"/>
                <w:b/>
                <w:snapToGrid w:val="0"/>
                <w:color w:val="auto"/>
                <w:szCs w:val="21"/>
                <w:highlight w:val="none"/>
                <w:lang w:val="en-US" w:eastAsia="zh-CN"/>
              </w:rPr>
              <w:t>3</w:t>
            </w:r>
            <w:r>
              <w:rPr>
                <w:rFonts w:hint="eastAsia" w:ascii="宋体" w:hAnsi="宋体" w:eastAsia="宋体" w:cs="宋体"/>
                <w:b/>
                <w:snapToGrid w:val="0"/>
                <w:color w:val="auto"/>
                <w:szCs w:val="21"/>
                <w:highlight w:val="none"/>
              </w:rPr>
              <w:t>个月社保证明扫描件，未提供或缺项不得分）</w:t>
            </w:r>
          </w:p>
        </w:tc>
        <w:tc>
          <w:tcPr>
            <w:tcW w:w="648" w:type="dxa"/>
            <w:vAlign w:val="center"/>
          </w:tcPr>
          <w:p w14:paraId="29338654">
            <w:pPr>
              <w:autoSpaceDE w:val="0"/>
              <w:autoSpaceDN w:val="0"/>
              <w:adjustRightInd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p>
        </w:tc>
      </w:tr>
      <w:tr w14:paraId="2C92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04" w:type="dxa"/>
            <w:vMerge w:val="continue"/>
            <w:vAlign w:val="center"/>
          </w:tcPr>
          <w:p w14:paraId="091627E3">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1417" w:type="dxa"/>
            <w:vMerge w:val="continue"/>
            <w:vAlign w:val="center"/>
          </w:tcPr>
          <w:p w14:paraId="73801560">
            <w:pPr>
              <w:spacing w:line="340" w:lineRule="exact"/>
              <w:jc w:val="center"/>
              <w:rPr>
                <w:rFonts w:hint="eastAsia" w:ascii="宋体" w:hAnsi="宋体" w:eastAsia="宋体" w:cs="宋体"/>
                <w:b/>
                <w:snapToGrid w:val="0"/>
                <w:color w:val="auto"/>
                <w:szCs w:val="21"/>
                <w:highlight w:val="none"/>
              </w:rPr>
            </w:pPr>
          </w:p>
        </w:tc>
        <w:tc>
          <w:tcPr>
            <w:tcW w:w="5954" w:type="dxa"/>
            <w:vAlign w:val="center"/>
          </w:tcPr>
          <w:p w14:paraId="52052EE3">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设有专职后备保障人员，可以随时应急突发性事件处理能力的，得 2 分</w:t>
            </w:r>
          </w:p>
        </w:tc>
        <w:tc>
          <w:tcPr>
            <w:tcW w:w="1620" w:type="dxa"/>
            <w:vMerge w:val="continue"/>
            <w:vAlign w:val="center"/>
          </w:tcPr>
          <w:p w14:paraId="60A132D5">
            <w:pPr>
              <w:spacing w:line="340" w:lineRule="exact"/>
              <w:rPr>
                <w:rFonts w:hint="eastAsia" w:ascii="宋体" w:hAnsi="宋体" w:eastAsia="宋体" w:cs="宋体"/>
                <w:b/>
                <w:snapToGrid w:val="0"/>
                <w:color w:val="auto"/>
                <w:szCs w:val="21"/>
                <w:highlight w:val="none"/>
              </w:rPr>
            </w:pPr>
          </w:p>
        </w:tc>
        <w:tc>
          <w:tcPr>
            <w:tcW w:w="648" w:type="dxa"/>
            <w:vAlign w:val="center"/>
          </w:tcPr>
          <w:p w14:paraId="330D28F0">
            <w:pPr>
              <w:autoSpaceDE w:val="0"/>
              <w:autoSpaceDN w:val="0"/>
              <w:adjustRightInd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p>
        </w:tc>
      </w:tr>
      <w:tr w14:paraId="2CEB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4" w:type="dxa"/>
            <w:vMerge w:val="continue"/>
            <w:vAlign w:val="center"/>
          </w:tcPr>
          <w:p w14:paraId="12549B57">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1417" w:type="dxa"/>
            <w:vMerge w:val="continue"/>
            <w:vAlign w:val="center"/>
          </w:tcPr>
          <w:p w14:paraId="54539CD3">
            <w:pPr>
              <w:spacing w:line="340" w:lineRule="exact"/>
              <w:jc w:val="center"/>
              <w:rPr>
                <w:rFonts w:hint="eastAsia" w:ascii="宋体" w:hAnsi="宋体" w:eastAsia="宋体" w:cs="宋体"/>
                <w:b/>
                <w:snapToGrid w:val="0"/>
                <w:color w:val="auto"/>
                <w:szCs w:val="21"/>
                <w:highlight w:val="none"/>
              </w:rPr>
            </w:pPr>
          </w:p>
        </w:tc>
        <w:tc>
          <w:tcPr>
            <w:tcW w:w="5954" w:type="dxa"/>
            <w:vAlign w:val="center"/>
          </w:tcPr>
          <w:p w14:paraId="02C1D52A">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设有专职财务人员的得2分。</w:t>
            </w:r>
          </w:p>
          <w:p w14:paraId="7E379384">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w:t>
            </w:r>
            <w:r>
              <w:rPr>
                <w:rFonts w:hint="eastAsia" w:ascii="宋体" w:hAnsi="宋体" w:eastAsia="宋体" w:cs="宋体"/>
                <w:b/>
                <w:color w:val="auto"/>
                <w:szCs w:val="21"/>
                <w:highlight w:val="none"/>
              </w:rPr>
              <w:t>须</w:t>
            </w:r>
            <w:r>
              <w:rPr>
                <w:rFonts w:hint="eastAsia" w:ascii="宋体" w:hAnsi="宋体" w:eastAsia="宋体" w:cs="宋体"/>
                <w:snapToGrid w:val="0"/>
                <w:color w:val="auto"/>
                <w:szCs w:val="21"/>
                <w:highlight w:val="none"/>
              </w:rPr>
              <w:t>提供财务岗位相关任职职业资格证书扫描件，未提供或缺项不得分，</w:t>
            </w:r>
          </w:p>
        </w:tc>
        <w:tc>
          <w:tcPr>
            <w:tcW w:w="1620" w:type="dxa"/>
            <w:vMerge w:val="continue"/>
            <w:vAlign w:val="center"/>
          </w:tcPr>
          <w:p w14:paraId="0686EF75">
            <w:pPr>
              <w:spacing w:line="340" w:lineRule="exact"/>
              <w:rPr>
                <w:rFonts w:hint="eastAsia" w:ascii="宋体" w:hAnsi="宋体" w:eastAsia="宋体" w:cs="宋体"/>
                <w:b/>
                <w:snapToGrid w:val="0"/>
                <w:color w:val="auto"/>
                <w:szCs w:val="21"/>
                <w:highlight w:val="none"/>
              </w:rPr>
            </w:pPr>
          </w:p>
        </w:tc>
        <w:tc>
          <w:tcPr>
            <w:tcW w:w="648" w:type="dxa"/>
            <w:vAlign w:val="center"/>
          </w:tcPr>
          <w:p w14:paraId="15E23A6F">
            <w:pPr>
              <w:autoSpaceDE w:val="0"/>
              <w:autoSpaceDN w:val="0"/>
              <w:adjustRightInd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p>
        </w:tc>
      </w:tr>
      <w:tr w14:paraId="32FF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04" w:type="dxa"/>
            <w:vAlign w:val="center"/>
          </w:tcPr>
          <w:p w14:paraId="70E54C3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17" w:type="dxa"/>
            <w:vAlign w:val="center"/>
          </w:tcPr>
          <w:p w14:paraId="0137453B">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合理化建议(</w:t>
            </w:r>
            <w:r>
              <w:rPr>
                <w:rFonts w:hint="eastAsia" w:ascii="宋体" w:hAnsi="宋体" w:eastAsia="宋体" w:cs="宋体"/>
                <w:b/>
                <w:snapToGrid w:val="0"/>
                <w:color w:val="auto"/>
                <w:szCs w:val="21"/>
                <w:highlight w:val="none"/>
                <w:lang w:val="en-US" w:eastAsia="zh-CN"/>
              </w:rPr>
              <w:t>3</w:t>
            </w:r>
            <w:r>
              <w:rPr>
                <w:rFonts w:hint="eastAsia" w:ascii="宋体" w:hAnsi="宋体" w:eastAsia="宋体" w:cs="宋体"/>
                <w:b/>
                <w:snapToGrid w:val="0"/>
                <w:color w:val="auto"/>
                <w:szCs w:val="21"/>
                <w:highlight w:val="none"/>
              </w:rPr>
              <w:t>分)</w:t>
            </w:r>
          </w:p>
        </w:tc>
        <w:tc>
          <w:tcPr>
            <w:tcW w:w="7574" w:type="dxa"/>
            <w:gridSpan w:val="2"/>
            <w:vAlign w:val="center"/>
          </w:tcPr>
          <w:p w14:paraId="0C6D5751">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每提供一条有效的合理化建议得1分，最高得</w:t>
            </w:r>
            <w:r>
              <w:rPr>
                <w:rFonts w:hint="eastAsia" w:ascii="宋体" w:hAnsi="宋体" w:eastAsia="宋体" w:cs="宋体"/>
                <w:snapToGrid w:val="0"/>
                <w:color w:val="auto"/>
                <w:szCs w:val="21"/>
                <w:highlight w:val="none"/>
                <w:lang w:val="en-US" w:eastAsia="zh-CN"/>
              </w:rPr>
              <w:t>3</w:t>
            </w:r>
            <w:r>
              <w:rPr>
                <w:rFonts w:hint="eastAsia" w:ascii="宋体" w:hAnsi="宋体" w:eastAsia="宋体" w:cs="宋体"/>
                <w:snapToGrid w:val="0"/>
                <w:color w:val="auto"/>
                <w:szCs w:val="21"/>
                <w:highlight w:val="none"/>
              </w:rPr>
              <w:t>分。</w:t>
            </w:r>
          </w:p>
        </w:tc>
        <w:tc>
          <w:tcPr>
            <w:tcW w:w="648" w:type="dxa"/>
            <w:vAlign w:val="center"/>
          </w:tcPr>
          <w:p w14:paraId="720210F3">
            <w:pPr>
              <w:spacing w:line="32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3</w:t>
            </w:r>
          </w:p>
        </w:tc>
      </w:tr>
      <w:tr w14:paraId="3011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04" w:type="dxa"/>
            <w:vAlign w:val="center"/>
          </w:tcPr>
          <w:p w14:paraId="28C76EA9">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17" w:type="dxa"/>
            <w:vAlign w:val="center"/>
          </w:tcPr>
          <w:p w14:paraId="3175F3B3">
            <w:pPr>
              <w:spacing w:line="40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公司意外</w:t>
            </w:r>
          </w:p>
          <w:p w14:paraId="561ED854">
            <w:pPr>
              <w:spacing w:line="40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责任险</w:t>
            </w:r>
          </w:p>
          <w:p w14:paraId="6D427038">
            <w:pPr>
              <w:spacing w:line="400" w:lineRule="exact"/>
              <w:jc w:val="center"/>
              <w:rPr>
                <w:rFonts w:hint="eastAsia" w:ascii="宋体" w:hAnsi="宋体" w:eastAsia="宋体" w:cs="宋体"/>
                <w:color w:val="auto"/>
                <w:sz w:val="24"/>
                <w:highlight w:val="none"/>
              </w:rPr>
            </w:pPr>
            <w:r>
              <w:rPr>
                <w:rFonts w:hint="eastAsia" w:ascii="宋体" w:hAnsi="宋体" w:eastAsia="宋体" w:cs="宋体"/>
                <w:b/>
                <w:snapToGrid w:val="0"/>
                <w:color w:val="auto"/>
                <w:szCs w:val="21"/>
                <w:highlight w:val="none"/>
              </w:rPr>
              <w:t>（3分）</w:t>
            </w:r>
          </w:p>
        </w:tc>
        <w:tc>
          <w:tcPr>
            <w:tcW w:w="7574" w:type="dxa"/>
            <w:gridSpan w:val="2"/>
            <w:vAlign w:val="center"/>
          </w:tcPr>
          <w:p w14:paraId="782233BA">
            <w:pPr>
              <w:spacing w:line="3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投标供应商投保团体意外险：</w:t>
            </w:r>
          </w:p>
          <w:p w14:paraId="0331AF5D">
            <w:pPr>
              <w:spacing w:line="3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1、100≤保额总和＜500万元得1分；</w:t>
            </w:r>
          </w:p>
          <w:p w14:paraId="681E70D7">
            <w:pPr>
              <w:spacing w:line="3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2、500≤保额总和＜1000万元得2分；</w:t>
            </w:r>
          </w:p>
          <w:p w14:paraId="51CB9320">
            <w:pPr>
              <w:spacing w:line="3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3、1000万元≤保额总和得3分。</w:t>
            </w:r>
          </w:p>
          <w:p w14:paraId="6F2129C5">
            <w:pPr>
              <w:spacing w:line="340" w:lineRule="exact"/>
              <w:jc w:val="left"/>
              <w:rPr>
                <w:rFonts w:hint="eastAsia" w:ascii="宋体" w:hAnsi="宋体" w:eastAsia="宋体" w:cs="宋体"/>
                <w:b/>
                <w:color w:val="auto"/>
                <w:sz w:val="24"/>
                <w:highlight w:val="none"/>
              </w:rPr>
            </w:pPr>
            <w:r>
              <w:rPr>
                <w:rFonts w:hint="eastAsia" w:ascii="宋体" w:hAnsi="宋体" w:eastAsia="宋体" w:cs="宋体"/>
                <w:b/>
                <w:snapToGrid w:val="0"/>
                <w:color w:val="auto"/>
                <w:szCs w:val="21"/>
                <w:highlight w:val="none"/>
              </w:rPr>
              <w:t>（</w:t>
            </w:r>
            <w:r>
              <w:rPr>
                <w:rFonts w:hint="eastAsia" w:ascii="宋体" w:hAnsi="宋体" w:eastAsia="宋体" w:cs="宋体"/>
                <w:b/>
                <w:color w:val="auto"/>
                <w:szCs w:val="21"/>
                <w:highlight w:val="none"/>
              </w:rPr>
              <w:t>须</w:t>
            </w:r>
            <w:r>
              <w:rPr>
                <w:rFonts w:hint="eastAsia" w:ascii="宋体" w:hAnsi="宋体" w:eastAsia="宋体" w:cs="宋体"/>
                <w:b/>
                <w:snapToGrid w:val="0"/>
                <w:color w:val="auto"/>
                <w:szCs w:val="21"/>
                <w:highlight w:val="none"/>
              </w:rPr>
              <w:t>提供保险单原件扫描件，未提供或缺项不得分）</w:t>
            </w:r>
          </w:p>
        </w:tc>
        <w:tc>
          <w:tcPr>
            <w:tcW w:w="648" w:type="dxa"/>
            <w:vAlign w:val="center"/>
          </w:tcPr>
          <w:p w14:paraId="4B43E375">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w:t>
            </w:r>
          </w:p>
        </w:tc>
      </w:tr>
      <w:tr w14:paraId="70AC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04" w:type="dxa"/>
            <w:vAlign w:val="center"/>
          </w:tcPr>
          <w:p w14:paraId="4F8546B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17" w:type="dxa"/>
            <w:vAlign w:val="center"/>
          </w:tcPr>
          <w:p w14:paraId="37450AA9">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内部考核</w:t>
            </w:r>
          </w:p>
          <w:p w14:paraId="521794B1">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制度</w:t>
            </w:r>
          </w:p>
          <w:p w14:paraId="3F99CCF4">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w:t>
            </w:r>
            <w:r>
              <w:rPr>
                <w:rFonts w:hint="eastAsia" w:ascii="宋体" w:hAnsi="宋体" w:eastAsia="宋体" w:cs="宋体"/>
                <w:b/>
                <w:snapToGrid w:val="0"/>
                <w:color w:val="auto"/>
                <w:szCs w:val="21"/>
                <w:highlight w:val="none"/>
                <w:lang w:val="en-US" w:eastAsia="zh-CN"/>
              </w:rPr>
              <w:t>6</w:t>
            </w:r>
            <w:r>
              <w:rPr>
                <w:rFonts w:hint="eastAsia" w:ascii="宋体" w:hAnsi="宋体" w:eastAsia="宋体" w:cs="宋体"/>
                <w:b/>
                <w:snapToGrid w:val="0"/>
                <w:color w:val="auto"/>
                <w:szCs w:val="21"/>
                <w:highlight w:val="none"/>
              </w:rPr>
              <w:t>分)</w:t>
            </w:r>
          </w:p>
        </w:tc>
        <w:tc>
          <w:tcPr>
            <w:tcW w:w="7574" w:type="dxa"/>
            <w:gridSpan w:val="2"/>
            <w:vAlign w:val="center"/>
          </w:tcPr>
          <w:p w14:paraId="4FB770E9">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根据投标人提供的内部考核制度进行综合比较给分：</w:t>
            </w:r>
          </w:p>
          <w:p w14:paraId="45868C5C">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1、考核要求制定切实可行的、针对考核结果的补救措施和奖惩办法条款非常清晰的得</w:t>
            </w:r>
            <w:r>
              <w:rPr>
                <w:rFonts w:hint="eastAsia" w:ascii="宋体" w:hAnsi="宋体" w:eastAsia="宋体" w:cs="宋体"/>
                <w:snapToGrid w:val="0"/>
                <w:color w:val="auto"/>
                <w:szCs w:val="21"/>
                <w:highlight w:val="none"/>
                <w:lang w:val="en-US" w:eastAsia="zh-CN"/>
              </w:rPr>
              <w:t>4.1-6</w:t>
            </w:r>
            <w:r>
              <w:rPr>
                <w:rFonts w:hint="eastAsia" w:ascii="宋体" w:hAnsi="宋体" w:eastAsia="宋体" w:cs="宋体"/>
                <w:snapToGrid w:val="0"/>
                <w:color w:val="auto"/>
                <w:szCs w:val="21"/>
                <w:highlight w:val="none"/>
              </w:rPr>
              <w:t>分；</w:t>
            </w:r>
          </w:p>
          <w:p w14:paraId="7FE6D857">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2、考核要求制定切实可行的、针对考核结果的补救措施和奖惩办法条款比较清晰的得</w:t>
            </w:r>
            <w:r>
              <w:rPr>
                <w:rFonts w:hint="eastAsia" w:ascii="宋体" w:hAnsi="宋体" w:eastAsia="宋体" w:cs="宋体"/>
                <w:snapToGrid w:val="0"/>
                <w:color w:val="auto"/>
                <w:szCs w:val="21"/>
                <w:highlight w:val="none"/>
                <w:lang w:val="en-US" w:eastAsia="zh-CN"/>
              </w:rPr>
              <w:t>2.1-4</w:t>
            </w:r>
            <w:r>
              <w:rPr>
                <w:rFonts w:hint="eastAsia" w:ascii="宋体" w:hAnsi="宋体" w:eastAsia="宋体" w:cs="宋体"/>
                <w:snapToGrid w:val="0"/>
                <w:color w:val="auto"/>
                <w:szCs w:val="21"/>
                <w:highlight w:val="none"/>
              </w:rPr>
              <w:t>分；</w:t>
            </w:r>
          </w:p>
          <w:p w14:paraId="26BD5819">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3、考核要求制定基本可行的、针对考核结果的补救措施和奖惩办法条款不够清晰的得0.1-</w:t>
            </w:r>
            <w:r>
              <w:rPr>
                <w:rFonts w:hint="eastAsia" w:ascii="宋体" w:hAnsi="宋体" w:eastAsia="宋体" w:cs="宋体"/>
                <w:snapToGrid w:val="0"/>
                <w:color w:val="auto"/>
                <w:szCs w:val="21"/>
                <w:highlight w:val="none"/>
                <w:lang w:val="en-US" w:eastAsia="zh-CN"/>
              </w:rPr>
              <w:t>2</w:t>
            </w:r>
            <w:r>
              <w:rPr>
                <w:rFonts w:hint="eastAsia" w:ascii="宋体" w:hAnsi="宋体" w:eastAsia="宋体" w:cs="宋体"/>
                <w:snapToGrid w:val="0"/>
                <w:color w:val="auto"/>
                <w:szCs w:val="21"/>
                <w:highlight w:val="none"/>
              </w:rPr>
              <w:t>分；</w:t>
            </w:r>
          </w:p>
          <w:p w14:paraId="14F3774F">
            <w:pPr>
              <w:spacing w:line="340" w:lineRule="exact"/>
              <w:rPr>
                <w:rFonts w:hint="eastAsia" w:ascii="宋体" w:hAnsi="宋体" w:eastAsia="宋体" w:cs="宋体"/>
                <w:b/>
                <w:snapToGrid w:val="0"/>
                <w:color w:val="auto"/>
                <w:szCs w:val="21"/>
                <w:highlight w:val="none"/>
              </w:rPr>
            </w:pPr>
            <w:r>
              <w:rPr>
                <w:rFonts w:hint="eastAsia" w:ascii="宋体" w:hAnsi="宋体" w:eastAsia="宋体" w:cs="宋体"/>
                <w:snapToGrid w:val="0"/>
                <w:color w:val="auto"/>
                <w:szCs w:val="21"/>
                <w:highlight w:val="none"/>
              </w:rPr>
              <w:t>4、未提供不得分。</w:t>
            </w:r>
          </w:p>
        </w:tc>
        <w:tc>
          <w:tcPr>
            <w:tcW w:w="648" w:type="dxa"/>
            <w:vAlign w:val="center"/>
          </w:tcPr>
          <w:p w14:paraId="7FDC4977">
            <w:pPr>
              <w:spacing w:line="32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6</w:t>
            </w:r>
          </w:p>
        </w:tc>
      </w:tr>
      <w:tr w14:paraId="2E9B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04" w:type="dxa"/>
            <w:vAlign w:val="center"/>
          </w:tcPr>
          <w:p w14:paraId="474AD652">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17" w:type="dxa"/>
            <w:vAlign w:val="center"/>
          </w:tcPr>
          <w:p w14:paraId="0CEF3DEA">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车辆分布</w:t>
            </w:r>
          </w:p>
          <w:p w14:paraId="58B5DCEC">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情况</w:t>
            </w:r>
          </w:p>
          <w:p w14:paraId="4474142A">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w:t>
            </w:r>
            <w:r>
              <w:rPr>
                <w:rFonts w:hint="eastAsia" w:ascii="宋体" w:hAnsi="宋体" w:eastAsia="宋体" w:cs="宋体"/>
                <w:b/>
                <w:snapToGrid w:val="0"/>
                <w:color w:val="auto"/>
                <w:szCs w:val="21"/>
                <w:highlight w:val="none"/>
                <w:lang w:val="en-US" w:eastAsia="zh-CN"/>
              </w:rPr>
              <w:t>6</w:t>
            </w:r>
            <w:r>
              <w:rPr>
                <w:rFonts w:hint="eastAsia" w:ascii="宋体" w:hAnsi="宋体" w:eastAsia="宋体" w:cs="宋体"/>
                <w:b/>
                <w:snapToGrid w:val="0"/>
                <w:color w:val="auto"/>
                <w:szCs w:val="21"/>
                <w:highlight w:val="none"/>
              </w:rPr>
              <w:t>分)</w:t>
            </w:r>
          </w:p>
        </w:tc>
        <w:tc>
          <w:tcPr>
            <w:tcW w:w="7574" w:type="dxa"/>
            <w:gridSpan w:val="2"/>
            <w:vAlign w:val="center"/>
          </w:tcPr>
          <w:p w14:paraId="4F48ED7F">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根据车辆各区域数量分布的均衡，明确台州市市区行政区范围内（不包括高速公路）各区域各类型拖车数量建议表：</w:t>
            </w:r>
          </w:p>
          <w:p w14:paraId="226F7BCD">
            <w:pPr>
              <w:pStyle w:val="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1、根据本项目实际情况车辆分布比较均衡、各区域拖车安排较合理、明确的得</w:t>
            </w: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分。</w:t>
            </w:r>
          </w:p>
          <w:p w14:paraId="3DAEEDE6">
            <w:pPr>
              <w:pStyle w:val="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2、车辆分布基本均衡，各区域拖车数量安排基本明确得0.1-</w:t>
            </w: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分。</w:t>
            </w:r>
          </w:p>
        </w:tc>
        <w:tc>
          <w:tcPr>
            <w:tcW w:w="648" w:type="dxa"/>
            <w:vAlign w:val="center"/>
          </w:tcPr>
          <w:p w14:paraId="1C02BF53">
            <w:pPr>
              <w:spacing w:line="32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6</w:t>
            </w:r>
          </w:p>
        </w:tc>
      </w:tr>
      <w:tr w14:paraId="2239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804" w:type="dxa"/>
            <w:vAlign w:val="center"/>
          </w:tcPr>
          <w:p w14:paraId="6735B1A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17" w:type="dxa"/>
            <w:vAlign w:val="center"/>
          </w:tcPr>
          <w:p w14:paraId="1FB8C45E">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安全、文明作业措施</w:t>
            </w:r>
          </w:p>
          <w:p w14:paraId="3302E8B1">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w:t>
            </w:r>
            <w:r>
              <w:rPr>
                <w:rFonts w:hint="eastAsia" w:ascii="宋体" w:hAnsi="宋体" w:eastAsia="宋体" w:cs="宋体"/>
                <w:b/>
                <w:snapToGrid w:val="0"/>
                <w:color w:val="auto"/>
                <w:szCs w:val="21"/>
                <w:highlight w:val="none"/>
                <w:lang w:val="en-US" w:eastAsia="zh-CN"/>
              </w:rPr>
              <w:t>6</w:t>
            </w:r>
            <w:r>
              <w:rPr>
                <w:rFonts w:hint="eastAsia" w:ascii="宋体" w:hAnsi="宋体" w:eastAsia="宋体" w:cs="宋体"/>
                <w:b/>
                <w:snapToGrid w:val="0"/>
                <w:color w:val="auto"/>
                <w:szCs w:val="21"/>
                <w:highlight w:val="none"/>
              </w:rPr>
              <w:t>分）</w:t>
            </w:r>
          </w:p>
        </w:tc>
        <w:tc>
          <w:tcPr>
            <w:tcW w:w="7574" w:type="dxa"/>
            <w:gridSpan w:val="2"/>
            <w:vAlign w:val="center"/>
          </w:tcPr>
          <w:p w14:paraId="7C20856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根据投标人提供的安全、文明作业措施综合</w:t>
            </w:r>
            <w:r>
              <w:rPr>
                <w:rFonts w:hint="eastAsia" w:ascii="宋体" w:hAnsi="宋体" w:eastAsia="宋体" w:cs="宋体"/>
                <w:color w:val="auto"/>
                <w:szCs w:val="21"/>
                <w:highlight w:val="none"/>
                <w:lang w:val="zh-CN"/>
              </w:rPr>
              <w:t>比较给分：</w:t>
            </w:r>
          </w:p>
          <w:p w14:paraId="17C78910">
            <w:pPr>
              <w:spacing w:line="3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1、安全、文明作业措施安排落实非常到位，较科学，较合理比较切合本项目实际情况</w:t>
            </w:r>
            <w:r>
              <w:rPr>
                <w:rFonts w:hint="eastAsia" w:ascii="宋体" w:hAnsi="宋体" w:eastAsia="宋体" w:cs="宋体"/>
                <w:color w:val="auto"/>
                <w:szCs w:val="21"/>
                <w:highlight w:val="none"/>
                <w:lang w:val="zh-CN"/>
              </w:rPr>
              <w:t>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分；</w:t>
            </w:r>
          </w:p>
          <w:p w14:paraId="22AC32BD">
            <w:pPr>
              <w:spacing w:line="3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2、安全、文明作业措施安排落实比较到位，较科学，较合理基本切合本项目实际情况</w:t>
            </w:r>
            <w:r>
              <w:rPr>
                <w:rFonts w:hint="eastAsia" w:ascii="宋体" w:hAnsi="宋体" w:eastAsia="宋体" w:cs="宋体"/>
                <w:color w:val="auto"/>
                <w:szCs w:val="21"/>
                <w:highlight w:val="none"/>
                <w:lang w:val="zh-CN"/>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分；</w:t>
            </w:r>
          </w:p>
          <w:p w14:paraId="622AA0A8">
            <w:pPr>
              <w:spacing w:line="3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3、安全、文明作业措施安排落实不够到位，不够科学，不够合理，基本切合本项目实际情况</w:t>
            </w:r>
            <w:r>
              <w:rPr>
                <w:rFonts w:hint="eastAsia" w:ascii="宋体" w:hAnsi="宋体" w:eastAsia="宋体" w:cs="宋体"/>
                <w:color w:val="auto"/>
                <w:szCs w:val="21"/>
                <w:highlight w:val="none"/>
                <w:lang w:val="zh-CN"/>
              </w:rPr>
              <w:t>的得0.1-1.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分；</w:t>
            </w:r>
          </w:p>
          <w:p w14:paraId="4BBE0327">
            <w:pPr>
              <w:spacing w:line="340" w:lineRule="exact"/>
              <w:rPr>
                <w:rFonts w:hint="eastAsia" w:ascii="宋体" w:hAnsi="宋体" w:eastAsia="宋体" w:cs="宋体"/>
                <w:color w:val="auto"/>
                <w:highlight w:val="none"/>
                <w:lang w:val="zh-CN"/>
              </w:rPr>
            </w:pPr>
            <w:r>
              <w:rPr>
                <w:rFonts w:hint="eastAsia" w:ascii="宋体" w:hAnsi="宋体" w:eastAsia="宋体" w:cs="宋体"/>
                <w:color w:val="auto"/>
                <w:szCs w:val="21"/>
                <w:highlight w:val="none"/>
              </w:rPr>
              <w:t>4、未提供不得分。</w:t>
            </w:r>
          </w:p>
        </w:tc>
        <w:tc>
          <w:tcPr>
            <w:tcW w:w="648" w:type="dxa"/>
            <w:vAlign w:val="center"/>
          </w:tcPr>
          <w:p w14:paraId="541B5B66">
            <w:pPr>
              <w:spacing w:line="32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6</w:t>
            </w:r>
          </w:p>
        </w:tc>
      </w:tr>
      <w:tr w14:paraId="7D6E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4" w:type="dxa"/>
            <w:vAlign w:val="center"/>
          </w:tcPr>
          <w:p w14:paraId="19C6BC1E">
            <w:pPr>
              <w:pStyle w:val="7"/>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417" w:type="dxa"/>
            <w:vAlign w:val="center"/>
          </w:tcPr>
          <w:p w14:paraId="02849236">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价格</w:t>
            </w:r>
          </w:p>
          <w:p w14:paraId="3734CD7A">
            <w:pPr>
              <w:spacing w:line="340" w:lineRule="exact"/>
              <w:jc w:val="center"/>
              <w:rPr>
                <w:rFonts w:hint="eastAsia" w:ascii="宋体" w:hAnsi="宋体" w:eastAsia="宋体" w:cs="宋体"/>
                <w:b/>
                <w:color w:val="auto"/>
                <w:szCs w:val="21"/>
                <w:highlight w:val="none"/>
              </w:rPr>
            </w:pPr>
            <w:r>
              <w:rPr>
                <w:rFonts w:hint="eastAsia" w:ascii="宋体" w:hAnsi="宋体" w:eastAsia="宋体" w:cs="宋体"/>
                <w:b/>
                <w:snapToGrid w:val="0"/>
                <w:color w:val="auto"/>
                <w:szCs w:val="21"/>
                <w:highlight w:val="none"/>
              </w:rPr>
              <w:t>（</w:t>
            </w:r>
            <w:r>
              <w:rPr>
                <w:rFonts w:hint="eastAsia" w:ascii="宋体" w:hAnsi="宋体" w:eastAsia="宋体" w:cs="宋体"/>
                <w:b/>
                <w:snapToGrid w:val="0"/>
                <w:color w:val="auto"/>
                <w:szCs w:val="21"/>
                <w:highlight w:val="none"/>
                <w:lang w:val="en-US" w:eastAsia="zh-CN"/>
              </w:rPr>
              <w:t>30</w:t>
            </w:r>
            <w:r>
              <w:rPr>
                <w:rFonts w:hint="eastAsia" w:ascii="宋体" w:hAnsi="宋体" w:eastAsia="宋体" w:cs="宋体"/>
                <w:b/>
                <w:snapToGrid w:val="0"/>
                <w:color w:val="auto"/>
                <w:szCs w:val="21"/>
                <w:highlight w:val="none"/>
              </w:rPr>
              <w:t>分）</w:t>
            </w:r>
          </w:p>
        </w:tc>
        <w:tc>
          <w:tcPr>
            <w:tcW w:w="7574" w:type="dxa"/>
            <w:gridSpan w:val="2"/>
            <w:vAlign w:val="center"/>
          </w:tcPr>
          <w:p w14:paraId="0FB3F504">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评标基准价=满足要求的有效参与评审价格的最低价。</w:t>
            </w:r>
          </w:p>
          <w:p w14:paraId="639B8BA0">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评标基准价得分为满分。</w:t>
            </w:r>
          </w:p>
          <w:p w14:paraId="3E08B86E">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参与评审价格=投标报价</w:t>
            </w:r>
          </w:p>
          <w:p w14:paraId="16A9DA6C">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投标报价得分=（评标基准价/参与评审的价格）×价格权重×100</w:t>
            </w:r>
          </w:p>
          <w:p w14:paraId="63A9AF4F">
            <w:pPr>
              <w:spacing w:line="340" w:lineRule="exact"/>
              <w:rPr>
                <w:rFonts w:hint="eastAsia" w:ascii="宋体" w:hAnsi="宋体" w:eastAsia="宋体" w:cs="宋体"/>
                <w:b/>
                <w:snapToGrid w:val="0"/>
                <w:color w:val="auto"/>
                <w:szCs w:val="21"/>
                <w:highlight w:val="none"/>
              </w:rPr>
            </w:pPr>
            <w:r>
              <w:rPr>
                <w:rFonts w:hint="eastAsia" w:ascii="宋体" w:hAnsi="宋体" w:eastAsia="宋体" w:cs="宋体"/>
                <w:snapToGrid w:val="0"/>
                <w:color w:val="auto"/>
                <w:szCs w:val="21"/>
                <w:highlight w:val="none"/>
              </w:rPr>
              <w:t>投标报价得分以四舍五入保留小数点后两位。</w:t>
            </w:r>
          </w:p>
        </w:tc>
        <w:tc>
          <w:tcPr>
            <w:tcW w:w="648" w:type="dxa"/>
            <w:vAlign w:val="center"/>
          </w:tcPr>
          <w:p w14:paraId="35137885">
            <w:pPr>
              <w:spacing w:line="36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30</w:t>
            </w:r>
          </w:p>
        </w:tc>
      </w:tr>
    </w:tbl>
    <w:p w14:paraId="1C5B1B98">
      <w:pPr>
        <w:autoSpaceDE w:val="0"/>
        <w:autoSpaceDN w:val="0"/>
        <w:adjustRightInd w:val="0"/>
        <w:spacing w:line="360" w:lineRule="auto"/>
        <w:rPr>
          <w:color w:val="auto"/>
          <w:highlight w:val="none"/>
        </w:rPr>
      </w:pPr>
      <w:r>
        <w:rPr>
          <w:rFonts w:hint="eastAsia"/>
          <w:b/>
          <w:color w:val="auto"/>
          <w:szCs w:val="21"/>
          <w:highlight w:val="none"/>
        </w:rPr>
        <w:t xml:space="preserve"> (注：以上需提供的合同、证书、报告等各项证明需将原件扫描上传至投标文件，并加盖电子印章。评委打分保留1位小数)</w:t>
      </w:r>
    </w:p>
    <w:p w14:paraId="0A5B873B">
      <w:pPr>
        <w:spacing w:line="360" w:lineRule="auto"/>
        <w:jc w:val="center"/>
        <w:outlineLvl w:val="0"/>
        <w:rPr>
          <w:color w:val="auto"/>
          <w:highlight w:val="none"/>
        </w:rPr>
      </w:pPr>
    </w:p>
    <w:bookmarkEnd w:id="88"/>
    <w:bookmarkEnd w:id="89"/>
    <w:bookmarkEnd w:id="90"/>
    <w:bookmarkEnd w:id="91"/>
    <w:bookmarkEnd w:id="92"/>
    <w:bookmarkEnd w:id="93"/>
    <w:p w14:paraId="2D02F601">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"file:///F:\\微信\\WeChat%20Files\\a29023143\\FileStorage\\File\\2021-11\\台州市公安局特警支队最小作战单元装备建设采购项目10.28.docx" \l "●评分标准" </w:instrText>
      </w:r>
      <w:r>
        <w:rPr>
          <w:color w:val="auto"/>
          <w:highlight w:val="none"/>
        </w:rPr>
        <w:fldChar w:fldCharType="separate"/>
      </w:r>
      <w:r>
        <w:rPr>
          <w:rStyle w:val="27"/>
          <w:rFonts w:hint="eastAsia" w:ascii="宋体" w:hAnsi="宋体"/>
          <w:b/>
          <w:color w:val="auto"/>
          <w:sz w:val="32"/>
          <w:szCs w:val="32"/>
          <w:highlight w:val="none"/>
          <w:u w:val="none"/>
        </w:rPr>
        <w:t xml:space="preserve">第五部分 </w:t>
      </w:r>
      <w:r>
        <w:rPr>
          <w:rStyle w:val="27"/>
          <w:rFonts w:hint="eastAsia" w:ascii="宋体" w:hAnsi="宋体"/>
          <w:b/>
          <w:color w:val="auto"/>
          <w:sz w:val="32"/>
          <w:szCs w:val="32"/>
          <w:highlight w:val="none"/>
          <w:u w:val="none"/>
        </w:rPr>
        <w:fldChar w:fldCharType="end"/>
      </w:r>
      <w:r>
        <w:rPr>
          <w:rFonts w:hint="eastAsia" w:ascii="宋体" w:hAnsi="宋体" w:cs="宋体"/>
          <w:b/>
          <w:bCs/>
          <w:color w:val="auto"/>
          <w:sz w:val="32"/>
          <w:szCs w:val="32"/>
          <w:highlight w:val="none"/>
        </w:rPr>
        <w:t>采购内容及要求</w:t>
      </w:r>
    </w:p>
    <w:p w14:paraId="4806D71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一、采购内容及要求</w:t>
      </w:r>
    </w:p>
    <w:p w14:paraId="4419539B">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（一）车辆拖移最高价限定</w:t>
      </w:r>
    </w:p>
    <w:tbl>
      <w:tblPr>
        <w:tblStyle w:val="23"/>
        <w:tblW w:w="942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600"/>
        <w:gridCol w:w="2835"/>
        <w:gridCol w:w="2835"/>
      </w:tblGrid>
      <w:tr w14:paraId="1DB5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50" w:type="dxa"/>
            <w:vAlign w:val="center"/>
          </w:tcPr>
          <w:p w14:paraId="6F8E9799">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600" w:type="dxa"/>
            <w:vAlign w:val="center"/>
          </w:tcPr>
          <w:p w14:paraId="2FB6CAD5">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分类</w:t>
            </w:r>
          </w:p>
        </w:tc>
        <w:tc>
          <w:tcPr>
            <w:tcW w:w="2835" w:type="dxa"/>
            <w:vAlign w:val="center"/>
          </w:tcPr>
          <w:p w14:paraId="5436CB0A">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交通事故车辆拖移</w:t>
            </w:r>
          </w:p>
          <w:p w14:paraId="1C453548">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上限单价（元/辆）</w:t>
            </w:r>
          </w:p>
        </w:tc>
        <w:tc>
          <w:tcPr>
            <w:tcW w:w="2835" w:type="dxa"/>
            <w:vAlign w:val="center"/>
          </w:tcPr>
          <w:p w14:paraId="56F663E2">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交通违法车辆拖移</w:t>
            </w:r>
          </w:p>
          <w:p w14:paraId="583ABE87">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上限单价（元/辆）</w:t>
            </w:r>
          </w:p>
        </w:tc>
      </w:tr>
      <w:tr w14:paraId="0C46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50" w:type="dxa"/>
            <w:vAlign w:val="center"/>
          </w:tcPr>
          <w:p w14:paraId="6F200E1E">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00" w:type="dxa"/>
            <w:vAlign w:val="center"/>
          </w:tcPr>
          <w:p w14:paraId="2860A0CA">
            <w:pPr>
              <w:snapToGrid w:val="0"/>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小型车</w:t>
            </w:r>
          </w:p>
        </w:tc>
        <w:tc>
          <w:tcPr>
            <w:tcW w:w="2835" w:type="dxa"/>
            <w:vAlign w:val="center"/>
          </w:tcPr>
          <w:p w14:paraId="10EA06AB">
            <w:pPr>
              <w:tabs>
                <w:tab w:val="left" w:pos="5792"/>
              </w:tabs>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50</w:t>
            </w:r>
          </w:p>
        </w:tc>
        <w:tc>
          <w:tcPr>
            <w:tcW w:w="2835" w:type="dxa"/>
            <w:vAlign w:val="center"/>
          </w:tcPr>
          <w:p w14:paraId="146016F9">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0</w:t>
            </w:r>
          </w:p>
        </w:tc>
      </w:tr>
      <w:tr w14:paraId="562B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50" w:type="dxa"/>
            <w:vAlign w:val="center"/>
          </w:tcPr>
          <w:p w14:paraId="43B2290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00" w:type="dxa"/>
            <w:vAlign w:val="center"/>
          </w:tcPr>
          <w:p w14:paraId="2B5EDAC6">
            <w:pPr>
              <w:snapToGrid w:val="0"/>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大中型车</w:t>
            </w:r>
          </w:p>
        </w:tc>
        <w:tc>
          <w:tcPr>
            <w:tcW w:w="2835" w:type="dxa"/>
            <w:vAlign w:val="center"/>
          </w:tcPr>
          <w:p w14:paraId="32BCB653">
            <w:pPr>
              <w:tabs>
                <w:tab w:val="left" w:pos="5792"/>
              </w:tabs>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350</w:t>
            </w:r>
          </w:p>
        </w:tc>
        <w:tc>
          <w:tcPr>
            <w:tcW w:w="2835" w:type="dxa"/>
            <w:vAlign w:val="center"/>
          </w:tcPr>
          <w:p w14:paraId="6522E93B">
            <w:pPr>
              <w:tabs>
                <w:tab w:val="left" w:pos="5792"/>
              </w:tabs>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300</w:t>
            </w:r>
          </w:p>
        </w:tc>
      </w:tr>
      <w:tr w14:paraId="019F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50" w:type="dxa"/>
            <w:vAlign w:val="center"/>
          </w:tcPr>
          <w:p w14:paraId="169B51E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00" w:type="dxa"/>
            <w:vAlign w:val="center"/>
          </w:tcPr>
          <w:p w14:paraId="1446892C">
            <w:pPr>
              <w:snapToGrid w:val="0"/>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摩托车、两轮自行车、三轮电动车及其他非机动车</w:t>
            </w:r>
          </w:p>
        </w:tc>
        <w:tc>
          <w:tcPr>
            <w:tcW w:w="2835" w:type="dxa"/>
            <w:vAlign w:val="center"/>
          </w:tcPr>
          <w:p w14:paraId="49D3C352">
            <w:pPr>
              <w:tabs>
                <w:tab w:val="left" w:pos="5792"/>
              </w:tabs>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50</w:t>
            </w:r>
          </w:p>
        </w:tc>
        <w:tc>
          <w:tcPr>
            <w:tcW w:w="2835" w:type="dxa"/>
            <w:vAlign w:val="center"/>
          </w:tcPr>
          <w:p w14:paraId="1603353F">
            <w:pPr>
              <w:tabs>
                <w:tab w:val="left" w:pos="5792"/>
              </w:tabs>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30</w:t>
            </w:r>
          </w:p>
        </w:tc>
      </w:tr>
      <w:tr w14:paraId="1228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50" w:type="dxa"/>
            <w:vAlign w:val="center"/>
          </w:tcPr>
          <w:p w14:paraId="2C2A7A74">
            <w:pPr>
              <w:snapToGri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w:t>
            </w:r>
          </w:p>
        </w:tc>
        <w:tc>
          <w:tcPr>
            <w:tcW w:w="2600" w:type="dxa"/>
            <w:vAlign w:val="center"/>
          </w:tcPr>
          <w:p w14:paraId="6E596513">
            <w:pPr>
              <w:snapToGrid w:val="0"/>
              <w:spacing w:line="40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szCs w:val="21"/>
                <w:highlight w:val="none"/>
              </w:rPr>
              <w:t>吊车</w:t>
            </w:r>
            <w:r>
              <w:rPr>
                <w:rFonts w:hint="eastAsia" w:ascii="宋体" w:hAnsi="宋体" w:cs="宋体"/>
                <w:color w:val="auto"/>
                <w:szCs w:val="21"/>
                <w:highlight w:val="none"/>
                <w:lang w:eastAsia="zh-CN"/>
              </w:rPr>
              <w:t>（不分吨位）</w:t>
            </w:r>
          </w:p>
        </w:tc>
        <w:tc>
          <w:tcPr>
            <w:tcW w:w="2835" w:type="dxa"/>
            <w:vAlign w:val="center"/>
          </w:tcPr>
          <w:p w14:paraId="2A0A72E9">
            <w:pPr>
              <w:tabs>
                <w:tab w:val="left" w:pos="5792"/>
              </w:tabs>
              <w:spacing w:line="400" w:lineRule="exact"/>
              <w:jc w:val="center"/>
              <w:rPr>
                <w:rFonts w:hint="default"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880</w:t>
            </w:r>
          </w:p>
        </w:tc>
        <w:tc>
          <w:tcPr>
            <w:tcW w:w="2835" w:type="dxa"/>
            <w:vAlign w:val="center"/>
          </w:tcPr>
          <w:p w14:paraId="1946783A">
            <w:pPr>
              <w:tabs>
                <w:tab w:val="left" w:pos="5792"/>
              </w:tabs>
              <w:spacing w:line="400" w:lineRule="exact"/>
              <w:jc w:val="center"/>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szCs w:val="21"/>
                <w:highlight w:val="none"/>
              </w:rPr>
              <w:t>/</w:t>
            </w:r>
          </w:p>
        </w:tc>
      </w:tr>
      <w:tr w14:paraId="444A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50" w:type="dxa"/>
            <w:vAlign w:val="center"/>
          </w:tcPr>
          <w:p w14:paraId="3CB5BB91">
            <w:pPr>
              <w:snapToGrid w:val="0"/>
              <w:spacing w:line="400" w:lineRule="exact"/>
              <w:jc w:val="center"/>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5</w:t>
            </w:r>
          </w:p>
        </w:tc>
        <w:tc>
          <w:tcPr>
            <w:tcW w:w="2600" w:type="dxa"/>
            <w:vAlign w:val="center"/>
          </w:tcPr>
          <w:p w14:paraId="6B88FC10">
            <w:pPr>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铲车</w:t>
            </w:r>
            <w:r>
              <w:rPr>
                <w:rFonts w:hint="eastAsia" w:ascii="宋体" w:hAnsi="宋体" w:cs="宋体"/>
                <w:color w:val="auto"/>
                <w:szCs w:val="21"/>
                <w:highlight w:val="none"/>
                <w:lang w:eastAsia="zh-CN"/>
              </w:rPr>
              <w:t>（不分吨位）</w:t>
            </w:r>
          </w:p>
        </w:tc>
        <w:tc>
          <w:tcPr>
            <w:tcW w:w="2835" w:type="dxa"/>
            <w:vAlign w:val="center"/>
          </w:tcPr>
          <w:p w14:paraId="6A749D1F">
            <w:pPr>
              <w:tabs>
                <w:tab w:val="left" w:pos="5792"/>
              </w:tabs>
              <w:spacing w:line="400" w:lineRule="exact"/>
              <w:jc w:val="center"/>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300</w:t>
            </w:r>
          </w:p>
        </w:tc>
        <w:tc>
          <w:tcPr>
            <w:tcW w:w="2835" w:type="dxa"/>
            <w:vAlign w:val="center"/>
          </w:tcPr>
          <w:p w14:paraId="7C0C8471">
            <w:pPr>
              <w:tabs>
                <w:tab w:val="left" w:pos="5792"/>
              </w:tabs>
              <w:spacing w:line="400" w:lineRule="exact"/>
              <w:jc w:val="center"/>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szCs w:val="21"/>
                <w:highlight w:val="none"/>
              </w:rPr>
              <w:t>/</w:t>
            </w:r>
          </w:p>
        </w:tc>
      </w:tr>
    </w:tbl>
    <w:p w14:paraId="050E7C8B">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注：采购需求中的车辆拖移定价乘以中标结算率为中标单价，每月拖移服务费按实结算，全年最终结算总价不超过预算总价280万。</w:t>
      </w:r>
    </w:p>
    <w:p w14:paraId="30625F05">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（二）投标人要求：</w:t>
      </w:r>
    </w:p>
    <w:p w14:paraId="22A65413">
      <w:pPr>
        <w:spacing w:line="46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1、车辆数量要求</w:t>
      </w:r>
    </w:p>
    <w:p w14:paraId="7BAAAAB1">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投标人针对本项目的车辆总数至少达到</w:t>
      </w:r>
      <w:r>
        <w:rPr>
          <w:rFonts w:hint="eastAsia" w:ascii="宋体" w:hAnsi="宋体" w:cs="宋体"/>
          <w:color w:val="auto"/>
          <w:szCs w:val="21"/>
          <w:highlight w:val="none"/>
          <w:lang w:val="en-US" w:eastAsia="zh-CN"/>
        </w:rPr>
        <w:t>44</w:t>
      </w:r>
      <w:r>
        <w:rPr>
          <w:rFonts w:hint="eastAsia" w:ascii="宋体" w:hAnsi="宋体" w:cs="宋体"/>
          <w:color w:val="auto"/>
          <w:szCs w:val="21"/>
          <w:highlight w:val="none"/>
        </w:rPr>
        <w:t>辆以上，至少包括中型专项作业车（平板车）16辆、轻型普通拖</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辆，25吨以上</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rPr>
        <w:t>的吊车</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辆</w:t>
      </w:r>
      <w:r>
        <w:rPr>
          <w:rFonts w:hint="eastAsia" w:ascii="宋体" w:hAnsi="宋体" w:cs="宋体"/>
          <w:color w:val="auto"/>
          <w:szCs w:val="21"/>
          <w:highlight w:val="none"/>
          <w:lang w:val="en-US" w:eastAsia="zh-CN"/>
        </w:rPr>
        <w:t>,5吨</w:t>
      </w:r>
      <w:r>
        <w:rPr>
          <w:rFonts w:hint="eastAsia" w:ascii="宋体" w:hAnsi="宋体" w:cs="宋体"/>
          <w:color w:val="auto"/>
          <w:szCs w:val="21"/>
          <w:highlight w:val="none"/>
        </w:rPr>
        <w:t>以上</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铲车4</w:t>
      </w:r>
      <w:r>
        <w:rPr>
          <w:rFonts w:hint="eastAsia" w:ascii="宋体" w:hAnsi="宋体" w:cs="宋体"/>
          <w:color w:val="auto"/>
          <w:szCs w:val="21"/>
          <w:highlight w:val="none"/>
        </w:rPr>
        <w:t>辆</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须在投标文件中详细列明清单及相应行驶证原件扫描件，无行驶证原件扫描件或车辆年检未在有效期内的均不计算在内。</w:t>
      </w:r>
    </w:p>
    <w:p w14:paraId="2D263AAA">
      <w:pPr>
        <w:spacing w:line="46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2、投标人投入的车辆中需</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辆以上（含）属于自有。</w:t>
      </w:r>
    </w:p>
    <w:p w14:paraId="49637A4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3、租赁车辆的需提供租赁协议，需提供原件扫描件</w:t>
      </w:r>
      <w:r>
        <w:rPr>
          <w:rFonts w:hint="eastAsia" w:ascii="宋体" w:hAnsi="宋体" w:cs="宋体"/>
          <w:color w:val="auto"/>
          <w:szCs w:val="21"/>
          <w:highlight w:val="none"/>
          <w:lang w:eastAsia="zh-CN"/>
        </w:rPr>
        <w:t>，</w:t>
      </w:r>
      <w:r>
        <w:rPr>
          <w:rFonts w:hint="eastAsia" w:ascii="宋体" w:hAnsi="宋体" w:cs="宋体"/>
          <w:color w:val="auto"/>
          <w:szCs w:val="21"/>
          <w:highlight w:val="none"/>
        </w:rPr>
        <w:t>无租赁协议原件扫描件的车辆不计算在内。</w:t>
      </w:r>
    </w:p>
    <w:p w14:paraId="6832374D">
      <w:pPr>
        <w:spacing w:line="46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4、租赁车辆需考虑各区域数量分布的均衡，明确各区域各类型拖车数量建议表。</w:t>
      </w:r>
    </w:p>
    <w:p w14:paraId="43D8110D">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5、服务</w:t>
      </w:r>
      <w:r>
        <w:rPr>
          <w:rFonts w:hint="eastAsia" w:ascii="宋体" w:hAnsi="宋体" w:cs="宋体"/>
          <w:b/>
          <w:bCs/>
          <w:color w:val="auto"/>
          <w:szCs w:val="21"/>
          <w:highlight w:val="none"/>
          <w:lang w:eastAsia="zh-CN"/>
        </w:rPr>
        <w:t>内容</w:t>
      </w:r>
      <w:r>
        <w:rPr>
          <w:rFonts w:hint="eastAsia" w:ascii="宋体" w:hAnsi="宋体" w:cs="宋体"/>
          <w:b/>
          <w:bCs/>
          <w:color w:val="auto"/>
          <w:szCs w:val="21"/>
          <w:highlight w:val="none"/>
        </w:rPr>
        <w:t>：</w:t>
      </w:r>
    </w:p>
    <w:p w14:paraId="405E56EF">
      <w:pPr>
        <w:spacing w:line="460" w:lineRule="exact"/>
        <w:ind w:firstLine="420" w:firstLineChars="200"/>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①</w:t>
      </w:r>
      <w:r>
        <w:rPr>
          <w:rFonts w:hint="eastAsia" w:ascii="宋体" w:hAnsi="宋体" w:cs="宋体"/>
          <w:color w:val="auto"/>
          <w:kern w:val="0"/>
          <w:szCs w:val="21"/>
          <w:highlight w:val="none"/>
        </w:rPr>
        <w:t>交通事故车辆</w:t>
      </w:r>
      <w:r>
        <w:rPr>
          <w:rFonts w:hint="eastAsia" w:ascii="宋体" w:hAnsi="宋体" w:cs="宋体"/>
          <w:color w:val="auto"/>
          <w:szCs w:val="21"/>
          <w:highlight w:val="none"/>
        </w:rPr>
        <w:t>拖移范围</w:t>
      </w:r>
      <w:r>
        <w:rPr>
          <w:rFonts w:hint="eastAsia" w:ascii="宋体" w:hAnsi="宋体" w:cs="宋体"/>
          <w:color w:val="auto"/>
          <w:szCs w:val="21"/>
          <w:highlight w:val="none"/>
          <w:lang w:eastAsia="zh-CN"/>
        </w:rPr>
        <w:t>：</w:t>
      </w:r>
      <w:r>
        <w:rPr>
          <w:rFonts w:hint="eastAsia" w:ascii="宋体" w:hAnsi="宋体" w:cs="宋体"/>
          <w:color w:val="auto"/>
          <w:szCs w:val="21"/>
          <w:highlight w:val="none"/>
        </w:rPr>
        <w:t>台州市市区行政区</w:t>
      </w:r>
      <w:r>
        <w:rPr>
          <w:rFonts w:hint="eastAsia" w:ascii="宋体" w:hAnsi="宋体" w:cs="宋体"/>
          <w:color w:val="auto"/>
          <w:szCs w:val="21"/>
          <w:highlight w:val="none"/>
          <w:lang w:eastAsia="zh-CN"/>
        </w:rPr>
        <w:t>管辖</w:t>
      </w:r>
      <w:r>
        <w:rPr>
          <w:rFonts w:hint="eastAsia" w:ascii="宋体" w:hAnsi="宋体" w:cs="宋体"/>
          <w:color w:val="auto"/>
          <w:szCs w:val="21"/>
          <w:highlight w:val="none"/>
        </w:rPr>
        <w:t>范围内</w:t>
      </w:r>
      <w:r>
        <w:rPr>
          <w:rFonts w:hint="eastAsia" w:ascii="宋体" w:hAnsi="宋体" w:cs="宋体"/>
          <w:color w:val="auto"/>
          <w:szCs w:val="21"/>
          <w:highlight w:val="none"/>
          <w:lang w:eastAsia="zh-CN"/>
        </w:rPr>
        <w:t>发生的</w:t>
      </w:r>
      <w:r>
        <w:rPr>
          <w:rFonts w:hint="eastAsia" w:ascii="宋体" w:hAnsi="宋体" w:cs="宋体"/>
          <w:color w:val="auto"/>
          <w:kern w:val="0"/>
          <w:szCs w:val="21"/>
          <w:highlight w:val="none"/>
        </w:rPr>
        <w:t>交通事故车辆</w:t>
      </w:r>
      <w:r>
        <w:rPr>
          <w:rFonts w:hint="eastAsia" w:ascii="宋体" w:hAnsi="宋体" w:cs="宋体"/>
          <w:color w:val="auto"/>
          <w:szCs w:val="21"/>
          <w:highlight w:val="none"/>
        </w:rPr>
        <w:t>（椒</w:t>
      </w:r>
      <w:r>
        <w:rPr>
          <w:rFonts w:hint="eastAsia" w:ascii="宋体" w:hAnsi="宋体" w:cs="宋体"/>
          <w:color w:val="auto"/>
          <w:szCs w:val="21"/>
          <w:highlight w:val="none"/>
          <w:lang w:eastAsia="zh-CN"/>
        </w:rPr>
        <w:t>江、</w:t>
      </w:r>
      <w:r>
        <w:rPr>
          <w:rFonts w:hint="eastAsia" w:ascii="宋体" w:hAnsi="宋体" w:cs="宋体"/>
          <w:color w:val="auto"/>
          <w:szCs w:val="21"/>
          <w:highlight w:val="none"/>
        </w:rPr>
        <w:t>黄</w:t>
      </w:r>
      <w:r>
        <w:rPr>
          <w:rFonts w:hint="eastAsia" w:ascii="宋体" w:hAnsi="宋体" w:cs="宋体"/>
          <w:color w:val="auto"/>
          <w:szCs w:val="21"/>
          <w:highlight w:val="none"/>
          <w:lang w:eastAsia="zh-CN"/>
        </w:rPr>
        <w:t>岩、</w:t>
      </w:r>
      <w:r>
        <w:rPr>
          <w:rFonts w:hint="eastAsia" w:ascii="宋体" w:hAnsi="宋体" w:cs="宋体"/>
          <w:color w:val="auto"/>
          <w:szCs w:val="21"/>
          <w:highlight w:val="none"/>
        </w:rPr>
        <w:t>路</w:t>
      </w:r>
      <w:r>
        <w:rPr>
          <w:rFonts w:hint="eastAsia" w:ascii="宋体" w:hAnsi="宋体" w:cs="宋体"/>
          <w:color w:val="auto"/>
          <w:szCs w:val="21"/>
          <w:highlight w:val="none"/>
          <w:lang w:eastAsia="zh-CN"/>
        </w:rPr>
        <w:t>桥、台州湾新区</w:t>
      </w:r>
      <w:r>
        <w:rPr>
          <w:rFonts w:hint="eastAsia" w:ascii="宋体" w:hAnsi="宋体" w:cs="宋体"/>
          <w:color w:val="auto"/>
          <w:szCs w:val="21"/>
          <w:highlight w:val="none"/>
        </w:rPr>
        <w:t>）。</w:t>
      </w:r>
      <w:r>
        <w:rPr>
          <w:rFonts w:hint="eastAsia" w:ascii="宋体" w:hAnsi="宋体" w:cs="宋体"/>
          <w:color w:val="auto"/>
          <w:szCs w:val="21"/>
          <w:highlight w:val="none"/>
          <w:lang w:eastAsia="zh-CN"/>
        </w:rPr>
        <w:t>以上管辖</w:t>
      </w:r>
      <w:r>
        <w:rPr>
          <w:rFonts w:hint="eastAsia" w:ascii="宋体" w:hAnsi="宋体" w:cs="宋体"/>
          <w:color w:val="auto"/>
          <w:szCs w:val="21"/>
          <w:highlight w:val="none"/>
        </w:rPr>
        <w:t>范围内</w:t>
      </w:r>
      <w:r>
        <w:rPr>
          <w:rFonts w:hint="eastAsia" w:ascii="宋体" w:hAnsi="宋体" w:cs="宋体"/>
          <w:color w:val="auto"/>
          <w:szCs w:val="21"/>
          <w:highlight w:val="none"/>
          <w:lang w:eastAsia="zh-CN"/>
        </w:rPr>
        <w:t>的道路含内环快速路、一江山大道、路泽太公路（路桥区辖区路段），</w:t>
      </w:r>
      <w:r>
        <w:rPr>
          <w:rFonts w:hint="eastAsia" w:ascii="宋体" w:hAnsi="宋体" w:cs="宋体"/>
          <w:color w:val="auto"/>
          <w:szCs w:val="21"/>
          <w:highlight w:val="none"/>
        </w:rPr>
        <w:t>不</w:t>
      </w:r>
      <w:r>
        <w:rPr>
          <w:rFonts w:hint="eastAsia" w:ascii="宋体" w:hAnsi="宋体" w:cs="宋体"/>
          <w:color w:val="auto"/>
          <w:szCs w:val="21"/>
          <w:highlight w:val="none"/>
          <w:lang w:eastAsia="zh-CN"/>
        </w:rPr>
        <w:t>含</w:t>
      </w:r>
      <w:r>
        <w:rPr>
          <w:rFonts w:hint="eastAsia" w:ascii="宋体" w:hAnsi="宋体" w:cs="宋体"/>
          <w:color w:val="auto"/>
          <w:szCs w:val="21"/>
          <w:highlight w:val="none"/>
        </w:rPr>
        <w:t>高速公路</w:t>
      </w:r>
      <w:r>
        <w:rPr>
          <w:rFonts w:hint="eastAsia" w:ascii="宋体" w:hAnsi="宋体" w:cs="宋体"/>
          <w:color w:val="auto"/>
          <w:szCs w:val="21"/>
          <w:highlight w:val="none"/>
          <w:lang w:eastAsia="zh-CN"/>
        </w:rPr>
        <w:t>。</w:t>
      </w:r>
    </w:p>
    <w:p w14:paraId="2B0BD097">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② </w:t>
      </w:r>
      <w:r>
        <w:rPr>
          <w:rFonts w:hint="eastAsia" w:ascii="宋体" w:hAnsi="宋体" w:cs="宋体"/>
          <w:color w:val="auto"/>
          <w:kern w:val="0"/>
          <w:szCs w:val="21"/>
          <w:highlight w:val="none"/>
        </w:rPr>
        <w:t>交通违法车辆拖移</w:t>
      </w:r>
      <w:r>
        <w:rPr>
          <w:rFonts w:hint="eastAsia" w:ascii="宋体" w:hAnsi="宋体" w:cs="宋体"/>
          <w:color w:val="auto"/>
          <w:szCs w:val="21"/>
          <w:highlight w:val="none"/>
        </w:rPr>
        <w:t>范围：</w:t>
      </w:r>
      <w:r>
        <w:rPr>
          <w:rFonts w:hint="eastAsia" w:ascii="宋体" w:hAnsi="宋体" w:cs="宋体"/>
          <w:color w:val="auto"/>
          <w:szCs w:val="21"/>
          <w:highlight w:val="none"/>
          <w:lang w:eastAsia="zh-CN"/>
        </w:rPr>
        <w:t>直属一大队洪家中队、前所中队，直属二大队院桥中队、头陀中队、宁溪中队，直属三大队金清中队、蓬街中队、峰江中队，四大队一中队、三甲中队管辖</w:t>
      </w:r>
      <w:r>
        <w:rPr>
          <w:rFonts w:hint="eastAsia" w:ascii="宋体" w:hAnsi="宋体" w:cs="宋体"/>
          <w:color w:val="auto"/>
          <w:szCs w:val="21"/>
          <w:highlight w:val="none"/>
        </w:rPr>
        <w:t>范围内</w:t>
      </w:r>
      <w:r>
        <w:rPr>
          <w:rFonts w:hint="eastAsia" w:ascii="宋体" w:hAnsi="宋体" w:cs="宋体"/>
          <w:color w:val="auto"/>
          <w:szCs w:val="21"/>
          <w:highlight w:val="none"/>
          <w:lang w:eastAsia="zh-CN"/>
        </w:rPr>
        <w:t>查扣的交通</w:t>
      </w:r>
      <w:r>
        <w:rPr>
          <w:rFonts w:hint="eastAsia" w:ascii="宋体" w:hAnsi="宋体" w:cs="宋体"/>
          <w:color w:val="auto"/>
          <w:szCs w:val="21"/>
          <w:highlight w:val="none"/>
        </w:rPr>
        <w:t>违法车辆。</w:t>
      </w:r>
    </w:p>
    <w:p w14:paraId="3CA2F31F">
      <w:pPr>
        <w:spacing w:line="4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③车辆拖移到达范围原则上为市区行政区范围内</w:t>
      </w:r>
      <w:r>
        <w:rPr>
          <w:rFonts w:hint="eastAsia" w:ascii="宋体" w:hAnsi="宋体" w:cs="宋体"/>
          <w:color w:val="auto"/>
          <w:szCs w:val="21"/>
          <w:highlight w:val="none"/>
          <w:lang w:eastAsia="zh-CN"/>
        </w:rPr>
        <w:t>。如</w:t>
      </w:r>
      <w:r>
        <w:rPr>
          <w:rFonts w:hint="eastAsia" w:ascii="宋体" w:hAnsi="宋体" w:cs="宋体"/>
          <w:color w:val="auto"/>
          <w:szCs w:val="21"/>
          <w:highlight w:val="none"/>
        </w:rPr>
        <w:t>特殊情况的，拖移至市区行政区外5公里</w:t>
      </w:r>
      <w:r>
        <w:rPr>
          <w:rFonts w:hint="eastAsia" w:ascii="宋体" w:hAnsi="宋体" w:cs="宋体"/>
          <w:color w:val="auto"/>
          <w:szCs w:val="21"/>
          <w:highlight w:val="none"/>
          <w:lang w:eastAsia="zh-CN"/>
        </w:rPr>
        <w:t>以内</w:t>
      </w:r>
      <w:r>
        <w:rPr>
          <w:rFonts w:hint="eastAsia" w:ascii="宋体" w:hAnsi="宋体" w:cs="宋体"/>
          <w:color w:val="auto"/>
          <w:szCs w:val="21"/>
          <w:highlight w:val="none"/>
        </w:rPr>
        <w:t>（以道路里程为准）</w:t>
      </w:r>
      <w:r>
        <w:rPr>
          <w:rFonts w:hint="eastAsia" w:ascii="宋体" w:hAnsi="宋体" w:cs="宋体"/>
          <w:color w:val="auto"/>
          <w:szCs w:val="21"/>
          <w:highlight w:val="none"/>
          <w:lang w:eastAsia="zh-CN"/>
        </w:rPr>
        <w:t>。</w:t>
      </w:r>
    </w:p>
    <w:p w14:paraId="4B596F44">
      <w:pPr>
        <w:spacing w:line="460" w:lineRule="exact"/>
        <w:ind w:firstLine="420" w:firstLineChars="200"/>
        <w:rPr>
          <w:color w:val="auto"/>
          <w:highlight w:val="none"/>
        </w:rPr>
      </w:pPr>
      <w:r>
        <w:rPr>
          <w:rFonts w:hint="eastAsia" w:ascii="微软雅黑" w:hAnsi="微软雅黑" w:eastAsia="微软雅黑" w:cs="微软雅黑"/>
          <w:color w:val="auto"/>
          <w:szCs w:val="21"/>
          <w:highlight w:val="none"/>
          <w:lang w:eastAsia="zh-CN"/>
        </w:rPr>
        <w:t>④</w:t>
      </w:r>
      <w:r>
        <w:rPr>
          <w:rFonts w:hint="eastAsia" w:ascii="宋体" w:hAnsi="宋体" w:cs="宋体"/>
          <w:color w:val="auto"/>
          <w:szCs w:val="21"/>
          <w:highlight w:val="none"/>
          <w:lang w:eastAsia="zh-CN"/>
        </w:rPr>
        <w:t>每天早、晚高峰时期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需提供一辆拖车在内环快速路路口驻点备勤，早、晚高峰期备勤时间各一个小时。备勤时间段、备勤点位</w:t>
      </w:r>
      <w:r>
        <w:rPr>
          <w:rFonts w:hint="eastAsia" w:ascii="宋体" w:hAnsi="宋体" w:cs="宋体"/>
          <w:color w:val="auto"/>
          <w:szCs w:val="21"/>
          <w:highlight w:val="none"/>
          <w:lang w:val="en-US" w:eastAsia="zh-CN"/>
        </w:rPr>
        <w:t>根据采购人的实际需求确定。</w:t>
      </w:r>
    </w:p>
    <w:p w14:paraId="381F9BE5">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（三）中标人要求：</w:t>
      </w:r>
    </w:p>
    <w:p w14:paraId="2A0DD725">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1、车辆数量要求、车辆状况及.</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作业人员要求：</w:t>
      </w:r>
    </w:p>
    <w:p w14:paraId="156E96AD">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 以上车辆数量要求仅为采购人提供服务的最低要求，在实际工作中如</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作业需要车辆超出上述要求，中标人应当满足。</w:t>
      </w:r>
    </w:p>
    <w:p w14:paraId="51B81A4D">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2、车辆状况要求</w:t>
      </w:r>
    </w:p>
    <w:p w14:paraId="5ED31999">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（1）中标人提供的每一车辆必须具有合法、完备的证照，不得提供报废、非法车辆参与</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作业，保证车况良好并配备足够、完好的交通</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辅助设备（包括枕木、警示筒、警示带等反光标志、拖车辅助轮、磅秤、千斤顶、具有夜间拍摄和摄录功能的相机等）及通讯工具。大中型专项作业车（含）以上车型还需增配消防器材、破拆工具等设备，以确保</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能力与通信畅通。</w:t>
      </w:r>
    </w:p>
    <w:p w14:paraId="3C28F430">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（2）中标人提供的每一辆车辆必须购买相应的保险，除交强险外，还应购买第三者责任险，且保险理赔时限在本项目服务期限内持续有效。</w:t>
      </w:r>
    </w:p>
    <w:p w14:paraId="4B50874F">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中标人提供的每一辆车辆必须安装全球卫星定位系统（GPS）车载终端，车辆定位数据须保存3个月，并实时提供给采购人。提供的车辆必须安装行车记录仪，行车记录仪必须配备三个摄像头（前一后二），满足日间、夜晚的记录要求，能清晰摄录中标人将暂扣车辆拖移至采购人指定停车场并移交完毕的整个过程，具体安装要求由采购人指定，摄录数据至少保存45天。</w:t>
      </w:r>
    </w:p>
    <w:p w14:paraId="082A2D12">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（4）中标人须遵守采购人涉案财物管理规定，以及按采购人其他管理规定。</w:t>
      </w:r>
    </w:p>
    <w:p w14:paraId="026253AC">
      <w:pPr>
        <w:spacing w:line="460" w:lineRule="exact"/>
        <w:ind w:firstLine="315" w:firstLineChars="150"/>
        <w:rPr>
          <w:rFonts w:ascii="宋体" w:hAnsi="宋体" w:cs="宋体"/>
          <w:b w:val="0"/>
          <w:bCs/>
          <w:color w:val="auto"/>
          <w:szCs w:val="21"/>
          <w:highlight w:val="none"/>
        </w:rPr>
      </w:pPr>
      <w:r>
        <w:rPr>
          <w:rFonts w:hint="eastAsia" w:ascii="宋体" w:hAnsi="宋体" w:cs="宋体"/>
          <w:color w:val="auto"/>
          <w:szCs w:val="21"/>
          <w:highlight w:val="none"/>
        </w:rPr>
        <w:t>（5）</w:t>
      </w:r>
      <w:r>
        <w:rPr>
          <w:rFonts w:hint="eastAsia" w:ascii="宋体" w:hAnsi="宋体" w:cs="宋体"/>
          <w:b w:val="0"/>
          <w:bCs/>
          <w:color w:val="auto"/>
          <w:szCs w:val="21"/>
          <w:highlight w:val="none"/>
        </w:rPr>
        <w:t>中标人提供的每一辆车必须统一标识及投诉电话。</w:t>
      </w:r>
    </w:p>
    <w:p w14:paraId="668470F5">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（6）服务期内，中标人对投入服务的每一辆车辆定期进行维修保养、年检等，在原服务车辆不能按时到场服务的情况下，中标人须提供同车型、同吨位的车辆（具有合格、完备证照）替代服务。</w:t>
      </w:r>
    </w:p>
    <w:p w14:paraId="5AA6425F">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（7）到达现场</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作业的车辆必须能够承担并完成采购人指定的</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任务。</w:t>
      </w:r>
    </w:p>
    <w:p w14:paraId="0ABBB26B">
      <w:pPr>
        <w:spacing w:line="460" w:lineRule="exac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作业人员要求</w:t>
      </w:r>
    </w:p>
    <w:p w14:paraId="243759AD">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（1）中标人应加强作业人员交通</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操作技能的培训。</w:t>
      </w:r>
    </w:p>
    <w:p w14:paraId="2473972F">
      <w:pPr>
        <w:spacing w:line="460" w:lineRule="exact"/>
        <w:ind w:firstLine="315" w:firstLineChars="150"/>
        <w:rPr>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作业人员应报采购人备案。</w:t>
      </w:r>
    </w:p>
    <w:p w14:paraId="03C5332F">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（3）实施</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作业的每辆车，除必须配备一个具有对应驾照的驾驶员外，应另配备1名熟悉</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操作业务的工作人员，保证</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工作顺利完成。（详见附件7）</w:t>
      </w:r>
    </w:p>
    <w:p w14:paraId="0E4A03B5">
      <w:pPr>
        <w:spacing w:line="460" w:lineRule="exact"/>
        <w:rPr>
          <w:rFonts w:ascii="宋体" w:hAnsi="宋体" w:cs="宋体"/>
          <w:color w:val="auto"/>
          <w:szCs w:val="21"/>
          <w:highlight w:val="none"/>
        </w:rPr>
      </w:pPr>
      <w:r>
        <w:rPr>
          <w:rFonts w:hint="eastAsia" w:ascii="宋体" w:hAnsi="宋体" w:cs="宋体"/>
          <w:color w:val="auto"/>
          <w:szCs w:val="21"/>
          <w:highlight w:val="none"/>
        </w:rPr>
        <w:t>必须购买不少于100万元的意外人身险。</w:t>
      </w:r>
    </w:p>
    <w:p w14:paraId="6A8B18E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（4）必须购买不少于100万元的意外人身险。</w:t>
      </w:r>
    </w:p>
    <w:p w14:paraId="697B36C6">
      <w:pPr>
        <w:spacing w:line="460" w:lineRule="exact"/>
        <w:ind w:firstLine="420" w:firstLineChars="200"/>
        <w:rPr>
          <w:color w:val="auto"/>
          <w:highlight w:val="none"/>
        </w:rPr>
      </w:pPr>
      <w:r>
        <w:rPr>
          <w:rFonts w:hint="eastAsia" w:ascii="宋体" w:hAnsi="宋体" w:cs="宋体"/>
          <w:color w:val="auto"/>
          <w:szCs w:val="21"/>
          <w:highlight w:val="none"/>
        </w:rPr>
        <w:t>（5）中标人应加强作业人员交通</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操作技能的培训。</w:t>
      </w:r>
    </w:p>
    <w:p w14:paraId="776D5533">
      <w:pPr>
        <w:spacing w:line="4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lang w:eastAsia="zh-CN"/>
        </w:rPr>
        <w:t>拖移</w:t>
      </w:r>
      <w:r>
        <w:rPr>
          <w:rFonts w:hint="eastAsia" w:ascii="宋体" w:hAnsi="宋体" w:cs="宋体"/>
          <w:b/>
          <w:color w:val="auto"/>
          <w:szCs w:val="21"/>
          <w:highlight w:val="none"/>
        </w:rPr>
        <w:t>作业人员必须统一着装，按规范流程操作，同时必须听从交警的指挥。</w:t>
      </w:r>
    </w:p>
    <w:p w14:paraId="05F4E7F1">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（四）</w:t>
      </w:r>
      <w:r>
        <w:rPr>
          <w:rFonts w:hint="eastAsia" w:ascii="宋体" w:hAnsi="宋体" w:cs="宋体"/>
          <w:b/>
          <w:bCs/>
          <w:color w:val="auto"/>
          <w:szCs w:val="21"/>
          <w:highlight w:val="none"/>
          <w:lang w:eastAsia="zh-CN"/>
        </w:rPr>
        <w:t>拖移</w:t>
      </w:r>
      <w:r>
        <w:rPr>
          <w:rFonts w:hint="eastAsia" w:ascii="宋体" w:hAnsi="宋体" w:cs="宋体"/>
          <w:b/>
          <w:bCs/>
          <w:color w:val="auto"/>
          <w:szCs w:val="21"/>
          <w:highlight w:val="none"/>
        </w:rPr>
        <w:t>作业服务要求</w:t>
      </w:r>
    </w:p>
    <w:p w14:paraId="6798DC80">
      <w:pPr>
        <w:spacing w:line="460" w:lineRule="exact"/>
        <w:rPr>
          <w:rFonts w:ascii="宋体" w:hAnsi="宋体" w:cs="宋体"/>
          <w:color w:val="auto"/>
          <w:szCs w:val="21"/>
          <w:highlight w:val="none"/>
        </w:rPr>
      </w:pPr>
      <w:r>
        <w:rPr>
          <w:rFonts w:hint="eastAsia" w:ascii="宋体" w:hAnsi="宋体" w:cs="宋体"/>
          <w:color w:val="auto"/>
          <w:szCs w:val="21"/>
          <w:highlight w:val="none"/>
        </w:rPr>
        <w:t>1、服务时间要求</w:t>
      </w:r>
    </w:p>
    <w:p w14:paraId="442D4672">
      <w:pPr>
        <w:spacing w:line="460" w:lineRule="exact"/>
        <w:ind w:firstLine="310" w:firstLineChars="147"/>
        <w:rPr>
          <w:color w:val="auto"/>
          <w:highlight w:val="none"/>
        </w:rPr>
      </w:pPr>
      <w:r>
        <w:rPr>
          <w:rFonts w:hint="eastAsia" w:ascii="宋体" w:hAnsi="宋体" w:cs="宋体"/>
          <w:b/>
          <w:color w:val="auto"/>
          <w:szCs w:val="21"/>
          <w:highlight w:val="none"/>
        </w:rPr>
        <w:t>中标人提供全天24小时的各类</w:t>
      </w:r>
      <w:r>
        <w:rPr>
          <w:rFonts w:hint="eastAsia" w:ascii="宋体" w:hAnsi="宋体" w:cs="宋体"/>
          <w:b/>
          <w:color w:val="auto"/>
          <w:szCs w:val="21"/>
          <w:highlight w:val="none"/>
          <w:lang w:eastAsia="zh-CN"/>
        </w:rPr>
        <w:t>拖移</w:t>
      </w:r>
      <w:r>
        <w:rPr>
          <w:rFonts w:hint="eastAsia" w:ascii="宋体" w:hAnsi="宋体" w:cs="宋体"/>
          <w:b/>
          <w:color w:val="auto"/>
          <w:szCs w:val="21"/>
          <w:highlight w:val="none"/>
        </w:rPr>
        <w:t>作业。中标人接到采购人发出的</w:t>
      </w:r>
      <w:r>
        <w:rPr>
          <w:rFonts w:hint="eastAsia" w:ascii="宋体" w:hAnsi="宋体" w:cs="宋体"/>
          <w:b/>
          <w:color w:val="auto"/>
          <w:szCs w:val="21"/>
          <w:highlight w:val="none"/>
          <w:lang w:eastAsia="zh-CN"/>
        </w:rPr>
        <w:t>拖移</w:t>
      </w:r>
      <w:r>
        <w:rPr>
          <w:rFonts w:hint="eastAsia" w:ascii="宋体" w:hAnsi="宋体" w:cs="宋体"/>
          <w:b/>
          <w:color w:val="auto"/>
          <w:szCs w:val="21"/>
          <w:highlight w:val="none"/>
        </w:rPr>
        <w:t xml:space="preserve">指令起计，在规定时间（城区为20分钟，乡镇的为30分钟，高峰期的再各加10分钟）到达现场提供服务。 </w:t>
      </w:r>
    </w:p>
    <w:p w14:paraId="0FDCC4B2">
      <w:pPr>
        <w:spacing w:line="460" w:lineRule="exact"/>
        <w:rPr>
          <w:rFonts w:ascii="宋体" w:hAnsi="宋体" w:cs="宋体"/>
          <w:color w:val="auto"/>
          <w:szCs w:val="21"/>
          <w:highlight w:val="none"/>
        </w:rPr>
      </w:pPr>
      <w:r>
        <w:rPr>
          <w:rFonts w:hint="eastAsia" w:ascii="宋体" w:hAnsi="宋体" w:cs="宋体"/>
          <w:color w:val="auto"/>
          <w:szCs w:val="21"/>
          <w:highlight w:val="none"/>
        </w:rPr>
        <w:t>2、现场作业要求</w:t>
      </w:r>
    </w:p>
    <w:p w14:paraId="3F1789D1">
      <w:pPr>
        <w:spacing w:line="460" w:lineRule="exact"/>
        <w:rPr>
          <w:rFonts w:ascii="宋体" w:hAnsi="宋体" w:cs="宋体"/>
          <w:color w:val="auto"/>
          <w:szCs w:val="21"/>
          <w:highlight w:val="none"/>
        </w:rPr>
      </w:pPr>
      <w:r>
        <w:rPr>
          <w:rFonts w:hint="eastAsia" w:ascii="宋体" w:hAnsi="宋体" w:cs="宋体"/>
          <w:color w:val="auto"/>
          <w:szCs w:val="21"/>
          <w:highlight w:val="none"/>
        </w:rPr>
        <w:t>（1）中标人应按照采购人制订的拖吊车作业规范实施作业，包括对被拖吊车辆的检查和清点、按要求填写拖车</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作业单，以及按规范流程进行作业等；</w:t>
      </w:r>
    </w:p>
    <w:p w14:paraId="3C0D30AB">
      <w:pPr>
        <w:spacing w:line="460" w:lineRule="exact"/>
        <w:rPr>
          <w:rFonts w:ascii="宋体" w:hAnsi="宋体" w:cs="宋体"/>
          <w:color w:val="auto"/>
          <w:szCs w:val="21"/>
          <w:highlight w:val="none"/>
        </w:rPr>
      </w:pPr>
      <w:r>
        <w:rPr>
          <w:rFonts w:hint="eastAsia" w:ascii="宋体" w:hAnsi="宋体" w:cs="宋体"/>
          <w:color w:val="auto"/>
          <w:szCs w:val="21"/>
          <w:highlight w:val="none"/>
        </w:rPr>
        <w:t>（2）拖车作业人员应服从现场交警的指挥；</w:t>
      </w:r>
    </w:p>
    <w:p w14:paraId="3A4FB56F">
      <w:pPr>
        <w:spacing w:line="460" w:lineRule="exact"/>
        <w:rPr>
          <w:rFonts w:ascii="宋体" w:hAnsi="宋体" w:cs="宋体"/>
          <w:color w:val="auto"/>
          <w:szCs w:val="21"/>
          <w:highlight w:val="none"/>
        </w:rPr>
      </w:pPr>
      <w:r>
        <w:rPr>
          <w:rFonts w:hint="eastAsia" w:ascii="宋体" w:hAnsi="宋体" w:cs="宋体"/>
          <w:color w:val="auto"/>
          <w:szCs w:val="21"/>
          <w:highlight w:val="none"/>
        </w:rPr>
        <w:t>（3）中标人实施</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作业时，必须有交通警察在场并取得委托（拖车作业单应由在场民警签名确认）。</w:t>
      </w:r>
    </w:p>
    <w:p w14:paraId="3D3F5E41">
      <w:pPr>
        <w:spacing w:line="460" w:lineRule="exact"/>
        <w:rPr>
          <w:rFonts w:ascii="宋体" w:hAnsi="宋体" w:cs="宋体"/>
          <w:color w:val="auto"/>
          <w:szCs w:val="21"/>
          <w:highlight w:val="none"/>
        </w:rPr>
      </w:pPr>
      <w:bookmarkStart w:id="94" w:name="_Toc363483632"/>
      <w:r>
        <w:rPr>
          <w:rFonts w:hint="eastAsia" w:ascii="宋体" w:hAnsi="宋体" w:cs="宋体"/>
          <w:color w:val="auto"/>
          <w:szCs w:val="21"/>
          <w:highlight w:val="none"/>
        </w:rPr>
        <w:t>（4）中标人作业时必须严格遵守道路交通管理规定，不得因作业而影响交通、造成交通堵塞或损坏市政设施（如因作业需要违反交通管理规定的，应经现场交警同意）。</w:t>
      </w:r>
      <w:bookmarkEnd w:id="94"/>
    </w:p>
    <w:p w14:paraId="38F639BB">
      <w:pPr>
        <w:spacing w:line="460" w:lineRule="exact"/>
        <w:rPr>
          <w:rFonts w:ascii="宋体" w:hAnsi="宋体" w:cs="宋体"/>
          <w:color w:val="auto"/>
          <w:szCs w:val="21"/>
          <w:highlight w:val="none"/>
        </w:rPr>
      </w:pPr>
      <w:r>
        <w:rPr>
          <w:rFonts w:hint="eastAsia" w:ascii="宋体" w:hAnsi="宋体" w:cs="宋体"/>
          <w:color w:val="auto"/>
          <w:szCs w:val="21"/>
          <w:highlight w:val="none"/>
        </w:rPr>
        <w:t>（5）中标人作业时对车辆负责，若因作业对车辆造成损伤，需全款赔偿因此造成的损失费用。</w:t>
      </w:r>
    </w:p>
    <w:p w14:paraId="19703B1F">
      <w:pPr>
        <w:spacing w:line="460" w:lineRule="exact"/>
        <w:rPr>
          <w:rFonts w:ascii="宋体" w:hAnsi="宋体" w:cs="宋体"/>
          <w:b/>
          <w:color w:val="auto"/>
          <w:szCs w:val="21"/>
          <w:highlight w:val="none"/>
        </w:rPr>
      </w:pPr>
      <w:r>
        <w:rPr>
          <w:rFonts w:hint="eastAsia" w:ascii="宋体" w:hAnsi="宋体" w:cs="宋体"/>
          <w:b/>
          <w:color w:val="auto"/>
          <w:szCs w:val="21"/>
          <w:highlight w:val="none"/>
        </w:rPr>
        <w:t>（6）中标人作业时必须如实填写拖车作业登记表，登记表上注明事故时间、地点，车牌号、车型，拖移地点必须经事故车主同意且签字确认。</w:t>
      </w:r>
    </w:p>
    <w:p w14:paraId="5CCE999A">
      <w:pPr>
        <w:spacing w:line="460" w:lineRule="exact"/>
        <w:rPr>
          <w:rFonts w:ascii="宋体" w:hAnsi="宋体" w:cs="宋体"/>
          <w:color w:val="auto"/>
          <w:szCs w:val="21"/>
          <w:highlight w:val="none"/>
        </w:rPr>
      </w:pPr>
      <w:r>
        <w:rPr>
          <w:rFonts w:hint="eastAsia" w:ascii="宋体" w:hAnsi="宋体" w:cs="宋体"/>
          <w:color w:val="auto"/>
          <w:szCs w:val="21"/>
          <w:highlight w:val="none"/>
        </w:rPr>
        <w:t>3、被拖移车辆物品处理要求</w:t>
      </w:r>
    </w:p>
    <w:p w14:paraId="7A52FD4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中标人应按照采购人规定的程序及规范处置被拖吊车辆的随车物品，未经采购人或当事人同意，中标人不得进入被拖吊车辆的车辆内部（包括驾驶乘坐仓以及车尾箱等）。</w:t>
      </w:r>
    </w:p>
    <w:p w14:paraId="1CFE979C">
      <w:pPr>
        <w:spacing w:line="460" w:lineRule="exact"/>
        <w:rPr>
          <w:rFonts w:ascii="宋体" w:hAnsi="宋体" w:cs="宋体"/>
          <w:color w:val="auto"/>
          <w:szCs w:val="21"/>
          <w:highlight w:val="none"/>
        </w:rPr>
      </w:pPr>
      <w:r>
        <w:rPr>
          <w:rFonts w:hint="eastAsia" w:ascii="宋体" w:hAnsi="宋体" w:cs="宋体"/>
          <w:color w:val="auto"/>
          <w:szCs w:val="21"/>
          <w:highlight w:val="none"/>
        </w:rPr>
        <w:t>4、拖吊进场的要求</w:t>
      </w:r>
    </w:p>
    <w:p w14:paraId="3BA2744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中标人应按照要求将车辆拖至规定停车场。因中标人违反拖吊车作业规范，导致车辆（含随车物品）进场时与扣留时登记的实际状态不符的，停车场将拒绝接收车辆，由此造成的法律及经济责任由中标人承担。</w:t>
      </w:r>
    </w:p>
    <w:p w14:paraId="7DD69891">
      <w:pPr>
        <w:spacing w:line="460" w:lineRule="exact"/>
        <w:rPr>
          <w:rFonts w:ascii="宋体" w:hAnsi="宋体" w:cs="宋体"/>
          <w:color w:val="auto"/>
          <w:szCs w:val="21"/>
          <w:highlight w:val="none"/>
        </w:rPr>
      </w:pPr>
      <w:r>
        <w:rPr>
          <w:rFonts w:hint="eastAsia" w:ascii="宋体" w:hAnsi="宋体" w:cs="宋体"/>
          <w:color w:val="auto"/>
          <w:szCs w:val="21"/>
          <w:highlight w:val="none"/>
        </w:rPr>
        <w:t>5、如现场民警要求将涉案货车拖移至称重点或治超点进行称重的，中标人应予以满足，并在完成称重后，再将车辆拖移至指定的停车场。</w:t>
      </w:r>
    </w:p>
    <w:p w14:paraId="190652A2">
      <w:pPr>
        <w:spacing w:line="460" w:lineRule="exact"/>
        <w:rPr>
          <w:rFonts w:ascii="宋体" w:hAnsi="宋体" w:cs="宋体"/>
          <w:color w:val="auto"/>
          <w:szCs w:val="21"/>
          <w:highlight w:val="none"/>
        </w:rPr>
      </w:pPr>
      <w:r>
        <w:rPr>
          <w:rFonts w:hint="eastAsia" w:ascii="宋体" w:hAnsi="宋体" w:cs="宋体"/>
          <w:color w:val="auto"/>
          <w:szCs w:val="21"/>
          <w:highlight w:val="none"/>
        </w:rPr>
        <w:t>6、中标人应对“</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作业”所拖吊车辆数据进行分类登记，并定期向采购人报备。</w:t>
      </w:r>
    </w:p>
    <w:p w14:paraId="4823C3E5">
      <w:pPr>
        <w:spacing w:line="460" w:lineRule="exact"/>
        <w:outlineLvl w:val="1"/>
        <w:rPr>
          <w:rFonts w:ascii="宋体" w:hAnsi="宋体" w:cs="宋体"/>
          <w:b/>
          <w:bCs/>
          <w:color w:val="auto"/>
          <w:szCs w:val="21"/>
          <w:highlight w:val="none"/>
        </w:rPr>
      </w:pPr>
      <w:bookmarkStart w:id="95" w:name="_Toc318979057"/>
      <w:bookmarkStart w:id="96" w:name="_Toc14111"/>
      <w:bookmarkStart w:id="97" w:name="_Toc18897"/>
      <w:bookmarkStart w:id="98" w:name="_Toc10292"/>
      <w:bookmarkStart w:id="99" w:name="_Toc363483633"/>
      <w:r>
        <w:rPr>
          <w:rFonts w:hint="eastAsia" w:ascii="宋体" w:hAnsi="宋体" w:cs="宋体"/>
          <w:b/>
          <w:bCs/>
          <w:color w:val="auto"/>
          <w:szCs w:val="21"/>
          <w:highlight w:val="none"/>
        </w:rPr>
        <w:t>（五）项目管理及考评处罚办法</w:t>
      </w:r>
      <w:bookmarkEnd w:id="95"/>
      <w:bookmarkEnd w:id="96"/>
      <w:bookmarkEnd w:id="97"/>
      <w:bookmarkEnd w:id="98"/>
      <w:bookmarkEnd w:id="99"/>
    </w:p>
    <w:p w14:paraId="43E825C3">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1、采购人将不定期对中标人的作业情况及台帐登记情况进行检查。</w:t>
      </w:r>
    </w:p>
    <w:p w14:paraId="36C0234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2、中标人每月的服务费与当月的考核总评挂钩。采购人将对中标人</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任务完成的质量情况进行考评并制作月度考评表，并按照月度考核总评分数扣减相应的服务费用。</w:t>
      </w:r>
    </w:p>
    <w:p w14:paraId="08C4895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3、采购人根据检查发现并核实的问题向中标人发出整改通知书，要求限期整改，中标人应在规定期限内实施整改，并将整改结果书面报采购人；如中标人不按要求实施整改的，采购人有权扣减月度考核分数。</w:t>
      </w:r>
    </w:p>
    <w:p w14:paraId="7590F71B">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bCs/>
          <w:color w:val="auto"/>
          <w:szCs w:val="21"/>
          <w:highlight w:val="none"/>
        </w:rPr>
        <w:t>中标人在履约过程中若有数据造假以此套取利益，或出现其他重大违规事件，或在考评处罚办法中月度考核分数低于60分的，采购人有权终止合同且不退还履约保证金，且由此造成的损失由中标人负责</w:t>
      </w:r>
      <w:r>
        <w:rPr>
          <w:rFonts w:hint="eastAsia" w:ascii="宋体" w:hAnsi="宋体" w:cs="宋体"/>
          <w:color w:val="auto"/>
          <w:szCs w:val="21"/>
          <w:highlight w:val="none"/>
        </w:rPr>
        <w:t>。</w:t>
      </w:r>
    </w:p>
    <w:p w14:paraId="37C35943">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（六）考评办法</w:t>
      </w:r>
    </w:p>
    <w:p w14:paraId="08B4A78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1、采购人有权将中标人在合同服务期内违反合同规定的各种情况进行登记，建立诚信档案，制作月度考评表，按考评表分数比例扣减当月服务费用。</w:t>
      </w:r>
    </w:p>
    <w:p w14:paraId="2257B37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2、考评表评分按百分制，每一个月为一个计分周期。当月得分低于60分的，视为不合格，采购人不支付当月服务费用，且可单方面解除合同。</w:t>
      </w:r>
    </w:p>
    <w:p w14:paraId="191AC22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bCs/>
          <w:color w:val="auto"/>
          <w:szCs w:val="21"/>
          <w:highlight w:val="none"/>
        </w:rPr>
        <w:t>本考评处罚办法中所指“当月服务费用”为中标人具体服务月度服务费用，以采购需求中的车辆拖移定价乘以中标折扣率为结算单价，数量以每月实际拖移车辆数量为准，具体数量需经采购人认定。</w:t>
      </w:r>
    </w:p>
    <w:p w14:paraId="1B867CA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4、中标人服务费支付比例和月度考核情况挂钩：</w:t>
      </w:r>
    </w:p>
    <w:p w14:paraId="24A88E3D">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（1）当月总评＜60分的，视为不合格，当月服务费不予支付并从履约保证金中扣减3%；</w:t>
      </w:r>
    </w:p>
    <w:p w14:paraId="6DD5F9A1">
      <w:pPr>
        <w:spacing w:line="400" w:lineRule="exact"/>
        <w:ind w:firstLine="315" w:firstLineChars="150"/>
        <w:rPr>
          <w:rFonts w:ascii="宋体" w:hAnsi="宋体" w:cs="宋体"/>
          <w:color w:val="auto"/>
          <w:szCs w:val="21"/>
          <w:highlight w:val="none"/>
        </w:rPr>
      </w:pPr>
      <w:bookmarkStart w:id="100" w:name="_Toc363483634"/>
      <w:r>
        <w:rPr>
          <w:rFonts w:hint="eastAsia" w:ascii="宋体" w:hAnsi="宋体" w:cs="宋体"/>
          <w:color w:val="auto"/>
          <w:szCs w:val="21"/>
          <w:highlight w:val="none"/>
        </w:rPr>
        <w:t>（2）当月总评≥60分至≤80分的，按总评分数每减1分减少支付当月服务费1％。例如当月得分为75分的，则按95%支付当月服务费，依此类推；</w:t>
      </w:r>
      <w:bookmarkEnd w:id="100"/>
    </w:p>
    <w:p w14:paraId="1DD7AC99">
      <w:pPr>
        <w:spacing w:line="400" w:lineRule="exact"/>
        <w:ind w:firstLine="315" w:firstLineChars="150"/>
        <w:rPr>
          <w:rFonts w:ascii="宋体" w:hAnsi="宋体" w:cs="宋体"/>
          <w:color w:val="auto"/>
          <w:szCs w:val="21"/>
          <w:highlight w:val="none"/>
        </w:rPr>
      </w:pPr>
      <w:bookmarkStart w:id="101" w:name="_Toc363483635"/>
      <w:r>
        <w:rPr>
          <w:rFonts w:hint="eastAsia" w:ascii="宋体" w:hAnsi="宋体" w:cs="宋体"/>
          <w:color w:val="auto"/>
          <w:szCs w:val="21"/>
          <w:highlight w:val="none"/>
        </w:rPr>
        <w:t>（3）当月总评80分以上的，按100％支付当月服务费；</w:t>
      </w:r>
      <w:bookmarkEnd w:id="101"/>
    </w:p>
    <w:p w14:paraId="4BFD91C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5、采购人每月制作月度考评总表，作为结算依据之一。</w:t>
      </w:r>
      <w:bookmarkStart w:id="102" w:name="_Toc360023797"/>
      <w:bookmarkStart w:id="103" w:name="_Toc363483638"/>
    </w:p>
    <w:p w14:paraId="7B76130D">
      <w:pPr>
        <w:pStyle w:val="5"/>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eastAsiaTheme="minorEastAsia"/>
          <w:color w:val="auto"/>
          <w:kern w:val="2"/>
          <w:sz w:val="21"/>
          <w:szCs w:val="21"/>
          <w:highlight w:val="none"/>
          <w:lang w:val="en-US" w:eastAsia="zh-CN" w:bidi="ar-SA"/>
        </w:rPr>
        <w:t>年度考核达85分（含）以上的，续签下一年度服务合同</w:t>
      </w:r>
      <w:r>
        <w:rPr>
          <w:rFonts w:hint="eastAsia" w:ascii="宋体" w:hAnsi="宋体" w:cs="宋体"/>
          <w:color w:val="auto"/>
          <w:szCs w:val="21"/>
          <w:highlight w:val="none"/>
          <w:lang w:eastAsia="zh-CN"/>
        </w:rPr>
        <w:t>。</w:t>
      </w:r>
    </w:p>
    <w:p w14:paraId="41309E19">
      <w:pPr>
        <w:rPr>
          <w:rFonts w:ascii="宋体" w:hAnsi="宋体" w:cs="宋体"/>
          <w:b/>
          <w:bCs/>
          <w:color w:val="auto"/>
          <w:szCs w:val="21"/>
          <w:highlight w:val="none"/>
        </w:rPr>
      </w:pPr>
      <w:r>
        <w:rPr>
          <w:rFonts w:hint="eastAsia" w:ascii="宋体" w:hAnsi="宋体" w:cs="宋体"/>
          <w:b/>
          <w:bCs/>
          <w:color w:val="auto"/>
          <w:szCs w:val="21"/>
          <w:highlight w:val="none"/>
        </w:rPr>
        <w:t>（七）考评条款</w:t>
      </w:r>
    </w:p>
    <w:tbl>
      <w:tblPr>
        <w:tblStyle w:val="23"/>
        <w:tblpPr w:leftFromText="180" w:rightFromText="180" w:vertAnchor="text" w:horzAnchor="page" w:tblpX="743" w:tblpY="220"/>
        <w:tblOverlap w:val="never"/>
        <w:tblW w:w="10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945"/>
        <w:gridCol w:w="7605"/>
      </w:tblGrid>
      <w:tr w14:paraId="43EE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14:paraId="0FB70ECF">
            <w:pPr>
              <w:spacing w:line="460" w:lineRule="exact"/>
              <w:jc w:val="center"/>
              <w:rPr>
                <w:rFonts w:ascii="宋体" w:hAnsi="宋体" w:cs="宋体"/>
                <w:color w:val="auto"/>
                <w:szCs w:val="21"/>
                <w:highlight w:val="none"/>
              </w:rPr>
            </w:pPr>
            <w:r>
              <w:rPr>
                <w:rFonts w:hint="eastAsia" w:ascii="宋体" w:hAnsi="宋体" w:cs="宋体"/>
                <w:color w:val="auto"/>
                <w:kern w:val="0"/>
                <w:szCs w:val="21"/>
                <w:highlight w:val="none"/>
              </w:rPr>
              <w:t>项目</w:t>
            </w:r>
          </w:p>
        </w:tc>
        <w:tc>
          <w:tcPr>
            <w:tcW w:w="945" w:type="dxa"/>
          </w:tcPr>
          <w:p w14:paraId="7BD4698B">
            <w:pPr>
              <w:spacing w:line="4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分值</w:t>
            </w:r>
          </w:p>
        </w:tc>
        <w:tc>
          <w:tcPr>
            <w:tcW w:w="7605" w:type="dxa"/>
          </w:tcPr>
          <w:p w14:paraId="3EBD70ED">
            <w:pPr>
              <w:spacing w:line="460" w:lineRule="exact"/>
              <w:jc w:val="center"/>
              <w:rPr>
                <w:rFonts w:ascii="宋体" w:hAnsi="宋体" w:cs="宋体"/>
                <w:color w:val="auto"/>
                <w:szCs w:val="21"/>
                <w:highlight w:val="none"/>
              </w:rPr>
            </w:pPr>
            <w:r>
              <w:rPr>
                <w:rFonts w:hint="eastAsia" w:ascii="宋体" w:hAnsi="宋体" w:cs="宋体"/>
                <w:color w:val="auto"/>
                <w:kern w:val="0"/>
                <w:szCs w:val="21"/>
                <w:highlight w:val="none"/>
              </w:rPr>
              <w:t>内容</w:t>
            </w:r>
          </w:p>
        </w:tc>
      </w:tr>
      <w:tr w14:paraId="2A5E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13" w:type="dxa"/>
            <w:vAlign w:val="center"/>
          </w:tcPr>
          <w:p w14:paraId="103912E9">
            <w:pPr>
              <w:spacing w:line="460" w:lineRule="exact"/>
              <w:jc w:val="center"/>
              <w:rPr>
                <w:rFonts w:ascii="宋体" w:hAnsi="宋体" w:cs="宋体"/>
                <w:color w:val="auto"/>
                <w:szCs w:val="21"/>
                <w:highlight w:val="none"/>
              </w:rPr>
            </w:pPr>
            <w:r>
              <w:rPr>
                <w:rFonts w:hint="eastAsia" w:ascii="宋体" w:hAnsi="宋体" w:cs="宋体"/>
                <w:color w:val="auto"/>
                <w:kern w:val="0"/>
                <w:szCs w:val="21"/>
                <w:highlight w:val="none"/>
              </w:rPr>
              <w:t>诚信服务</w:t>
            </w:r>
          </w:p>
        </w:tc>
        <w:tc>
          <w:tcPr>
            <w:tcW w:w="945" w:type="dxa"/>
            <w:vAlign w:val="center"/>
          </w:tcPr>
          <w:p w14:paraId="1E5790E0">
            <w:pPr>
              <w:spacing w:line="4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7605" w:type="dxa"/>
          </w:tcPr>
          <w:p w14:paraId="3EA112D2">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1、存在诚信服务差，新闻媒体曝光，造成重大影响，倒查属实的，扣40分。</w:t>
            </w:r>
          </w:p>
        </w:tc>
      </w:tr>
      <w:tr w14:paraId="2F62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13" w:type="dxa"/>
            <w:vMerge w:val="restart"/>
            <w:vAlign w:val="center"/>
          </w:tcPr>
          <w:p w14:paraId="5E284AC1">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服务质量</w:t>
            </w:r>
          </w:p>
        </w:tc>
        <w:tc>
          <w:tcPr>
            <w:tcW w:w="945" w:type="dxa"/>
            <w:vAlign w:val="center"/>
          </w:tcPr>
          <w:p w14:paraId="099CB75B">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7605" w:type="dxa"/>
          </w:tcPr>
          <w:p w14:paraId="69DF7161">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1、服务过程中服务问题造成当事人投诉，并造成不良影响，倒查属实的，扣5分。</w:t>
            </w:r>
          </w:p>
        </w:tc>
      </w:tr>
      <w:tr w14:paraId="62E5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513" w:type="dxa"/>
            <w:vMerge w:val="continue"/>
            <w:vAlign w:val="center"/>
          </w:tcPr>
          <w:p w14:paraId="69DA4A6F">
            <w:pPr>
              <w:spacing w:line="460" w:lineRule="exact"/>
              <w:jc w:val="center"/>
              <w:rPr>
                <w:rFonts w:ascii="宋体" w:hAnsi="宋体" w:cs="宋体"/>
                <w:color w:val="auto"/>
                <w:szCs w:val="21"/>
                <w:highlight w:val="none"/>
              </w:rPr>
            </w:pPr>
          </w:p>
        </w:tc>
        <w:tc>
          <w:tcPr>
            <w:tcW w:w="945" w:type="dxa"/>
            <w:vAlign w:val="center"/>
          </w:tcPr>
          <w:p w14:paraId="03D3514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6D3D5BBA">
            <w:pPr>
              <w:numPr>
                <w:ilvl w:val="0"/>
                <w:numId w:val="2"/>
              </w:numPr>
              <w:spacing w:line="460" w:lineRule="exact"/>
              <w:rPr>
                <w:rFonts w:ascii="宋体" w:hAnsi="宋体" w:cs="宋体"/>
                <w:color w:val="auto"/>
                <w:szCs w:val="21"/>
                <w:highlight w:val="none"/>
              </w:rPr>
            </w:pPr>
            <w:r>
              <w:rPr>
                <w:rFonts w:hint="eastAsia" w:ascii="宋体" w:hAnsi="宋体" w:cs="宋体"/>
                <w:color w:val="auto"/>
                <w:szCs w:val="21"/>
                <w:highlight w:val="none"/>
              </w:rPr>
              <w:t>乙方服务人员上岗服务时必须统一着装，佩戴相应的工作证件，并配备必要的劳动及安全防护设施；所有拖车在执行任务时必须统一标识，并必须达到相关的安全技术要求。未按规定配备标识上岗的，发现一次扣1分。</w:t>
            </w:r>
          </w:p>
        </w:tc>
      </w:tr>
      <w:tr w14:paraId="6113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13" w:type="dxa"/>
            <w:vMerge w:val="continue"/>
            <w:vAlign w:val="center"/>
          </w:tcPr>
          <w:p w14:paraId="03345663">
            <w:pPr>
              <w:spacing w:line="460" w:lineRule="exact"/>
              <w:jc w:val="center"/>
              <w:rPr>
                <w:rFonts w:ascii="宋体" w:hAnsi="宋体" w:cs="宋体"/>
                <w:color w:val="auto"/>
                <w:szCs w:val="21"/>
                <w:highlight w:val="none"/>
              </w:rPr>
            </w:pPr>
          </w:p>
        </w:tc>
        <w:tc>
          <w:tcPr>
            <w:tcW w:w="945" w:type="dxa"/>
            <w:vAlign w:val="center"/>
          </w:tcPr>
          <w:p w14:paraId="051EED6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27313162">
            <w:pPr>
              <w:numPr>
                <w:ilvl w:val="0"/>
                <w:numId w:val="2"/>
              </w:numPr>
              <w:spacing w:line="460" w:lineRule="exact"/>
              <w:rPr>
                <w:rFonts w:ascii="宋体" w:hAnsi="宋体" w:cs="宋体"/>
                <w:color w:val="auto"/>
                <w:szCs w:val="21"/>
                <w:highlight w:val="none"/>
              </w:rPr>
            </w:pPr>
            <w:r>
              <w:rPr>
                <w:rFonts w:hint="eastAsia" w:ascii="宋体" w:hAnsi="宋体" w:cs="宋体"/>
                <w:color w:val="auto"/>
                <w:szCs w:val="21"/>
                <w:highlight w:val="none"/>
              </w:rPr>
              <w:t>发现不合格车辆提供拖车服务的，发现一次扣2分。</w:t>
            </w:r>
          </w:p>
        </w:tc>
      </w:tr>
      <w:tr w14:paraId="6FE3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513" w:type="dxa"/>
            <w:vMerge w:val="continue"/>
            <w:vAlign w:val="center"/>
          </w:tcPr>
          <w:p w14:paraId="4AAA9BE8">
            <w:pPr>
              <w:spacing w:line="460" w:lineRule="exact"/>
              <w:jc w:val="center"/>
              <w:rPr>
                <w:rFonts w:ascii="宋体" w:hAnsi="宋体" w:cs="宋体"/>
                <w:color w:val="auto"/>
                <w:szCs w:val="21"/>
                <w:highlight w:val="none"/>
              </w:rPr>
            </w:pPr>
          </w:p>
        </w:tc>
        <w:tc>
          <w:tcPr>
            <w:tcW w:w="945" w:type="dxa"/>
            <w:vAlign w:val="center"/>
          </w:tcPr>
          <w:p w14:paraId="47252C9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7605" w:type="dxa"/>
          </w:tcPr>
          <w:p w14:paraId="37E34647">
            <w:pPr>
              <w:spacing w:line="460" w:lineRule="exact"/>
              <w:rPr>
                <w:rFonts w:ascii="宋体" w:hAnsi="宋体" w:cs="宋体"/>
                <w:color w:val="auto"/>
                <w:szCs w:val="21"/>
                <w:highlight w:val="none"/>
              </w:rPr>
            </w:pPr>
            <w:r>
              <w:rPr>
                <w:rFonts w:hint="eastAsia" w:ascii="宋体" w:hAnsi="宋体" w:cs="宋体"/>
                <w:color w:val="auto"/>
                <w:szCs w:val="21"/>
                <w:highlight w:val="none"/>
              </w:rPr>
              <w:t>4、乙方必须保证设备和人员等数量满足实际的服务需要，以保证最终服务的高质、高效，所有服务人员（包括日后新增或替换的人员）必须经体检、岗前培训合格，并通过甲方审核后才能上岗，每缺岗一名，扣2分。</w:t>
            </w:r>
          </w:p>
        </w:tc>
      </w:tr>
      <w:tr w14:paraId="1680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13" w:type="dxa"/>
            <w:vMerge w:val="continue"/>
            <w:vAlign w:val="center"/>
          </w:tcPr>
          <w:p w14:paraId="02FCD115">
            <w:pPr>
              <w:spacing w:line="460" w:lineRule="exact"/>
              <w:jc w:val="center"/>
              <w:rPr>
                <w:rFonts w:ascii="宋体" w:hAnsi="宋体" w:cs="宋体"/>
                <w:color w:val="auto"/>
                <w:szCs w:val="21"/>
                <w:highlight w:val="none"/>
              </w:rPr>
            </w:pPr>
          </w:p>
        </w:tc>
        <w:tc>
          <w:tcPr>
            <w:tcW w:w="945" w:type="dxa"/>
            <w:vAlign w:val="center"/>
          </w:tcPr>
          <w:p w14:paraId="55BE120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7605" w:type="dxa"/>
          </w:tcPr>
          <w:p w14:paraId="7F2A4537">
            <w:pPr>
              <w:spacing w:line="460" w:lineRule="exact"/>
              <w:rPr>
                <w:rFonts w:ascii="宋体" w:hAnsi="宋体" w:cs="宋体"/>
                <w:color w:val="auto"/>
                <w:szCs w:val="21"/>
                <w:highlight w:val="none"/>
              </w:rPr>
            </w:pPr>
            <w:r>
              <w:rPr>
                <w:rFonts w:hint="eastAsia" w:ascii="宋体" w:hAnsi="宋体" w:cs="宋体"/>
                <w:color w:val="auto"/>
                <w:szCs w:val="21"/>
                <w:highlight w:val="none"/>
              </w:rPr>
              <w:t>5、甲方每月不少于四次对乙方的服务进行检查，</w:t>
            </w:r>
            <w:r>
              <w:rPr>
                <w:rFonts w:hint="eastAsia" w:ascii="宋体" w:hAnsi="宋体" w:cs="宋体"/>
                <w:color w:val="auto"/>
                <w:kern w:val="0"/>
                <w:szCs w:val="21"/>
                <w:highlight w:val="none"/>
              </w:rPr>
              <w:t>（对应采购需求）</w:t>
            </w:r>
            <w:r>
              <w:rPr>
                <w:rFonts w:hint="eastAsia" w:ascii="宋体" w:hAnsi="宋体" w:cs="宋体"/>
                <w:color w:val="auto"/>
                <w:szCs w:val="21"/>
                <w:highlight w:val="none"/>
              </w:rPr>
              <w:t>每发现一次不按各项管理制度执行的，扣0.5分。</w:t>
            </w:r>
          </w:p>
        </w:tc>
      </w:tr>
      <w:tr w14:paraId="0779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513" w:type="dxa"/>
            <w:vMerge w:val="restart"/>
            <w:vAlign w:val="center"/>
          </w:tcPr>
          <w:p w14:paraId="19688B81">
            <w:pPr>
              <w:spacing w:line="460" w:lineRule="exact"/>
              <w:jc w:val="center"/>
              <w:rPr>
                <w:rFonts w:ascii="宋体" w:hAnsi="宋体" w:cs="宋体"/>
                <w:color w:val="auto"/>
                <w:szCs w:val="21"/>
                <w:highlight w:val="none"/>
              </w:rPr>
            </w:pPr>
            <w:r>
              <w:rPr>
                <w:rFonts w:hint="eastAsia" w:ascii="宋体" w:hAnsi="宋体" w:cs="宋体"/>
                <w:color w:val="auto"/>
                <w:kern w:val="0"/>
                <w:szCs w:val="21"/>
                <w:highlight w:val="none"/>
              </w:rPr>
              <w:t>辖区中队综合评定</w:t>
            </w:r>
          </w:p>
        </w:tc>
        <w:tc>
          <w:tcPr>
            <w:tcW w:w="945" w:type="dxa"/>
            <w:vAlign w:val="center"/>
          </w:tcPr>
          <w:p w14:paraId="0F84D272">
            <w:pPr>
              <w:spacing w:line="4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605" w:type="dxa"/>
          </w:tcPr>
          <w:p w14:paraId="0747C1F0">
            <w:pPr>
              <w:spacing w:line="460" w:lineRule="exact"/>
              <w:rPr>
                <w:rFonts w:ascii="宋体" w:hAnsi="宋体" w:cs="宋体"/>
                <w:color w:val="auto"/>
                <w:kern w:val="0"/>
                <w:szCs w:val="21"/>
                <w:highlight w:val="none"/>
              </w:rPr>
            </w:pPr>
            <w:r>
              <w:rPr>
                <w:rFonts w:hint="eastAsia" w:ascii="宋体" w:hAnsi="宋体" w:cs="宋体"/>
                <w:color w:val="auto"/>
                <w:kern w:val="0"/>
                <w:szCs w:val="21"/>
                <w:highlight w:val="none"/>
              </w:rPr>
              <w:t>1、根据甲方要求，不在规定时间内到达现场的，扣1分。</w:t>
            </w:r>
          </w:p>
        </w:tc>
      </w:tr>
      <w:tr w14:paraId="41B0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14:paraId="7F86A88D">
            <w:pPr>
              <w:spacing w:line="460" w:lineRule="exact"/>
              <w:jc w:val="center"/>
              <w:rPr>
                <w:rFonts w:ascii="宋体" w:hAnsi="宋体" w:cs="宋体"/>
                <w:color w:val="auto"/>
                <w:szCs w:val="21"/>
                <w:highlight w:val="none"/>
              </w:rPr>
            </w:pPr>
          </w:p>
        </w:tc>
        <w:tc>
          <w:tcPr>
            <w:tcW w:w="945" w:type="dxa"/>
            <w:vAlign w:val="center"/>
          </w:tcPr>
          <w:p w14:paraId="6CBFEC8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2C0572D3">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2、接到甲方工作指令，存在推诿现象的，扣1分。</w:t>
            </w:r>
          </w:p>
        </w:tc>
      </w:tr>
      <w:tr w14:paraId="3F39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13" w:type="dxa"/>
            <w:vMerge w:val="continue"/>
            <w:vAlign w:val="center"/>
          </w:tcPr>
          <w:p w14:paraId="2C18A50F">
            <w:pPr>
              <w:spacing w:line="460" w:lineRule="exact"/>
              <w:jc w:val="center"/>
              <w:rPr>
                <w:rFonts w:ascii="宋体" w:hAnsi="宋体" w:cs="宋体"/>
                <w:color w:val="auto"/>
                <w:szCs w:val="21"/>
                <w:highlight w:val="none"/>
              </w:rPr>
            </w:pPr>
          </w:p>
        </w:tc>
        <w:tc>
          <w:tcPr>
            <w:tcW w:w="945" w:type="dxa"/>
            <w:vAlign w:val="center"/>
          </w:tcPr>
          <w:p w14:paraId="612480CE">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7BAF87A2">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3、出动拖车不按规定配带有关装备的，扣1分。</w:t>
            </w:r>
          </w:p>
        </w:tc>
      </w:tr>
      <w:tr w14:paraId="73D9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14:paraId="1731106F">
            <w:pPr>
              <w:spacing w:line="460" w:lineRule="exact"/>
              <w:jc w:val="center"/>
              <w:rPr>
                <w:rFonts w:ascii="宋体" w:hAnsi="宋体" w:cs="宋体"/>
                <w:color w:val="auto"/>
                <w:szCs w:val="21"/>
                <w:highlight w:val="none"/>
              </w:rPr>
            </w:pPr>
          </w:p>
        </w:tc>
        <w:tc>
          <w:tcPr>
            <w:tcW w:w="945" w:type="dxa"/>
            <w:vAlign w:val="center"/>
          </w:tcPr>
          <w:p w14:paraId="1E57009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1664042F">
            <w:pPr>
              <w:spacing w:line="460" w:lineRule="exact"/>
              <w:rPr>
                <w:rFonts w:ascii="宋体" w:hAnsi="宋体" w:cs="宋体"/>
                <w:color w:val="auto"/>
                <w:kern w:val="0"/>
                <w:szCs w:val="21"/>
                <w:highlight w:val="none"/>
              </w:rPr>
            </w:pPr>
            <w:r>
              <w:rPr>
                <w:rFonts w:hint="eastAsia" w:ascii="宋体" w:hAnsi="宋体" w:cs="宋体"/>
                <w:color w:val="auto"/>
                <w:kern w:val="0"/>
                <w:szCs w:val="21"/>
                <w:highlight w:val="none"/>
              </w:rPr>
              <w:t>4、违规收取当事人有关费用的，视后果一次扣5分。</w:t>
            </w:r>
          </w:p>
        </w:tc>
      </w:tr>
      <w:tr w14:paraId="4944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14:paraId="063B4866">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945" w:type="dxa"/>
            <w:vAlign w:val="center"/>
          </w:tcPr>
          <w:p w14:paraId="58E0A6AC">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100</w:t>
            </w:r>
          </w:p>
        </w:tc>
        <w:tc>
          <w:tcPr>
            <w:tcW w:w="7605" w:type="dxa"/>
          </w:tcPr>
          <w:p w14:paraId="6E9647CE">
            <w:pPr>
              <w:spacing w:line="460" w:lineRule="exact"/>
              <w:rPr>
                <w:rFonts w:ascii="宋体" w:hAnsi="宋体" w:cs="宋体"/>
                <w:color w:val="auto"/>
                <w:kern w:val="0"/>
                <w:szCs w:val="21"/>
                <w:highlight w:val="none"/>
              </w:rPr>
            </w:pPr>
          </w:p>
        </w:tc>
      </w:tr>
      <w:bookmarkEnd w:id="102"/>
      <w:bookmarkEnd w:id="103"/>
    </w:tbl>
    <w:p w14:paraId="5F438755">
      <w:pPr>
        <w:numPr>
          <w:ilvl w:val="0"/>
          <w:numId w:val="0"/>
        </w:numPr>
        <w:spacing w:line="460" w:lineRule="exact"/>
        <w:ind w:firstLine="422" w:firstLineChars="200"/>
        <w:rPr>
          <w:rFonts w:hint="eastAsia" w:ascii="宋体" w:hAnsi="宋体" w:cs="宋体"/>
          <w:b/>
          <w:bCs/>
          <w:color w:val="auto"/>
          <w:szCs w:val="21"/>
          <w:highlight w:val="none"/>
          <w:lang w:eastAsia="zh-CN"/>
        </w:rPr>
      </w:pPr>
      <w:bookmarkStart w:id="104" w:name="_Toc101951261"/>
      <w:bookmarkStart w:id="105" w:name="_Toc318979065"/>
      <w:bookmarkStart w:id="106" w:name="_Toc363483678"/>
      <w:bookmarkStart w:id="107" w:name="_Toc175644392"/>
      <w:bookmarkStart w:id="108" w:name="_Toc10446"/>
      <w:bookmarkStart w:id="109" w:name="_Toc16700"/>
      <w:bookmarkStart w:id="110" w:name="_Toc13526"/>
      <w:r>
        <w:rPr>
          <w:rFonts w:hint="eastAsia" w:ascii="宋体" w:hAnsi="宋体" w:cs="宋体"/>
          <w:b/>
          <w:bCs/>
          <w:color w:val="auto"/>
          <w:szCs w:val="21"/>
          <w:highlight w:val="none"/>
          <w:lang w:eastAsia="zh-CN"/>
        </w:rPr>
        <w:t>（八）服务期:</w:t>
      </w:r>
    </w:p>
    <w:p w14:paraId="75C3C5A0">
      <w:pPr>
        <w:numPr>
          <w:ilvl w:val="0"/>
          <w:numId w:val="0"/>
        </w:numPr>
        <w:spacing w:line="4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服务时间3年，具体日期以合同签订时间为准。合同</w:t>
      </w:r>
      <w:r>
        <w:rPr>
          <w:rFonts w:hint="eastAsia" w:ascii="宋体" w:hAnsi="宋体" w:cs="宋体"/>
          <w:color w:val="auto"/>
          <w:szCs w:val="21"/>
          <w:highlight w:val="none"/>
          <w:lang w:val="en-US" w:eastAsia="zh-CN"/>
        </w:rPr>
        <w:t>签订为</w:t>
      </w:r>
      <w:r>
        <w:rPr>
          <w:rFonts w:hint="eastAsia" w:ascii="宋体" w:hAnsi="宋体" w:cs="宋体"/>
          <w:color w:val="auto"/>
          <w:szCs w:val="21"/>
          <w:highlight w:val="none"/>
          <w:lang w:eastAsia="zh-CN"/>
        </w:rPr>
        <w:t>一年一签。</w:t>
      </w:r>
    </w:p>
    <w:p w14:paraId="1B5BCD62">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在服务期内，年度考核达85分（含）以上的，续签下一年度服务合同。</w:t>
      </w:r>
    </w:p>
    <w:p w14:paraId="067AC1FA">
      <w:pPr>
        <w:numPr>
          <w:ilvl w:val="0"/>
          <w:numId w:val="3"/>
        </w:numPr>
        <w:spacing w:line="460" w:lineRule="exact"/>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履约保证金：</w:t>
      </w:r>
    </w:p>
    <w:p w14:paraId="144EE449">
      <w:pPr>
        <w:numPr>
          <w:ilvl w:val="0"/>
          <w:numId w:val="0"/>
        </w:num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1、乙方须自合同签订之日起10日内向甲方提交合同总额</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%的履约保证金。</w:t>
      </w:r>
    </w:p>
    <w:p w14:paraId="3B17D87E">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2、履约保证金用于补偿甲方因乙方不能履行其合同义务而</w:t>
      </w:r>
      <w:r>
        <w:rPr>
          <w:rFonts w:hint="eastAsia" w:ascii="宋体" w:hAnsi="宋体" w:cs="宋体"/>
          <w:color w:val="auto"/>
          <w:szCs w:val="21"/>
          <w:highlight w:val="none"/>
          <w:lang w:eastAsia="zh-CN"/>
        </w:rPr>
        <w:t>造成</w:t>
      </w:r>
      <w:r>
        <w:rPr>
          <w:rFonts w:hint="eastAsia" w:ascii="宋体" w:hAnsi="宋体" w:cs="宋体"/>
          <w:color w:val="auto"/>
          <w:szCs w:val="21"/>
          <w:highlight w:val="none"/>
        </w:rPr>
        <w:t>的损失。</w:t>
      </w:r>
    </w:p>
    <w:p w14:paraId="2CF26369">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3、在合同履约到期且无质量、服务投诉和索赔后该款项10个工作日内无息返还。</w:t>
      </w:r>
    </w:p>
    <w:p w14:paraId="4733A31C">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4、乙方在履行合同的过程中不得私自收受其他相关的任何费用，造成恶劣影响，否则一经查实，甲方可以终止合同，不退还履约保证金，并列入下一年度名单不得再参与相关招标项目。</w:t>
      </w:r>
    </w:p>
    <w:p w14:paraId="488C69AF">
      <w:pPr>
        <w:numPr>
          <w:ilvl w:val="0"/>
          <w:numId w:val="0"/>
        </w:numPr>
        <w:spacing w:line="460" w:lineRule="exact"/>
        <w:ind w:firstLine="422" w:firstLineChars="200"/>
        <w:outlineLvl w:val="1"/>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十</w:t>
      </w:r>
      <w:r>
        <w:rPr>
          <w:rFonts w:hint="eastAsia" w:ascii="宋体" w:hAnsi="宋体" w:cs="宋体"/>
          <w:b/>
          <w:bCs/>
          <w:color w:val="auto"/>
          <w:szCs w:val="21"/>
          <w:highlight w:val="none"/>
        </w:rPr>
        <w:t>）付款</w:t>
      </w:r>
      <w:bookmarkEnd w:id="104"/>
      <w:bookmarkEnd w:id="105"/>
      <w:bookmarkEnd w:id="106"/>
      <w:bookmarkEnd w:id="107"/>
      <w:r>
        <w:rPr>
          <w:rFonts w:hint="eastAsia" w:ascii="宋体" w:hAnsi="宋体" w:cs="宋体"/>
          <w:b/>
          <w:bCs/>
          <w:color w:val="auto"/>
          <w:szCs w:val="21"/>
          <w:highlight w:val="none"/>
        </w:rPr>
        <w:t>条件</w:t>
      </w:r>
      <w:bookmarkEnd w:id="108"/>
      <w:bookmarkEnd w:id="109"/>
      <w:bookmarkEnd w:id="110"/>
    </w:p>
    <w:p w14:paraId="1818DF3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1、拖移车辆计费：</w:t>
      </w:r>
    </w:p>
    <w:p w14:paraId="0CAFBFE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拖移车辆，由采购人按拖移数量与拖移单价进行结算，由采购人支付；中标人不得向当事人收取任何费用。如发现违规收取费用，采购人有权让中标人按当次收取费用的</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倍来缴纳违约罚款。超过3次以上，采购人有权解除合同并没收履约保证金。</w:t>
      </w:r>
    </w:p>
    <w:p w14:paraId="52492604">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2、付款方式。</w:t>
      </w:r>
    </w:p>
    <w:p w14:paraId="6874492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服务费用按月结算及支付，中标人应于每月20日前提交上月报账表及相关资料给采购人进行审核，并在采购人完成审核后5个工作日内，提供等额的正式发票和审核材料给采购人，以便采购人财务部门办理支付手续，采购人在收到中标人提供的正式发票后15日内支付。</w:t>
      </w:r>
    </w:p>
    <w:p w14:paraId="68FE3D0F">
      <w:pPr>
        <w:spacing w:line="100" w:lineRule="exact"/>
        <w:rPr>
          <w:rFonts w:ascii="宋体" w:hAnsi="宋体" w:cs="宋体"/>
          <w:b/>
          <w:bCs/>
          <w:color w:val="auto"/>
          <w:szCs w:val="21"/>
          <w:highlight w:val="none"/>
        </w:rPr>
      </w:pPr>
    </w:p>
    <w:p w14:paraId="531115BA">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十一</w:t>
      </w:r>
      <w:r>
        <w:rPr>
          <w:rFonts w:hint="eastAsia" w:ascii="宋体" w:hAnsi="宋体" w:cs="宋体"/>
          <w:b/>
          <w:bCs/>
          <w:color w:val="auto"/>
          <w:szCs w:val="21"/>
          <w:highlight w:val="none"/>
        </w:rPr>
        <w:t>）其他要求</w:t>
      </w:r>
    </w:p>
    <w:p w14:paraId="4416FDC7">
      <w:pPr>
        <w:pStyle w:val="7"/>
        <w:kinsoku w:val="0"/>
        <w:overflowPunct w:val="0"/>
        <w:spacing w:before="26" w:line="400" w:lineRule="exact"/>
        <w:ind w:right="250"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 xml:space="preserve">1、投标人应保证积极主动的与采购人配合，不论业务量大小以及时间地点，随时响应采购人的各项要求，按采购人约定时间到位。 </w:t>
      </w:r>
    </w:p>
    <w:p w14:paraId="40AA0ED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2、履行本项目合同</w:t>
      </w:r>
      <w:r>
        <w:rPr>
          <w:rFonts w:hint="eastAsia" w:ascii="宋体" w:hAnsi="宋体" w:cs="宋体"/>
          <w:color w:val="auto"/>
          <w:szCs w:val="21"/>
          <w:highlight w:val="none"/>
          <w:lang w:eastAsia="zh-CN"/>
        </w:rPr>
        <w:t>的</w:t>
      </w:r>
      <w:r>
        <w:rPr>
          <w:rFonts w:hint="eastAsia" w:ascii="宋体" w:hAnsi="宋体" w:cs="宋体"/>
          <w:color w:val="auto"/>
          <w:szCs w:val="21"/>
          <w:highlight w:val="none"/>
        </w:rPr>
        <w:t>设备、车辆、人工、税费、管理费</w:t>
      </w:r>
      <w:r>
        <w:rPr>
          <w:rFonts w:hint="eastAsia" w:ascii="宋体" w:hAnsi="宋体" w:cs="宋体"/>
          <w:b/>
          <w:bCs/>
          <w:color w:val="auto"/>
          <w:szCs w:val="21"/>
          <w:highlight w:val="none"/>
          <w:lang w:eastAsia="zh-CN"/>
        </w:rPr>
        <w:t>以及提供拖车驻点备勤服务</w:t>
      </w:r>
      <w:r>
        <w:rPr>
          <w:rFonts w:hint="eastAsia" w:ascii="宋体" w:hAnsi="宋体" w:cs="宋体"/>
          <w:color w:val="auto"/>
          <w:szCs w:val="21"/>
          <w:highlight w:val="none"/>
        </w:rPr>
        <w:t>等一切费用，请投标人自行考虑至报价中。本项目</w:t>
      </w:r>
      <w:r>
        <w:rPr>
          <w:rFonts w:hint="eastAsia" w:ascii="宋体" w:hAnsi="宋体" w:cs="宋体"/>
          <w:color w:val="auto"/>
          <w:szCs w:val="21"/>
          <w:highlight w:val="none"/>
          <w:lang w:eastAsia="zh-CN"/>
        </w:rPr>
        <w:t>拖移数</w:t>
      </w:r>
      <w:r>
        <w:rPr>
          <w:rFonts w:hint="eastAsia" w:ascii="宋体" w:hAnsi="宋体" w:cs="宋体"/>
          <w:color w:val="auto"/>
          <w:szCs w:val="21"/>
          <w:highlight w:val="none"/>
        </w:rPr>
        <w:t>量按实计取，经采购人签字并盖章后确认。</w:t>
      </w:r>
    </w:p>
    <w:p w14:paraId="06F1FF79">
      <w:pPr>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采购人不承诺中标的供应商实际承接业务量，供应商在履约中应注意，未经采购人确认的超额工程量不计。合同签订后，采购人不承诺中标人实际承接业务量，中标人须积极配合，不得拒绝，并在采购人要求的时间内完成任务，否则视为的中标人违约，采购人有权没收履约保证金，实际服务过程中如遇临时加急加班情况，中标人须积极配合，不得拒绝。</w:t>
      </w:r>
    </w:p>
    <w:p w14:paraId="2A44BEDD">
      <w:pPr>
        <w:spacing w:line="460" w:lineRule="exact"/>
        <w:ind w:firstLine="420" w:firstLineChars="200"/>
        <w:outlineLvl w:val="1"/>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4、</w:t>
      </w:r>
      <w:bookmarkStart w:id="111" w:name="_Toc2943"/>
      <w:bookmarkStart w:id="112" w:name="_Toc28201"/>
      <w:bookmarkStart w:id="113" w:name="_Toc1986"/>
      <w:r>
        <w:rPr>
          <w:rFonts w:hint="eastAsia" w:ascii="宋体" w:hAnsi="宋体" w:cs="宋体"/>
          <w:b/>
          <w:bCs/>
          <w:color w:val="auto"/>
          <w:szCs w:val="21"/>
          <w:highlight w:val="none"/>
        </w:rPr>
        <w:t>中标人全权负责施救过程造成的损失</w:t>
      </w:r>
      <w:r>
        <w:rPr>
          <w:rFonts w:hint="eastAsia" w:ascii="宋体" w:hAnsi="宋体" w:cs="宋体"/>
          <w:b/>
          <w:bCs/>
          <w:color w:val="auto"/>
          <w:szCs w:val="21"/>
          <w:highlight w:val="none"/>
          <w:lang w:eastAsia="zh-CN"/>
        </w:rPr>
        <w:t>及</w:t>
      </w:r>
      <w:r>
        <w:rPr>
          <w:rFonts w:hint="eastAsia" w:ascii="宋体" w:hAnsi="宋体" w:cs="宋体"/>
          <w:b/>
          <w:bCs/>
          <w:color w:val="auto"/>
          <w:szCs w:val="21"/>
          <w:highlight w:val="none"/>
        </w:rPr>
        <w:t>由此次施救过程</w:t>
      </w:r>
      <w:r>
        <w:rPr>
          <w:rFonts w:hint="eastAsia" w:ascii="宋体" w:hAnsi="宋体" w:cs="宋体"/>
          <w:b/>
          <w:bCs/>
          <w:color w:val="auto"/>
          <w:szCs w:val="21"/>
          <w:highlight w:val="none"/>
          <w:lang w:eastAsia="zh-CN"/>
        </w:rPr>
        <w:t>中</w:t>
      </w:r>
      <w:r>
        <w:rPr>
          <w:rFonts w:hint="eastAsia" w:ascii="宋体" w:hAnsi="宋体" w:cs="宋体"/>
          <w:b/>
          <w:bCs/>
          <w:color w:val="auto"/>
          <w:szCs w:val="21"/>
          <w:highlight w:val="none"/>
        </w:rPr>
        <w:t>二次事故造成的损伤赔偿。</w:t>
      </w:r>
      <w:bookmarkEnd w:id="111"/>
      <w:bookmarkEnd w:id="112"/>
      <w:bookmarkEnd w:id="113"/>
    </w:p>
    <w:p w14:paraId="291998CE">
      <w:pPr>
        <w:pStyle w:val="7"/>
        <w:ind w:firstLine="420" w:firstLineChars="200"/>
        <w:rPr>
          <w:rFonts w:hint="eastAsia" w:eastAsia="宋体"/>
          <w:color w:val="auto"/>
          <w:highlight w:val="none"/>
          <w:lang w:val="en-US" w:eastAsia="zh-CN"/>
        </w:rPr>
      </w:pPr>
    </w:p>
    <w:p w14:paraId="1376485A">
      <w:pPr>
        <w:pageBreakBefore/>
        <w:snapToGrid w:val="0"/>
        <w:spacing w:line="360" w:lineRule="auto"/>
        <w:jc w:val="center"/>
        <w:outlineLvl w:val="0"/>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第六部分 拟签订的合同文本</w:t>
      </w:r>
    </w:p>
    <w:p w14:paraId="4E248C00">
      <w:pPr>
        <w:widowControl/>
        <w:spacing w:line="400" w:lineRule="exact"/>
        <w:jc w:val="center"/>
        <w:rPr>
          <w:rFonts w:ascii="宋体" w:hAnsi="宋体" w:cs="微软雅黑"/>
          <w:color w:val="auto"/>
          <w:kern w:val="0"/>
          <w:szCs w:val="21"/>
          <w:highlight w:val="none"/>
          <w:lang w:bidi="en-US"/>
        </w:rPr>
      </w:pPr>
      <w:r>
        <w:rPr>
          <w:rFonts w:hint="eastAsia" w:ascii="宋体" w:hAnsi="宋体" w:cs="微软雅黑"/>
          <w:color w:val="auto"/>
          <w:kern w:val="0"/>
          <w:szCs w:val="21"/>
          <w:highlight w:val="none"/>
          <w:lang w:bidi="en-US"/>
        </w:rPr>
        <w:t>（本合同为参考，具体结合采购需求及中标人投标承诺，以实际签署为准）</w:t>
      </w:r>
    </w:p>
    <w:p w14:paraId="45D25A7A">
      <w:pPr>
        <w:spacing w:line="400" w:lineRule="exact"/>
        <w:rPr>
          <w:rFonts w:ascii="宋体" w:hAnsi="宋体" w:cs="宋体"/>
          <w:color w:val="auto"/>
          <w:kern w:val="0"/>
          <w:szCs w:val="21"/>
          <w:highlight w:val="none"/>
        </w:rPr>
      </w:pPr>
      <w:r>
        <w:rPr>
          <w:rFonts w:hint="eastAsia" w:ascii="宋体" w:hAnsi="宋体" w:cs="宋体"/>
          <w:color w:val="auto"/>
          <w:szCs w:val="21"/>
          <w:highlight w:val="none"/>
        </w:rPr>
        <w:t>甲方（采购人）</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台州</w:t>
      </w:r>
      <w:r>
        <w:rPr>
          <w:rFonts w:hint="eastAsia" w:ascii="宋体" w:hAnsi="宋体" w:cs="宋体"/>
          <w:color w:val="auto"/>
          <w:kern w:val="0"/>
          <w:szCs w:val="21"/>
          <w:highlight w:val="none"/>
        </w:rPr>
        <w:t>市公安局交通警察局</w:t>
      </w:r>
    </w:p>
    <w:p w14:paraId="43BA85E2">
      <w:pPr>
        <w:spacing w:line="400" w:lineRule="exact"/>
        <w:rPr>
          <w:rFonts w:ascii="宋体" w:hAnsi="宋体" w:cs="宋体"/>
          <w:b/>
          <w:color w:val="auto"/>
          <w:szCs w:val="21"/>
          <w:highlight w:val="none"/>
        </w:rPr>
      </w:pPr>
      <w:r>
        <w:rPr>
          <w:rFonts w:hint="eastAsia" w:ascii="宋体" w:hAnsi="宋体" w:cs="宋体"/>
          <w:color w:val="auto"/>
          <w:szCs w:val="21"/>
          <w:highlight w:val="none"/>
        </w:rPr>
        <w:t>乙方（中标人）</w:t>
      </w:r>
      <w:r>
        <w:rPr>
          <w:rFonts w:hint="eastAsia" w:ascii="宋体" w:hAnsi="宋体" w:cs="宋体"/>
          <w:color w:val="auto"/>
          <w:kern w:val="0"/>
          <w:szCs w:val="21"/>
          <w:highlight w:val="none"/>
        </w:rPr>
        <w:t>：</w:t>
      </w:r>
    </w:p>
    <w:p w14:paraId="5110E95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 年 月日</w:t>
      </w:r>
      <w:r>
        <w:rPr>
          <w:rFonts w:hint="eastAsia" w:ascii="宋体" w:hAnsi="宋体" w:cs="宋体"/>
          <w:b/>
          <w:color w:val="auto"/>
          <w:szCs w:val="21"/>
          <w:highlight w:val="none"/>
          <w:u w:val="single"/>
          <w:lang w:eastAsia="zh-CN"/>
        </w:rPr>
        <w:t>台州市公安局交通警察局2025-2027涉案车辆（交通违法、交通事故）拖移服务（重新招标）</w:t>
      </w:r>
      <w:r>
        <w:rPr>
          <w:rFonts w:hint="eastAsia" w:ascii="宋体" w:hAnsi="宋体" w:cs="宋体"/>
          <w:color w:val="auto"/>
          <w:szCs w:val="21"/>
          <w:highlight w:val="none"/>
        </w:rPr>
        <w:t>采购招标结果和要求，并依照《中华人民共和国民法典》《中华人民共和国政府采购法》及其他等有关法律、行政法规的规定，同时在平等、公平、诚实和信用的原则下，经双方协商一致，订立本合同。</w:t>
      </w:r>
    </w:p>
    <w:p w14:paraId="6728A6F9">
      <w:pPr>
        <w:spacing w:line="460" w:lineRule="exact"/>
        <w:outlineLvl w:val="1"/>
        <w:rPr>
          <w:rFonts w:ascii="宋体" w:hAnsi="宋体" w:cs="宋体"/>
          <w:b/>
          <w:bCs/>
          <w:color w:val="auto"/>
          <w:szCs w:val="21"/>
          <w:highlight w:val="none"/>
        </w:rPr>
      </w:pPr>
      <w:bookmarkStart w:id="114" w:name="_Toc11424"/>
      <w:bookmarkStart w:id="115" w:name="_Toc12372"/>
      <w:bookmarkStart w:id="116" w:name="_Toc17212"/>
      <w:r>
        <w:rPr>
          <w:rFonts w:hint="eastAsia" w:ascii="宋体" w:hAnsi="宋体" w:cs="宋体"/>
          <w:b/>
          <w:bCs/>
          <w:color w:val="auto"/>
          <w:szCs w:val="21"/>
          <w:highlight w:val="none"/>
        </w:rPr>
        <w:t>一、车辆清单</w:t>
      </w:r>
      <w:bookmarkEnd w:id="114"/>
      <w:bookmarkEnd w:id="115"/>
      <w:bookmarkEnd w:id="116"/>
    </w:p>
    <w:p w14:paraId="36991B55">
      <w:pPr>
        <w:spacing w:line="460" w:lineRule="exact"/>
        <w:rPr>
          <w:rFonts w:ascii="宋体" w:hAnsi="宋体" w:cs="宋体"/>
          <w:color w:val="auto"/>
          <w:szCs w:val="21"/>
          <w:highlight w:val="none"/>
        </w:rPr>
      </w:pPr>
      <w:r>
        <w:rPr>
          <w:rFonts w:hint="eastAsia" w:ascii="宋体" w:hAnsi="宋体" w:cs="宋体"/>
          <w:color w:val="auto"/>
          <w:szCs w:val="21"/>
          <w:highlight w:val="none"/>
        </w:rPr>
        <w:t>提供拖车服务的车辆清单：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52"/>
        <w:gridCol w:w="1710"/>
        <w:gridCol w:w="1471"/>
        <w:gridCol w:w="1322"/>
        <w:gridCol w:w="1592"/>
        <w:gridCol w:w="1316"/>
      </w:tblGrid>
      <w:tr w14:paraId="68A5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7B99527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52" w:type="dxa"/>
            <w:vAlign w:val="center"/>
          </w:tcPr>
          <w:p w14:paraId="017DB25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车辆类型</w:t>
            </w:r>
          </w:p>
        </w:tc>
        <w:tc>
          <w:tcPr>
            <w:tcW w:w="1710" w:type="dxa"/>
            <w:vAlign w:val="center"/>
          </w:tcPr>
          <w:p w14:paraId="560C604E">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车辆品牌型号</w:t>
            </w:r>
          </w:p>
        </w:tc>
        <w:tc>
          <w:tcPr>
            <w:tcW w:w="1471" w:type="dxa"/>
            <w:vAlign w:val="center"/>
          </w:tcPr>
          <w:p w14:paraId="4913FC6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车牌号码</w:t>
            </w:r>
          </w:p>
        </w:tc>
        <w:tc>
          <w:tcPr>
            <w:tcW w:w="1322" w:type="dxa"/>
            <w:vAlign w:val="center"/>
          </w:tcPr>
          <w:p w14:paraId="186473BF">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核载质量</w:t>
            </w:r>
          </w:p>
        </w:tc>
        <w:tc>
          <w:tcPr>
            <w:tcW w:w="1592" w:type="dxa"/>
            <w:vAlign w:val="center"/>
          </w:tcPr>
          <w:p w14:paraId="0C07235C">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注册登记日期</w:t>
            </w:r>
          </w:p>
        </w:tc>
        <w:tc>
          <w:tcPr>
            <w:tcW w:w="1316" w:type="dxa"/>
            <w:vAlign w:val="center"/>
          </w:tcPr>
          <w:p w14:paraId="6A6898CA">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59F9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40D8DEC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752" w:type="dxa"/>
            <w:vAlign w:val="center"/>
          </w:tcPr>
          <w:p w14:paraId="60EC08EE">
            <w:pPr>
              <w:spacing w:line="460" w:lineRule="exact"/>
              <w:jc w:val="center"/>
              <w:rPr>
                <w:rFonts w:ascii="宋体" w:hAnsi="宋体" w:cs="宋体"/>
                <w:color w:val="auto"/>
                <w:szCs w:val="21"/>
                <w:highlight w:val="none"/>
              </w:rPr>
            </w:pPr>
          </w:p>
        </w:tc>
        <w:tc>
          <w:tcPr>
            <w:tcW w:w="1710" w:type="dxa"/>
            <w:vAlign w:val="center"/>
          </w:tcPr>
          <w:p w14:paraId="61B8F601">
            <w:pPr>
              <w:spacing w:line="460" w:lineRule="exact"/>
              <w:jc w:val="center"/>
              <w:rPr>
                <w:rFonts w:ascii="宋体" w:hAnsi="宋体" w:cs="宋体"/>
                <w:color w:val="auto"/>
                <w:szCs w:val="21"/>
                <w:highlight w:val="none"/>
              </w:rPr>
            </w:pPr>
          </w:p>
        </w:tc>
        <w:tc>
          <w:tcPr>
            <w:tcW w:w="1471" w:type="dxa"/>
            <w:vAlign w:val="center"/>
          </w:tcPr>
          <w:p w14:paraId="254CB1F9">
            <w:pPr>
              <w:spacing w:line="460" w:lineRule="exact"/>
              <w:jc w:val="center"/>
              <w:rPr>
                <w:rFonts w:ascii="宋体" w:hAnsi="宋体" w:cs="宋体"/>
                <w:color w:val="auto"/>
                <w:szCs w:val="21"/>
                <w:highlight w:val="none"/>
              </w:rPr>
            </w:pPr>
          </w:p>
        </w:tc>
        <w:tc>
          <w:tcPr>
            <w:tcW w:w="1322" w:type="dxa"/>
            <w:vAlign w:val="center"/>
          </w:tcPr>
          <w:p w14:paraId="66CB583C">
            <w:pPr>
              <w:spacing w:line="460" w:lineRule="exact"/>
              <w:jc w:val="center"/>
              <w:rPr>
                <w:rFonts w:ascii="宋体" w:hAnsi="宋体" w:cs="宋体"/>
                <w:color w:val="auto"/>
                <w:szCs w:val="21"/>
                <w:highlight w:val="none"/>
              </w:rPr>
            </w:pPr>
          </w:p>
        </w:tc>
        <w:tc>
          <w:tcPr>
            <w:tcW w:w="1592" w:type="dxa"/>
            <w:vAlign w:val="center"/>
          </w:tcPr>
          <w:p w14:paraId="7B522C13">
            <w:pPr>
              <w:spacing w:line="460" w:lineRule="exact"/>
              <w:jc w:val="center"/>
              <w:rPr>
                <w:rFonts w:ascii="宋体" w:hAnsi="宋体" w:cs="宋体"/>
                <w:color w:val="auto"/>
                <w:szCs w:val="21"/>
                <w:highlight w:val="none"/>
              </w:rPr>
            </w:pPr>
          </w:p>
        </w:tc>
        <w:tc>
          <w:tcPr>
            <w:tcW w:w="1316" w:type="dxa"/>
            <w:vAlign w:val="center"/>
          </w:tcPr>
          <w:p w14:paraId="33F042F7">
            <w:pPr>
              <w:spacing w:line="460" w:lineRule="exact"/>
              <w:jc w:val="center"/>
              <w:rPr>
                <w:rFonts w:ascii="宋体" w:hAnsi="宋体" w:cs="宋体"/>
                <w:color w:val="auto"/>
                <w:szCs w:val="21"/>
                <w:highlight w:val="none"/>
              </w:rPr>
            </w:pPr>
          </w:p>
        </w:tc>
      </w:tr>
      <w:tr w14:paraId="3982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2290EF5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752" w:type="dxa"/>
            <w:vAlign w:val="center"/>
          </w:tcPr>
          <w:p w14:paraId="148A17A2">
            <w:pPr>
              <w:spacing w:line="460" w:lineRule="exact"/>
              <w:jc w:val="center"/>
              <w:rPr>
                <w:rFonts w:ascii="宋体" w:hAnsi="宋体" w:cs="宋体"/>
                <w:color w:val="auto"/>
                <w:szCs w:val="21"/>
                <w:highlight w:val="none"/>
              </w:rPr>
            </w:pPr>
          </w:p>
        </w:tc>
        <w:tc>
          <w:tcPr>
            <w:tcW w:w="1710" w:type="dxa"/>
            <w:vAlign w:val="center"/>
          </w:tcPr>
          <w:p w14:paraId="05D8DB20">
            <w:pPr>
              <w:spacing w:line="460" w:lineRule="exact"/>
              <w:jc w:val="center"/>
              <w:rPr>
                <w:rFonts w:ascii="宋体" w:hAnsi="宋体" w:cs="宋体"/>
                <w:color w:val="auto"/>
                <w:szCs w:val="21"/>
                <w:highlight w:val="none"/>
              </w:rPr>
            </w:pPr>
          </w:p>
        </w:tc>
        <w:tc>
          <w:tcPr>
            <w:tcW w:w="1471" w:type="dxa"/>
            <w:vAlign w:val="center"/>
          </w:tcPr>
          <w:p w14:paraId="6F4E6A3B">
            <w:pPr>
              <w:spacing w:line="460" w:lineRule="exact"/>
              <w:jc w:val="center"/>
              <w:rPr>
                <w:rFonts w:ascii="宋体" w:hAnsi="宋体" w:cs="宋体"/>
                <w:color w:val="auto"/>
                <w:szCs w:val="21"/>
                <w:highlight w:val="none"/>
              </w:rPr>
            </w:pPr>
          </w:p>
        </w:tc>
        <w:tc>
          <w:tcPr>
            <w:tcW w:w="1322" w:type="dxa"/>
            <w:vAlign w:val="center"/>
          </w:tcPr>
          <w:p w14:paraId="516688F9">
            <w:pPr>
              <w:spacing w:line="460" w:lineRule="exact"/>
              <w:jc w:val="center"/>
              <w:rPr>
                <w:rFonts w:ascii="宋体" w:hAnsi="宋体" w:cs="宋体"/>
                <w:color w:val="auto"/>
                <w:szCs w:val="21"/>
                <w:highlight w:val="none"/>
              </w:rPr>
            </w:pPr>
          </w:p>
        </w:tc>
        <w:tc>
          <w:tcPr>
            <w:tcW w:w="1592" w:type="dxa"/>
            <w:vAlign w:val="center"/>
          </w:tcPr>
          <w:p w14:paraId="1C451D9A">
            <w:pPr>
              <w:spacing w:line="460" w:lineRule="exact"/>
              <w:jc w:val="center"/>
              <w:rPr>
                <w:rFonts w:ascii="宋体" w:hAnsi="宋体" w:cs="宋体"/>
                <w:color w:val="auto"/>
                <w:szCs w:val="21"/>
                <w:highlight w:val="none"/>
              </w:rPr>
            </w:pPr>
          </w:p>
        </w:tc>
        <w:tc>
          <w:tcPr>
            <w:tcW w:w="1316" w:type="dxa"/>
            <w:vAlign w:val="center"/>
          </w:tcPr>
          <w:p w14:paraId="69F74A1D">
            <w:pPr>
              <w:spacing w:line="460" w:lineRule="exact"/>
              <w:jc w:val="center"/>
              <w:rPr>
                <w:rFonts w:ascii="宋体" w:hAnsi="宋体" w:cs="宋体"/>
                <w:color w:val="auto"/>
                <w:szCs w:val="21"/>
                <w:highlight w:val="none"/>
              </w:rPr>
            </w:pPr>
          </w:p>
        </w:tc>
      </w:tr>
      <w:tr w14:paraId="5D2D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1AC9369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752" w:type="dxa"/>
            <w:vAlign w:val="center"/>
          </w:tcPr>
          <w:p w14:paraId="2C9D3BDB">
            <w:pPr>
              <w:spacing w:line="460" w:lineRule="exact"/>
              <w:jc w:val="center"/>
              <w:rPr>
                <w:rFonts w:ascii="宋体" w:hAnsi="宋体" w:cs="宋体"/>
                <w:color w:val="auto"/>
                <w:szCs w:val="21"/>
                <w:highlight w:val="none"/>
              </w:rPr>
            </w:pPr>
          </w:p>
        </w:tc>
        <w:tc>
          <w:tcPr>
            <w:tcW w:w="1710" w:type="dxa"/>
            <w:vAlign w:val="center"/>
          </w:tcPr>
          <w:p w14:paraId="0179FCC2">
            <w:pPr>
              <w:spacing w:line="460" w:lineRule="exact"/>
              <w:jc w:val="center"/>
              <w:rPr>
                <w:rFonts w:ascii="宋体" w:hAnsi="宋体" w:cs="宋体"/>
                <w:color w:val="auto"/>
                <w:szCs w:val="21"/>
                <w:highlight w:val="none"/>
              </w:rPr>
            </w:pPr>
          </w:p>
        </w:tc>
        <w:tc>
          <w:tcPr>
            <w:tcW w:w="1471" w:type="dxa"/>
            <w:vAlign w:val="center"/>
          </w:tcPr>
          <w:p w14:paraId="6B2B84AE">
            <w:pPr>
              <w:spacing w:line="460" w:lineRule="exact"/>
              <w:jc w:val="center"/>
              <w:rPr>
                <w:rFonts w:ascii="宋体" w:hAnsi="宋体" w:cs="宋体"/>
                <w:color w:val="auto"/>
                <w:szCs w:val="21"/>
                <w:highlight w:val="none"/>
              </w:rPr>
            </w:pPr>
          </w:p>
        </w:tc>
        <w:tc>
          <w:tcPr>
            <w:tcW w:w="1322" w:type="dxa"/>
            <w:vAlign w:val="center"/>
          </w:tcPr>
          <w:p w14:paraId="5087F083">
            <w:pPr>
              <w:spacing w:line="460" w:lineRule="exact"/>
              <w:jc w:val="center"/>
              <w:rPr>
                <w:rFonts w:ascii="宋体" w:hAnsi="宋体" w:cs="宋体"/>
                <w:color w:val="auto"/>
                <w:szCs w:val="21"/>
                <w:highlight w:val="none"/>
              </w:rPr>
            </w:pPr>
          </w:p>
        </w:tc>
        <w:tc>
          <w:tcPr>
            <w:tcW w:w="1592" w:type="dxa"/>
            <w:vAlign w:val="center"/>
          </w:tcPr>
          <w:p w14:paraId="1876D030">
            <w:pPr>
              <w:spacing w:line="460" w:lineRule="exact"/>
              <w:jc w:val="center"/>
              <w:rPr>
                <w:rFonts w:ascii="宋体" w:hAnsi="宋体" w:cs="宋体"/>
                <w:color w:val="auto"/>
                <w:szCs w:val="21"/>
                <w:highlight w:val="none"/>
              </w:rPr>
            </w:pPr>
          </w:p>
        </w:tc>
        <w:tc>
          <w:tcPr>
            <w:tcW w:w="1316" w:type="dxa"/>
            <w:vAlign w:val="center"/>
          </w:tcPr>
          <w:p w14:paraId="2D26A46B">
            <w:pPr>
              <w:spacing w:line="460" w:lineRule="exact"/>
              <w:jc w:val="center"/>
              <w:rPr>
                <w:rFonts w:ascii="宋体" w:hAnsi="宋体" w:cs="宋体"/>
                <w:color w:val="auto"/>
                <w:szCs w:val="21"/>
                <w:highlight w:val="none"/>
              </w:rPr>
            </w:pPr>
          </w:p>
        </w:tc>
      </w:tr>
      <w:tr w14:paraId="12AC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56B950B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752" w:type="dxa"/>
            <w:vAlign w:val="center"/>
          </w:tcPr>
          <w:p w14:paraId="33F1BBDC">
            <w:pPr>
              <w:spacing w:line="460" w:lineRule="exact"/>
              <w:jc w:val="center"/>
              <w:rPr>
                <w:rFonts w:ascii="宋体" w:hAnsi="宋体" w:cs="宋体"/>
                <w:color w:val="auto"/>
                <w:szCs w:val="21"/>
                <w:highlight w:val="none"/>
              </w:rPr>
            </w:pPr>
          </w:p>
        </w:tc>
        <w:tc>
          <w:tcPr>
            <w:tcW w:w="1710" w:type="dxa"/>
            <w:vAlign w:val="center"/>
          </w:tcPr>
          <w:p w14:paraId="44443BA2">
            <w:pPr>
              <w:spacing w:line="460" w:lineRule="exact"/>
              <w:jc w:val="center"/>
              <w:rPr>
                <w:rFonts w:ascii="宋体" w:hAnsi="宋体" w:cs="宋体"/>
                <w:color w:val="auto"/>
                <w:szCs w:val="21"/>
                <w:highlight w:val="none"/>
              </w:rPr>
            </w:pPr>
          </w:p>
        </w:tc>
        <w:tc>
          <w:tcPr>
            <w:tcW w:w="1471" w:type="dxa"/>
            <w:vAlign w:val="center"/>
          </w:tcPr>
          <w:p w14:paraId="02887B43">
            <w:pPr>
              <w:spacing w:line="460" w:lineRule="exact"/>
              <w:jc w:val="center"/>
              <w:rPr>
                <w:rFonts w:ascii="宋体" w:hAnsi="宋体" w:cs="宋体"/>
                <w:color w:val="auto"/>
                <w:szCs w:val="21"/>
                <w:highlight w:val="none"/>
              </w:rPr>
            </w:pPr>
          </w:p>
        </w:tc>
        <w:tc>
          <w:tcPr>
            <w:tcW w:w="1322" w:type="dxa"/>
            <w:vAlign w:val="center"/>
          </w:tcPr>
          <w:p w14:paraId="3A2642BC">
            <w:pPr>
              <w:spacing w:line="460" w:lineRule="exact"/>
              <w:jc w:val="center"/>
              <w:rPr>
                <w:rFonts w:ascii="宋体" w:hAnsi="宋体" w:cs="宋体"/>
                <w:color w:val="auto"/>
                <w:szCs w:val="21"/>
                <w:highlight w:val="none"/>
              </w:rPr>
            </w:pPr>
          </w:p>
        </w:tc>
        <w:tc>
          <w:tcPr>
            <w:tcW w:w="1592" w:type="dxa"/>
            <w:vAlign w:val="center"/>
          </w:tcPr>
          <w:p w14:paraId="4C61C5F7">
            <w:pPr>
              <w:spacing w:line="460" w:lineRule="exact"/>
              <w:jc w:val="center"/>
              <w:rPr>
                <w:rFonts w:ascii="宋体" w:hAnsi="宋体" w:cs="宋体"/>
                <w:color w:val="auto"/>
                <w:szCs w:val="21"/>
                <w:highlight w:val="none"/>
              </w:rPr>
            </w:pPr>
          </w:p>
        </w:tc>
        <w:tc>
          <w:tcPr>
            <w:tcW w:w="1316" w:type="dxa"/>
            <w:vAlign w:val="center"/>
          </w:tcPr>
          <w:p w14:paraId="20A614BC">
            <w:pPr>
              <w:spacing w:line="460" w:lineRule="exact"/>
              <w:jc w:val="center"/>
              <w:rPr>
                <w:rFonts w:ascii="宋体" w:hAnsi="宋体" w:cs="宋体"/>
                <w:color w:val="auto"/>
                <w:szCs w:val="21"/>
                <w:highlight w:val="none"/>
              </w:rPr>
            </w:pPr>
          </w:p>
        </w:tc>
      </w:tr>
      <w:tr w14:paraId="100C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1EB82C41">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752" w:type="dxa"/>
            <w:vAlign w:val="center"/>
          </w:tcPr>
          <w:p w14:paraId="7F7C210D">
            <w:pPr>
              <w:spacing w:line="460" w:lineRule="exact"/>
              <w:jc w:val="center"/>
              <w:rPr>
                <w:rFonts w:ascii="宋体" w:hAnsi="宋体" w:cs="宋体"/>
                <w:color w:val="auto"/>
                <w:szCs w:val="21"/>
                <w:highlight w:val="none"/>
              </w:rPr>
            </w:pPr>
          </w:p>
        </w:tc>
        <w:tc>
          <w:tcPr>
            <w:tcW w:w="1710" w:type="dxa"/>
            <w:vAlign w:val="center"/>
          </w:tcPr>
          <w:p w14:paraId="31892E9F">
            <w:pPr>
              <w:spacing w:line="460" w:lineRule="exact"/>
              <w:jc w:val="center"/>
              <w:rPr>
                <w:rFonts w:ascii="宋体" w:hAnsi="宋体" w:cs="宋体"/>
                <w:color w:val="auto"/>
                <w:szCs w:val="21"/>
                <w:highlight w:val="none"/>
              </w:rPr>
            </w:pPr>
          </w:p>
        </w:tc>
        <w:tc>
          <w:tcPr>
            <w:tcW w:w="1471" w:type="dxa"/>
            <w:vAlign w:val="center"/>
          </w:tcPr>
          <w:p w14:paraId="66DA8C71">
            <w:pPr>
              <w:spacing w:line="460" w:lineRule="exact"/>
              <w:jc w:val="center"/>
              <w:rPr>
                <w:rFonts w:ascii="宋体" w:hAnsi="宋体" w:cs="宋体"/>
                <w:color w:val="auto"/>
                <w:szCs w:val="21"/>
                <w:highlight w:val="none"/>
              </w:rPr>
            </w:pPr>
          </w:p>
        </w:tc>
        <w:tc>
          <w:tcPr>
            <w:tcW w:w="1322" w:type="dxa"/>
            <w:vAlign w:val="center"/>
          </w:tcPr>
          <w:p w14:paraId="797CC529">
            <w:pPr>
              <w:spacing w:line="460" w:lineRule="exact"/>
              <w:jc w:val="center"/>
              <w:rPr>
                <w:rFonts w:ascii="宋体" w:hAnsi="宋体" w:cs="宋体"/>
                <w:color w:val="auto"/>
                <w:szCs w:val="21"/>
                <w:highlight w:val="none"/>
              </w:rPr>
            </w:pPr>
          </w:p>
        </w:tc>
        <w:tc>
          <w:tcPr>
            <w:tcW w:w="1592" w:type="dxa"/>
            <w:vAlign w:val="center"/>
          </w:tcPr>
          <w:p w14:paraId="69B16122">
            <w:pPr>
              <w:spacing w:line="460" w:lineRule="exact"/>
              <w:jc w:val="center"/>
              <w:rPr>
                <w:rFonts w:ascii="宋体" w:hAnsi="宋体" w:cs="宋体"/>
                <w:color w:val="auto"/>
                <w:szCs w:val="21"/>
                <w:highlight w:val="none"/>
              </w:rPr>
            </w:pPr>
          </w:p>
        </w:tc>
        <w:tc>
          <w:tcPr>
            <w:tcW w:w="1316" w:type="dxa"/>
            <w:vAlign w:val="center"/>
          </w:tcPr>
          <w:p w14:paraId="15D18B2A">
            <w:pPr>
              <w:spacing w:line="460" w:lineRule="exact"/>
              <w:jc w:val="center"/>
              <w:rPr>
                <w:rFonts w:ascii="宋体" w:hAnsi="宋体" w:cs="宋体"/>
                <w:color w:val="auto"/>
                <w:szCs w:val="21"/>
                <w:highlight w:val="none"/>
              </w:rPr>
            </w:pPr>
          </w:p>
        </w:tc>
      </w:tr>
      <w:tr w14:paraId="1AE4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3A76C30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752" w:type="dxa"/>
            <w:vAlign w:val="center"/>
          </w:tcPr>
          <w:p w14:paraId="2932ACE0">
            <w:pPr>
              <w:spacing w:line="460" w:lineRule="exact"/>
              <w:jc w:val="center"/>
              <w:rPr>
                <w:rFonts w:ascii="宋体" w:hAnsi="宋体" w:cs="宋体"/>
                <w:color w:val="auto"/>
                <w:szCs w:val="21"/>
                <w:highlight w:val="none"/>
              </w:rPr>
            </w:pPr>
          </w:p>
        </w:tc>
        <w:tc>
          <w:tcPr>
            <w:tcW w:w="1710" w:type="dxa"/>
            <w:vAlign w:val="center"/>
          </w:tcPr>
          <w:p w14:paraId="52B000F5">
            <w:pPr>
              <w:spacing w:line="460" w:lineRule="exact"/>
              <w:jc w:val="center"/>
              <w:rPr>
                <w:rFonts w:ascii="宋体" w:hAnsi="宋体" w:cs="宋体"/>
                <w:color w:val="auto"/>
                <w:szCs w:val="21"/>
                <w:highlight w:val="none"/>
              </w:rPr>
            </w:pPr>
          </w:p>
        </w:tc>
        <w:tc>
          <w:tcPr>
            <w:tcW w:w="1471" w:type="dxa"/>
            <w:vAlign w:val="center"/>
          </w:tcPr>
          <w:p w14:paraId="27093AA6">
            <w:pPr>
              <w:spacing w:line="460" w:lineRule="exact"/>
              <w:jc w:val="center"/>
              <w:rPr>
                <w:rFonts w:ascii="宋体" w:hAnsi="宋体" w:cs="宋体"/>
                <w:color w:val="auto"/>
                <w:szCs w:val="21"/>
                <w:highlight w:val="none"/>
              </w:rPr>
            </w:pPr>
          </w:p>
        </w:tc>
        <w:tc>
          <w:tcPr>
            <w:tcW w:w="1322" w:type="dxa"/>
            <w:vAlign w:val="center"/>
          </w:tcPr>
          <w:p w14:paraId="2273B5AF">
            <w:pPr>
              <w:spacing w:line="460" w:lineRule="exact"/>
              <w:jc w:val="center"/>
              <w:rPr>
                <w:rFonts w:ascii="宋体" w:hAnsi="宋体" w:cs="宋体"/>
                <w:color w:val="auto"/>
                <w:szCs w:val="21"/>
                <w:highlight w:val="none"/>
              </w:rPr>
            </w:pPr>
          </w:p>
        </w:tc>
        <w:tc>
          <w:tcPr>
            <w:tcW w:w="1592" w:type="dxa"/>
            <w:vAlign w:val="center"/>
          </w:tcPr>
          <w:p w14:paraId="07119B03">
            <w:pPr>
              <w:spacing w:line="460" w:lineRule="exact"/>
              <w:jc w:val="center"/>
              <w:rPr>
                <w:rFonts w:ascii="宋体" w:hAnsi="宋体" w:cs="宋体"/>
                <w:color w:val="auto"/>
                <w:szCs w:val="21"/>
                <w:highlight w:val="none"/>
              </w:rPr>
            </w:pPr>
          </w:p>
        </w:tc>
        <w:tc>
          <w:tcPr>
            <w:tcW w:w="1316" w:type="dxa"/>
            <w:vAlign w:val="center"/>
          </w:tcPr>
          <w:p w14:paraId="7FB18CF0">
            <w:pPr>
              <w:spacing w:line="460" w:lineRule="exact"/>
              <w:jc w:val="center"/>
              <w:rPr>
                <w:rFonts w:ascii="宋体" w:hAnsi="宋体" w:cs="宋体"/>
                <w:color w:val="auto"/>
                <w:szCs w:val="21"/>
                <w:highlight w:val="none"/>
              </w:rPr>
            </w:pPr>
          </w:p>
        </w:tc>
      </w:tr>
      <w:tr w14:paraId="232A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5A46E0F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752" w:type="dxa"/>
            <w:vAlign w:val="center"/>
          </w:tcPr>
          <w:p w14:paraId="7AA1EC53">
            <w:pPr>
              <w:spacing w:line="460" w:lineRule="exact"/>
              <w:jc w:val="center"/>
              <w:rPr>
                <w:rFonts w:ascii="宋体" w:hAnsi="宋体" w:cs="宋体"/>
                <w:color w:val="auto"/>
                <w:szCs w:val="21"/>
                <w:highlight w:val="none"/>
              </w:rPr>
            </w:pPr>
          </w:p>
        </w:tc>
        <w:tc>
          <w:tcPr>
            <w:tcW w:w="1710" w:type="dxa"/>
            <w:vAlign w:val="center"/>
          </w:tcPr>
          <w:p w14:paraId="5379DA02">
            <w:pPr>
              <w:spacing w:line="460" w:lineRule="exact"/>
              <w:jc w:val="center"/>
              <w:rPr>
                <w:rFonts w:ascii="宋体" w:hAnsi="宋体" w:cs="宋体"/>
                <w:color w:val="auto"/>
                <w:szCs w:val="21"/>
                <w:highlight w:val="none"/>
              </w:rPr>
            </w:pPr>
          </w:p>
        </w:tc>
        <w:tc>
          <w:tcPr>
            <w:tcW w:w="1471" w:type="dxa"/>
            <w:vAlign w:val="center"/>
          </w:tcPr>
          <w:p w14:paraId="296113DA">
            <w:pPr>
              <w:spacing w:line="460" w:lineRule="exact"/>
              <w:jc w:val="center"/>
              <w:rPr>
                <w:rFonts w:ascii="宋体" w:hAnsi="宋体" w:cs="宋体"/>
                <w:color w:val="auto"/>
                <w:szCs w:val="21"/>
                <w:highlight w:val="none"/>
              </w:rPr>
            </w:pPr>
          </w:p>
        </w:tc>
        <w:tc>
          <w:tcPr>
            <w:tcW w:w="1322" w:type="dxa"/>
            <w:vAlign w:val="center"/>
          </w:tcPr>
          <w:p w14:paraId="3944B5AD">
            <w:pPr>
              <w:spacing w:line="460" w:lineRule="exact"/>
              <w:jc w:val="center"/>
              <w:rPr>
                <w:rFonts w:ascii="宋体" w:hAnsi="宋体" w:cs="宋体"/>
                <w:color w:val="auto"/>
                <w:szCs w:val="21"/>
                <w:highlight w:val="none"/>
              </w:rPr>
            </w:pPr>
          </w:p>
        </w:tc>
        <w:tc>
          <w:tcPr>
            <w:tcW w:w="1592" w:type="dxa"/>
            <w:vAlign w:val="center"/>
          </w:tcPr>
          <w:p w14:paraId="48EB7EAA">
            <w:pPr>
              <w:spacing w:line="460" w:lineRule="exact"/>
              <w:jc w:val="center"/>
              <w:rPr>
                <w:rFonts w:ascii="宋体" w:hAnsi="宋体" w:cs="宋体"/>
                <w:color w:val="auto"/>
                <w:szCs w:val="21"/>
                <w:highlight w:val="none"/>
              </w:rPr>
            </w:pPr>
          </w:p>
        </w:tc>
        <w:tc>
          <w:tcPr>
            <w:tcW w:w="1316" w:type="dxa"/>
            <w:vAlign w:val="center"/>
          </w:tcPr>
          <w:p w14:paraId="05FAFF77">
            <w:pPr>
              <w:spacing w:line="460" w:lineRule="exact"/>
              <w:jc w:val="center"/>
              <w:rPr>
                <w:rFonts w:ascii="宋体" w:hAnsi="宋体" w:cs="宋体"/>
                <w:color w:val="auto"/>
                <w:szCs w:val="21"/>
                <w:highlight w:val="none"/>
              </w:rPr>
            </w:pPr>
          </w:p>
        </w:tc>
      </w:tr>
      <w:tr w14:paraId="06D4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4B9C40B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752" w:type="dxa"/>
            <w:vAlign w:val="center"/>
          </w:tcPr>
          <w:p w14:paraId="033868CE">
            <w:pPr>
              <w:spacing w:line="460" w:lineRule="exact"/>
              <w:jc w:val="center"/>
              <w:rPr>
                <w:rFonts w:ascii="宋体" w:hAnsi="宋体" w:cs="宋体"/>
                <w:color w:val="auto"/>
                <w:szCs w:val="21"/>
                <w:highlight w:val="none"/>
              </w:rPr>
            </w:pPr>
          </w:p>
        </w:tc>
        <w:tc>
          <w:tcPr>
            <w:tcW w:w="1710" w:type="dxa"/>
            <w:vAlign w:val="center"/>
          </w:tcPr>
          <w:p w14:paraId="3521BE76">
            <w:pPr>
              <w:spacing w:line="460" w:lineRule="exact"/>
              <w:jc w:val="center"/>
              <w:rPr>
                <w:rFonts w:ascii="宋体" w:hAnsi="宋体" w:cs="宋体"/>
                <w:color w:val="auto"/>
                <w:szCs w:val="21"/>
                <w:highlight w:val="none"/>
              </w:rPr>
            </w:pPr>
          </w:p>
        </w:tc>
        <w:tc>
          <w:tcPr>
            <w:tcW w:w="1471" w:type="dxa"/>
            <w:vAlign w:val="center"/>
          </w:tcPr>
          <w:p w14:paraId="61021CBB">
            <w:pPr>
              <w:spacing w:line="460" w:lineRule="exact"/>
              <w:jc w:val="center"/>
              <w:rPr>
                <w:rFonts w:ascii="宋体" w:hAnsi="宋体" w:cs="宋体"/>
                <w:color w:val="auto"/>
                <w:szCs w:val="21"/>
                <w:highlight w:val="none"/>
              </w:rPr>
            </w:pPr>
          </w:p>
        </w:tc>
        <w:tc>
          <w:tcPr>
            <w:tcW w:w="1322" w:type="dxa"/>
            <w:vAlign w:val="center"/>
          </w:tcPr>
          <w:p w14:paraId="10E57244">
            <w:pPr>
              <w:spacing w:line="460" w:lineRule="exact"/>
              <w:jc w:val="center"/>
              <w:rPr>
                <w:rFonts w:ascii="宋体" w:hAnsi="宋体" w:cs="宋体"/>
                <w:color w:val="auto"/>
                <w:szCs w:val="21"/>
                <w:highlight w:val="none"/>
              </w:rPr>
            </w:pPr>
          </w:p>
        </w:tc>
        <w:tc>
          <w:tcPr>
            <w:tcW w:w="1592" w:type="dxa"/>
            <w:vAlign w:val="center"/>
          </w:tcPr>
          <w:p w14:paraId="03D3BAAC">
            <w:pPr>
              <w:spacing w:line="460" w:lineRule="exact"/>
              <w:jc w:val="center"/>
              <w:rPr>
                <w:rFonts w:ascii="宋体" w:hAnsi="宋体" w:cs="宋体"/>
                <w:color w:val="auto"/>
                <w:szCs w:val="21"/>
                <w:highlight w:val="none"/>
              </w:rPr>
            </w:pPr>
          </w:p>
        </w:tc>
        <w:tc>
          <w:tcPr>
            <w:tcW w:w="1316" w:type="dxa"/>
            <w:vAlign w:val="center"/>
          </w:tcPr>
          <w:p w14:paraId="1941AFEA">
            <w:pPr>
              <w:spacing w:line="460" w:lineRule="exact"/>
              <w:jc w:val="center"/>
              <w:rPr>
                <w:rFonts w:ascii="宋体" w:hAnsi="宋体" w:cs="宋体"/>
                <w:color w:val="auto"/>
                <w:szCs w:val="21"/>
                <w:highlight w:val="none"/>
              </w:rPr>
            </w:pPr>
          </w:p>
        </w:tc>
      </w:tr>
    </w:tbl>
    <w:p w14:paraId="568A558C">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注：</w:t>
      </w:r>
    </w:p>
    <w:p w14:paraId="7D82D0ED">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1、在紧急情况下甲方需要其他类型、吨位车辆的，乙方应予以满足；若乙方不能满足甲方需求，则甲方可以另行聘请其他公司服务，由此发生的实际费用由乙方承担。</w:t>
      </w:r>
    </w:p>
    <w:p w14:paraId="4594CD74">
      <w:pPr>
        <w:spacing w:line="46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2、“车辆类型”须加注日常车型称谓，如“小型专项作业车”、“中型专项作业车（平板）”等。</w:t>
      </w:r>
    </w:p>
    <w:p w14:paraId="67925AB2">
      <w:pPr>
        <w:spacing w:line="460" w:lineRule="exact"/>
        <w:outlineLvl w:val="1"/>
        <w:rPr>
          <w:rFonts w:hint="eastAsia"/>
          <w:b/>
          <w:bCs/>
          <w:color w:val="auto"/>
          <w:highlight w:val="none"/>
        </w:rPr>
      </w:pPr>
      <w:bookmarkStart w:id="117" w:name="_Toc20314"/>
      <w:bookmarkStart w:id="118" w:name="_Toc5393"/>
      <w:r>
        <w:rPr>
          <w:rFonts w:hint="eastAsia" w:ascii="宋体" w:hAnsi="宋体" w:cs="宋体"/>
          <w:b/>
          <w:bCs/>
          <w:color w:val="auto"/>
          <w:szCs w:val="21"/>
          <w:highlight w:val="none"/>
        </w:rPr>
        <w:t>二、服务费标准</w:t>
      </w:r>
      <w:bookmarkEnd w:id="117"/>
      <w:bookmarkEnd w:id="118"/>
      <w:r>
        <w:rPr>
          <w:rFonts w:hint="eastAsia" w:ascii="宋体" w:hAnsi="宋体" w:cs="宋体"/>
          <w:b/>
          <w:bCs/>
          <w:color w:val="auto"/>
          <w:szCs w:val="21"/>
          <w:highlight w:val="none"/>
          <w:lang w:eastAsia="zh-CN"/>
        </w:rPr>
        <w:t>及</w:t>
      </w:r>
      <w:r>
        <w:rPr>
          <w:rFonts w:hint="eastAsia"/>
          <w:b/>
          <w:bCs/>
          <w:color w:val="auto"/>
          <w:highlight w:val="none"/>
        </w:rPr>
        <w:t>合同金额</w:t>
      </w:r>
    </w:p>
    <w:p w14:paraId="73B30AAC">
      <w:pPr>
        <w:pStyle w:val="7"/>
        <w:rPr>
          <w:rFonts w:hint="eastAsia" w:eastAsia="宋体"/>
          <w:color w:val="auto"/>
          <w:highlight w:val="none"/>
          <w:lang w:eastAsia="zh-CN"/>
        </w:rPr>
      </w:pPr>
      <w:r>
        <w:rPr>
          <w:rFonts w:hint="eastAsia"/>
          <w:b/>
          <w:bCs/>
          <w:color w:val="auto"/>
          <w:highlight w:val="none"/>
          <w:lang w:eastAsia="zh-CN"/>
        </w:rPr>
        <w:t>（一）</w:t>
      </w:r>
      <w:r>
        <w:rPr>
          <w:rFonts w:hint="eastAsia" w:ascii="宋体" w:hAnsi="宋体" w:cs="宋体"/>
          <w:b/>
          <w:bCs/>
          <w:color w:val="auto"/>
          <w:szCs w:val="21"/>
          <w:highlight w:val="none"/>
        </w:rPr>
        <w:t>服务费标准</w:t>
      </w:r>
    </w:p>
    <w:tbl>
      <w:tblPr>
        <w:tblStyle w:val="23"/>
        <w:tblW w:w="942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693"/>
        <w:gridCol w:w="2835"/>
        <w:gridCol w:w="3119"/>
      </w:tblGrid>
      <w:tr w14:paraId="7CB3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73" w:type="dxa"/>
            <w:vAlign w:val="center"/>
          </w:tcPr>
          <w:p w14:paraId="43E4A21A">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693" w:type="dxa"/>
            <w:vAlign w:val="center"/>
          </w:tcPr>
          <w:p w14:paraId="6E6683E9">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分类</w:t>
            </w:r>
          </w:p>
        </w:tc>
        <w:tc>
          <w:tcPr>
            <w:tcW w:w="2835" w:type="dxa"/>
            <w:vAlign w:val="center"/>
          </w:tcPr>
          <w:p w14:paraId="5DA2C6C2">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交通事故车辆拖移</w:t>
            </w:r>
          </w:p>
          <w:p w14:paraId="023ECFA9">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单价（元/辆）</w:t>
            </w:r>
          </w:p>
        </w:tc>
        <w:tc>
          <w:tcPr>
            <w:tcW w:w="3119" w:type="dxa"/>
            <w:vAlign w:val="center"/>
          </w:tcPr>
          <w:p w14:paraId="2B826959">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交通违法车辆拖移</w:t>
            </w:r>
          </w:p>
          <w:p w14:paraId="03343E55">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单价（元/辆）</w:t>
            </w:r>
          </w:p>
        </w:tc>
      </w:tr>
      <w:tr w14:paraId="7E12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73" w:type="dxa"/>
            <w:vAlign w:val="center"/>
          </w:tcPr>
          <w:p w14:paraId="3E62FAA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93" w:type="dxa"/>
            <w:vAlign w:val="center"/>
          </w:tcPr>
          <w:p w14:paraId="3B2DCE5A">
            <w:pPr>
              <w:snapToGrid w:val="0"/>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小型车</w:t>
            </w:r>
          </w:p>
        </w:tc>
        <w:tc>
          <w:tcPr>
            <w:tcW w:w="2835" w:type="dxa"/>
            <w:vAlign w:val="center"/>
          </w:tcPr>
          <w:p w14:paraId="58297726">
            <w:pPr>
              <w:tabs>
                <w:tab w:val="left" w:pos="5792"/>
              </w:tabs>
              <w:spacing w:line="400" w:lineRule="exact"/>
              <w:jc w:val="center"/>
              <w:rPr>
                <w:rFonts w:ascii="宋体" w:hAnsi="宋体" w:cs="宋体"/>
                <w:color w:val="auto"/>
                <w:kern w:val="0"/>
                <w:szCs w:val="21"/>
                <w:highlight w:val="none"/>
              </w:rPr>
            </w:pPr>
          </w:p>
        </w:tc>
        <w:tc>
          <w:tcPr>
            <w:tcW w:w="3119" w:type="dxa"/>
            <w:vAlign w:val="center"/>
          </w:tcPr>
          <w:p w14:paraId="1EF2F230">
            <w:pPr>
              <w:tabs>
                <w:tab w:val="left" w:pos="5792"/>
              </w:tabs>
              <w:spacing w:line="400" w:lineRule="exact"/>
              <w:jc w:val="center"/>
              <w:rPr>
                <w:rFonts w:ascii="宋体" w:hAnsi="宋体" w:cs="宋体"/>
                <w:color w:val="auto"/>
                <w:kern w:val="0"/>
                <w:szCs w:val="21"/>
                <w:highlight w:val="none"/>
              </w:rPr>
            </w:pPr>
          </w:p>
        </w:tc>
      </w:tr>
      <w:tr w14:paraId="0806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73" w:type="dxa"/>
            <w:vAlign w:val="center"/>
          </w:tcPr>
          <w:p w14:paraId="3A52A570">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93" w:type="dxa"/>
            <w:vAlign w:val="center"/>
          </w:tcPr>
          <w:p w14:paraId="6CAD91A4">
            <w:pPr>
              <w:snapToGrid w:val="0"/>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大中型车</w:t>
            </w:r>
          </w:p>
        </w:tc>
        <w:tc>
          <w:tcPr>
            <w:tcW w:w="2835" w:type="dxa"/>
            <w:vAlign w:val="center"/>
          </w:tcPr>
          <w:p w14:paraId="141712B2">
            <w:pPr>
              <w:tabs>
                <w:tab w:val="left" w:pos="5792"/>
              </w:tabs>
              <w:spacing w:line="400" w:lineRule="exact"/>
              <w:jc w:val="center"/>
              <w:rPr>
                <w:rFonts w:ascii="宋体" w:hAnsi="宋体" w:cs="宋体"/>
                <w:color w:val="auto"/>
                <w:kern w:val="0"/>
                <w:szCs w:val="21"/>
                <w:highlight w:val="none"/>
              </w:rPr>
            </w:pPr>
          </w:p>
        </w:tc>
        <w:tc>
          <w:tcPr>
            <w:tcW w:w="3119" w:type="dxa"/>
            <w:vAlign w:val="center"/>
          </w:tcPr>
          <w:p w14:paraId="300412EB">
            <w:pPr>
              <w:tabs>
                <w:tab w:val="left" w:pos="5792"/>
              </w:tabs>
              <w:spacing w:line="400" w:lineRule="exact"/>
              <w:jc w:val="center"/>
              <w:rPr>
                <w:rFonts w:ascii="宋体" w:hAnsi="宋体" w:cs="宋体"/>
                <w:color w:val="auto"/>
                <w:kern w:val="0"/>
                <w:szCs w:val="21"/>
                <w:highlight w:val="none"/>
              </w:rPr>
            </w:pPr>
          </w:p>
        </w:tc>
      </w:tr>
      <w:tr w14:paraId="2ABB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73" w:type="dxa"/>
            <w:vAlign w:val="center"/>
          </w:tcPr>
          <w:p w14:paraId="08BE803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93" w:type="dxa"/>
            <w:vAlign w:val="center"/>
          </w:tcPr>
          <w:p w14:paraId="64CAF118">
            <w:pPr>
              <w:snapToGrid w:val="0"/>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摩托车、两轮自行车、三轮电动车及其他非机动车</w:t>
            </w:r>
          </w:p>
        </w:tc>
        <w:tc>
          <w:tcPr>
            <w:tcW w:w="2835" w:type="dxa"/>
            <w:vAlign w:val="center"/>
          </w:tcPr>
          <w:p w14:paraId="6F0E081C">
            <w:pPr>
              <w:tabs>
                <w:tab w:val="left" w:pos="5792"/>
              </w:tabs>
              <w:spacing w:line="400" w:lineRule="exact"/>
              <w:jc w:val="center"/>
              <w:rPr>
                <w:rFonts w:ascii="宋体" w:hAnsi="宋体" w:cs="宋体"/>
                <w:color w:val="auto"/>
                <w:kern w:val="0"/>
                <w:szCs w:val="21"/>
                <w:highlight w:val="none"/>
              </w:rPr>
            </w:pPr>
          </w:p>
        </w:tc>
        <w:tc>
          <w:tcPr>
            <w:tcW w:w="3119" w:type="dxa"/>
            <w:vAlign w:val="center"/>
          </w:tcPr>
          <w:p w14:paraId="73285320">
            <w:pPr>
              <w:tabs>
                <w:tab w:val="left" w:pos="5792"/>
              </w:tabs>
              <w:spacing w:line="400" w:lineRule="exact"/>
              <w:jc w:val="center"/>
              <w:rPr>
                <w:rFonts w:ascii="宋体" w:hAnsi="宋体" w:cs="宋体"/>
                <w:color w:val="auto"/>
                <w:kern w:val="0"/>
                <w:szCs w:val="21"/>
                <w:highlight w:val="none"/>
              </w:rPr>
            </w:pPr>
          </w:p>
        </w:tc>
      </w:tr>
      <w:tr w14:paraId="6087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73" w:type="dxa"/>
            <w:vAlign w:val="center"/>
          </w:tcPr>
          <w:p w14:paraId="09C2B979">
            <w:pPr>
              <w:snapToGri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w:t>
            </w:r>
          </w:p>
        </w:tc>
        <w:tc>
          <w:tcPr>
            <w:tcW w:w="2693" w:type="dxa"/>
            <w:vAlign w:val="center"/>
          </w:tcPr>
          <w:p w14:paraId="006D7E21">
            <w:pPr>
              <w:snapToGrid w:val="0"/>
              <w:spacing w:line="40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szCs w:val="21"/>
                <w:highlight w:val="none"/>
              </w:rPr>
              <w:t>吊车</w:t>
            </w:r>
            <w:r>
              <w:rPr>
                <w:rFonts w:hint="eastAsia" w:ascii="宋体" w:hAnsi="宋体" w:cs="宋体"/>
                <w:color w:val="auto"/>
                <w:szCs w:val="21"/>
                <w:highlight w:val="none"/>
                <w:lang w:eastAsia="zh-CN"/>
              </w:rPr>
              <w:t>（不分吨位）</w:t>
            </w:r>
          </w:p>
        </w:tc>
        <w:tc>
          <w:tcPr>
            <w:tcW w:w="2835" w:type="dxa"/>
            <w:vAlign w:val="center"/>
          </w:tcPr>
          <w:p w14:paraId="2C4CB80B">
            <w:pPr>
              <w:tabs>
                <w:tab w:val="left" w:pos="5792"/>
              </w:tabs>
              <w:spacing w:line="400" w:lineRule="exact"/>
              <w:jc w:val="center"/>
              <w:rPr>
                <w:rFonts w:ascii="宋体" w:hAnsi="宋体" w:cs="宋体"/>
                <w:color w:val="auto"/>
                <w:kern w:val="0"/>
                <w:szCs w:val="21"/>
                <w:highlight w:val="none"/>
              </w:rPr>
            </w:pPr>
          </w:p>
        </w:tc>
        <w:tc>
          <w:tcPr>
            <w:tcW w:w="3119" w:type="dxa"/>
            <w:vAlign w:val="center"/>
          </w:tcPr>
          <w:p w14:paraId="00B1AC6A">
            <w:pPr>
              <w:tabs>
                <w:tab w:val="left" w:pos="5792"/>
              </w:tabs>
              <w:spacing w:line="400" w:lineRule="exact"/>
              <w:jc w:val="center"/>
              <w:rPr>
                <w:rFonts w:ascii="宋体" w:hAnsi="宋体" w:cs="宋体"/>
                <w:color w:val="auto"/>
                <w:kern w:val="0"/>
                <w:szCs w:val="21"/>
                <w:highlight w:val="none"/>
              </w:rPr>
            </w:pPr>
          </w:p>
        </w:tc>
      </w:tr>
      <w:tr w14:paraId="574B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73" w:type="dxa"/>
            <w:vAlign w:val="center"/>
          </w:tcPr>
          <w:p w14:paraId="45BDF7FE">
            <w:pPr>
              <w:snapToGrid w:val="0"/>
              <w:spacing w:line="400" w:lineRule="exact"/>
              <w:jc w:val="center"/>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5</w:t>
            </w:r>
          </w:p>
        </w:tc>
        <w:tc>
          <w:tcPr>
            <w:tcW w:w="2693" w:type="dxa"/>
            <w:vAlign w:val="center"/>
          </w:tcPr>
          <w:p w14:paraId="59783C43">
            <w:pPr>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铲车</w:t>
            </w:r>
            <w:r>
              <w:rPr>
                <w:rFonts w:hint="eastAsia" w:ascii="宋体" w:hAnsi="宋体" w:cs="宋体"/>
                <w:color w:val="auto"/>
                <w:szCs w:val="21"/>
                <w:highlight w:val="none"/>
                <w:lang w:eastAsia="zh-CN"/>
              </w:rPr>
              <w:t>（不分吨位）</w:t>
            </w:r>
          </w:p>
        </w:tc>
        <w:tc>
          <w:tcPr>
            <w:tcW w:w="2835" w:type="dxa"/>
            <w:vAlign w:val="center"/>
          </w:tcPr>
          <w:p w14:paraId="6627EFA1">
            <w:pPr>
              <w:tabs>
                <w:tab w:val="left" w:pos="5792"/>
              </w:tabs>
              <w:spacing w:line="400" w:lineRule="exact"/>
              <w:jc w:val="center"/>
              <w:rPr>
                <w:rFonts w:ascii="宋体" w:hAnsi="宋体" w:cs="宋体"/>
                <w:color w:val="auto"/>
                <w:kern w:val="0"/>
                <w:szCs w:val="21"/>
                <w:highlight w:val="none"/>
              </w:rPr>
            </w:pPr>
          </w:p>
        </w:tc>
        <w:tc>
          <w:tcPr>
            <w:tcW w:w="3119" w:type="dxa"/>
            <w:vAlign w:val="center"/>
          </w:tcPr>
          <w:p w14:paraId="19580711">
            <w:pPr>
              <w:tabs>
                <w:tab w:val="left" w:pos="5792"/>
              </w:tabs>
              <w:spacing w:line="400" w:lineRule="exact"/>
              <w:jc w:val="center"/>
              <w:rPr>
                <w:rFonts w:ascii="宋体" w:hAnsi="宋体" w:cs="宋体"/>
                <w:color w:val="auto"/>
                <w:kern w:val="0"/>
                <w:szCs w:val="21"/>
                <w:highlight w:val="none"/>
              </w:rPr>
            </w:pPr>
          </w:p>
        </w:tc>
      </w:tr>
    </w:tbl>
    <w:p w14:paraId="448A78CE">
      <w:pPr>
        <w:spacing w:line="460" w:lineRule="exact"/>
        <w:rPr>
          <w:rFonts w:hint="eastAsia" w:ascii="宋体" w:hAnsi="宋体" w:cs="宋体"/>
          <w:b/>
          <w:bCs/>
          <w:color w:val="auto"/>
          <w:szCs w:val="21"/>
          <w:highlight w:val="none"/>
        </w:rPr>
      </w:pPr>
      <w:r>
        <w:rPr>
          <w:rFonts w:hint="eastAsia" w:ascii="宋体" w:hAnsi="宋体" w:cs="宋体"/>
          <w:b/>
          <w:bCs/>
          <w:color w:val="auto"/>
          <w:szCs w:val="21"/>
          <w:highlight w:val="none"/>
        </w:rPr>
        <w:t>注：</w:t>
      </w:r>
    </w:p>
    <w:p w14:paraId="464DCFF6">
      <w:pPr>
        <w:spacing w:line="460" w:lineRule="exac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、以上拖车服务收费标准特指交通违法、交通</w:t>
      </w:r>
      <w:r>
        <w:rPr>
          <w:rFonts w:hint="eastAsia" w:ascii="宋体" w:hAnsi="宋体" w:cs="宋体"/>
          <w:b/>
          <w:bCs/>
          <w:color w:val="auto"/>
          <w:szCs w:val="21"/>
          <w:highlight w:val="none"/>
          <w:lang w:eastAsia="zh-CN"/>
        </w:rPr>
        <w:t>事故</w:t>
      </w:r>
      <w:r>
        <w:rPr>
          <w:rFonts w:hint="eastAsia" w:ascii="宋体" w:hAnsi="宋体" w:cs="宋体"/>
          <w:b/>
          <w:bCs/>
          <w:color w:val="auto"/>
          <w:szCs w:val="21"/>
          <w:highlight w:val="none"/>
        </w:rPr>
        <w:t>服务拖吊车和其他清障工作的服务费用（下同）；此服务费包含乙方拖车车辆的油料费、维修费、路桥费、保险费、税费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服务人员工资、保险费</w:t>
      </w:r>
      <w:r>
        <w:rPr>
          <w:rFonts w:hint="eastAsia" w:ascii="宋体" w:hAnsi="宋体" w:cs="宋体"/>
          <w:b/>
          <w:bCs/>
          <w:color w:val="auto"/>
          <w:szCs w:val="21"/>
          <w:highlight w:val="none"/>
          <w:lang w:eastAsia="zh-CN"/>
        </w:rPr>
        <w:t>以及提供拖车驻点备勤服务</w:t>
      </w:r>
      <w:r>
        <w:rPr>
          <w:rFonts w:hint="eastAsia" w:ascii="宋体" w:hAnsi="宋体" w:cs="宋体"/>
          <w:b/>
          <w:bCs/>
          <w:color w:val="auto"/>
          <w:szCs w:val="21"/>
          <w:highlight w:val="none"/>
        </w:rPr>
        <w:t>等所有费用。</w:t>
      </w:r>
    </w:p>
    <w:p w14:paraId="17D29BDE">
      <w:pPr>
        <w:spacing w:line="460" w:lineRule="exac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拖吊的汽车含客车、货车、专项作业车、槽罐车、摩托车等各类型汽车。如使用吊车、铲车等疑难案件作业，吊车、铲车等费用由车辆所有人或当事人按照保险公司规定费用支付。如车辆所有人或当事人未办理保险或无能力支付及其他原因造成的无法支付的情况，吊车、铲车等费用由</w:t>
      </w:r>
      <w:r>
        <w:rPr>
          <w:rFonts w:hint="eastAsia" w:ascii="宋体" w:hAnsi="宋体" w:cs="宋体"/>
          <w:b/>
          <w:bCs/>
          <w:color w:val="auto"/>
          <w:szCs w:val="21"/>
          <w:highlight w:val="none"/>
          <w:lang w:eastAsia="zh-CN"/>
        </w:rPr>
        <w:t>上述标准</w:t>
      </w:r>
      <w:r>
        <w:rPr>
          <w:rFonts w:hint="eastAsia" w:ascii="宋体" w:hAnsi="宋体" w:cs="宋体"/>
          <w:b/>
          <w:bCs/>
          <w:color w:val="auto"/>
          <w:szCs w:val="21"/>
          <w:highlight w:val="none"/>
        </w:rPr>
        <w:t>支付。</w:t>
      </w:r>
    </w:p>
    <w:p w14:paraId="18648558">
      <w:pPr>
        <w:spacing w:line="4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、拖吊的汽车含客车、货车、专项作业车、槽罐车、摩托车等各类型车</w:t>
      </w:r>
      <w:r>
        <w:rPr>
          <w:rFonts w:hint="eastAsia" w:ascii="宋体" w:hAnsi="宋体" w:cs="宋体"/>
          <w:color w:val="auto"/>
          <w:szCs w:val="21"/>
          <w:highlight w:val="none"/>
          <w:lang w:eastAsia="zh-CN"/>
        </w:rPr>
        <w:t>辆</w:t>
      </w:r>
      <w:r>
        <w:rPr>
          <w:rFonts w:hint="eastAsia" w:ascii="宋体" w:hAnsi="宋体" w:cs="宋体"/>
          <w:color w:val="auto"/>
          <w:szCs w:val="21"/>
          <w:highlight w:val="none"/>
        </w:rPr>
        <w:t>。</w:t>
      </w:r>
    </w:p>
    <w:p w14:paraId="42E30B22">
      <w:pPr>
        <w:pStyle w:val="7"/>
        <w:rPr>
          <w:rFonts w:hint="eastAsia"/>
          <w:color w:val="auto"/>
          <w:highlight w:val="none"/>
        </w:rPr>
      </w:pPr>
      <w:r>
        <w:rPr>
          <w:rFonts w:hint="eastAsia"/>
          <w:color w:val="auto"/>
          <w:highlight w:val="none"/>
          <w:lang w:eastAsia="zh-CN"/>
        </w:rPr>
        <w:t>（二）</w:t>
      </w:r>
      <w:r>
        <w:rPr>
          <w:rFonts w:hint="eastAsia"/>
          <w:b/>
          <w:bCs/>
          <w:color w:val="auto"/>
          <w:highlight w:val="none"/>
        </w:rPr>
        <w:t>合同金额</w:t>
      </w:r>
      <w:r>
        <w:rPr>
          <w:rFonts w:hint="eastAsia"/>
          <w:color w:val="auto"/>
          <w:highlight w:val="none"/>
        </w:rPr>
        <w:t>：</w:t>
      </w:r>
    </w:p>
    <w:p w14:paraId="398F355B">
      <w:pPr>
        <w:spacing w:line="460" w:lineRule="exact"/>
        <w:ind w:firstLine="420" w:firstLineChars="200"/>
        <w:rPr>
          <w:rFonts w:hint="eastAsia"/>
          <w:b w:val="0"/>
          <w:bCs w:val="0"/>
          <w:color w:val="auto"/>
          <w:highlight w:val="none"/>
        </w:rPr>
      </w:pPr>
      <w:r>
        <w:rPr>
          <w:rFonts w:hint="eastAsia"/>
          <w:color w:val="auto"/>
          <w:highlight w:val="none"/>
        </w:rPr>
        <w:t>采购需求中的车辆拖移定价乘以中标结算率为中标单价，每月拖移服务费按实结算</w:t>
      </w:r>
      <w:r>
        <w:rPr>
          <w:rFonts w:hint="eastAsia"/>
          <w:color w:val="auto"/>
          <w:highlight w:val="none"/>
          <w:lang w:eastAsia="zh-CN"/>
        </w:rPr>
        <w:t>。</w:t>
      </w:r>
      <w:r>
        <w:rPr>
          <w:rFonts w:hint="eastAsia" w:ascii="宋体" w:hAnsi="宋体" w:cs="宋体"/>
          <w:b w:val="0"/>
          <w:bCs w:val="0"/>
          <w:color w:val="auto"/>
          <w:szCs w:val="21"/>
          <w:highlight w:val="none"/>
        </w:rPr>
        <w:t>全年结算总价不超过预算价280万。</w:t>
      </w:r>
      <w:r>
        <w:rPr>
          <w:rFonts w:hint="eastAsia"/>
          <w:b w:val="0"/>
          <w:bCs w:val="0"/>
          <w:color w:val="auto"/>
          <w:highlight w:val="none"/>
        </w:rPr>
        <w:t>三年最终结算总价不超过预算总价840万元。</w:t>
      </w:r>
    </w:p>
    <w:p w14:paraId="6970A8D9">
      <w:pPr>
        <w:spacing w:line="460" w:lineRule="exact"/>
        <w:outlineLvl w:val="1"/>
        <w:rPr>
          <w:rFonts w:ascii="宋体" w:hAnsi="宋体" w:cs="宋体"/>
          <w:b/>
          <w:bCs/>
          <w:color w:val="auto"/>
          <w:szCs w:val="21"/>
          <w:highlight w:val="none"/>
        </w:rPr>
      </w:pPr>
      <w:bookmarkStart w:id="119" w:name="_Toc5048"/>
      <w:bookmarkStart w:id="120" w:name="_Toc4756"/>
      <w:bookmarkStart w:id="121" w:name="_Toc12472"/>
      <w:r>
        <w:rPr>
          <w:rFonts w:hint="eastAsia" w:ascii="宋体" w:hAnsi="宋体" w:cs="宋体"/>
          <w:b/>
          <w:bCs/>
          <w:color w:val="auto"/>
          <w:szCs w:val="21"/>
          <w:highlight w:val="none"/>
        </w:rPr>
        <w:t>三、服务期限</w:t>
      </w:r>
      <w:bookmarkEnd w:id="119"/>
      <w:bookmarkEnd w:id="120"/>
      <w:bookmarkEnd w:id="121"/>
    </w:p>
    <w:p w14:paraId="7A4B88FB">
      <w:pPr>
        <w:spacing w:line="460" w:lineRule="exact"/>
        <w:ind w:firstLine="620" w:firstLineChars="294"/>
        <w:rPr>
          <w:rFonts w:ascii="宋体" w:hAnsi="宋体" w:cs="宋体"/>
          <w:color w:val="auto"/>
          <w:szCs w:val="21"/>
          <w:highlight w:val="none"/>
        </w:rPr>
      </w:pPr>
      <w:r>
        <w:rPr>
          <w:rFonts w:hint="eastAsia" w:ascii="宋体" w:hAnsi="宋体" w:cs="宋体"/>
          <w:b/>
          <w:bCs/>
          <w:color w:val="auto"/>
          <w:szCs w:val="21"/>
          <w:highlight w:val="none"/>
        </w:rPr>
        <w:t>1、本合同服务期限自</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日起至</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 xml:space="preserve"> 月</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日止，</w:t>
      </w:r>
      <w:r>
        <w:rPr>
          <w:rFonts w:hint="eastAsia" w:ascii="宋体" w:hAnsi="宋体" w:cs="宋体"/>
          <w:color w:val="auto"/>
          <w:szCs w:val="21"/>
          <w:highlight w:val="none"/>
        </w:rPr>
        <w:t>合同一年一签，具体实施开始时间以甲方的书面通知为准。合同履约期间，甲方对乙方的服务情况进行考评，并视考评情况作下一年度是否续签的依据，甲方有权单方面决定下一年度是否续签。</w:t>
      </w:r>
    </w:p>
    <w:p w14:paraId="5FF53D9B">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四、基本要求</w:t>
      </w:r>
    </w:p>
    <w:p w14:paraId="67E75AB0">
      <w:pPr>
        <w:spacing w:line="460" w:lineRule="exact"/>
        <w:rPr>
          <w:rFonts w:ascii="宋体" w:hAnsi="宋体" w:cs="宋体"/>
          <w:color w:val="auto"/>
          <w:szCs w:val="21"/>
          <w:highlight w:val="none"/>
        </w:rPr>
      </w:pPr>
      <w:r>
        <w:rPr>
          <w:rFonts w:hint="eastAsia" w:ascii="宋体" w:hAnsi="宋体" w:cs="宋体"/>
          <w:color w:val="auto"/>
          <w:szCs w:val="21"/>
          <w:highlight w:val="none"/>
        </w:rPr>
        <w:t>1、车辆数量要求</w:t>
      </w:r>
    </w:p>
    <w:p w14:paraId="0E61D59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投标人针对本项目的车辆总数至少达到</w:t>
      </w:r>
      <w:r>
        <w:rPr>
          <w:rFonts w:hint="eastAsia" w:ascii="宋体" w:hAnsi="宋体" w:cs="宋体"/>
          <w:color w:val="auto"/>
          <w:szCs w:val="21"/>
          <w:highlight w:val="none"/>
          <w:lang w:val="en-US" w:eastAsia="zh-CN"/>
        </w:rPr>
        <w:t>44</w:t>
      </w:r>
      <w:r>
        <w:rPr>
          <w:rFonts w:hint="eastAsia" w:ascii="宋体" w:hAnsi="宋体" w:cs="宋体"/>
          <w:color w:val="auto"/>
          <w:szCs w:val="21"/>
          <w:highlight w:val="none"/>
        </w:rPr>
        <w:t>辆以上，至少包括中型专项作业车（平板车）16辆、轻型普通拖</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辆，25吨以上</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rPr>
        <w:t>的吊车</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5吨</w:t>
      </w:r>
      <w:r>
        <w:rPr>
          <w:rFonts w:hint="eastAsia" w:ascii="宋体" w:hAnsi="宋体" w:cs="宋体"/>
          <w:color w:val="auto"/>
          <w:szCs w:val="21"/>
          <w:highlight w:val="none"/>
        </w:rPr>
        <w:t>以上</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铲车4</w:t>
      </w:r>
      <w:r>
        <w:rPr>
          <w:rFonts w:hint="eastAsia" w:ascii="宋体" w:hAnsi="宋体" w:cs="宋体"/>
          <w:color w:val="auto"/>
          <w:szCs w:val="21"/>
          <w:highlight w:val="none"/>
        </w:rPr>
        <w:t>辆。须在</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中详细列明清单</w:t>
      </w:r>
      <w:r>
        <w:rPr>
          <w:rFonts w:hint="eastAsia" w:ascii="宋体" w:hAnsi="宋体" w:cs="宋体"/>
          <w:color w:val="auto"/>
          <w:szCs w:val="21"/>
          <w:highlight w:val="none"/>
          <w:lang w:eastAsia="zh-CN"/>
        </w:rPr>
        <w:t>并提供</w:t>
      </w:r>
      <w:r>
        <w:rPr>
          <w:rFonts w:hint="eastAsia" w:ascii="宋体" w:hAnsi="宋体" w:cs="宋体"/>
          <w:color w:val="auto"/>
          <w:szCs w:val="21"/>
          <w:highlight w:val="none"/>
        </w:rPr>
        <w:t>相应行驶证原件扫描件。</w:t>
      </w:r>
    </w:p>
    <w:p w14:paraId="5AE8F98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2、投标人投入的车辆中需</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辆以上（含）属于自有。</w:t>
      </w:r>
    </w:p>
    <w:p w14:paraId="65D47A84">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3、租赁车辆的需提供租赁协议。</w:t>
      </w:r>
    </w:p>
    <w:p w14:paraId="25EB8ED3">
      <w:pPr>
        <w:spacing w:line="46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车辆需考虑各区域数量分布的均衡，明确各区域各类型拖车数量建议表。</w:t>
      </w:r>
    </w:p>
    <w:p w14:paraId="31AB601D">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5、服务</w:t>
      </w:r>
      <w:r>
        <w:rPr>
          <w:rFonts w:hint="eastAsia" w:ascii="宋体" w:hAnsi="宋体" w:cs="宋体"/>
          <w:b/>
          <w:bCs/>
          <w:color w:val="auto"/>
          <w:szCs w:val="21"/>
          <w:highlight w:val="none"/>
          <w:lang w:eastAsia="zh-CN"/>
        </w:rPr>
        <w:t>内容</w:t>
      </w:r>
      <w:r>
        <w:rPr>
          <w:rFonts w:hint="eastAsia" w:ascii="宋体" w:hAnsi="宋体" w:cs="宋体"/>
          <w:b/>
          <w:bCs/>
          <w:color w:val="auto"/>
          <w:szCs w:val="21"/>
          <w:highlight w:val="none"/>
        </w:rPr>
        <w:t>：</w:t>
      </w:r>
    </w:p>
    <w:p w14:paraId="1400473B">
      <w:pPr>
        <w:spacing w:line="460" w:lineRule="exact"/>
        <w:ind w:firstLine="420" w:firstLineChars="200"/>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①</w:t>
      </w:r>
      <w:r>
        <w:rPr>
          <w:rFonts w:hint="eastAsia" w:ascii="宋体" w:hAnsi="宋体" w:cs="宋体"/>
          <w:color w:val="auto"/>
          <w:kern w:val="0"/>
          <w:szCs w:val="21"/>
          <w:highlight w:val="none"/>
        </w:rPr>
        <w:t>交通事故车辆</w:t>
      </w:r>
      <w:r>
        <w:rPr>
          <w:rFonts w:hint="eastAsia" w:ascii="宋体" w:hAnsi="宋体" w:cs="宋体"/>
          <w:color w:val="auto"/>
          <w:szCs w:val="21"/>
          <w:highlight w:val="none"/>
        </w:rPr>
        <w:t>拖移范围</w:t>
      </w:r>
      <w:r>
        <w:rPr>
          <w:rFonts w:hint="eastAsia" w:ascii="宋体" w:hAnsi="宋体" w:cs="宋体"/>
          <w:color w:val="auto"/>
          <w:szCs w:val="21"/>
          <w:highlight w:val="none"/>
          <w:lang w:eastAsia="zh-CN"/>
        </w:rPr>
        <w:t>：</w:t>
      </w:r>
      <w:r>
        <w:rPr>
          <w:rFonts w:hint="eastAsia" w:ascii="宋体" w:hAnsi="宋体" w:cs="宋体"/>
          <w:color w:val="auto"/>
          <w:szCs w:val="21"/>
          <w:highlight w:val="none"/>
        </w:rPr>
        <w:t>台州市市区行政区</w:t>
      </w:r>
      <w:r>
        <w:rPr>
          <w:rFonts w:hint="eastAsia" w:ascii="宋体" w:hAnsi="宋体" w:cs="宋体"/>
          <w:color w:val="auto"/>
          <w:szCs w:val="21"/>
          <w:highlight w:val="none"/>
          <w:lang w:eastAsia="zh-CN"/>
        </w:rPr>
        <w:t>管辖</w:t>
      </w:r>
      <w:r>
        <w:rPr>
          <w:rFonts w:hint="eastAsia" w:ascii="宋体" w:hAnsi="宋体" w:cs="宋体"/>
          <w:color w:val="auto"/>
          <w:szCs w:val="21"/>
          <w:highlight w:val="none"/>
        </w:rPr>
        <w:t>范围内</w:t>
      </w:r>
      <w:r>
        <w:rPr>
          <w:rFonts w:hint="eastAsia" w:ascii="宋体" w:hAnsi="宋体" w:cs="宋体"/>
          <w:color w:val="auto"/>
          <w:szCs w:val="21"/>
          <w:highlight w:val="none"/>
          <w:lang w:eastAsia="zh-CN"/>
        </w:rPr>
        <w:t>发生的</w:t>
      </w:r>
      <w:r>
        <w:rPr>
          <w:rFonts w:hint="eastAsia" w:ascii="宋体" w:hAnsi="宋体" w:cs="宋体"/>
          <w:color w:val="auto"/>
          <w:kern w:val="0"/>
          <w:szCs w:val="21"/>
          <w:highlight w:val="none"/>
        </w:rPr>
        <w:t>交通事故车辆</w:t>
      </w:r>
      <w:r>
        <w:rPr>
          <w:rFonts w:hint="eastAsia" w:ascii="宋体" w:hAnsi="宋体" w:cs="宋体"/>
          <w:color w:val="auto"/>
          <w:szCs w:val="21"/>
          <w:highlight w:val="none"/>
        </w:rPr>
        <w:t>（椒</w:t>
      </w:r>
      <w:r>
        <w:rPr>
          <w:rFonts w:hint="eastAsia" w:ascii="宋体" w:hAnsi="宋体" w:cs="宋体"/>
          <w:color w:val="auto"/>
          <w:szCs w:val="21"/>
          <w:highlight w:val="none"/>
          <w:lang w:eastAsia="zh-CN"/>
        </w:rPr>
        <w:t>江、</w:t>
      </w:r>
      <w:r>
        <w:rPr>
          <w:rFonts w:hint="eastAsia" w:ascii="宋体" w:hAnsi="宋体" w:cs="宋体"/>
          <w:color w:val="auto"/>
          <w:szCs w:val="21"/>
          <w:highlight w:val="none"/>
        </w:rPr>
        <w:t>黄</w:t>
      </w:r>
      <w:r>
        <w:rPr>
          <w:rFonts w:hint="eastAsia" w:ascii="宋体" w:hAnsi="宋体" w:cs="宋体"/>
          <w:color w:val="auto"/>
          <w:szCs w:val="21"/>
          <w:highlight w:val="none"/>
          <w:lang w:eastAsia="zh-CN"/>
        </w:rPr>
        <w:t>岩、</w:t>
      </w:r>
      <w:r>
        <w:rPr>
          <w:rFonts w:hint="eastAsia" w:ascii="宋体" w:hAnsi="宋体" w:cs="宋体"/>
          <w:color w:val="auto"/>
          <w:szCs w:val="21"/>
          <w:highlight w:val="none"/>
        </w:rPr>
        <w:t>路</w:t>
      </w:r>
      <w:r>
        <w:rPr>
          <w:rFonts w:hint="eastAsia" w:ascii="宋体" w:hAnsi="宋体" w:cs="宋体"/>
          <w:color w:val="auto"/>
          <w:szCs w:val="21"/>
          <w:highlight w:val="none"/>
          <w:lang w:eastAsia="zh-CN"/>
        </w:rPr>
        <w:t>桥、台州湾新区</w:t>
      </w:r>
      <w:r>
        <w:rPr>
          <w:rFonts w:hint="eastAsia" w:ascii="宋体" w:hAnsi="宋体" w:cs="宋体"/>
          <w:color w:val="auto"/>
          <w:szCs w:val="21"/>
          <w:highlight w:val="none"/>
        </w:rPr>
        <w:t>）。</w:t>
      </w:r>
      <w:r>
        <w:rPr>
          <w:rFonts w:hint="eastAsia" w:ascii="宋体" w:hAnsi="宋体" w:cs="宋体"/>
          <w:color w:val="auto"/>
          <w:szCs w:val="21"/>
          <w:highlight w:val="none"/>
          <w:lang w:eastAsia="zh-CN"/>
        </w:rPr>
        <w:t>以上管辖</w:t>
      </w:r>
      <w:r>
        <w:rPr>
          <w:rFonts w:hint="eastAsia" w:ascii="宋体" w:hAnsi="宋体" w:cs="宋体"/>
          <w:color w:val="auto"/>
          <w:szCs w:val="21"/>
          <w:highlight w:val="none"/>
        </w:rPr>
        <w:t>范围内</w:t>
      </w:r>
      <w:r>
        <w:rPr>
          <w:rFonts w:hint="eastAsia" w:ascii="宋体" w:hAnsi="宋体" w:cs="宋体"/>
          <w:color w:val="auto"/>
          <w:szCs w:val="21"/>
          <w:highlight w:val="none"/>
          <w:lang w:eastAsia="zh-CN"/>
        </w:rPr>
        <w:t>的道路含内环快速路、一江山大道、路泽太公路（路桥区辖区路段），</w:t>
      </w:r>
      <w:r>
        <w:rPr>
          <w:rFonts w:hint="eastAsia" w:ascii="宋体" w:hAnsi="宋体" w:cs="宋体"/>
          <w:color w:val="auto"/>
          <w:szCs w:val="21"/>
          <w:highlight w:val="none"/>
        </w:rPr>
        <w:t>不</w:t>
      </w:r>
      <w:r>
        <w:rPr>
          <w:rFonts w:hint="eastAsia" w:ascii="宋体" w:hAnsi="宋体" w:cs="宋体"/>
          <w:color w:val="auto"/>
          <w:szCs w:val="21"/>
          <w:highlight w:val="none"/>
          <w:lang w:eastAsia="zh-CN"/>
        </w:rPr>
        <w:t>含</w:t>
      </w:r>
      <w:r>
        <w:rPr>
          <w:rFonts w:hint="eastAsia" w:ascii="宋体" w:hAnsi="宋体" w:cs="宋体"/>
          <w:color w:val="auto"/>
          <w:szCs w:val="21"/>
          <w:highlight w:val="none"/>
        </w:rPr>
        <w:t>高速公路</w:t>
      </w:r>
      <w:r>
        <w:rPr>
          <w:rFonts w:hint="eastAsia" w:ascii="宋体" w:hAnsi="宋体" w:cs="宋体"/>
          <w:color w:val="auto"/>
          <w:szCs w:val="21"/>
          <w:highlight w:val="none"/>
          <w:lang w:eastAsia="zh-CN"/>
        </w:rPr>
        <w:t>。</w:t>
      </w:r>
    </w:p>
    <w:p w14:paraId="606F0D11">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② </w:t>
      </w:r>
      <w:r>
        <w:rPr>
          <w:rFonts w:hint="eastAsia" w:ascii="宋体" w:hAnsi="宋体" w:cs="宋体"/>
          <w:color w:val="auto"/>
          <w:kern w:val="0"/>
          <w:szCs w:val="21"/>
          <w:highlight w:val="none"/>
        </w:rPr>
        <w:t>交通违法车辆拖移</w:t>
      </w:r>
      <w:r>
        <w:rPr>
          <w:rFonts w:hint="eastAsia" w:ascii="宋体" w:hAnsi="宋体" w:cs="宋体"/>
          <w:color w:val="auto"/>
          <w:szCs w:val="21"/>
          <w:highlight w:val="none"/>
        </w:rPr>
        <w:t>范围：</w:t>
      </w:r>
      <w:r>
        <w:rPr>
          <w:rFonts w:hint="eastAsia" w:ascii="宋体" w:hAnsi="宋体" w:cs="宋体"/>
          <w:color w:val="auto"/>
          <w:szCs w:val="21"/>
          <w:highlight w:val="none"/>
          <w:lang w:eastAsia="zh-CN"/>
        </w:rPr>
        <w:t>直属一大队洪家中队、前所中队，直属二大队院桥中队、头陀中队、宁溪中队，直属三大队金清中队、蓬街中队、峰江中队，四大队一中队、三甲中队管辖</w:t>
      </w:r>
      <w:r>
        <w:rPr>
          <w:rFonts w:hint="eastAsia" w:ascii="宋体" w:hAnsi="宋体" w:cs="宋体"/>
          <w:color w:val="auto"/>
          <w:szCs w:val="21"/>
          <w:highlight w:val="none"/>
        </w:rPr>
        <w:t>范围内</w:t>
      </w:r>
      <w:r>
        <w:rPr>
          <w:rFonts w:hint="eastAsia" w:ascii="宋体" w:hAnsi="宋体" w:cs="宋体"/>
          <w:color w:val="auto"/>
          <w:szCs w:val="21"/>
          <w:highlight w:val="none"/>
          <w:lang w:eastAsia="zh-CN"/>
        </w:rPr>
        <w:t>查扣的交通</w:t>
      </w:r>
      <w:r>
        <w:rPr>
          <w:rFonts w:hint="eastAsia" w:ascii="宋体" w:hAnsi="宋体" w:cs="宋体"/>
          <w:color w:val="auto"/>
          <w:szCs w:val="21"/>
          <w:highlight w:val="none"/>
        </w:rPr>
        <w:t>违法车辆。</w:t>
      </w:r>
    </w:p>
    <w:p w14:paraId="57CDC152">
      <w:pPr>
        <w:spacing w:line="4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③车辆拖移到达范围原则上为市区行政区范围内</w:t>
      </w:r>
      <w:r>
        <w:rPr>
          <w:rFonts w:hint="eastAsia" w:ascii="宋体" w:hAnsi="宋体" w:cs="宋体"/>
          <w:color w:val="auto"/>
          <w:szCs w:val="21"/>
          <w:highlight w:val="none"/>
          <w:lang w:eastAsia="zh-CN"/>
        </w:rPr>
        <w:t>。如</w:t>
      </w:r>
      <w:r>
        <w:rPr>
          <w:rFonts w:hint="eastAsia" w:ascii="宋体" w:hAnsi="宋体" w:cs="宋体"/>
          <w:color w:val="auto"/>
          <w:szCs w:val="21"/>
          <w:highlight w:val="none"/>
        </w:rPr>
        <w:t>特殊情况的，拖移至市区行政区外5公里</w:t>
      </w:r>
      <w:r>
        <w:rPr>
          <w:rFonts w:hint="eastAsia" w:ascii="宋体" w:hAnsi="宋体" w:cs="宋体"/>
          <w:color w:val="auto"/>
          <w:szCs w:val="21"/>
          <w:highlight w:val="none"/>
          <w:lang w:eastAsia="zh-CN"/>
        </w:rPr>
        <w:t>以内</w:t>
      </w:r>
      <w:r>
        <w:rPr>
          <w:rFonts w:hint="eastAsia" w:ascii="宋体" w:hAnsi="宋体" w:cs="宋体"/>
          <w:color w:val="auto"/>
          <w:szCs w:val="21"/>
          <w:highlight w:val="none"/>
        </w:rPr>
        <w:t>（以道路里程为准）</w:t>
      </w:r>
      <w:r>
        <w:rPr>
          <w:rFonts w:hint="eastAsia" w:ascii="宋体" w:hAnsi="宋体" w:cs="宋体"/>
          <w:color w:val="auto"/>
          <w:szCs w:val="21"/>
          <w:highlight w:val="none"/>
          <w:lang w:eastAsia="zh-CN"/>
        </w:rPr>
        <w:t>。</w:t>
      </w:r>
    </w:p>
    <w:p w14:paraId="59DA6B5F">
      <w:pPr>
        <w:spacing w:line="460" w:lineRule="exact"/>
        <w:ind w:firstLine="420" w:firstLineChars="200"/>
        <w:rPr>
          <w:color w:val="auto"/>
          <w:highlight w:val="none"/>
        </w:rPr>
      </w:pPr>
      <w:r>
        <w:rPr>
          <w:rFonts w:hint="eastAsia" w:ascii="微软雅黑" w:hAnsi="微软雅黑" w:eastAsia="微软雅黑" w:cs="微软雅黑"/>
          <w:color w:val="auto"/>
          <w:szCs w:val="21"/>
          <w:highlight w:val="none"/>
          <w:lang w:eastAsia="zh-CN"/>
        </w:rPr>
        <w:t>④</w:t>
      </w:r>
      <w:r>
        <w:rPr>
          <w:rFonts w:hint="eastAsia" w:ascii="宋体" w:hAnsi="宋体" w:cs="宋体"/>
          <w:color w:val="auto"/>
          <w:szCs w:val="21"/>
          <w:highlight w:val="none"/>
          <w:lang w:eastAsia="zh-CN"/>
        </w:rPr>
        <w:t>每天早、晚高峰时期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需提供一辆拖车在内环快速路路口驻点备勤，早、晚高峰期备勤时间各一个小时。备勤时间段、备勤点位</w:t>
      </w:r>
      <w:r>
        <w:rPr>
          <w:rFonts w:hint="eastAsia" w:ascii="宋体" w:hAnsi="宋体" w:cs="宋体"/>
          <w:color w:val="auto"/>
          <w:szCs w:val="21"/>
          <w:highlight w:val="none"/>
          <w:lang w:val="en-US" w:eastAsia="zh-CN"/>
        </w:rPr>
        <w:t>根据采购人的实际需求确定。</w:t>
      </w:r>
    </w:p>
    <w:p w14:paraId="7B5FA368">
      <w:pPr>
        <w:tabs>
          <w:tab w:val="left" w:pos="2980"/>
        </w:tabs>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五、服务相关要求</w:t>
      </w:r>
      <w:r>
        <w:rPr>
          <w:rFonts w:ascii="宋体" w:hAnsi="宋体" w:cs="宋体"/>
          <w:b/>
          <w:bCs/>
          <w:color w:val="auto"/>
          <w:szCs w:val="21"/>
          <w:highlight w:val="none"/>
        </w:rPr>
        <w:tab/>
      </w:r>
    </w:p>
    <w:p w14:paraId="317AB736">
      <w:pPr>
        <w:spacing w:line="46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1、车辆数量要求、车辆状况及.清障作业人员要求：</w:t>
      </w:r>
    </w:p>
    <w:p w14:paraId="2601D6F4">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 以上车辆数量要求仅为甲方提供服务的最低要求，在实际工作中如清障作业需要车辆超出上述要求，乙方应当满足。</w:t>
      </w:r>
    </w:p>
    <w:p w14:paraId="1D7232B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2、车辆状况要求</w:t>
      </w:r>
    </w:p>
    <w:p w14:paraId="05CAECCA">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乙方提供的每一车辆必须具有合法、完备的证照，不得提供报废、非法车辆参与清障作业，保证车况良好并配备足够、完好的交通清障辅助设备（包括枕木、警示筒、警示带等反光标志、拖车辅助轮、磅秤、千斤顶、具有夜间拍摄和摄录功能的相机等）及通讯工具。大中型专项作业车（含）以上车型还需增配消防器材、破拆工具等设备，以确保清障能力与通信畅通。</w:t>
      </w:r>
    </w:p>
    <w:p w14:paraId="4CAD6844">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（2）乙方提供的每一辆车辆必须购买相应的保险，除交强险外，还应购买第三者责任险，且保险理赔时限在本项目服务期限内持续有效。</w:t>
      </w:r>
    </w:p>
    <w:p w14:paraId="00E0776D">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乙方提供的每一辆车辆必须安装全球卫星定位系统（GPS）车载终端，车辆定位数据须保存3个月，并实时提供给采购人。提供的车辆必须安装行车记录仪，行车记录仪必须配备三个摄像头（前一后二），满足日间、夜晚的记录要求，能清晰摄录乙方将暂扣车辆拖移至甲方指定停车场并移交完毕的整个过程，具体安装要求由甲方指定，摄录数据至少保存45天。</w:t>
      </w:r>
    </w:p>
    <w:p w14:paraId="0498DB59">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（4）乙方须遵守甲方涉案财物管理规定，以及按甲方其他管理规定。</w:t>
      </w:r>
    </w:p>
    <w:p w14:paraId="4CD25306">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乙方提供的每一辆车必须统一喷涂标注单位名称及投诉电话。</w:t>
      </w:r>
    </w:p>
    <w:p w14:paraId="4D0A37E8">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（6）服务期内，乙方对投入服务的每一辆车辆定期进行维修保养、年检等，在原服务车辆不能按时到场服务的情况下，乙方须提供同车型、同吨位的车辆（具有合格、完备证照）替代服务。</w:t>
      </w:r>
    </w:p>
    <w:p w14:paraId="7BA99056">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（7）到达现场清障作业的车辆必须能够承担并完成甲方指定的清障任务。</w:t>
      </w:r>
    </w:p>
    <w:p w14:paraId="48E30DC4">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3、清障作业人员要求</w:t>
      </w:r>
    </w:p>
    <w:p w14:paraId="1B3453B5">
      <w:pPr>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（1）乙方应加强作业人员交通清障操作技能的培训。</w:t>
      </w:r>
    </w:p>
    <w:p w14:paraId="0DCA4BD8">
      <w:pPr>
        <w:spacing w:line="460" w:lineRule="exact"/>
        <w:ind w:firstLine="210" w:firstLineChars="100"/>
        <w:rPr>
          <w:color w:val="auto"/>
          <w:highlight w:val="none"/>
        </w:rPr>
      </w:pPr>
      <w:r>
        <w:rPr>
          <w:rFonts w:hint="eastAsia" w:ascii="宋体" w:hAnsi="宋体" w:cs="宋体"/>
          <w:color w:val="auto"/>
          <w:szCs w:val="21"/>
          <w:highlight w:val="none"/>
        </w:rPr>
        <w:t>（2）清障作业人员应报甲方备案。</w:t>
      </w:r>
    </w:p>
    <w:p w14:paraId="7DDCBFC0">
      <w:pPr>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（3）实施清障作业的每辆车，除必须配备一个具有对应驾照的驾驶员外，应另配备1名熟悉清障操作业务的工作人员，保证清障工作顺利完成。（参考附件7  本表列入本合同签订的附件部分）</w:t>
      </w:r>
    </w:p>
    <w:p w14:paraId="5BBA08FE">
      <w:pPr>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（4）必须购买不少于100万元的意外人身险。</w:t>
      </w:r>
    </w:p>
    <w:p w14:paraId="02E51C83">
      <w:pPr>
        <w:spacing w:line="460" w:lineRule="exact"/>
        <w:ind w:firstLine="210" w:firstLineChars="100"/>
        <w:rPr>
          <w:color w:val="auto"/>
          <w:highlight w:val="none"/>
        </w:rPr>
      </w:pPr>
      <w:r>
        <w:rPr>
          <w:rFonts w:hint="eastAsia" w:ascii="宋体" w:hAnsi="宋体" w:cs="宋体"/>
          <w:color w:val="auto"/>
          <w:szCs w:val="21"/>
          <w:highlight w:val="none"/>
        </w:rPr>
        <w:t>（5）乙方应加强作业人员交通清障操作技能的培训。</w:t>
      </w:r>
    </w:p>
    <w:p w14:paraId="3570DAFD">
      <w:pPr>
        <w:spacing w:line="460" w:lineRule="exact"/>
        <w:ind w:firstLine="210" w:firstLineChars="100"/>
        <w:rPr>
          <w:rFonts w:ascii="宋体" w:hAnsi="宋体" w:cs="宋体"/>
          <w:b/>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rPr>
        <w:t>清障作业人员必须统一着装，按规范流程操作，同时必须听从交警的指挥。</w:t>
      </w:r>
    </w:p>
    <w:p w14:paraId="548AAA51">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4、清障作业服务要求</w:t>
      </w:r>
    </w:p>
    <w:p w14:paraId="093CD385">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（1）服务时间要求</w:t>
      </w:r>
    </w:p>
    <w:p w14:paraId="67628162">
      <w:pPr>
        <w:spacing w:line="460" w:lineRule="exact"/>
        <w:ind w:firstLine="517" w:firstLineChars="245"/>
        <w:rPr>
          <w:color w:val="auto"/>
          <w:highlight w:val="none"/>
        </w:rPr>
      </w:pPr>
      <w:r>
        <w:rPr>
          <w:rFonts w:hint="eastAsia" w:ascii="宋体" w:hAnsi="宋体" w:cs="宋体"/>
          <w:b/>
          <w:color w:val="auto"/>
          <w:szCs w:val="21"/>
          <w:highlight w:val="none"/>
        </w:rPr>
        <w:t xml:space="preserve">乙方提供全天24小时的各类清障作业。乙方接到采购人发出的清障指令起计，在规定时间（城区为15分钟，乡镇的为20分钟，高峰期的再各加10分钟）到达现场提供服务。 </w:t>
      </w:r>
    </w:p>
    <w:p w14:paraId="4A2F3B8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（2）现场作业要求</w:t>
      </w:r>
    </w:p>
    <w:p w14:paraId="5B06F45C">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①乙方应按照采购人制订的拖吊车作业规范实施作业，包括对被拖吊车辆的检查和清点、按要求填写拖车清障作业单，以及按规范流程进行作业等；</w:t>
      </w:r>
    </w:p>
    <w:p w14:paraId="52BA686F">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②拖车作业人员应服从现场交警的指挥；</w:t>
      </w:r>
    </w:p>
    <w:p w14:paraId="5CE1B685">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③乙方实施清障作业时，必须有交通警察在场并取得委托（拖车作业单应由在场民警签名确认）。</w:t>
      </w:r>
    </w:p>
    <w:p w14:paraId="218BFB0D">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④乙方作业时必须严格遵守道路交通管理规定，不得因作业而影响交通、造成交通堵塞或损坏市政设施（如因作业需要违反交通管理规定的，应经现场交警同意）。</w:t>
      </w:r>
    </w:p>
    <w:p w14:paraId="20AB9DC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⑤乙方作业时对车辆负责，若因作业对车辆造成损伤，需全款赔偿因此造成的损失费用。</w:t>
      </w:r>
    </w:p>
    <w:p w14:paraId="6296061C">
      <w:pPr>
        <w:spacing w:line="46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⑥乙方作业时必须如实填写拖车作业登记表，登记表上注明事故时间、地点，车牌号、车型，拖移地点必须经事故车主同意且签字确认。</w:t>
      </w:r>
    </w:p>
    <w:p w14:paraId="754FE292">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（3）被拖移车辆物品处理要求</w:t>
      </w:r>
    </w:p>
    <w:p w14:paraId="4B6FCF4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乙方应按照采购人规定的程序及规范处置被拖吊车辆的随车物品，未经甲方或当事人同意，乙方不得进入被拖吊车辆的车辆内部（包括驾驶乘坐仓以及车尾箱等）。</w:t>
      </w:r>
    </w:p>
    <w:p w14:paraId="60AEA618">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（4）拖吊进场的要求</w:t>
      </w:r>
    </w:p>
    <w:p w14:paraId="34862F47">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乙方应按照要求将车辆拖至规定停车场。因乙方违反拖吊车作业规范，导致车辆（含随车物品）进场时与扣留时登记的实际状态不符的，停车场将拒绝接收车辆，由此造成的法律及经济责任由乙方承担。</w:t>
      </w:r>
    </w:p>
    <w:p w14:paraId="6FF3D797">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（5）如现场民警要求将涉案货车拖移至称重点或治超点进行称重的，乙方应予以满足，并在完成称重后，再将车辆拖移至指定的停车场。</w:t>
      </w:r>
    </w:p>
    <w:p w14:paraId="4B6EAC34">
      <w:pPr>
        <w:spacing w:line="460" w:lineRule="exact"/>
        <w:ind w:firstLine="315" w:firstLineChars="150"/>
        <w:rPr>
          <w:color w:val="auto"/>
          <w:highlight w:val="none"/>
        </w:rPr>
      </w:pPr>
      <w:r>
        <w:rPr>
          <w:rFonts w:hint="eastAsia" w:ascii="宋体" w:hAnsi="宋体" w:cs="宋体"/>
          <w:color w:val="auto"/>
          <w:szCs w:val="21"/>
          <w:highlight w:val="none"/>
        </w:rPr>
        <w:t>（6）乙方应对“清障作业”所拖吊车辆数据进行分类登记，并定期向甲方报备。</w:t>
      </w:r>
    </w:p>
    <w:p w14:paraId="288D6EDD">
      <w:pPr>
        <w:spacing w:line="460" w:lineRule="exact"/>
        <w:ind w:firstLine="422" w:firstLineChars="200"/>
        <w:outlineLvl w:val="1"/>
        <w:rPr>
          <w:rFonts w:ascii="宋体" w:hAnsi="宋体" w:cs="宋体"/>
          <w:b/>
          <w:bCs/>
          <w:color w:val="auto"/>
          <w:szCs w:val="21"/>
          <w:highlight w:val="none"/>
        </w:rPr>
      </w:pPr>
      <w:bookmarkStart w:id="122" w:name="_Toc14461"/>
      <w:bookmarkStart w:id="123" w:name="_Toc5388"/>
      <w:bookmarkStart w:id="124" w:name="_Toc4471"/>
      <w:r>
        <w:rPr>
          <w:rFonts w:hint="eastAsia" w:ascii="宋体" w:hAnsi="宋体" w:cs="宋体"/>
          <w:b/>
          <w:bCs/>
          <w:color w:val="auto"/>
          <w:szCs w:val="21"/>
          <w:highlight w:val="none"/>
        </w:rPr>
        <w:t>六、付款结算方式</w:t>
      </w:r>
      <w:bookmarkEnd w:id="122"/>
      <w:bookmarkEnd w:id="123"/>
      <w:bookmarkEnd w:id="124"/>
    </w:p>
    <w:p w14:paraId="5F30D5D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1、结算单价详见上图服务费标准。</w:t>
      </w:r>
    </w:p>
    <w:p w14:paraId="5FF568C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2、拖吊车辆计费：拖吊违法车辆的，由甲方按拖吊数量与拖吊单价进行结算，由甲方支付；乙方不得向当事人收取任何费用。</w:t>
      </w:r>
    </w:p>
    <w:p w14:paraId="22A1EA80">
      <w:pPr>
        <w:spacing w:line="460" w:lineRule="exact"/>
        <w:ind w:firstLine="420" w:firstLineChars="200"/>
        <w:rPr>
          <w:rFonts w:ascii="宋体" w:hAnsi="宋体" w:cs="宋体"/>
          <w:color w:val="auto"/>
          <w:szCs w:val="21"/>
          <w:highlight w:val="none"/>
        </w:rPr>
      </w:pPr>
      <w:bookmarkStart w:id="125" w:name="_Toc363483682"/>
      <w:r>
        <w:rPr>
          <w:rFonts w:hint="eastAsia" w:ascii="宋体" w:hAnsi="宋体" w:cs="宋体"/>
          <w:color w:val="auto"/>
          <w:szCs w:val="21"/>
          <w:highlight w:val="none"/>
        </w:rPr>
        <w:t>3、服务费用按月结算及支付，乙方应于每月</w:t>
      </w:r>
      <w:r>
        <w:rPr>
          <w:rFonts w:ascii="宋体" w:hAnsi="宋体" w:cs="宋体"/>
          <w:color w:val="auto"/>
          <w:szCs w:val="21"/>
          <w:highlight w:val="none"/>
        </w:rPr>
        <w:t>20日前提交上月报账表及相关资料给</w:t>
      </w:r>
      <w:r>
        <w:rPr>
          <w:rFonts w:hint="eastAsia" w:ascii="宋体" w:hAnsi="宋体" w:cs="宋体"/>
          <w:color w:val="auto"/>
          <w:szCs w:val="21"/>
          <w:highlight w:val="none"/>
        </w:rPr>
        <w:t>甲方</w:t>
      </w:r>
      <w:r>
        <w:rPr>
          <w:rFonts w:ascii="宋体" w:hAnsi="宋体" w:cs="宋体"/>
          <w:color w:val="auto"/>
          <w:szCs w:val="21"/>
          <w:highlight w:val="none"/>
        </w:rPr>
        <w:t>进行审核，并在</w:t>
      </w:r>
      <w:r>
        <w:rPr>
          <w:rFonts w:hint="eastAsia" w:ascii="宋体" w:hAnsi="宋体" w:cs="宋体"/>
          <w:color w:val="auto"/>
          <w:szCs w:val="21"/>
          <w:highlight w:val="none"/>
        </w:rPr>
        <w:t>甲方</w:t>
      </w:r>
      <w:r>
        <w:rPr>
          <w:rFonts w:ascii="宋体" w:hAnsi="宋体" w:cs="宋体"/>
          <w:color w:val="auto"/>
          <w:szCs w:val="21"/>
          <w:highlight w:val="none"/>
        </w:rPr>
        <w:t>完成审核后5个工作日内，提供等额的正式发票和审核材料给</w:t>
      </w:r>
      <w:r>
        <w:rPr>
          <w:rFonts w:hint="eastAsia" w:ascii="宋体" w:hAnsi="宋体" w:cs="宋体"/>
          <w:color w:val="auto"/>
          <w:szCs w:val="21"/>
          <w:highlight w:val="none"/>
        </w:rPr>
        <w:t>甲方</w:t>
      </w:r>
      <w:r>
        <w:rPr>
          <w:rFonts w:ascii="宋体" w:hAnsi="宋体" w:cs="宋体"/>
          <w:color w:val="auto"/>
          <w:szCs w:val="21"/>
          <w:highlight w:val="none"/>
        </w:rPr>
        <w:t>，以便</w:t>
      </w:r>
      <w:r>
        <w:rPr>
          <w:rFonts w:hint="eastAsia" w:ascii="宋体" w:hAnsi="宋体" w:cs="宋体"/>
          <w:color w:val="auto"/>
          <w:szCs w:val="21"/>
          <w:highlight w:val="none"/>
        </w:rPr>
        <w:t>甲方</w:t>
      </w:r>
      <w:r>
        <w:rPr>
          <w:rFonts w:ascii="宋体" w:hAnsi="宋体" w:cs="宋体"/>
          <w:color w:val="auto"/>
          <w:szCs w:val="21"/>
          <w:highlight w:val="none"/>
        </w:rPr>
        <w:t>财务部门办理支付手续。</w:t>
      </w:r>
      <w:r>
        <w:rPr>
          <w:rFonts w:hint="eastAsia" w:ascii="宋体" w:hAnsi="宋体" w:cs="宋体"/>
          <w:color w:val="auto"/>
          <w:szCs w:val="21"/>
          <w:highlight w:val="none"/>
        </w:rPr>
        <w:t>甲方在收到乙方提供的正式发票后</w:t>
      </w:r>
      <w:r>
        <w:rPr>
          <w:rFonts w:ascii="宋体" w:hAnsi="宋体" w:cs="宋体"/>
          <w:color w:val="auto"/>
          <w:szCs w:val="21"/>
          <w:highlight w:val="none"/>
        </w:rPr>
        <w:t>15日内支付。</w:t>
      </w:r>
    </w:p>
    <w:p w14:paraId="0471EDFF">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4、乙方服务费支付比例和月度考核情况挂钩</w:t>
      </w:r>
      <w:bookmarkEnd w:id="125"/>
      <w:r>
        <w:rPr>
          <w:rFonts w:hint="eastAsia" w:ascii="宋体" w:hAnsi="宋体" w:cs="宋体"/>
          <w:color w:val="auto"/>
          <w:szCs w:val="21"/>
          <w:highlight w:val="none"/>
        </w:rPr>
        <w:t>。</w:t>
      </w:r>
    </w:p>
    <w:p w14:paraId="49C57BCB">
      <w:pPr>
        <w:spacing w:line="460" w:lineRule="exact"/>
        <w:ind w:firstLine="422" w:firstLineChars="200"/>
        <w:outlineLvl w:val="1"/>
        <w:rPr>
          <w:rFonts w:ascii="宋体" w:hAnsi="宋体" w:cs="宋体"/>
          <w:b/>
          <w:bCs/>
          <w:color w:val="auto"/>
          <w:szCs w:val="21"/>
          <w:highlight w:val="none"/>
        </w:rPr>
      </w:pPr>
      <w:bookmarkStart w:id="126" w:name="_Toc19462"/>
      <w:bookmarkStart w:id="127" w:name="_Toc10239"/>
      <w:bookmarkStart w:id="128" w:name="_Toc6839"/>
      <w:r>
        <w:rPr>
          <w:rFonts w:hint="eastAsia" w:ascii="宋体" w:hAnsi="宋体" w:cs="宋体"/>
          <w:b/>
          <w:bCs/>
          <w:color w:val="auto"/>
          <w:szCs w:val="21"/>
          <w:highlight w:val="none"/>
        </w:rPr>
        <w:t>七、考核要求及考评处罚办法</w:t>
      </w:r>
      <w:bookmarkEnd w:id="126"/>
      <w:bookmarkEnd w:id="127"/>
      <w:bookmarkEnd w:id="128"/>
    </w:p>
    <w:p w14:paraId="3B2A02A9">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（一）考核要求</w:t>
      </w:r>
    </w:p>
    <w:p w14:paraId="4EBE99F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1、甲方将不定期对乙方的作业情况及台帐登记情况进行检查。</w:t>
      </w:r>
    </w:p>
    <w:p w14:paraId="066F663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2、乙方每月的服务费与当月的考核总评挂钩。甲方将对乙方清障任务完成的质量情况进行考评并制作月度考评表，并按照月度考核总评分数扣减相应的服务费用。</w:t>
      </w:r>
    </w:p>
    <w:p w14:paraId="27D9DB48">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3、甲方根据检查发现并核实的问题向供应商发出整改通知书，要求限期整改，乙方应在规定期限内实施整改，并将整改结果书面报甲方；如乙方不按要求实施整改的，甲方有权扣减月度考核分数。</w:t>
      </w:r>
    </w:p>
    <w:p w14:paraId="4049F14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4、乙方如出现重大违规事件，或在考评处罚办法中月度考核分数低于60分的，甲方有权终止合同，且由此造成的损失由乙方负责。</w:t>
      </w:r>
    </w:p>
    <w:p w14:paraId="287F308B">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（二）考评办法</w:t>
      </w:r>
    </w:p>
    <w:p w14:paraId="37675CD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1、甲方有权将乙方在合同服务期内违反合同规定的各种情况进行登记，建立诚信档案，制作月度考评表，按考评表分数比例扣减当月服务费用。</w:t>
      </w:r>
    </w:p>
    <w:p w14:paraId="5C3980B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2、考评表评分按百分制，每一个月为一个计分周期。当月得分低于60分的，视为不合格，甲方不支付当月服务费用，且可单方面解除合同。</w:t>
      </w:r>
    </w:p>
    <w:p w14:paraId="18F001E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bCs/>
          <w:color w:val="auto"/>
          <w:szCs w:val="21"/>
          <w:highlight w:val="none"/>
        </w:rPr>
        <w:t>本考评处罚办法中所指“当月服务费用”为乙方具体服务月度服务费用，以采购需求中的车辆拖移定价乘以中标折扣率为结算单价，数量以每月实际拖移车辆数量为准，具体数量需经甲方认定。</w:t>
      </w:r>
    </w:p>
    <w:p w14:paraId="2225296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4、乙方服务费支付比例和月度考核情况挂钩：</w:t>
      </w:r>
    </w:p>
    <w:p w14:paraId="64529B3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（1）当月总评＜60分的，视为不合格，当月服务费不予支付并从履约保证金中扣减3%；</w:t>
      </w:r>
    </w:p>
    <w:p w14:paraId="28B1187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（2）当月总评≥60分至≤80分的，按总评分数每减1分减少支付当月服务费1％。例如当月得分为75分的，则按95%支付当月服务费，依此类推；</w:t>
      </w:r>
    </w:p>
    <w:p w14:paraId="24A8D4A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（3）当月总评80分以上的，按100％支付当月服务费；</w:t>
      </w:r>
    </w:p>
    <w:p w14:paraId="21FE2C59">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5、甲方每月制作月度考评总表，作为结算依据之一。</w:t>
      </w:r>
    </w:p>
    <w:p w14:paraId="21801AD3">
      <w:pPr>
        <w:pStyle w:val="5"/>
        <w:rPr>
          <w:rFonts w:hint="eastAsia" w:eastAsia="宋体"/>
          <w:color w:val="auto"/>
          <w:highlight w:val="none"/>
          <w:lang w:val="en-US" w:eastAsia="zh-CN"/>
        </w:rPr>
      </w:pPr>
      <w:r>
        <w:rPr>
          <w:rFonts w:hint="eastAsia" w:ascii="宋体" w:hAnsi="宋体" w:cs="宋体"/>
          <w:color w:val="auto"/>
          <w:szCs w:val="21"/>
          <w:highlight w:val="none"/>
          <w:lang w:val="en-US" w:eastAsia="zh-CN"/>
        </w:rPr>
        <w:t>6、年度</w:t>
      </w:r>
      <w:r>
        <w:rPr>
          <w:rFonts w:hint="eastAsia" w:ascii="宋体" w:hAnsi="宋体" w:cs="宋体"/>
          <w:color w:val="auto"/>
          <w:szCs w:val="21"/>
          <w:highlight w:val="none"/>
        </w:rPr>
        <w:t>总评8</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分以上</w:t>
      </w:r>
      <w:r>
        <w:rPr>
          <w:rFonts w:hint="eastAsia" w:ascii="宋体" w:hAnsi="宋体" w:cs="宋体"/>
          <w:color w:val="auto"/>
          <w:szCs w:val="21"/>
          <w:highlight w:val="none"/>
          <w:lang w:eastAsia="zh-CN"/>
        </w:rPr>
        <w:t>，可续签下一年度合同。</w:t>
      </w:r>
    </w:p>
    <w:p w14:paraId="14398D06">
      <w:pPr>
        <w:spacing w:line="46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（三）考评条款</w:t>
      </w:r>
    </w:p>
    <w:tbl>
      <w:tblPr>
        <w:tblStyle w:val="23"/>
        <w:tblW w:w="10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945"/>
        <w:gridCol w:w="7605"/>
      </w:tblGrid>
      <w:tr w14:paraId="0318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14:paraId="4260CD4D">
            <w:pPr>
              <w:spacing w:line="460" w:lineRule="exact"/>
              <w:jc w:val="center"/>
              <w:rPr>
                <w:rFonts w:ascii="宋体" w:hAnsi="宋体" w:cs="宋体"/>
                <w:color w:val="auto"/>
                <w:szCs w:val="21"/>
                <w:highlight w:val="none"/>
              </w:rPr>
            </w:pPr>
            <w:r>
              <w:rPr>
                <w:rFonts w:hint="eastAsia" w:ascii="宋体" w:hAnsi="宋体" w:cs="宋体"/>
                <w:color w:val="auto"/>
                <w:kern w:val="0"/>
                <w:szCs w:val="21"/>
                <w:highlight w:val="none"/>
              </w:rPr>
              <w:t>项目</w:t>
            </w:r>
          </w:p>
        </w:tc>
        <w:tc>
          <w:tcPr>
            <w:tcW w:w="945" w:type="dxa"/>
          </w:tcPr>
          <w:p w14:paraId="57583873">
            <w:pPr>
              <w:spacing w:line="4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分值</w:t>
            </w:r>
          </w:p>
        </w:tc>
        <w:tc>
          <w:tcPr>
            <w:tcW w:w="7605" w:type="dxa"/>
          </w:tcPr>
          <w:p w14:paraId="4D697E40">
            <w:pPr>
              <w:spacing w:line="460" w:lineRule="exact"/>
              <w:jc w:val="center"/>
              <w:rPr>
                <w:rFonts w:ascii="宋体" w:hAnsi="宋体" w:cs="宋体"/>
                <w:color w:val="auto"/>
                <w:szCs w:val="21"/>
                <w:highlight w:val="none"/>
              </w:rPr>
            </w:pPr>
            <w:r>
              <w:rPr>
                <w:rFonts w:hint="eastAsia" w:ascii="宋体" w:hAnsi="宋体" w:cs="宋体"/>
                <w:color w:val="auto"/>
                <w:kern w:val="0"/>
                <w:szCs w:val="21"/>
                <w:highlight w:val="none"/>
              </w:rPr>
              <w:t>内容</w:t>
            </w:r>
          </w:p>
        </w:tc>
      </w:tr>
      <w:tr w14:paraId="0F7D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13" w:type="dxa"/>
            <w:vAlign w:val="center"/>
          </w:tcPr>
          <w:p w14:paraId="4549372B">
            <w:pPr>
              <w:spacing w:line="460" w:lineRule="exact"/>
              <w:jc w:val="center"/>
              <w:rPr>
                <w:rFonts w:ascii="宋体" w:hAnsi="宋体" w:cs="宋体"/>
                <w:color w:val="auto"/>
                <w:szCs w:val="21"/>
                <w:highlight w:val="none"/>
              </w:rPr>
            </w:pPr>
            <w:r>
              <w:rPr>
                <w:rFonts w:hint="eastAsia" w:ascii="宋体" w:hAnsi="宋体" w:cs="宋体"/>
                <w:color w:val="auto"/>
                <w:kern w:val="0"/>
                <w:szCs w:val="21"/>
                <w:highlight w:val="none"/>
              </w:rPr>
              <w:t>诚信服务</w:t>
            </w:r>
          </w:p>
        </w:tc>
        <w:tc>
          <w:tcPr>
            <w:tcW w:w="945" w:type="dxa"/>
            <w:vAlign w:val="center"/>
          </w:tcPr>
          <w:p w14:paraId="1162D9C7">
            <w:pPr>
              <w:spacing w:line="4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7605" w:type="dxa"/>
          </w:tcPr>
          <w:p w14:paraId="60CAC004">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1、存在诚信服务差，新闻媒体曝光，造成重大影响，倒查属实的，扣40分。</w:t>
            </w:r>
          </w:p>
        </w:tc>
      </w:tr>
      <w:tr w14:paraId="4E11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13" w:type="dxa"/>
            <w:vMerge w:val="restart"/>
            <w:vAlign w:val="center"/>
          </w:tcPr>
          <w:p w14:paraId="68412FB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服务质量</w:t>
            </w:r>
          </w:p>
        </w:tc>
        <w:tc>
          <w:tcPr>
            <w:tcW w:w="945" w:type="dxa"/>
            <w:vAlign w:val="center"/>
          </w:tcPr>
          <w:p w14:paraId="4436B53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7605" w:type="dxa"/>
          </w:tcPr>
          <w:p w14:paraId="7D26DC34">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1、服务过程中服务问题造成当事人投诉，并造成不良影响，倒查属实的，扣5分。</w:t>
            </w:r>
          </w:p>
        </w:tc>
      </w:tr>
      <w:tr w14:paraId="50DD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513" w:type="dxa"/>
            <w:vMerge w:val="continue"/>
            <w:vAlign w:val="center"/>
          </w:tcPr>
          <w:p w14:paraId="468BEE8F">
            <w:pPr>
              <w:spacing w:line="460" w:lineRule="exact"/>
              <w:jc w:val="center"/>
              <w:rPr>
                <w:rFonts w:ascii="宋体" w:hAnsi="宋体" w:cs="宋体"/>
                <w:color w:val="auto"/>
                <w:szCs w:val="21"/>
                <w:highlight w:val="none"/>
              </w:rPr>
            </w:pPr>
          </w:p>
        </w:tc>
        <w:tc>
          <w:tcPr>
            <w:tcW w:w="945" w:type="dxa"/>
            <w:vAlign w:val="center"/>
          </w:tcPr>
          <w:p w14:paraId="1762B40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612813ED">
            <w:pPr>
              <w:spacing w:line="460" w:lineRule="exact"/>
              <w:rPr>
                <w:rFonts w:ascii="宋体" w:hAnsi="宋体" w:cs="宋体"/>
                <w:color w:val="auto"/>
                <w:szCs w:val="21"/>
                <w:highlight w:val="none"/>
              </w:rPr>
            </w:pPr>
            <w:r>
              <w:rPr>
                <w:rFonts w:hint="eastAsia" w:ascii="宋体" w:hAnsi="宋体" w:cs="宋体"/>
                <w:color w:val="auto"/>
                <w:szCs w:val="21"/>
                <w:highlight w:val="none"/>
              </w:rPr>
              <w:t>2、乙方服务人员上岗服务时必须统一着装，佩戴相应的工作证件，并配备必要的劳动及安全防护设施；所有拖车在执行任务时必须统一标识，并必须达到相关的安全技术要求。未按规定配备标识上岗的，发现一次扣1分。</w:t>
            </w:r>
          </w:p>
        </w:tc>
      </w:tr>
      <w:tr w14:paraId="1738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13" w:type="dxa"/>
            <w:vMerge w:val="continue"/>
            <w:vAlign w:val="center"/>
          </w:tcPr>
          <w:p w14:paraId="089BF577">
            <w:pPr>
              <w:spacing w:line="460" w:lineRule="exact"/>
              <w:jc w:val="center"/>
              <w:rPr>
                <w:rFonts w:ascii="宋体" w:hAnsi="宋体" w:cs="宋体"/>
                <w:color w:val="auto"/>
                <w:szCs w:val="21"/>
                <w:highlight w:val="none"/>
              </w:rPr>
            </w:pPr>
          </w:p>
        </w:tc>
        <w:tc>
          <w:tcPr>
            <w:tcW w:w="945" w:type="dxa"/>
            <w:vAlign w:val="center"/>
          </w:tcPr>
          <w:p w14:paraId="6235AC5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4105691D">
            <w:pPr>
              <w:spacing w:line="460" w:lineRule="exact"/>
              <w:rPr>
                <w:rFonts w:ascii="宋体" w:hAnsi="宋体" w:cs="宋体"/>
                <w:color w:val="auto"/>
                <w:szCs w:val="21"/>
                <w:highlight w:val="none"/>
              </w:rPr>
            </w:pPr>
            <w:r>
              <w:rPr>
                <w:rFonts w:hint="eastAsia" w:ascii="宋体" w:hAnsi="宋体" w:cs="宋体"/>
                <w:color w:val="auto"/>
                <w:szCs w:val="21"/>
                <w:highlight w:val="none"/>
              </w:rPr>
              <w:t>3、发现不合格车辆提供拖车服务的，发现一次扣2分。</w:t>
            </w:r>
          </w:p>
        </w:tc>
      </w:tr>
      <w:tr w14:paraId="19C8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513" w:type="dxa"/>
            <w:vMerge w:val="continue"/>
            <w:vAlign w:val="center"/>
          </w:tcPr>
          <w:p w14:paraId="6AD68412">
            <w:pPr>
              <w:spacing w:line="460" w:lineRule="exact"/>
              <w:jc w:val="center"/>
              <w:rPr>
                <w:rFonts w:ascii="宋体" w:hAnsi="宋体" w:cs="宋体"/>
                <w:color w:val="auto"/>
                <w:szCs w:val="21"/>
                <w:highlight w:val="none"/>
              </w:rPr>
            </w:pPr>
          </w:p>
        </w:tc>
        <w:tc>
          <w:tcPr>
            <w:tcW w:w="945" w:type="dxa"/>
            <w:vAlign w:val="center"/>
          </w:tcPr>
          <w:p w14:paraId="77719DD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7605" w:type="dxa"/>
          </w:tcPr>
          <w:p w14:paraId="08727A7F">
            <w:pPr>
              <w:spacing w:line="460" w:lineRule="exact"/>
              <w:rPr>
                <w:rFonts w:ascii="宋体" w:hAnsi="宋体" w:cs="宋体"/>
                <w:color w:val="auto"/>
                <w:szCs w:val="21"/>
                <w:highlight w:val="none"/>
              </w:rPr>
            </w:pPr>
            <w:r>
              <w:rPr>
                <w:rFonts w:hint="eastAsia" w:ascii="宋体" w:hAnsi="宋体" w:cs="宋体"/>
                <w:color w:val="auto"/>
                <w:szCs w:val="21"/>
                <w:highlight w:val="none"/>
              </w:rPr>
              <w:t>4、乙方必须保证设备和人员等数量满足实际的服务需要，以保证最终服务的高质、高效，所有服务人员（包括日后新增或替换的人员）必须经体检、岗前培训合格，并通过甲方审核后才能上岗，每缺岗一名，扣2分。</w:t>
            </w:r>
          </w:p>
        </w:tc>
      </w:tr>
      <w:tr w14:paraId="3D95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13" w:type="dxa"/>
            <w:vMerge w:val="continue"/>
            <w:vAlign w:val="center"/>
          </w:tcPr>
          <w:p w14:paraId="5075AE6E">
            <w:pPr>
              <w:spacing w:line="460" w:lineRule="exact"/>
              <w:jc w:val="center"/>
              <w:rPr>
                <w:rFonts w:ascii="宋体" w:hAnsi="宋体" w:cs="宋体"/>
                <w:color w:val="auto"/>
                <w:szCs w:val="21"/>
                <w:highlight w:val="none"/>
              </w:rPr>
            </w:pPr>
          </w:p>
        </w:tc>
        <w:tc>
          <w:tcPr>
            <w:tcW w:w="945" w:type="dxa"/>
            <w:vAlign w:val="center"/>
          </w:tcPr>
          <w:p w14:paraId="5199E88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7605" w:type="dxa"/>
          </w:tcPr>
          <w:p w14:paraId="5FB9854D">
            <w:pPr>
              <w:spacing w:line="460" w:lineRule="exact"/>
              <w:rPr>
                <w:rFonts w:ascii="宋体" w:hAnsi="宋体" w:cs="宋体"/>
                <w:color w:val="auto"/>
                <w:szCs w:val="21"/>
                <w:highlight w:val="none"/>
              </w:rPr>
            </w:pPr>
            <w:r>
              <w:rPr>
                <w:rFonts w:hint="eastAsia" w:ascii="宋体" w:hAnsi="宋体" w:cs="宋体"/>
                <w:color w:val="auto"/>
                <w:szCs w:val="21"/>
                <w:highlight w:val="none"/>
              </w:rPr>
              <w:t>5、甲方每月不少于四次对乙方的服务进行检查，</w:t>
            </w:r>
            <w:r>
              <w:rPr>
                <w:rFonts w:hint="eastAsia" w:ascii="宋体" w:hAnsi="宋体" w:cs="宋体"/>
                <w:color w:val="auto"/>
                <w:kern w:val="0"/>
                <w:szCs w:val="21"/>
                <w:highlight w:val="none"/>
              </w:rPr>
              <w:t>（对应采购需求）</w:t>
            </w:r>
            <w:r>
              <w:rPr>
                <w:rFonts w:hint="eastAsia" w:ascii="宋体" w:hAnsi="宋体" w:cs="宋体"/>
                <w:color w:val="auto"/>
                <w:szCs w:val="21"/>
                <w:highlight w:val="none"/>
              </w:rPr>
              <w:t>每发现一次不按各项管理制度执行的，扣0.5分。</w:t>
            </w:r>
          </w:p>
        </w:tc>
      </w:tr>
      <w:tr w14:paraId="429A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513" w:type="dxa"/>
            <w:vMerge w:val="restart"/>
            <w:vAlign w:val="center"/>
          </w:tcPr>
          <w:p w14:paraId="6846B305">
            <w:pPr>
              <w:spacing w:line="460" w:lineRule="exact"/>
              <w:jc w:val="center"/>
              <w:rPr>
                <w:rFonts w:ascii="宋体" w:hAnsi="宋体" w:cs="宋体"/>
                <w:color w:val="auto"/>
                <w:szCs w:val="21"/>
                <w:highlight w:val="none"/>
              </w:rPr>
            </w:pPr>
            <w:r>
              <w:rPr>
                <w:rFonts w:hint="eastAsia" w:ascii="宋体" w:hAnsi="宋体" w:cs="宋体"/>
                <w:color w:val="auto"/>
                <w:kern w:val="0"/>
                <w:szCs w:val="21"/>
                <w:highlight w:val="none"/>
              </w:rPr>
              <w:t>辖区中队综合评定</w:t>
            </w:r>
          </w:p>
        </w:tc>
        <w:tc>
          <w:tcPr>
            <w:tcW w:w="945" w:type="dxa"/>
            <w:vAlign w:val="center"/>
          </w:tcPr>
          <w:p w14:paraId="446C4785">
            <w:pPr>
              <w:spacing w:line="4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605" w:type="dxa"/>
          </w:tcPr>
          <w:p w14:paraId="49C9FF9F">
            <w:pPr>
              <w:spacing w:line="460" w:lineRule="exact"/>
              <w:rPr>
                <w:rFonts w:ascii="宋体" w:hAnsi="宋体" w:cs="宋体"/>
                <w:color w:val="auto"/>
                <w:kern w:val="0"/>
                <w:szCs w:val="21"/>
                <w:highlight w:val="none"/>
              </w:rPr>
            </w:pPr>
            <w:r>
              <w:rPr>
                <w:rFonts w:hint="eastAsia" w:ascii="宋体" w:hAnsi="宋体" w:cs="宋体"/>
                <w:color w:val="auto"/>
                <w:kern w:val="0"/>
                <w:szCs w:val="21"/>
                <w:highlight w:val="none"/>
              </w:rPr>
              <w:t>1、根据甲方要求，不在规定时间内到达现场的，扣1分。</w:t>
            </w:r>
          </w:p>
        </w:tc>
      </w:tr>
      <w:tr w14:paraId="6225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14:paraId="7634E0AF">
            <w:pPr>
              <w:spacing w:line="460" w:lineRule="exact"/>
              <w:jc w:val="center"/>
              <w:rPr>
                <w:rFonts w:ascii="宋体" w:hAnsi="宋体" w:cs="宋体"/>
                <w:color w:val="auto"/>
                <w:szCs w:val="21"/>
                <w:highlight w:val="none"/>
              </w:rPr>
            </w:pPr>
          </w:p>
        </w:tc>
        <w:tc>
          <w:tcPr>
            <w:tcW w:w="945" w:type="dxa"/>
            <w:vAlign w:val="center"/>
          </w:tcPr>
          <w:p w14:paraId="496FF42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63A99747">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2、接到甲方工作指令，存在推诿现象的，扣1分。</w:t>
            </w:r>
          </w:p>
        </w:tc>
      </w:tr>
      <w:tr w14:paraId="7AD9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13" w:type="dxa"/>
            <w:vMerge w:val="continue"/>
            <w:vAlign w:val="center"/>
          </w:tcPr>
          <w:p w14:paraId="3276454A">
            <w:pPr>
              <w:spacing w:line="460" w:lineRule="exact"/>
              <w:jc w:val="center"/>
              <w:rPr>
                <w:rFonts w:ascii="宋体" w:hAnsi="宋体" w:cs="宋体"/>
                <w:color w:val="auto"/>
                <w:szCs w:val="21"/>
                <w:highlight w:val="none"/>
              </w:rPr>
            </w:pPr>
          </w:p>
        </w:tc>
        <w:tc>
          <w:tcPr>
            <w:tcW w:w="945" w:type="dxa"/>
            <w:vAlign w:val="center"/>
          </w:tcPr>
          <w:p w14:paraId="6ED30B3B">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5DC2AF08">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3、出动拖车不按规定配带有关装备的，扣1分。</w:t>
            </w:r>
          </w:p>
        </w:tc>
      </w:tr>
      <w:tr w14:paraId="1158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14:paraId="4C34B63D">
            <w:pPr>
              <w:spacing w:line="460" w:lineRule="exact"/>
              <w:jc w:val="center"/>
              <w:rPr>
                <w:rFonts w:ascii="宋体" w:hAnsi="宋体" w:cs="宋体"/>
                <w:color w:val="auto"/>
                <w:szCs w:val="21"/>
                <w:highlight w:val="none"/>
              </w:rPr>
            </w:pPr>
          </w:p>
        </w:tc>
        <w:tc>
          <w:tcPr>
            <w:tcW w:w="945" w:type="dxa"/>
            <w:vAlign w:val="center"/>
          </w:tcPr>
          <w:p w14:paraId="6DD4A12A">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263B12F3">
            <w:pPr>
              <w:spacing w:line="460" w:lineRule="exact"/>
              <w:rPr>
                <w:rFonts w:ascii="宋体" w:hAnsi="宋体" w:cs="宋体"/>
                <w:color w:val="auto"/>
                <w:kern w:val="0"/>
                <w:szCs w:val="21"/>
                <w:highlight w:val="none"/>
              </w:rPr>
            </w:pPr>
            <w:r>
              <w:rPr>
                <w:rFonts w:hint="eastAsia" w:ascii="宋体" w:hAnsi="宋体" w:cs="宋体"/>
                <w:color w:val="auto"/>
                <w:kern w:val="0"/>
                <w:szCs w:val="21"/>
                <w:highlight w:val="none"/>
              </w:rPr>
              <w:t>4、违规收取当事人有关费用的，视后果每次扣1分。</w:t>
            </w:r>
          </w:p>
        </w:tc>
      </w:tr>
      <w:tr w14:paraId="5723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14:paraId="144C900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945" w:type="dxa"/>
            <w:vAlign w:val="center"/>
          </w:tcPr>
          <w:p w14:paraId="5EEB85AA">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100</w:t>
            </w:r>
          </w:p>
        </w:tc>
        <w:tc>
          <w:tcPr>
            <w:tcW w:w="7605" w:type="dxa"/>
          </w:tcPr>
          <w:p w14:paraId="623564FB">
            <w:pPr>
              <w:spacing w:line="460" w:lineRule="exact"/>
              <w:rPr>
                <w:rFonts w:ascii="宋体" w:hAnsi="宋体" w:cs="宋体"/>
                <w:color w:val="auto"/>
                <w:kern w:val="0"/>
                <w:szCs w:val="21"/>
                <w:highlight w:val="none"/>
              </w:rPr>
            </w:pPr>
          </w:p>
        </w:tc>
      </w:tr>
    </w:tbl>
    <w:p w14:paraId="0866AC4C">
      <w:pPr>
        <w:spacing w:line="460" w:lineRule="exact"/>
        <w:ind w:firstLine="422" w:firstLineChars="200"/>
        <w:rPr>
          <w:rFonts w:ascii="宋体" w:hAnsi="宋体" w:cs="宋体"/>
          <w:color w:val="auto"/>
          <w:szCs w:val="21"/>
          <w:highlight w:val="none"/>
        </w:rPr>
      </w:pPr>
      <w:bookmarkStart w:id="129" w:name="_Toc26039"/>
      <w:bookmarkStart w:id="130" w:name="_Toc28011"/>
      <w:bookmarkStart w:id="131" w:name="_Toc26799"/>
      <w:r>
        <w:rPr>
          <w:rFonts w:hint="eastAsia" w:ascii="宋体" w:hAnsi="宋体" w:cs="宋体"/>
          <w:b/>
          <w:bCs/>
          <w:color w:val="auto"/>
          <w:szCs w:val="21"/>
          <w:highlight w:val="none"/>
        </w:rPr>
        <w:t>（四）服务时间要求</w:t>
      </w:r>
    </w:p>
    <w:p w14:paraId="4FC99C32">
      <w:pPr>
        <w:spacing w:line="460" w:lineRule="exact"/>
        <w:ind w:firstLine="413" w:firstLineChars="196"/>
        <w:rPr>
          <w:color w:val="auto"/>
          <w:highlight w:val="none"/>
        </w:rPr>
      </w:pPr>
      <w:r>
        <w:rPr>
          <w:rFonts w:hint="eastAsia" w:ascii="宋体" w:hAnsi="宋体" w:cs="宋体"/>
          <w:b/>
          <w:color w:val="auto"/>
          <w:szCs w:val="21"/>
          <w:highlight w:val="none"/>
        </w:rPr>
        <w:t xml:space="preserve">乙方提供全天24小时的各类清障作业。乙方接到甲方发出的清障指令起计，在规定时间（城区为15分钟，乡镇的为20分钟，高峰期的再各加10分钟）到达现场提供服务。 </w:t>
      </w:r>
    </w:p>
    <w:p w14:paraId="7436605A">
      <w:pPr>
        <w:spacing w:line="460" w:lineRule="exact"/>
        <w:ind w:firstLine="422" w:firstLineChars="200"/>
        <w:outlineLvl w:val="1"/>
        <w:rPr>
          <w:rFonts w:ascii="宋体" w:hAnsi="宋体" w:cs="宋体"/>
          <w:b/>
          <w:bCs/>
          <w:color w:val="auto"/>
          <w:szCs w:val="21"/>
          <w:highlight w:val="none"/>
        </w:rPr>
      </w:pPr>
      <w:r>
        <w:rPr>
          <w:rFonts w:hint="eastAsia" w:ascii="宋体" w:hAnsi="宋体" w:cs="宋体"/>
          <w:b/>
          <w:bCs/>
          <w:color w:val="auto"/>
          <w:szCs w:val="21"/>
          <w:highlight w:val="none"/>
        </w:rPr>
        <w:t>八、履约保证金</w:t>
      </w:r>
      <w:bookmarkEnd w:id="129"/>
      <w:bookmarkEnd w:id="130"/>
      <w:bookmarkEnd w:id="131"/>
    </w:p>
    <w:p w14:paraId="4EB6D11B">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1、乙方须自合同签订之日起</w:t>
      </w:r>
      <w:r>
        <w:rPr>
          <w:rFonts w:ascii="宋体" w:hAnsi="宋体" w:cs="宋体"/>
          <w:color w:val="auto"/>
          <w:szCs w:val="21"/>
          <w:highlight w:val="none"/>
        </w:rPr>
        <w:t>10日内</w:t>
      </w:r>
      <w:r>
        <w:rPr>
          <w:rFonts w:hint="eastAsia" w:ascii="宋体" w:hAnsi="宋体" w:cs="宋体"/>
          <w:color w:val="auto"/>
          <w:szCs w:val="21"/>
          <w:highlight w:val="none"/>
        </w:rPr>
        <w:t>向甲方提交合同总额</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%的履约保证金。</w:t>
      </w:r>
    </w:p>
    <w:p w14:paraId="4130B7ED">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2、履约保证金用于补偿甲方因乙方不能履行其合同义务而蒙受的损失。</w:t>
      </w:r>
    </w:p>
    <w:p w14:paraId="5F479FB6">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w:t>
      </w:r>
      <w:r>
        <w:rPr>
          <w:rFonts w:hint="eastAsia" w:cs="宋体" w:asciiTheme="minorEastAsia" w:hAnsiTheme="minorEastAsia" w:eastAsiaTheme="minorEastAsia"/>
          <w:color w:val="auto"/>
          <w:highlight w:val="none"/>
        </w:rPr>
        <w:t>在合同履约到期且无质量、服务投诉和索赔后该款项10个工作日内无息返还。</w:t>
      </w:r>
    </w:p>
    <w:p w14:paraId="4F54419F">
      <w:pPr>
        <w:widowControl/>
        <w:shd w:val="clear" w:color="auto" w:fill="FFFFFF"/>
        <w:spacing w:line="400" w:lineRule="exact"/>
        <w:ind w:firstLine="310" w:firstLineChars="147"/>
        <w:jc w:val="left"/>
        <w:rPr>
          <w:color w:val="auto"/>
          <w:highlight w:val="none"/>
        </w:rPr>
      </w:pPr>
      <w:r>
        <w:rPr>
          <w:rFonts w:hint="eastAsia" w:ascii="宋体" w:hAnsi="宋体" w:cs="宋体"/>
          <w:b/>
          <w:color w:val="auto"/>
          <w:szCs w:val="21"/>
          <w:highlight w:val="none"/>
        </w:rPr>
        <w:t>4、乙方在履行合同的过程中不得私自收受其他相关的任何费用，造成恶劣影响，否则一经查实，甲方可以终止合同，不退还履约保证金，并列入下一年度名单不得再参与相关招标项目。</w:t>
      </w:r>
    </w:p>
    <w:p w14:paraId="31A674A8">
      <w:pPr>
        <w:spacing w:line="460" w:lineRule="exact"/>
        <w:ind w:firstLine="422" w:firstLineChars="200"/>
        <w:outlineLvl w:val="1"/>
        <w:rPr>
          <w:rFonts w:ascii="宋体" w:hAnsi="宋体" w:cs="宋体"/>
          <w:b/>
          <w:bCs/>
          <w:color w:val="auto"/>
          <w:szCs w:val="21"/>
          <w:highlight w:val="none"/>
        </w:rPr>
      </w:pPr>
      <w:bookmarkStart w:id="132" w:name="_Toc16579"/>
      <w:bookmarkStart w:id="133" w:name="_Toc16688"/>
      <w:bookmarkStart w:id="134" w:name="_Toc24630"/>
      <w:r>
        <w:rPr>
          <w:rFonts w:hint="eastAsia" w:ascii="宋体" w:hAnsi="宋体" w:cs="宋体"/>
          <w:b/>
          <w:bCs/>
          <w:color w:val="auto"/>
          <w:szCs w:val="21"/>
          <w:highlight w:val="none"/>
          <w:lang w:eastAsia="zh-CN"/>
        </w:rPr>
        <w:t>九</w:t>
      </w:r>
      <w:r>
        <w:rPr>
          <w:rFonts w:hint="eastAsia" w:ascii="宋体" w:hAnsi="宋体" w:cs="宋体"/>
          <w:b/>
          <w:bCs/>
          <w:color w:val="auto"/>
          <w:szCs w:val="21"/>
          <w:highlight w:val="none"/>
        </w:rPr>
        <w:t>、甲方的权利和义务</w:t>
      </w:r>
      <w:bookmarkEnd w:id="132"/>
      <w:bookmarkEnd w:id="133"/>
      <w:bookmarkEnd w:id="134"/>
    </w:p>
    <w:p w14:paraId="4580C435">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1、服务期内，甲方可全天24小时随时向乙方发出指令，要求乙方在规定的服务区域内提供交通违法车辆、事故救援、道路清障、交通警卫及重点路段的备勤服务，各类非法占道物品的清理及其他清障服务。</w:t>
      </w:r>
    </w:p>
    <w:p w14:paraId="40D9A980">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2、遇有重特大交通事故、突发事件及其它工作需求，甲方有权统筹安排，调配各签约单位跨约定服务区域开展拖车服务。</w:t>
      </w:r>
    </w:p>
    <w:p w14:paraId="178AFE68">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3、甲方不承担乙方利用服务车辆从事合同约定服务内容以外的活动所导致的后果。</w:t>
      </w:r>
    </w:p>
    <w:p w14:paraId="2B5ADD19">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4、按时支付服务费。</w:t>
      </w:r>
    </w:p>
    <w:p w14:paraId="72FFF1D8">
      <w:pPr>
        <w:spacing w:line="460" w:lineRule="exact"/>
        <w:ind w:firstLine="422" w:firstLineChars="200"/>
        <w:outlineLvl w:val="1"/>
        <w:rPr>
          <w:rFonts w:ascii="宋体" w:hAnsi="宋体" w:cs="宋体"/>
          <w:b/>
          <w:bCs/>
          <w:color w:val="auto"/>
          <w:szCs w:val="21"/>
          <w:highlight w:val="none"/>
        </w:rPr>
      </w:pPr>
      <w:bookmarkStart w:id="135" w:name="_Toc30616"/>
      <w:bookmarkStart w:id="136" w:name="_Toc3755"/>
      <w:bookmarkStart w:id="137" w:name="_Toc20109"/>
      <w:r>
        <w:rPr>
          <w:rFonts w:hint="eastAsia" w:ascii="宋体" w:hAnsi="宋体" w:cs="宋体"/>
          <w:b/>
          <w:bCs/>
          <w:color w:val="auto"/>
          <w:szCs w:val="21"/>
          <w:highlight w:val="none"/>
        </w:rPr>
        <w:t>十、乙方的权利和义务</w:t>
      </w:r>
      <w:bookmarkEnd w:id="135"/>
      <w:bookmarkEnd w:id="136"/>
      <w:bookmarkEnd w:id="137"/>
    </w:p>
    <w:p w14:paraId="2F66DCD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1、车辆数量要求</w:t>
      </w:r>
    </w:p>
    <w:p w14:paraId="1184E2D0">
      <w:pPr>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（1）车辆总数为辆以上，其中：  </w:t>
      </w:r>
    </w:p>
    <w:p w14:paraId="25ACEFA9">
      <w:pPr>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（2）以上车辆数量要求仅为乙方提供服务的最低要求，在实际工作中如清障作业需要车辆超出上述要求，乙方应当满足。</w:t>
      </w:r>
    </w:p>
    <w:p w14:paraId="7DB83C1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2、车辆状况要求</w:t>
      </w:r>
    </w:p>
    <w:p w14:paraId="542D8EAB">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乙方提供的车辆必须具有合法、完备的证照，不得提供报废、非法车辆参与清障作业，保证车况良好并配备足够、完好的交通清障辅助设备（包括枕木、警示筒、警示带等反光标志、拖车辅助轮、磅秤、千斤顶、具有夜间拍摄和摄录功能的相机等）及通讯工具。大中型专项作业车（含）以上车型还需增配消防器材、破拆工具等设备，以确保清障能力与通信畅通。</w:t>
      </w:r>
    </w:p>
    <w:p w14:paraId="17D9CAE4">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（2）乙方提供的车辆必须购买相应的保险，除交强险外，还应购买第三者责任险，且保险理赔时限在本项目服务期限内持续有效。</w:t>
      </w:r>
    </w:p>
    <w:p w14:paraId="1E7ED603">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（3）乙方提供的车辆必须安装全球卫星定位系统（GPS）车载终端，车辆定位数据须保存3个月，并实时提供给甲方。</w:t>
      </w:r>
    </w:p>
    <w:p w14:paraId="180813C2">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乙方提供的车辆必须安装行车记录仪，行车记录仪必须配备三个摄像头（前一后二），满足日间、夜晚的记录要求，能清晰摄录从甲方将暂扣车辆移交给乙方起至乙方将暂扣车辆拖移至甲方指定停车场并移交完毕的整个过程，具体安装要求由甲方指定，摄录数据至少保存45天。</w:t>
      </w:r>
    </w:p>
    <w:p w14:paraId="2A9EF526">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（5）乙方须配合甲方涉案财物管理要求，并按甲方规定管理。</w:t>
      </w:r>
    </w:p>
    <w:p w14:paraId="1CD3814A">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（6）乙方提供的车辆必须统一喷涂乙方单位名称及投诉电话。</w:t>
      </w:r>
    </w:p>
    <w:p w14:paraId="09D6A96A">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服务期内，乙方投入的车辆必须在有效期内，对提供服务的车辆进行维修保养、年检等，在原服务车辆不能按时到场服务的情况下，乙方须提供同车型、同吨位的备用车辆（具有合格、完备证照）替代服务。</w:t>
      </w:r>
    </w:p>
    <w:p w14:paraId="1C55D72D">
      <w:pPr>
        <w:ind w:firstLine="315" w:firstLineChars="150"/>
        <w:rPr>
          <w:rFonts w:ascii="宋体" w:hAnsi="宋体" w:cs="宋体"/>
          <w:color w:val="auto"/>
          <w:szCs w:val="21"/>
          <w:highlight w:val="none"/>
        </w:rPr>
      </w:pPr>
      <w:r>
        <w:rPr>
          <w:rFonts w:hint="eastAsia" w:ascii="宋体" w:hAnsi="宋体" w:cs="宋体"/>
          <w:color w:val="auto"/>
          <w:szCs w:val="21"/>
          <w:highlight w:val="none"/>
        </w:rPr>
        <w:t>（8）到达现场清障作业的车辆必须能够承担并完成甲方指定的清障任务。</w:t>
      </w:r>
    </w:p>
    <w:p w14:paraId="3E4E9A5D">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3、清障作业人员要求</w:t>
      </w:r>
    </w:p>
    <w:p w14:paraId="7B726346">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（1）乙方应加强作业人员交通清障操作技能的培训。</w:t>
      </w:r>
    </w:p>
    <w:p w14:paraId="45F74D1E">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（2）实施清障作业的每辆车，除合格驾驶员外，应配备2名熟悉业务的作业人员（如甲方要求每台作业车辆配备2名以上熟悉业务作业人员的，乙方应予以满足），保证交通清障顺利完成。</w:t>
      </w:r>
    </w:p>
    <w:p w14:paraId="603B0C71">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（3）清障作业人员必须统一着装，按规范流程操作，同时必须听从交警的指挥。</w:t>
      </w:r>
    </w:p>
    <w:p w14:paraId="3B002279">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（4）清障作业人员应报甲方备案。</w:t>
      </w:r>
    </w:p>
    <w:p w14:paraId="2BFB590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4、清障作业的服务要求</w:t>
      </w:r>
    </w:p>
    <w:p w14:paraId="10D82F88">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（1）服务时间要求</w:t>
      </w:r>
    </w:p>
    <w:p w14:paraId="7686803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乙方提供全天24小时的各类清障作业。乙方接到甲方发出的清障指令起计，在规定时间到达现场提供服务。 </w:t>
      </w:r>
    </w:p>
    <w:p w14:paraId="48A6755C">
      <w:pPr>
        <w:spacing w:line="460" w:lineRule="exact"/>
        <w:rPr>
          <w:rFonts w:ascii="宋体" w:hAnsi="宋体" w:cs="宋体"/>
          <w:color w:val="auto"/>
          <w:szCs w:val="21"/>
          <w:highlight w:val="none"/>
        </w:rPr>
      </w:pPr>
      <w:r>
        <w:rPr>
          <w:rFonts w:hint="eastAsia" w:ascii="宋体" w:hAnsi="宋体" w:cs="宋体"/>
          <w:color w:val="auto"/>
          <w:szCs w:val="21"/>
          <w:highlight w:val="none"/>
        </w:rPr>
        <w:t>（2）现场作业要求</w:t>
      </w:r>
    </w:p>
    <w:p w14:paraId="222B221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①乙方应按照甲方制订的拖吊车作业规范实施作业，包括对被拖吊车辆的检查和清点、按要求填写拖车清障作业单，以及按规范流程进行作业等；</w:t>
      </w:r>
    </w:p>
    <w:p w14:paraId="570A0E9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②拖车作业人员应服从现场交警的指挥；</w:t>
      </w:r>
    </w:p>
    <w:p w14:paraId="2233B448">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③乙方实施清障作业时，必须有交通警察在场并取得委托（拖车作业单应由在场民警签名确认）。</w:t>
      </w:r>
    </w:p>
    <w:p w14:paraId="32620507">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④乙方作业时必须严格遵守道路交通管理规定，不得因作业而影响交通、造成交通堵塞或损坏市政设施（如因作业需要违反交通管理规定的，应经现场交警同意）。</w:t>
      </w:r>
    </w:p>
    <w:p w14:paraId="6475F72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⑤乙方作业时对车辆负责，若因作业对车辆造成损伤，需全款赔偿因此造成的损失费用。</w:t>
      </w:r>
    </w:p>
    <w:p w14:paraId="1BAB2D6C">
      <w:pPr>
        <w:spacing w:line="460" w:lineRule="exact"/>
        <w:rPr>
          <w:rFonts w:ascii="宋体" w:hAnsi="宋体" w:cs="宋体"/>
          <w:color w:val="auto"/>
          <w:szCs w:val="21"/>
          <w:highlight w:val="none"/>
        </w:rPr>
      </w:pPr>
      <w:r>
        <w:rPr>
          <w:rFonts w:hint="eastAsia" w:ascii="宋体" w:hAnsi="宋体" w:cs="宋体"/>
          <w:color w:val="auto"/>
          <w:szCs w:val="21"/>
          <w:highlight w:val="none"/>
        </w:rPr>
        <w:t>（3）被清拖车辆物品处理要求</w:t>
      </w:r>
    </w:p>
    <w:p w14:paraId="0545445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乙方应按照甲方规定的程序及规范处置被拖吊车辆的随车物品，未经甲方或当事人同意，乙方不得进入被拖吊车辆的车辆内部（包括驾驶乘坐仓以及车尾箱等）。</w:t>
      </w:r>
    </w:p>
    <w:p w14:paraId="044E4EA0">
      <w:pPr>
        <w:spacing w:line="460" w:lineRule="exact"/>
        <w:rPr>
          <w:rFonts w:ascii="宋体" w:hAnsi="宋体" w:cs="宋体"/>
          <w:color w:val="auto"/>
          <w:szCs w:val="21"/>
          <w:highlight w:val="none"/>
        </w:rPr>
      </w:pPr>
      <w:r>
        <w:rPr>
          <w:rFonts w:hint="eastAsia" w:ascii="宋体" w:hAnsi="宋体" w:cs="宋体"/>
          <w:color w:val="auto"/>
          <w:szCs w:val="21"/>
          <w:highlight w:val="none"/>
        </w:rPr>
        <w:t>（4）拖吊进场的要求</w:t>
      </w:r>
    </w:p>
    <w:p w14:paraId="40740FA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乙方应按照要求将车辆拖至规定停车场，因乙方违反拖吊车作业规范，导致车辆（含随车物品）进场时与扣留时登记的实际状态不符的，停车场将拒绝接收车辆，由此造成的法律及经济责任由乙方承担。</w:t>
      </w:r>
    </w:p>
    <w:p w14:paraId="2759CFF7">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（5）如现场民警要求将涉案货车拖移至称重点或治超点进行称重的，乙方应予以满足，并在完成称重后，再将车辆拖移至指定的停车场。</w:t>
      </w:r>
    </w:p>
    <w:p w14:paraId="155CBC6D">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（6）乙方应对“清障作业”所拖吊车辆数据进行分类登记，并定期向甲方报备。</w:t>
      </w:r>
    </w:p>
    <w:p w14:paraId="16BEB102">
      <w:pPr>
        <w:spacing w:line="460" w:lineRule="exact"/>
        <w:ind w:firstLine="315" w:firstLineChars="150"/>
        <w:rPr>
          <w:rFonts w:ascii="宋体" w:hAnsi="宋体" w:cs="宋体"/>
          <w:color w:val="auto"/>
          <w:szCs w:val="21"/>
          <w:highlight w:val="none"/>
        </w:rPr>
      </w:pPr>
      <w:bookmarkStart w:id="138" w:name="_Toc363483688"/>
      <w:r>
        <w:rPr>
          <w:rFonts w:hint="eastAsia" w:ascii="宋体" w:hAnsi="宋体" w:cs="宋体"/>
          <w:color w:val="auto"/>
          <w:szCs w:val="21"/>
          <w:highlight w:val="none"/>
        </w:rPr>
        <w:t>（7）服务期内乙方发生的各种事故：包括治安、交通、防火等安全案件、劳资纠纷事件等，均由乙方承担相应责任。</w:t>
      </w:r>
      <w:bookmarkEnd w:id="138"/>
    </w:p>
    <w:p w14:paraId="49A5A3C8">
      <w:pPr>
        <w:spacing w:line="460" w:lineRule="exact"/>
        <w:ind w:firstLine="422" w:firstLineChars="200"/>
        <w:outlineLvl w:val="1"/>
        <w:rPr>
          <w:rFonts w:ascii="宋体" w:hAnsi="宋体" w:cs="宋体"/>
          <w:b/>
          <w:bCs/>
          <w:color w:val="auto"/>
          <w:szCs w:val="21"/>
          <w:highlight w:val="none"/>
        </w:rPr>
      </w:pPr>
      <w:bookmarkStart w:id="139" w:name="_Toc16258"/>
      <w:bookmarkStart w:id="140" w:name="_Toc16928"/>
      <w:bookmarkStart w:id="141" w:name="_Toc32759"/>
      <w:r>
        <w:rPr>
          <w:rFonts w:hint="eastAsia" w:ascii="宋体" w:hAnsi="宋体" w:cs="宋体"/>
          <w:b/>
          <w:bCs/>
          <w:color w:val="auto"/>
          <w:szCs w:val="21"/>
          <w:highlight w:val="none"/>
        </w:rPr>
        <w:t>十</w:t>
      </w:r>
      <w:r>
        <w:rPr>
          <w:rFonts w:hint="eastAsia" w:ascii="宋体" w:hAnsi="宋体" w:cs="宋体"/>
          <w:b/>
          <w:bCs/>
          <w:color w:val="auto"/>
          <w:szCs w:val="21"/>
          <w:highlight w:val="none"/>
          <w:lang w:eastAsia="zh-CN"/>
        </w:rPr>
        <w:t>一</w:t>
      </w:r>
      <w:r>
        <w:rPr>
          <w:rFonts w:hint="eastAsia" w:ascii="宋体" w:hAnsi="宋体" w:cs="宋体"/>
          <w:b/>
          <w:bCs/>
          <w:color w:val="auto"/>
          <w:szCs w:val="21"/>
          <w:highlight w:val="none"/>
        </w:rPr>
        <w:t>、违约责任</w:t>
      </w:r>
      <w:bookmarkEnd w:id="139"/>
      <w:bookmarkEnd w:id="140"/>
      <w:bookmarkEnd w:id="141"/>
    </w:p>
    <w:p w14:paraId="7E2CE496">
      <w:pPr>
        <w:spacing w:line="46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1、因乙方违约导致合同终止的，相关责任和损失由乙方承担，并向甲方支付壹拾万元的违约金。</w:t>
      </w:r>
    </w:p>
    <w:p w14:paraId="6F7F65C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按照合同规定时限办理服务费用的支付手续，每拖延1天，乙方可加收逾期未付服务费用1‰的违约金，逾期超过30天，乙方有权撤回提供服务的车辆及人员。如因财政资金拨款不到位而导致甲方逾期付款的，甲方不承担违约责任，并且此情况不能成为乙方拒绝提供服务的理由。</w:t>
      </w:r>
    </w:p>
    <w:p w14:paraId="21111198">
      <w:pPr>
        <w:spacing w:line="4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3、拖移车辆，由甲方按拖移数量与拖移单价进行结算，由甲方支付；乙方不得向当事人收取任何费用。如发现违规收取费用，甲方有权让乙方按当次收取费用的</w:t>
      </w:r>
      <w:r>
        <w:rPr>
          <w:rFonts w:hint="eastAsia" w:ascii="宋体" w:hAnsi="宋体" w:cs="宋体"/>
          <w:bCs/>
          <w:color w:val="auto"/>
          <w:szCs w:val="21"/>
          <w:highlight w:val="none"/>
          <w:lang w:val="en-US" w:eastAsia="zh-CN"/>
        </w:rPr>
        <w:t>5</w:t>
      </w:r>
      <w:r>
        <w:rPr>
          <w:rFonts w:ascii="宋体" w:hAnsi="宋体" w:cs="宋体"/>
          <w:bCs/>
          <w:color w:val="auto"/>
          <w:szCs w:val="21"/>
          <w:highlight w:val="none"/>
        </w:rPr>
        <w:t>倍来缴纳</w:t>
      </w:r>
      <w:r>
        <w:rPr>
          <w:rFonts w:hint="eastAsia" w:ascii="宋体" w:hAnsi="宋体" w:cs="宋体"/>
          <w:bCs/>
          <w:color w:val="auto"/>
          <w:szCs w:val="21"/>
          <w:highlight w:val="none"/>
        </w:rPr>
        <w:t>违约</w:t>
      </w:r>
      <w:r>
        <w:rPr>
          <w:rFonts w:ascii="宋体" w:hAnsi="宋体" w:cs="宋体"/>
          <w:bCs/>
          <w:color w:val="auto"/>
          <w:szCs w:val="21"/>
          <w:highlight w:val="none"/>
        </w:rPr>
        <w:t>罚款。超过3次以上，</w:t>
      </w:r>
      <w:r>
        <w:rPr>
          <w:rFonts w:hint="eastAsia" w:ascii="宋体" w:hAnsi="宋体" w:cs="宋体"/>
          <w:bCs/>
          <w:color w:val="auto"/>
          <w:szCs w:val="21"/>
          <w:highlight w:val="none"/>
        </w:rPr>
        <w:t>甲方</w:t>
      </w:r>
      <w:r>
        <w:rPr>
          <w:rFonts w:ascii="宋体" w:hAnsi="宋体" w:cs="宋体"/>
          <w:bCs/>
          <w:color w:val="auto"/>
          <w:szCs w:val="21"/>
          <w:highlight w:val="none"/>
        </w:rPr>
        <w:t>有权解除合同并没收履约保证金。</w:t>
      </w:r>
    </w:p>
    <w:p w14:paraId="0B06BC71">
      <w:pPr>
        <w:spacing w:line="460" w:lineRule="exact"/>
        <w:ind w:firstLine="422" w:firstLineChars="200"/>
        <w:outlineLvl w:val="1"/>
        <w:rPr>
          <w:rFonts w:ascii="宋体" w:hAnsi="宋体" w:cs="宋体"/>
          <w:b/>
          <w:bCs/>
          <w:color w:val="auto"/>
          <w:szCs w:val="21"/>
          <w:highlight w:val="none"/>
        </w:rPr>
      </w:pPr>
      <w:bookmarkStart w:id="142" w:name="_Toc25739"/>
      <w:bookmarkStart w:id="143" w:name="_Toc32403"/>
      <w:bookmarkStart w:id="144" w:name="_Toc29938"/>
      <w:r>
        <w:rPr>
          <w:rFonts w:hint="eastAsia" w:ascii="宋体" w:hAnsi="宋体" w:cs="宋体"/>
          <w:b/>
          <w:bCs/>
          <w:color w:val="auto"/>
          <w:szCs w:val="21"/>
          <w:highlight w:val="none"/>
        </w:rPr>
        <w:t>十</w:t>
      </w:r>
      <w:r>
        <w:rPr>
          <w:rFonts w:hint="eastAsia" w:ascii="宋体" w:hAnsi="宋体" w:cs="宋体"/>
          <w:b/>
          <w:bCs/>
          <w:color w:val="auto"/>
          <w:szCs w:val="21"/>
          <w:highlight w:val="none"/>
          <w:lang w:eastAsia="zh-CN"/>
        </w:rPr>
        <w:t>二</w:t>
      </w:r>
      <w:r>
        <w:rPr>
          <w:rFonts w:hint="eastAsia" w:ascii="宋体" w:hAnsi="宋体" w:cs="宋体"/>
          <w:b/>
          <w:bCs/>
          <w:color w:val="auto"/>
          <w:szCs w:val="21"/>
          <w:highlight w:val="none"/>
        </w:rPr>
        <w:t>、不可抗力</w:t>
      </w:r>
      <w:bookmarkEnd w:id="142"/>
      <w:bookmarkEnd w:id="143"/>
      <w:bookmarkEnd w:id="144"/>
    </w:p>
    <w:p w14:paraId="4F49DA9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1、由于不可预见、不可避免、不可克服等不可抗力的原因，一方不能履行约定义务的，应当在不可抗力发生之日起3天内以书面形式通知对方，阐明不可抗力事件的存在。</w:t>
      </w:r>
    </w:p>
    <w:p w14:paraId="1CBF978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2、不可抗力事件发生后，双方应当积极寻求合理的方式履行本合同。如不可抗力无法消除，致使合同目的无法实现的，双方均有权解除合同，且无需承担赔偿责任。</w:t>
      </w:r>
    </w:p>
    <w:p w14:paraId="00C96E3A">
      <w:pPr>
        <w:spacing w:line="460" w:lineRule="exact"/>
        <w:ind w:firstLine="422" w:firstLineChars="200"/>
        <w:outlineLvl w:val="1"/>
        <w:rPr>
          <w:rFonts w:ascii="宋体" w:hAnsi="宋体" w:cs="宋体"/>
          <w:b/>
          <w:bCs/>
          <w:color w:val="auto"/>
          <w:szCs w:val="21"/>
          <w:highlight w:val="none"/>
        </w:rPr>
      </w:pPr>
      <w:bookmarkStart w:id="145" w:name="_Toc13391"/>
      <w:bookmarkStart w:id="146" w:name="_Toc6929"/>
      <w:bookmarkStart w:id="147" w:name="_Toc28073"/>
      <w:r>
        <w:rPr>
          <w:rFonts w:hint="eastAsia" w:ascii="宋体" w:hAnsi="宋体" w:cs="宋体"/>
          <w:b/>
          <w:bCs/>
          <w:color w:val="auto"/>
          <w:szCs w:val="21"/>
          <w:highlight w:val="none"/>
        </w:rPr>
        <w:t>十</w:t>
      </w:r>
      <w:r>
        <w:rPr>
          <w:rFonts w:hint="eastAsia" w:ascii="宋体" w:hAnsi="宋体" w:cs="宋体"/>
          <w:b/>
          <w:bCs/>
          <w:color w:val="auto"/>
          <w:szCs w:val="21"/>
          <w:highlight w:val="none"/>
          <w:lang w:eastAsia="zh-CN"/>
        </w:rPr>
        <w:t>三</w:t>
      </w:r>
      <w:r>
        <w:rPr>
          <w:rFonts w:hint="eastAsia" w:ascii="宋体" w:hAnsi="宋体" w:cs="宋体"/>
          <w:b/>
          <w:bCs/>
          <w:color w:val="auto"/>
          <w:szCs w:val="21"/>
          <w:highlight w:val="none"/>
        </w:rPr>
        <w:t>、争议的解决方法</w:t>
      </w:r>
      <w:bookmarkEnd w:id="145"/>
      <w:bookmarkEnd w:id="146"/>
      <w:bookmarkEnd w:id="147"/>
    </w:p>
    <w:p w14:paraId="153DBFB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1、凡与本合同有关的一切争议，甲乙双方应通过协商解决；如经协商或调解后仍不能达成协议时，双方同意向甲方所在地有管辖权的人民法院提出诉讼解决。</w:t>
      </w:r>
    </w:p>
    <w:p w14:paraId="132033B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2、在诉讼期间，除有争议部分的事项外，合同其他部分仍继续履行。</w:t>
      </w:r>
    </w:p>
    <w:p w14:paraId="702ED7CF">
      <w:pPr>
        <w:spacing w:line="460" w:lineRule="exact"/>
        <w:ind w:firstLine="422" w:firstLineChars="200"/>
        <w:outlineLvl w:val="1"/>
        <w:rPr>
          <w:rFonts w:ascii="宋体" w:hAnsi="宋体" w:cs="宋体"/>
          <w:b/>
          <w:bCs/>
          <w:color w:val="auto"/>
          <w:szCs w:val="21"/>
          <w:highlight w:val="none"/>
        </w:rPr>
      </w:pPr>
      <w:bookmarkStart w:id="148" w:name="_Toc14011"/>
      <w:bookmarkStart w:id="149" w:name="_Toc17219"/>
      <w:bookmarkStart w:id="150" w:name="_Toc7840"/>
      <w:r>
        <w:rPr>
          <w:rFonts w:hint="eastAsia" w:ascii="宋体" w:hAnsi="宋体" w:cs="宋体"/>
          <w:b/>
          <w:bCs/>
          <w:color w:val="auto"/>
          <w:szCs w:val="21"/>
          <w:highlight w:val="none"/>
        </w:rPr>
        <w:t>十</w:t>
      </w:r>
      <w:r>
        <w:rPr>
          <w:rFonts w:hint="eastAsia" w:ascii="宋体" w:hAnsi="宋体" w:cs="宋体"/>
          <w:b/>
          <w:bCs/>
          <w:color w:val="auto"/>
          <w:szCs w:val="21"/>
          <w:highlight w:val="none"/>
          <w:lang w:eastAsia="zh-CN"/>
        </w:rPr>
        <w:t>四</w:t>
      </w:r>
      <w:r>
        <w:rPr>
          <w:rFonts w:hint="eastAsia" w:ascii="宋体" w:hAnsi="宋体" w:cs="宋体"/>
          <w:b/>
          <w:bCs/>
          <w:color w:val="auto"/>
          <w:szCs w:val="21"/>
          <w:highlight w:val="none"/>
        </w:rPr>
        <w:t>、其他约定事项</w:t>
      </w:r>
      <w:bookmarkEnd w:id="148"/>
      <w:bookmarkEnd w:id="149"/>
      <w:bookmarkEnd w:id="150"/>
    </w:p>
    <w:p w14:paraId="32A4D3D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1、服务期内如遇国家重大政策变化，经双方协商，可对本合同的条款进行补充，并以书面形式签订补充协议，补充协议与本合同具有同等法律效力。</w:t>
      </w:r>
    </w:p>
    <w:p w14:paraId="6356B8E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2、本合同经双方授权代表签字并加盖合同专用章或公章之日起生效，双方签署日期不一致的，以时间在后的为准。</w:t>
      </w:r>
    </w:p>
    <w:p w14:paraId="4E25853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3、本项目中标通知书、、投标文件及附件均是本合同不可分割的部分，解释的顺序除特别说明外，以文件生成时间在后的为准。</w:t>
      </w:r>
    </w:p>
    <w:p w14:paraId="28A529E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4、在执行合同过程中，所有经甲乙双方签署确认的文件（包括会议纪要、补充协议、往来信函）即成为本合同的有效组成部分，其生效日期为双方签字盖章确认的日期。</w:t>
      </w:r>
    </w:p>
    <w:p w14:paraId="128224A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5、乙方不得部分或全部转让其应履行的合同项下的义务。</w:t>
      </w:r>
    </w:p>
    <w:p w14:paraId="1CE7B0A1">
      <w:pPr>
        <w:spacing w:line="440" w:lineRule="exact"/>
        <w:ind w:right="-42" w:rightChars="-20" w:firstLine="420" w:firstLineChars="200"/>
        <w:rPr>
          <w:color w:val="auto"/>
          <w:highlight w:val="none"/>
        </w:rPr>
      </w:pPr>
      <w:r>
        <w:rPr>
          <w:rFonts w:hint="eastAsia" w:ascii="宋体" w:hAnsi="宋体" w:cs="宋体"/>
          <w:color w:val="auto"/>
          <w:szCs w:val="21"/>
          <w:highlight w:val="none"/>
        </w:rPr>
        <w:t>6、本合同一式肆份，甲方、乙方双方各执贰份。</w:t>
      </w:r>
    </w:p>
    <w:p w14:paraId="47357B79">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甲方：                                         乙方：        </w:t>
      </w:r>
    </w:p>
    <w:p w14:paraId="60FDE579">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地址：                                         地址：               </w:t>
      </w:r>
    </w:p>
    <w:p w14:paraId="119886E0">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法定代表人（或）授权经办人：                   法定代表人（或）授权经办人：                           </w:t>
      </w:r>
    </w:p>
    <w:p w14:paraId="2AA82795">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联系方式：                                     联系方式：  </w:t>
      </w:r>
    </w:p>
    <w:p w14:paraId="52651A7F">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开户行：                                       开户行： </w:t>
      </w:r>
    </w:p>
    <w:p w14:paraId="35365424">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账号：                                         账号：                           </w:t>
      </w:r>
    </w:p>
    <w:p w14:paraId="35B73893">
      <w:pPr>
        <w:spacing w:line="400" w:lineRule="exact"/>
        <w:jc w:val="right"/>
        <w:rPr>
          <w:rFonts w:ascii="宋体" w:hAnsi="宋体" w:cs="宋体"/>
          <w:color w:val="auto"/>
          <w:szCs w:val="21"/>
          <w:highlight w:val="none"/>
        </w:rPr>
      </w:pPr>
    </w:p>
    <w:p w14:paraId="664697DB">
      <w:pPr>
        <w:spacing w:line="400" w:lineRule="exact"/>
        <w:jc w:val="right"/>
        <w:rPr>
          <w:rFonts w:ascii="宋体" w:hAnsi="宋体" w:cs="宋体"/>
          <w:color w:val="auto"/>
          <w:szCs w:val="21"/>
          <w:highlight w:val="none"/>
        </w:rPr>
      </w:pPr>
    </w:p>
    <w:p w14:paraId="649EBEE3">
      <w:pPr>
        <w:spacing w:line="400" w:lineRule="exact"/>
        <w:jc w:val="right"/>
        <w:rPr>
          <w:rFonts w:ascii="宋体" w:hAnsi="宋体" w:cs="宋体"/>
          <w:color w:val="auto"/>
          <w:szCs w:val="21"/>
          <w:highlight w:val="none"/>
        </w:rPr>
      </w:pPr>
    </w:p>
    <w:p w14:paraId="7CCF575C">
      <w:pPr>
        <w:spacing w:line="400" w:lineRule="exact"/>
        <w:jc w:val="right"/>
        <w:rPr>
          <w:rFonts w:ascii="宋体" w:hAnsi="宋体" w:cs="宋体"/>
          <w:color w:val="auto"/>
          <w:szCs w:val="21"/>
          <w:highlight w:val="none"/>
        </w:rPr>
      </w:pPr>
      <w:r>
        <w:rPr>
          <w:rFonts w:hint="eastAsia" w:ascii="宋体" w:hAnsi="宋体" w:cs="宋体"/>
          <w:color w:val="auto"/>
          <w:szCs w:val="21"/>
          <w:highlight w:val="none"/>
        </w:rPr>
        <w:t xml:space="preserve">签署日期：      年   月   日  </w:t>
      </w:r>
    </w:p>
    <w:p w14:paraId="6918C251">
      <w:pPr>
        <w:pStyle w:val="11"/>
        <w:snapToGrid w:val="0"/>
        <w:spacing w:before="120" w:after="120" w:line="440" w:lineRule="exact"/>
        <w:ind w:firstLine="210" w:firstLineChars="100"/>
        <w:rPr>
          <w:rFonts w:ascii="Times New Roman" w:hAnsi="宋体"/>
          <w:color w:val="auto"/>
          <w:sz w:val="21"/>
          <w:szCs w:val="21"/>
          <w:highlight w:val="none"/>
        </w:rPr>
      </w:pPr>
      <w:r>
        <w:rPr>
          <w:rFonts w:ascii="Times New Roman" w:hAnsi="宋体"/>
          <w:color w:val="auto"/>
          <w:sz w:val="21"/>
          <w:szCs w:val="21"/>
          <w:highlight w:val="none"/>
        </w:rPr>
        <w:t xml:space="preserve">  </w:t>
      </w:r>
    </w:p>
    <w:p w14:paraId="74DC8F1D">
      <w:pPr>
        <w:pStyle w:val="34"/>
        <w:rPr>
          <w:rFonts w:ascii="宋体" w:hAnsi="宋体" w:cs="宋体"/>
          <w:b/>
          <w:bCs/>
          <w:color w:val="auto"/>
          <w:sz w:val="21"/>
          <w:szCs w:val="21"/>
          <w:highlight w:val="none"/>
        </w:rPr>
      </w:pPr>
    </w:p>
    <w:p w14:paraId="55BBD66B">
      <w:pPr>
        <w:pageBreakBefore/>
        <w:spacing w:line="520" w:lineRule="exact"/>
        <w:jc w:val="center"/>
        <w:outlineLvl w:val="0"/>
        <w:rPr>
          <w:rFonts w:cs="宋体" w:asciiTheme="minorEastAsia" w:hAnsiTheme="minorEastAsia"/>
          <w:b/>
          <w:bCs/>
          <w:color w:val="auto"/>
          <w:sz w:val="32"/>
          <w:szCs w:val="32"/>
          <w:highlight w:val="none"/>
        </w:rPr>
      </w:pPr>
      <w:r>
        <w:rPr>
          <w:rFonts w:hint="eastAsia" w:asciiTheme="minorEastAsia" w:hAnsiTheme="minorEastAsia"/>
          <w:b/>
          <w:color w:val="auto"/>
          <w:sz w:val="32"/>
          <w:szCs w:val="32"/>
          <w:highlight w:val="none"/>
        </w:rPr>
        <w:t xml:space="preserve">第七部分   </w:t>
      </w:r>
      <w:r>
        <w:rPr>
          <w:rFonts w:hint="eastAsia" w:cs="宋体" w:asciiTheme="minorEastAsia" w:hAnsiTheme="minorEastAsia"/>
          <w:b/>
          <w:bCs/>
          <w:color w:val="auto"/>
          <w:sz w:val="32"/>
          <w:szCs w:val="32"/>
          <w:highlight w:val="none"/>
        </w:rPr>
        <w:t>格式与表格</w:t>
      </w:r>
    </w:p>
    <w:p w14:paraId="40D9A1AE">
      <w:pPr>
        <w:pStyle w:val="7"/>
        <w:rPr>
          <w:rFonts w:asciiTheme="minorEastAsia" w:hAnsiTheme="minorEastAsia" w:eastAsiaTheme="minorEastAsia"/>
          <w:color w:val="auto"/>
          <w:highlight w:val="none"/>
        </w:rPr>
      </w:pPr>
    </w:p>
    <w:p w14:paraId="25590F02">
      <w:pPr>
        <w:shd w:val="clear" w:color="auto" w:fill="FFFFFF"/>
        <w:snapToGrid w:val="0"/>
        <w:spacing w:line="360" w:lineRule="auto"/>
        <w:jc w:val="center"/>
        <w:rPr>
          <w:rFonts w:cs="宋体" w:asciiTheme="minorEastAsia" w:hAnsiTheme="minorEastAsia"/>
          <w:b/>
          <w:bCs/>
          <w:color w:val="auto"/>
          <w:szCs w:val="21"/>
          <w:highlight w:val="none"/>
        </w:rPr>
      </w:pPr>
      <w:bookmarkStart w:id="151" w:name="_Toc22871"/>
      <w:bookmarkStart w:id="152" w:name="_Toc2172"/>
      <w:r>
        <w:rPr>
          <w:rFonts w:hint="eastAsia" w:asciiTheme="minorEastAsia" w:hAnsiTheme="minorEastAsia"/>
          <w:color w:val="auto"/>
          <w:sz w:val="52"/>
          <w:szCs w:val="52"/>
          <w:highlight w:val="none"/>
        </w:rPr>
        <w:t>项目名称</w:t>
      </w:r>
      <w:bookmarkEnd w:id="151"/>
      <w:bookmarkEnd w:id="152"/>
    </w:p>
    <w:p w14:paraId="6F8DE7CE">
      <w:pPr>
        <w:spacing w:line="360" w:lineRule="auto"/>
        <w:ind w:firstLine="3596" w:firstLineChars="995"/>
        <w:jc w:val="left"/>
        <w:rPr>
          <w:rFonts w:asciiTheme="minorEastAsia" w:hAnsiTheme="minorEastAsia"/>
          <w:color w:val="auto"/>
          <w:sz w:val="30"/>
          <w:szCs w:val="30"/>
          <w:highlight w:val="none"/>
        </w:rPr>
      </w:pPr>
      <w:r>
        <w:rPr>
          <w:rFonts w:hint="eastAsia" w:asciiTheme="minorEastAsia" w:hAnsiTheme="minorEastAsia"/>
          <w:b/>
          <w:color w:val="auto"/>
          <w:sz w:val="36"/>
          <w:szCs w:val="36"/>
          <w:highlight w:val="none"/>
        </w:rPr>
        <w:t>项目编号：</w:t>
      </w:r>
    </w:p>
    <w:p w14:paraId="2C26DEA2">
      <w:pPr>
        <w:spacing w:line="360" w:lineRule="auto"/>
        <w:jc w:val="center"/>
        <w:rPr>
          <w:rFonts w:asciiTheme="minorEastAsia" w:hAnsiTheme="minorEastAsia"/>
          <w:color w:val="auto"/>
          <w:sz w:val="84"/>
          <w:szCs w:val="84"/>
          <w:highlight w:val="none"/>
        </w:rPr>
      </w:pPr>
      <w:r>
        <w:rPr>
          <w:rFonts w:hint="eastAsia" w:asciiTheme="minorEastAsia" w:hAnsiTheme="minorEastAsia"/>
          <w:color w:val="auto"/>
          <w:sz w:val="84"/>
          <w:szCs w:val="84"/>
          <w:highlight w:val="none"/>
        </w:rPr>
        <w:t>投</w:t>
      </w:r>
    </w:p>
    <w:p w14:paraId="48E969B9">
      <w:pPr>
        <w:spacing w:line="360" w:lineRule="auto"/>
        <w:jc w:val="center"/>
        <w:rPr>
          <w:rFonts w:asciiTheme="minorEastAsia" w:hAnsiTheme="minorEastAsia"/>
          <w:color w:val="auto"/>
          <w:sz w:val="84"/>
          <w:szCs w:val="84"/>
          <w:highlight w:val="none"/>
        </w:rPr>
      </w:pPr>
      <w:r>
        <w:rPr>
          <w:rFonts w:hint="eastAsia" w:asciiTheme="minorEastAsia" w:hAnsiTheme="minorEastAsia"/>
          <w:color w:val="auto"/>
          <w:sz w:val="84"/>
          <w:szCs w:val="84"/>
          <w:highlight w:val="none"/>
        </w:rPr>
        <w:t>标</w:t>
      </w:r>
    </w:p>
    <w:p w14:paraId="19421354">
      <w:pPr>
        <w:spacing w:line="360" w:lineRule="auto"/>
        <w:jc w:val="center"/>
        <w:rPr>
          <w:rFonts w:asciiTheme="minorEastAsia" w:hAnsiTheme="minorEastAsia"/>
          <w:color w:val="auto"/>
          <w:sz w:val="84"/>
          <w:szCs w:val="84"/>
          <w:highlight w:val="none"/>
        </w:rPr>
      </w:pPr>
      <w:r>
        <w:rPr>
          <w:rFonts w:hint="eastAsia" w:asciiTheme="minorEastAsia" w:hAnsiTheme="minorEastAsia"/>
          <w:color w:val="auto"/>
          <w:sz w:val="84"/>
          <w:szCs w:val="84"/>
          <w:highlight w:val="none"/>
        </w:rPr>
        <w:t>文</w:t>
      </w:r>
    </w:p>
    <w:p w14:paraId="4C9E790B">
      <w:pPr>
        <w:spacing w:line="360" w:lineRule="auto"/>
        <w:jc w:val="center"/>
        <w:rPr>
          <w:rFonts w:asciiTheme="minorEastAsia" w:hAnsiTheme="minorEastAsia"/>
          <w:color w:val="auto"/>
          <w:sz w:val="84"/>
          <w:szCs w:val="84"/>
          <w:highlight w:val="none"/>
        </w:rPr>
      </w:pPr>
      <w:r>
        <w:rPr>
          <w:rFonts w:hint="eastAsia" w:asciiTheme="minorEastAsia" w:hAnsiTheme="minorEastAsia"/>
          <w:color w:val="auto"/>
          <w:sz w:val="84"/>
          <w:szCs w:val="84"/>
          <w:highlight w:val="none"/>
        </w:rPr>
        <w:t>件</w:t>
      </w:r>
    </w:p>
    <w:p w14:paraId="52F3262D">
      <w:pPr>
        <w:spacing w:line="360" w:lineRule="auto"/>
        <w:jc w:val="center"/>
        <w:rPr>
          <w:rFonts w:asciiTheme="minorEastAsia" w:hAnsiTheme="minorEastAsia"/>
          <w:color w:val="auto"/>
          <w:sz w:val="28"/>
          <w:szCs w:val="28"/>
          <w:highlight w:val="none"/>
        </w:rPr>
      </w:pPr>
    </w:p>
    <w:p w14:paraId="3B7B3AEA">
      <w:pPr>
        <w:spacing w:line="360" w:lineRule="auto"/>
        <w:jc w:val="center"/>
        <w:rPr>
          <w:rFonts w:asciiTheme="minorEastAsia" w:hAnsiTheme="minorEastAsia"/>
          <w:color w:val="auto"/>
          <w:sz w:val="32"/>
          <w:szCs w:val="32"/>
          <w:highlight w:val="none"/>
        </w:rPr>
      </w:pPr>
      <w:r>
        <w:rPr>
          <w:rFonts w:hint="eastAsia" w:asciiTheme="minorEastAsia" w:hAnsiTheme="minorEastAsia"/>
          <w:color w:val="auto"/>
          <w:sz w:val="32"/>
          <w:szCs w:val="32"/>
          <w:highlight w:val="none"/>
        </w:rPr>
        <w:t>（资格证明文件）</w:t>
      </w:r>
    </w:p>
    <w:p w14:paraId="10E35634">
      <w:pPr>
        <w:spacing w:line="360" w:lineRule="auto"/>
        <w:jc w:val="center"/>
        <w:rPr>
          <w:rFonts w:asciiTheme="minorEastAsia" w:hAnsiTheme="minorEastAsia"/>
          <w:color w:val="auto"/>
          <w:sz w:val="32"/>
          <w:szCs w:val="32"/>
          <w:highlight w:val="none"/>
        </w:rPr>
      </w:pPr>
    </w:p>
    <w:p w14:paraId="1E074522">
      <w:pPr>
        <w:spacing w:line="360" w:lineRule="auto"/>
        <w:jc w:val="center"/>
        <w:rPr>
          <w:rFonts w:asciiTheme="minorEastAsia" w:hAnsiTheme="minorEastAsia"/>
          <w:color w:val="auto"/>
          <w:sz w:val="32"/>
          <w:szCs w:val="32"/>
          <w:highlight w:val="none"/>
        </w:rPr>
      </w:pPr>
    </w:p>
    <w:p w14:paraId="064C81E6">
      <w:pPr>
        <w:pStyle w:val="12"/>
        <w:ind w:left="0" w:leftChars="0" w:firstLine="1260" w:firstLineChars="350"/>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投标人名称（公章）：</w:t>
      </w:r>
    </w:p>
    <w:p w14:paraId="226008BF">
      <w:pPr>
        <w:pStyle w:val="12"/>
        <w:ind w:left="0" w:leftChars="0" w:firstLine="1260" w:firstLineChars="350"/>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投标人地址：</w:t>
      </w:r>
    </w:p>
    <w:p w14:paraId="621C55F0">
      <w:pPr>
        <w:pStyle w:val="12"/>
        <w:ind w:left="0" w:leftChars="0" w:firstLine="1440" w:firstLineChars="400"/>
        <w:rPr>
          <w:rFonts w:asciiTheme="minorEastAsia" w:hAnsiTheme="minorEastAsia" w:eastAsiaTheme="minorEastAsia"/>
          <w:color w:val="auto"/>
          <w:highlight w:val="none"/>
        </w:rPr>
      </w:pPr>
      <w:r>
        <w:rPr>
          <w:rFonts w:hint="eastAsia" w:asciiTheme="minorEastAsia" w:hAnsiTheme="minorEastAsia" w:eastAsiaTheme="minorEastAsia"/>
          <w:color w:val="auto"/>
          <w:sz w:val="36"/>
          <w:szCs w:val="36"/>
          <w:highlight w:val="none"/>
        </w:rPr>
        <w:t>时</w:t>
      </w:r>
      <w:r>
        <w:rPr>
          <w:rFonts w:asciiTheme="minorEastAsia" w:hAnsiTheme="minorEastAsia" w:eastAsiaTheme="minorEastAsia"/>
          <w:color w:val="auto"/>
          <w:sz w:val="36"/>
          <w:szCs w:val="36"/>
          <w:highlight w:val="none"/>
        </w:rPr>
        <w:t xml:space="preserve">    间：</w:t>
      </w:r>
    </w:p>
    <w:p w14:paraId="13F098BE">
      <w:pPr>
        <w:rPr>
          <w:rFonts w:asciiTheme="minorEastAsia" w:hAnsiTheme="minorEastAsia"/>
          <w:color w:val="auto"/>
          <w:highlight w:val="none"/>
        </w:rPr>
      </w:pPr>
    </w:p>
    <w:p w14:paraId="39B2F5CF">
      <w:pPr>
        <w:pStyle w:val="7"/>
        <w:rPr>
          <w:rFonts w:asciiTheme="minorEastAsia" w:hAnsiTheme="minorEastAsia" w:eastAsiaTheme="minorEastAsia"/>
          <w:color w:val="auto"/>
          <w:highlight w:val="none"/>
        </w:rPr>
      </w:pPr>
    </w:p>
    <w:p w14:paraId="2424DC79">
      <w:pPr>
        <w:spacing w:line="360" w:lineRule="auto"/>
        <w:jc w:val="center"/>
        <w:rPr>
          <w:rFonts w:asciiTheme="minorEastAsia" w:hAnsiTheme="minorEastAsia"/>
          <w:b/>
          <w:color w:val="auto"/>
          <w:sz w:val="44"/>
          <w:szCs w:val="44"/>
          <w:highlight w:val="none"/>
        </w:rPr>
      </w:pPr>
    </w:p>
    <w:p w14:paraId="7EB68E8A">
      <w:pPr>
        <w:pStyle w:val="10"/>
        <w:rPr>
          <w:color w:val="auto"/>
          <w:highlight w:val="none"/>
        </w:rPr>
      </w:pPr>
    </w:p>
    <w:p w14:paraId="204F2859">
      <w:pPr>
        <w:spacing w:line="360" w:lineRule="auto"/>
        <w:jc w:val="center"/>
        <w:rPr>
          <w:rFonts w:asciiTheme="minorEastAsia" w:hAnsiTheme="minorEastAsia"/>
          <w:b/>
          <w:color w:val="auto"/>
          <w:sz w:val="44"/>
          <w:szCs w:val="44"/>
          <w:highlight w:val="none"/>
        </w:rPr>
      </w:pPr>
      <w:r>
        <w:rPr>
          <w:rFonts w:asciiTheme="minorEastAsia" w:hAnsiTheme="minorEastAsia"/>
          <w:b/>
          <w:color w:val="auto"/>
          <w:sz w:val="44"/>
          <w:szCs w:val="44"/>
          <w:highlight w:val="none"/>
        </w:rPr>
        <w:t>资格证明文件</w:t>
      </w:r>
    </w:p>
    <w:p w14:paraId="0EC5D041">
      <w:pPr>
        <w:spacing w:line="360" w:lineRule="auto"/>
        <w:jc w:val="center"/>
        <w:rPr>
          <w:rFonts w:asciiTheme="minorEastAsia" w:hAnsiTheme="minorEastAsia"/>
          <w:b/>
          <w:color w:val="auto"/>
          <w:sz w:val="32"/>
          <w:szCs w:val="32"/>
          <w:highlight w:val="none"/>
        </w:rPr>
      </w:pPr>
      <w:r>
        <w:rPr>
          <w:rFonts w:asciiTheme="minorEastAsia" w:hAnsiTheme="minorEastAsia"/>
          <w:b/>
          <w:color w:val="auto"/>
          <w:sz w:val="32"/>
          <w:szCs w:val="32"/>
          <w:highlight w:val="none"/>
        </w:rPr>
        <w:t>目录</w:t>
      </w:r>
    </w:p>
    <w:p w14:paraId="03E0D8F3">
      <w:pPr>
        <w:pStyle w:val="30"/>
        <w:spacing w:line="480" w:lineRule="auto"/>
        <w:ind w:left="0" w:leftChars="0" w:firstLine="0" w:firstLineChars="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1、资格条件自查表…………………………………………………………………（页码）</w:t>
      </w:r>
    </w:p>
    <w:p w14:paraId="5A59A87D">
      <w:pPr>
        <w:pStyle w:val="30"/>
        <w:spacing w:line="480" w:lineRule="auto"/>
        <w:ind w:left="0" w:leftChars="0" w:firstLine="0" w:firstLineChars="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2、有效的企业法人营业执照（或事业法人登记证）、其他组织（个体工商户）的营业执照或者民办非企业单位登记证书</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………………………………………………（页码）</w:t>
      </w:r>
    </w:p>
    <w:p w14:paraId="51AB1A09">
      <w:pPr>
        <w:pStyle w:val="30"/>
        <w:spacing w:line="480" w:lineRule="auto"/>
        <w:ind w:left="0" w:leftChars="0" w:firstLine="0" w:firstLineChars="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3、关于资格的承诺函………………………………………………………………（页码）</w:t>
      </w:r>
    </w:p>
    <w:p w14:paraId="505D6F00">
      <w:pPr>
        <w:pStyle w:val="30"/>
        <w:spacing w:line="480" w:lineRule="auto"/>
        <w:ind w:left="0" w:leftChars="0" w:firstLine="0" w:firstLineChars="0"/>
        <w:jc w:val="left"/>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4</w:t>
      </w:r>
      <w:r>
        <w:rPr>
          <w:rFonts w:hint="eastAsia" w:cs="宋体" w:asciiTheme="minorEastAsia" w:hAnsiTheme="minorEastAsia"/>
          <w:color w:val="auto"/>
          <w:sz w:val="24"/>
          <w:szCs w:val="24"/>
          <w:highlight w:val="none"/>
        </w:rPr>
        <w:t>、</w:t>
      </w:r>
      <w:r>
        <w:rPr>
          <w:rFonts w:hint="eastAsia" w:asciiTheme="minorEastAsia" w:hAnsiTheme="minorEastAsia"/>
          <w:color w:val="auto"/>
          <w:sz w:val="24"/>
          <w:szCs w:val="24"/>
          <w:highlight w:val="none"/>
        </w:rPr>
        <w:t>中小企业声明函…………………………………………………………………（页码）</w:t>
      </w:r>
    </w:p>
    <w:p w14:paraId="5ABC911F">
      <w:pPr>
        <w:pStyle w:val="30"/>
        <w:spacing w:line="480" w:lineRule="auto"/>
        <w:ind w:left="0" w:leftChars="0" w:firstLine="0" w:firstLineChars="0"/>
        <w:jc w:val="left"/>
        <w:rPr>
          <w:rFonts w:hint="eastAsia" w:asciiTheme="minorEastAsia" w:hAnsi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5</w:t>
      </w:r>
      <w:r>
        <w:rPr>
          <w:rFonts w:hint="eastAsia" w:cs="宋体" w:asciiTheme="minorEastAsia" w:hAnsiTheme="minorEastAsia"/>
          <w:color w:val="auto"/>
          <w:sz w:val="24"/>
          <w:szCs w:val="24"/>
          <w:highlight w:val="none"/>
        </w:rPr>
        <w:t>、残疾人福利单位声明函</w:t>
      </w:r>
      <w:r>
        <w:rPr>
          <w:rFonts w:hint="eastAsia" w:asciiTheme="minorEastAsia" w:hAnsiTheme="minorEastAsia"/>
          <w:color w:val="auto"/>
          <w:sz w:val="24"/>
          <w:szCs w:val="24"/>
          <w:highlight w:val="none"/>
        </w:rPr>
        <w:t xml:space="preserve">…………………………………………………………（页码）  </w:t>
      </w:r>
    </w:p>
    <w:p w14:paraId="16A9689B">
      <w:pPr>
        <w:pStyle w:val="30"/>
        <w:spacing w:line="480" w:lineRule="auto"/>
        <w:ind w:left="0" w:leftChars="0" w:firstLine="0" w:firstLineChars="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6</w:t>
      </w:r>
      <w:r>
        <w:rPr>
          <w:rFonts w:hint="eastAsia" w:asciiTheme="minorEastAsia" w:hAnsiTheme="minorEastAsia"/>
          <w:color w:val="auto"/>
          <w:sz w:val="24"/>
          <w:szCs w:val="24"/>
          <w:highlight w:val="none"/>
        </w:rPr>
        <w:t>、投标人认为需要提交的其他文件资料…………………………………………（页码）</w:t>
      </w:r>
    </w:p>
    <w:p w14:paraId="5F4E5FF3">
      <w:pPr>
        <w:pStyle w:val="30"/>
        <w:spacing w:line="480" w:lineRule="auto"/>
        <w:ind w:left="0" w:leftChars="0" w:firstLine="0" w:firstLineChars="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目录自行扩展)</w:t>
      </w:r>
    </w:p>
    <w:p w14:paraId="0ED56524">
      <w:pPr>
        <w:rPr>
          <w:rFonts w:asciiTheme="minorEastAsia" w:hAnsiTheme="minorEastAsia"/>
          <w:color w:val="auto"/>
          <w:highlight w:val="none"/>
        </w:rPr>
      </w:pPr>
    </w:p>
    <w:p w14:paraId="518C0C27">
      <w:pPr>
        <w:pStyle w:val="7"/>
        <w:rPr>
          <w:rFonts w:asciiTheme="minorEastAsia" w:hAnsiTheme="minorEastAsia" w:eastAsiaTheme="minorEastAsia"/>
          <w:color w:val="auto"/>
          <w:highlight w:val="none"/>
        </w:rPr>
      </w:pPr>
    </w:p>
    <w:p w14:paraId="3597965F">
      <w:pPr>
        <w:pStyle w:val="9"/>
        <w:rPr>
          <w:rFonts w:asciiTheme="minorEastAsia" w:hAnsiTheme="minorEastAsia" w:eastAsiaTheme="minorEastAsia"/>
          <w:color w:val="auto"/>
          <w:highlight w:val="none"/>
        </w:rPr>
      </w:pPr>
    </w:p>
    <w:p w14:paraId="05449E3F">
      <w:pPr>
        <w:rPr>
          <w:rFonts w:asciiTheme="minorEastAsia" w:hAnsiTheme="minorEastAsia"/>
          <w:color w:val="auto"/>
          <w:highlight w:val="none"/>
        </w:rPr>
      </w:pPr>
    </w:p>
    <w:p w14:paraId="12766A46">
      <w:pPr>
        <w:spacing w:after="100" w:afterAutospacing="1"/>
        <w:jc w:val="center"/>
        <w:rPr>
          <w:rFonts w:asciiTheme="minorEastAsia" w:hAnsiTheme="minorEastAsia"/>
          <w:b/>
          <w:color w:val="auto"/>
          <w:sz w:val="32"/>
          <w:szCs w:val="32"/>
          <w:highlight w:val="none"/>
        </w:rPr>
        <w:sectPr>
          <w:footerReference r:id="rId8"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F7ED832">
      <w:pPr>
        <w:adjustRightInd w:val="0"/>
        <w:spacing w:line="360" w:lineRule="auto"/>
        <w:jc w:val="center"/>
        <w:rPr>
          <w:rFonts w:hint="eastAsia" w:ascii="Times New Roman" w:hAnsi="Times New Roman" w:eastAsia="宋体" w:cs="宋体"/>
          <w:b/>
          <w:color w:val="auto"/>
          <w:sz w:val="24"/>
          <w:highlight w:val="none"/>
        </w:rPr>
      </w:pPr>
      <w:r>
        <w:rPr>
          <w:rFonts w:hint="eastAsia" w:asciiTheme="minorEastAsia" w:hAnsiTheme="minorEastAsia"/>
          <w:b/>
          <w:color w:val="auto"/>
          <w:sz w:val="32"/>
          <w:szCs w:val="32"/>
          <w:highlight w:val="none"/>
        </w:rPr>
        <w:t>一、</w:t>
      </w:r>
      <w:r>
        <w:rPr>
          <w:rFonts w:hint="eastAsia" w:ascii="Times New Roman" w:hAnsi="Times New Roman" w:eastAsia="宋体" w:cs="宋体"/>
          <w:b/>
          <w:color w:val="auto"/>
          <w:sz w:val="24"/>
          <w:highlight w:val="none"/>
        </w:rPr>
        <w:t>资格条件自查表</w:t>
      </w:r>
    </w:p>
    <w:tbl>
      <w:tblPr>
        <w:tblStyle w:val="22"/>
        <w:tblW w:w="90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722"/>
        <w:gridCol w:w="1225"/>
        <w:gridCol w:w="2390"/>
      </w:tblGrid>
      <w:tr w14:paraId="47E62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749" w:type="dxa"/>
            <w:noWrap w:val="0"/>
            <w:vAlign w:val="center"/>
          </w:tcPr>
          <w:p w14:paraId="42E4F01F">
            <w:pPr>
              <w:widowControl/>
              <w:adjustRightInd w:val="0"/>
              <w:spacing w:line="320" w:lineRule="exact"/>
              <w:contextualSpacing/>
              <w:jc w:val="center"/>
              <w:rPr>
                <w:rFonts w:hint="eastAsia" w:ascii="Times New Roman" w:hAnsi="Times New Roman" w:eastAsia="宋体" w:cs="宋体"/>
                <w:b/>
                <w:color w:val="auto"/>
                <w:sz w:val="24"/>
                <w:highlight w:val="none"/>
              </w:rPr>
            </w:pPr>
            <w:r>
              <w:rPr>
                <w:rStyle w:val="25"/>
                <w:rFonts w:hint="eastAsia" w:ascii="Times New Roman" w:hAnsi="Times New Roman" w:eastAsia="宋体" w:cs="宋体"/>
                <w:color w:val="auto"/>
                <w:szCs w:val="21"/>
                <w:highlight w:val="none"/>
              </w:rPr>
              <w:t>评审内容</w:t>
            </w:r>
          </w:p>
        </w:tc>
        <w:tc>
          <w:tcPr>
            <w:tcW w:w="4722" w:type="dxa"/>
            <w:noWrap w:val="0"/>
            <w:vAlign w:val="center"/>
          </w:tcPr>
          <w:p w14:paraId="79C64E32">
            <w:pPr>
              <w:widowControl/>
              <w:adjustRightInd w:val="0"/>
              <w:spacing w:line="320" w:lineRule="exact"/>
              <w:contextualSpacing/>
              <w:jc w:val="center"/>
              <w:rPr>
                <w:rFonts w:hint="eastAsia" w:ascii="Times New Roman" w:hAnsi="Times New Roman" w:eastAsia="宋体" w:cs="宋体"/>
                <w:b/>
                <w:color w:val="auto"/>
                <w:sz w:val="24"/>
                <w:highlight w:val="none"/>
              </w:rPr>
            </w:pPr>
            <w:r>
              <w:rPr>
                <w:rStyle w:val="25"/>
                <w:rFonts w:hint="eastAsia" w:ascii="Times New Roman" w:hAnsi="Times New Roman" w:eastAsia="宋体" w:cs="宋体"/>
                <w:color w:val="auto"/>
                <w:szCs w:val="21"/>
                <w:highlight w:val="none"/>
                <w:lang w:eastAsia="zh-CN"/>
              </w:rPr>
              <w:t>采购文件</w:t>
            </w:r>
            <w:r>
              <w:rPr>
                <w:rStyle w:val="25"/>
                <w:rFonts w:hint="eastAsia" w:ascii="Times New Roman" w:hAnsi="Times New Roman" w:eastAsia="宋体" w:cs="宋体"/>
                <w:color w:val="auto"/>
                <w:szCs w:val="21"/>
                <w:highlight w:val="none"/>
              </w:rPr>
              <w:t>要求</w:t>
            </w:r>
          </w:p>
        </w:tc>
        <w:tc>
          <w:tcPr>
            <w:tcW w:w="1225" w:type="dxa"/>
            <w:noWrap w:val="0"/>
            <w:vAlign w:val="center"/>
          </w:tcPr>
          <w:p w14:paraId="7663DE0D">
            <w:pPr>
              <w:widowControl/>
              <w:adjustRightInd w:val="0"/>
              <w:spacing w:line="320" w:lineRule="exact"/>
              <w:contextualSpacing/>
              <w:jc w:val="center"/>
              <w:rPr>
                <w:rFonts w:hint="eastAsia" w:ascii="Times New Roman" w:hAnsi="Times New Roman" w:eastAsia="宋体" w:cs="宋体"/>
                <w:b/>
                <w:color w:val="auto"/>
                <w:sz w:val="24"/>
                <w:highlight w:val="none"/>
              </w:rPr>
            </w:pPr>
            <w:r>
              <w:rPr>
                <w:rStyle w:val="25"/>
                <w:rFonts w:hint="eastAsia" w:ascii="Times New Roman" w:hAnsi="Times New Roman" w:eastAsia="宋体" w:cs="宋体"/>
                <w:color w:val="auto"/>
                <w:szCs w:val="21"/>
                <w:highlight w:val="none"/>
              </w:rPr>
              <w:t>自查结论</w:t>
            </w:r>
          </w:p>
        </w:tc>
        <w:tc>
          <w:tcPr>
            <w:tcW w:w="2390" w:type="dxa"/>
            <w:noWrap w:val="0"/>
            <w:vAlign w:val="center"/>
          </w:tcPr>
          <w:p w14:paraId="0561AED0">
            <w:pPr>
              <w:widowControl/>
              <w:adjustRightInd w:val="0"/>
              <w:spacing w:line="320" w:lineRule="exact"/>
              <w:contextualSpacing/>
              <w:jc w:val="center"/>
              <w:rPr>
                <w:rFonts w:hint="eastAsia" w:ascii="Times New Roman" w:hAnsi="Times New Roman" w:eastAsia="宋体" w:cs="宋体"/>
                <w:b/>
                <w:color w:val="auto"/>
                <w:sz w:val="24"/>
                <w:highlight w:val="none"/>
              </w:rPr>
            </w:pPr>
            <w:r>
              <w:rPr>
                <w:rStyle w:val="25"/>
                <w:rFonts w:hint="eastAsia" w:ascii="Times New Roman" w:hAnsi="Times New Roman" w:eastAsia="宋体" w:cs="宋体"/>
                <w:color w:val="auto"/>
                <w:szCs w:val="21"/>
                <w:highlight w:val="none"/>
              </w:rPr>
              <w:t>证明资料页码</w:t>
            </w:r>
          </w:p>
        </w:tc>
      </w:tr>
      <w:tr w14:paraId="07BE5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49" w:type="dxa"/>
            <w:vMerge w:val="restart"/>
            <w:noWrap w:val="0"/>
            <w:vAlign w:val="center"/>
          </w:tcPr>
          <w:p w14:paraId="3FDB71ED">
            <w:pPr>
              <w:pStyle w:val="41"/>
              <w:adjustRightInd w:val="0"/>
              <w:spacing w:before="0" w:beforeAutospacing="0" w:after="0" w:afterAutospacing="0" w:line="320" w:lineRule="exact"/>
              <w:contextualSpacing/>
              <w:jc w:val="center"/>
              <w:rPr>
                <w:rFonts w:hint="eastAsia" w:ascii="Times New Roman" w:hAnsi="Times New Roman" w:eastAsia="宋体" w:cs="宋体"/>
                <w:b/>
                <w:color w:val="auto"/>
                <w:kern w:val="2"/>
                <w:sz w:val="21"/>
                <w:szCs w:val="21"/>
                <w:highlight w:val="none"/>
              </w:rPr>
            </w:pPr>
            <w:r>
              <w:rPr>
                <w:rFonts w:hint="eastAsia" w:ascii="Times New Roman" w:hAnsi="Times New Roman" w:eastAsia="宋体" w:cs="宋体"/>
                <w:b/>
                <w:color w:val="auto"/>
                <w:kern w:val="2"/>
                <w:sz w:val="21"/>
                <w:szCs w:val="21"/>
                <w:highlight w:val="none"/>
              </w:rPr>
              <w:t>资</w:t>
            </w:r>
          </w:p>
          <w:p w14:paraId="15B9C7F8">
            <w:pPr>
              <w:pStyle w:val="41"/>
              <w:adjustRightInd w:val="0"/>
              <w:spacing w:before="0" w:beforeAutospacing="0" w:after="0" w:afterAutospacing="0" w:line="320" w:lineRule="exact"/>
              <w:contextualSpacing/>
              <w:jc w:val="center"/>
              <w:rPr>
                <w:rFonts w:hint="eastAsia" w:ascii="Times New Roman" w:hAnsi="Times New Roman" w:eastAsia="宋体" w:cs="宋体"/>
                <w:b/>
                <w:color w:val="auto"/>
                <w:kern w:val="2"/>
                <w:sz w:val="21"/>
                <w:szCs w:val="21"/>
                <w:highlight w:val="none"/>
              </w:rPr>
            </w:pPr>
            <w:r>
              <w:rPr>
                <w:rFonts w:hint="eastAsia" w:ascii="Times New Roman" w:hAnsi="Times New Roman" w:eastAsia="宋体" w:cs="宋体"/>
                <w:b/>
                <w:color w:val="auto"/>
                <w:kern w:val="2"/>
                <w:sz w:val="21"/>
                <w:szCs w:val="21"/>
                <w:highlight w:val="none"/>
              </w:rPr>
              <w:t>格</w:t>
            </w:r>
          </w:p>
          <w:p w14:paraId="29C79119">
            <w:pPr>
              <w:pStyle w:val="41"/>
              <w:adjustRightInd w:val="0"/>
              <w:spacing w:before="0" w:beforeAutospacing="0" w:after="0" w:afterAutospacing="0" w:line="320" w:lineRule="exact"/>
              <w:contextualSpacing/>
              <w:jc w:val="center"/>
              <w:rPr>
                <w:rFonts w:hint="eastAsia" w:ascii="Times New Roman" w:hAnsi="Times New Roman" w:eastAsia="宋体" w:cs="宋体"/>
                <w:b/>
                <w:color w:val="auto"/>
                <w:kern w:val="2"/>
                <w:sz w:val="21"/>
                <w:szCs w:val="21"/>
                <w:highlight w:val="none"/>
              </w:rPr>
            </w:pPr>
            <w:r>
              <w:rPr>
                <w:rFonts w:hint="eastAsia" w:ascii="Times New Roman" w:hAnsi="Times New Roman" w:eastAsia="宋体" w:cs="宋体"/>
                <w:b/>
                <w:color w:val="auto"/>
                <w:kern w:val="2"/>
                <w:sz w:val="21"/>
                <w:szCs w:val="21"/>
                <w:highlight w:val="none"/>
              </w:rPr>
              <w:t>性</w:t>
            </w:r>
          </w:p>
          <w:p w14:paraId="7040C53A">
            <w:pPr>
              <w:pStyle w:val="41"/>
              <w:adjustRightInd w:val="0"/>
              <w:spacing w:before="0" w:beforeAutospacing="0" w:after="0" w:afterAutospacing="0" w:line="320" w:lineRule="exact"/>
              <w:contextualSpacing/>
              <w:jc w:val="center"/>
              <w:rPr>
                <w:rFonts w:hint="eastAsia" w:ascii="Times New Roman" w:hAnsi="Times New Roman" w:eastAsia="宋体" w:cs="宋体"/>
                <w:b/>
                <w:color w:val="auto"/>
                <w:kern w:val="2"/>
                <w:sz w:val="21"/>
                <w:szCs w:val="21"/>
                <w:highlight w:val="none"/>
              </w:rPr>
            </w:pPr>
            <w:r>
              <w:rPr>
                <w:rFonts w:hint="eastAsia" w:ascii="Times New Roman" w:hAnsi="Times New Roman" w:eastAsia="宋体" w:cs="宋体"/>
                <w:b/>
                <w:color w:val="auto"/>
                <w:kern w:val="2"/>
                <w:sz w:val="21"/>
                <w:szCs w:val="21"/>
                <w:highlight w:val="none"/>
              </w:rPr>
              <w:t>审</w:t>
            </w:r>
          </w:p>
          <w:p w14:paraId="6BBD31D5">
            <w:pPr>
              <w:widowControl/>
              <w:adjustRightInd w:val="0"/>
              <w:spacing w:line="320" w:lineRule="exact"/>
              <w:contextualSpacing/>
              <w:jc w:val="center"/>
              <w:rPr>
                <w:rFonts w:hint="eastAsia" w:ascii="Times New Roman" w:hAnsi="Times New Roman" w:eastAsia="宋体" w:cs="宋体"/>
                <w:b/>
                <w:color w:val="auto"/>
                <w:sz w:val="24"/>
                <w:highlight w:val="none"/>
              </w:rPr>
            </w:pPr>
            <w:r>
              <w:rPr>
                <w:rFonts w:hint="eastAsia" w:ascii="Times New Roman" w:hAnsi="Times New Roman" w:eastAsia="宋体" w:cs="宋体"/>
                <w:b/>
                <w:color w:val="auto"/>
                <w:szCs w:val="21"/>
                <w:highlight w:val="none"/>
              </w:rPr>
              <w:t>查</w:t>
            </w:r>
          </w:p>
        </w:tc>
        <w:tc>
          <w:tcPr>
            <w:tcW w:w="4722" w:type="dxa"/>
            <w:noWrap w:val="0"/>
            <w:vAlign w:val="center"/>
          </w:tcPr>
          <w:p w14:paraId="4549CF3E">
            <w:pPr>
              <w:keepNext w:val="0"/>
              <w:keepLines w:val="0"/>
              <w:pageBreakBefore w:val="0"/>
              <w:widowControl/>
              <w:kinsoku/>
              <w:wordWrap/>
              <w:overflowPunct/>
              <w:topLinePunct w:val="0"/>
              <w:autoSpaceDE/>
              <w:autoSpaceDN/>
              <w:bidi w:val="0"/>
              <w:adjustRightInd w:val="0"/>
              <w:snapToGrid/>
              <w:spacing w:line="400" w:lineRule="exact"/>
              <w:contextualSpacing/>
              <w:textAlignment w:val="auto"/>
              <w:rPr>
                <w:rFonts w:hint="eastAsia" w:ascii="Times New Roman" w:hAnsi="Times New Roman" w:eastAsia="宋体" w:cs="宋体"/>
                <w:b/>
                <w:color w:val="auto"/>
                <w:sz w:val="24"/>
                <w:highlight w:val="none"/>
              </w:rPr>
            </w:pPr>
            <w:r>
              <w:rPr>
                <w:rFonts w:hint="eastAsia" w:ascii="Times New Roman" w:hAnsi="Times New Roman" w:eastAsia="宋体" w:cs="宋体"/>
                <w:color w:val="auto"/>
                <w:szCs w:val="21"/>
                <w:highlight w:val="none"/>
              </w:rPr>
              <w:t>一、投标人具备《</w:t>
            </w:r>
            <w:r>
              <w:rPr>
                <w:rFonts w:hint="eastAsia" w:ascii="Times New Roman" w:hAnsi="Times New Roman" w:eastAsia="宋体" w:cs="宋体"/>
                <w:color w:val="auto"/>
                <w:highlight w:val="none"/>
              </w:rPr>
              <w:t>中华人民共和国政府采购法</w:t>
            </w:r>
            <w:r>
              <w:rPr>
                <w:rFonts w:hint="eastAsia" w:ascii="Times New Roman" w:hAnsi="Times New Roman" w:eastAsia="宋体" w:cs="宋体"/>
                <w:color w:val="auto"/>
                <w:szCs w:val="21"/>
                <w:highlight w:val="none"/>
              </w:rPr>
              <w:t>》第二十二条所规定的条件：</w:t>
            </w:r>
          </w:p>
        </w:tc>
        <w:tc>
          <w:tcPr>
            <w:tcW w:w="1225" w:type="dxa"/>
            <w:vMerge w:val="restart"/>
            <w:noWrap w:val="0"/>
            <w:vAlign w:val="center"/>
          </w:tcPr>
          <w:p w14:paraId="45F3902D">
            <w:pPr>
              <w:widowControl/>
              <w:adjustRightInd w:val="0"/>
              <w:spacing w:line="320" w:lineRule="exact"/>
              <w:contextualSpacing/>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□通过 </w:t>
            </w:r>
          </w:p>
          <w:p w14:paraId="0D7A1010">
            <w:pPr>
              <w:widowControl/>
              <w:adjustRightInd w:val="0"/>
              <w:spacing w:line="320" w:lineRule="exact"/>
              <w:contextualSpacing/>
              <w:rPr>
                <w:rFonts w:hint="eastAsia" w:ascii="Times New Roman" w:hAnsi="Times New Roman" w:eastAsia="宋体" w:cs="宋体"/>
                <w:b/>
                <w:color w:val="auto"/>
                <w:sz w:val="24"/>
                <w:highlight w:val="none"/>
              </w:rPr>
            </w:pPr>
            <w:r>
              <w:rPr>
                <w:rFonts w:hint="eastAsia" w:ascii="Times New Roman" w:hAnsi="Times New Roman" w:eastAsia="宋体" w:cs="宋体"/>
                <w:color w:val="auto"/>
                <w:szCs w:val="21"/>
                <w:highlight w:val="none"/>
              </w:rPr>
              <w:t>□不通过</w:t>
            </w:r>
          </w:p>
        </w:tc>
        <w:tc>
          <w:tcPr>
            <w:tcW w:w="2390" w:type="dxa"/>
            <w:noWrap w:val="0"/>
            <w:vAlign w:val="center"/>
          </w:tcPr>
          <w:p w14:paraId="0EEE2824">
            <w:pPr>
              <w:widowControl/>
              <w:adjustRightInd w:val="0"/>
              <w:spacing w:line="320" w:lineRule="exact"/>
              <w:contextualSpacing/>
              <w:jc w:val="center"/>
              <w:rPr>
                <w:rFonts w:hint="eastAsia" w:ascii="Times New Roman" w:hAnsi="Times New Roman" w:eastAsia="宋体" w:cs="宋体"/>
                <w:b/>
                <w:color w:val="auto"/>
                <w:sz w:val="24"/>
                <w:highlight w:val="none"/>
              </w:rPr>
            </w:pPr>
            <w:r>
              <w:rPr>
                <w:rFonts w:hint="eastAsia" w:ascii="Times New Roman" w:hAnsi="Times New Roman" w:eastAsia="宋体" w:cs="宋体"/>
                <w:color w:val="auto"/>
                <w:szCs w:val="21"/>
                <w:highlight w:val="none"/>
              </w:rPr>
              <w:t>/</w:t>
            </w:r>
          </w:p>
        </w:tc>
      </w:tr>
      <w:tr w14:paraId="3431D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9" w:type="dxa"/>
            <w:vMerge w:val="continue"/>
            <w:noWrap w:val="0"/>
            <w:vAlign w:val="top"/>
          </w:tcPr>
          <w:p w14:paraId="7A9094EC">
            <w:pPr>
              <w:widowControl/>
              <w:adjustRightInd w:val="0"/>
              <w:spacing w:line="320" w:lineRule="exact"/>
              <w:contextualSpacing/>
              <w:rPr>
                <w:rFonts w:hint="eastAsia" w:ascii="Times New Roman" w:hAnsi="Times New Roman" w:eastAsia="宋体" w:cs="宋体"/>
                <w:b/>
                <w:color w:val="auto"/>
                <w:sz w:val="24"/>
                <w:highlight w:val="none"/>
              </w:rPr>
            </w:pPr>
          </w:p>
        </w:tc>
        <w:tc>
          <w:tcPr>
            <w:tcW w:w="4722" w:type="dxa"/>
            <w:noWrap w:val="0"/>
            <w:vAlign w:val="center"/>
          </w:tcPr>
          <w:p w14:paraId="0DDE0B67">
            <w:pPr>
              <w:keepNext w:val="0"/>
              <w:keepLines w:val="0"/>
              <w:pageBreakBefore w:val="0"/>
              <w:widowControl/>
              <w:kinsoku/>
              <w:wordWrap/>
              <w:overflowPunct/>
              <w:topLinePunct w:val="0"/>
              <w:autoSpaceDE/>
              <w:autoSpaceDN/>
              <w:bidi w:val="0"/>
              <w:adjustRightInd w:val="0"/>
              <w:snapToGrid/>
              <w:spacing w:line="400" w:lineRule="exact"/>
              <w:contextualSpacing/>
              <w:textAlignment w:val="auto"/>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1.关于资格的承诺函（格式见附件）</w:t>
            </w:r>
          </w:p>
        </w:tc>
        <w:tc>
          <w:tcPr>
            <w:tcW w:w="1225" w:type="dxa"/>
            <w:vMerge w:val="continue"/>
            <w:noWrap w:val="0"/>
            <w:vAlign w:val="top"/>
          </w:tcPr>
          <w:p w14:paraId="696C8906">
            <w:pPr>
              <w:widowControl/>
              <w:adjustRightInd w:val="0"/>
              <w:spacing w:line="320" w:lineRule="exact"/>
              <w:contextualSpacing/>
              <w:rPr>
                <w:rFonts w:hint="eastAsia" w:ascii="Times New Roman" w:hAnsi="Times New Roman" w:eastAsia="宋体" w:cs="宋体"/>
                <w:b/>
                <w:color w:val="auto"/>
                <w:sz w:val="24"/>
                <w:highlight w:val="none"/>
              </w:rPr>
            </w:pPr>
          </w:p>
        </w:tc>
        <w:tc>
          <w:tcPr>
            <w:tcW w:w="2390" w:type="dxa"/>
            <w:noWrap w:val="0"/>
            <w:vAlign w:val="center"/>
          </w:tcPr>
          <w:p w14:paraId="6F620466">
            <w:pPr>
              <w:widowControl/>
              <w:adjustRightInd w:val="0"/>
              <w:spacing w:line="320" w:lineRule="exact"/>
              <w:contextualSpacing/>
              <w:jc w:val="center"/>
              <w:rPr>
                <w:rFonts w:hint="eastAsia" w:ascii="Times New Roman" w:hAnsi="Times New Roman" w:eastAsia="宋体" w:cs="宋体"/>
                <w:b/>
                <w:color w:val="auto"/>
                <w:sz w:val="24"/>
                <w:highlight w:val="none"/>
              </w:rPr>
            </w:pPr>
            <w:r>
              <w:rPr>
                <w:rFonts w:hint="eastAsia" w:ascii="Times New Roman" w:hAnsi="Times New Roman" w:eastAsia="宋体" w:cs="宋体"/>
                <w:color w:val="auto"/>
                <w:szCs w:val="21"/>
                <w:highlight w:val="none"/>
              </w:rPr>
              <w:t>第（ ）页-（  ）页</w:t>
            </w:r>
          </w:p>
        </w:tc>
      </w:tr>
      <w:tr w14:paraId="6E022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49" w:type="dxa"/>
            <w:vMerge w:val="continue"/>
            <w:noWrap w:val="0"/>
            <w:vAlign w:val="top"/>
          </w:tcPr>
          <w:p w14:paraId="6C1447DA">
            <w:pPr>
              <w:widowControl/>
              <w:adjustRightInd w:val="0"/>
              <w:spacing w:line="320" w:lineRule="exact"/>
              <w:contextualSpacing/>
              <w:rPr>
                <w:rFonts w:hint="eastAsia" w:ascii="Times New Roman" w:hAnsi="Times New Roman" w:eastAsia="宋体" w:cs="宋体"/>
                <w:bCs/>
                <w:color w:val="auto"/>
                <w:szCs w:val="28"/>
                <w:highlight w:val="none"/>
              </w:rPr>
            </w:pPr>
          </w:p>
        </w:tc>
        <w:tc>
          <w:tcPr>
            <w:tcW w:w="4722" w:type="dxa"/>
            <w:noWrap w:val="0"/>
            <w:vAlign w:val="center"/>
          </w:tcPr>
          <w:p w14:paraId="5E7BEEE7">
            <w:pPr>
              <w:keepNext w:val="0"/>
              <w:keepLines w:val="0"/>
              <w:pageBreakBefore w:val="0"/>
              <w:widowControl/>
              <w:kinsoku/>
              <w:wordWrap/>
              <w:overflowPunct/>
              <w:topLinePunct w:val="0"/>
              <w:autoSpaceDE/>
              <w:autoSpaceDN/>
              <w:bidi w:val="0"/>
              <w:adjustRightInd w:val="0"/>
              <w:snapToGrid/>
              <w:spacing w:line="400" w:lineRule="exact"/>
              <w:contextualSpacing/>
              <w:textAlignment w:val="auto"/>
              <w:rPr>
                <w:rFonts w:hint="eastAsia" w:ascii="Times New Roman" w:hAnsi="Times New Roman" w:eastAsia="宋体" w:cs="宋体"/>
                <w:color w:val="auto"/>
                <w:highlight w:val="none"/>
              </w:rPr>
            </w:pPr>
            <w:r>
              <w:rPr>
                <w:rFonts w:hint="eastAsia" w:ascii="Times New Roman" w:hAnsi="Times New Roman" w:eastAsia="宋体" w:cs="宋体"/>
                <w:bCs/>
                <w:color w:val="auto"/>
                <w:szCs w:val="28"/>
                <w:highlight w:val="none"/>
              </w:rPr>
              <w:t>2.有效的企业法人营业执照（或事业法人登记证）、其他组织（个体工商户）的营业执照或者民办非企业单位登记证书</w:t>
            </w:r>
            <w:r>
              <w:rPr>
                <w:rFonts w:hint="eastAsia" w:ascii="Times New Roman" w:hAnsi="Times New Roman" w:eastAsia="宋体" w:cs="宋体"/>
                <w:bCs/>
                <w:color w:val="auto"/>
                <w:szCs w:val="28"/>
                <w:highlight w:val="none"/>
                <w:lang w:eastAsia="zh-CN"/>
              </w:rPr>
              <w:t>扫描件</w:t>
            </w:r>
            <w:r>
              <w:rPr>
                <w:rFonts w:hint="eastAsia" w:ascii="Times New Roman" w:hAnsi="Times New Roman" w:eastAsia="宋体" w:cs="宋体"/>
                <w:color w:val="auto"/>
                <w:highlight w:val="none"/>
              </w:rPr>
              <w:t>。</w:t>
            </w:r>
          </w:p>
          <w:p w14:paraId="44B88907">
            <w:pPr>
              <w:keepNext w:val="0"/>
              <w:keepLines w:val="0"/>
              <w:pageBreakBefore w:val="0"/>
              <w:widowControl/>
              <w:kinsoku/>
              <w:wordWrap/>
              <w:overflowPunct/>
              <w:topLinePunct w:val="0"/>
              <w:autoSpaceDE/>
              <w:autoSpaceDN/>
              <w:bidi w:val="0"/>
              <w:adjustRightInd w:val="0"/>
              <w:snapToGrid/>
              <w:spacing w:line="400" w:lineRule="exact"/>
              <w:contextualSpacing/>
              <w:textAlignment w:val="auto"/>
              <w:rPr>
                <w:rFonts w:hint="eastAsia" w:ascii="Times New Roman" w:hAnsi="Times New Roman" w:eastAsia="宋体" w:cs="宋体"/>
                <w:bCs/>
                <w:color w:val="auto"/>
                <w:szCs w:val="28"/>
                <w:highlight w:val="none"/>
              </w:rPr>
            </w:pPr>
            <w:r>
              <w:rPr>
                <w:rFonts w:hint="eastAsia" w:ascii="Times New Roman" w:hAnsi="Times New Roman" w:eastAsia="宋体" w:cs="宋体"/>
                <w:color w:val="auto"/>
                <w:highlight w:val="none"/>
              </w:rPr>
              <w:t>（投标人如果有名称变更的，应提供由行政主管部门出具的变更证明文件。）</w:t>
            </w:r>
          </w:p>
        </w:tc>
        <w:tc>
          <w:tcPr>
            <w:tcW w:w="1225" w:type="dxa"/>
            <w:vMerge w:val="continue"/>
            <w:noWrap w:val="0"/>
            <w:vAlign w:val="top"/>
          </w:tcPr>
          <w:p w14:paraId="6B4C9698">
            <w:pPr>
              <w:widowControl/>
              <w:adjustRightInd w:val="0"/>
              <w:spacing w:line="320" w:lineRule="exact"/>
              <w:contextualSpacing/>
              <w:rPr>
                <w:rFonts w:hint="eastAsia" w:ascii="Times New Roman" w:hAnsi="Times New Roman" w:eastAsia="宋体" w:cs="宋体"/>
                <w:bCs/>
                <w:color w:val="auto"/>
                <w:szCs w:val="28"/>
                <w:highlight w:val="none"/>
              </w:rPr>
            </w:pPr>
          </w:p>
        </w:tc>
        <w:tc>
          <w:tcPr>
            <w:tcW w:w="2390" w:type="dxa"/>
            <w:noWrap w:val="0"/>
            <w:vAlign w:val="center"/>
          </w:tcPr>
          <w:p w14:paraId="5D180FB3">
            <w:pPr>
              <w:widowControl/>
              <w:adjustRightInd w:val="0"/>
              <w:spacing w:line="320" w:lineRule="exact"/>
              <w:contextualSpacing/>
              <w:jc w:val="center"/>
              <w:rPr>
                <w:rFonts w:hint="eastAsia" w:ascii="Times New Roman" w:hAnsi="Times New Roman" w:eastAsia="宋体" w:cs="宋体"/>
                <w:bCs/>
                <w:color w:val="auto"/>
                <w:szCs w:val="28"/>
                <w:highlight w:val="none"/>
              </w:rPr>
            </w:pPr>
            <w:r>
              <w:rPr>
                <w:rFonts w:hint="eastAsia" w:ascii="Times New Roman" w:hAnsi="Times New Roman" w:eastAsia="宋体" w:cs="宋体"/>
                <w:color w:val="auto"/>
                <w:szCs w:val="21"/>
                <w:highlight w:val="none"/>
              </w:rPr>
              <w:t>第（ ）页-（  ）页</w:t>
            </w:r>
          </w:p>
        </w:tc>
      </w:tr>
      <w:tr w14:paraId="5EA04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49" w:type="dxa"/>
            <w:vMerge w:val="continue"/>
            <w:noWrap w:val="0"/>
            <w:vAlign w:val="top"/>
          </w:tcPr>
          <w:p w14:paraId="5E193834">
            <w:pPr>
              <w:widowControl/>
              <w:adjustRightInd w:val="0"/>
              <w:spacing w:line="320" w:lineRule="exact"/>
              <w:contextualSpacing/>
              <w:rPr>
                <w:rFonts w:hint="eastAsia" w:ascii="Times New Roman" w:hAnsi="Times New Roman" w:eastAsia="宋体" w:cs="宋体"/>
                <w:bCs/>
                <w:color w:val="auto"/>
                <w:szCs w:val="28"/>
                <w:highlight w:val="none"/>
              </w:rPr>
            </w:pPr>
          </w:p>
        </w:tc>
        <w:tc>
          <w:tcPr>
            <w:tcW w:w="4722" w:type="dxa"/>
            <w:noWrap w:val="0"/>
            <w:vAlign w:val="center"/>
          </w:tcPr>
          <w:p w14:paraId="569E7863">
            <w:pPr>
              <w:keepNext w:val="0"/>
              <w:keepLines w:val="0"/>
              <w:pageBreakBefore w:val="0"/>
              <w:widowControl/>
              <w:kinsoku/>
              <w:wordWrap/>
              <w:overflowPunct/>
              <w:topLinePunct w:val="0"/>
              <w:autoSpaceDE/>
              <w:autoSpaceDN/>
              <w:bidi w:val="0"/>
              <w:adjustRightInd w:val="0"/>
              <w:snapToGrid/>
              <w:spacing w:line="400" w:lineRule="exact"/>
              <w:contextualSpacing/>
              <w:jc w:val="left"/>
              <w:textAlignment w:val="auto"/>
              <w:rPr>
                <w:rFonts w:hint="eastAsia" w:ascii="Times New Roman" w:hAnsi="Times New Roman" w:eastAsia="宋体" w:cs="宋体"/>
                <w:bCs/>
                <w:color w:val="auto"/>
                <w:szCs w:val="28"/>
                <w:highlight w:val="none"/>
              </w:rPr>
            </w:pPr>
            <w:r>
              <w:rPr>
                <w:rFonts w:hint="eastAsia" w:ascii="Times New Roman" w:hAnsi="Times New Roman" w:eastAsia="宋体" w:cs="宋体"/>
                <w:bCs/>
                <w:color w:val="auto"/>
                <w:szCs w:val="28"/>
                <w:highlight w:val="none"/>
              </w:rPr>
              <w:t>二、</w:t>
            </w:r>
            <w:r>
              <w:rPr>
                <w:rFonts w:hint="eastAsia" w:ascii="Times New Roman" w:hAnsi="Times New Roman" w:eastAsia="宋体" w:cs="宋体"/>
                <w:color w:val="auto"/>
                <w:highlight w:val="none"/>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225" w:type="dxa"/>
            <w:noWrap w:val="0"/>
            <w:vAlign w:val="center"/>
          </w:tcPr>
          <w:p w14:paraId="62285249">
            <w:pPr>
              <w:widowControl/>
              <w:adjustRightInd w:val="0"/>
              <w:spacing w:line="320" w:lineRule="exact"/>
              <w:contextualSpacing/>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□通过 </w:t>
            </w:r>
          </w:p>
          <w:p w14:paraId="26BB8F40">
            <w:pPr>
              <w:widowControl/>
              <w:adjustRightInd w:val="0"/>
              <w:spacing w:line="320" w:lineRule="exact"/>
              <w:contextualSpacing/>
              <w:rPr>
                <w:rFonts w:hint="eastAsia" w:ascii="Times New Roman" w:hAnsi="Times New Roman" w:eastAsia="宋体" w:cs="宋体"/>
                <w:bCs/>
                <w:color w:val="auto"/>
                <w:szCs w:val="28"/>
                <w:highlight w:val="none"/>
              </w:rPr>
            </w:pPr>
            <w:r>
              <w:rPr>
                <w:rFonts w:hint="eastAsia" w:ascii="Times New Roman" w:hAnsi="Times New Roman" w:eastAsia="宋体" w:cs="宋体"/>
                <w:color w:val="auto"/>
                <w:szCs w:val="21"/>
                <w:highlight w:val="none"/>
              </w:rPr>
              <w:t>□不通过</w:t>
            </w:r>
          </w:p>
        </w:tc>
        <w:tc>
          <w:tcPr>
            <w:tcW w:w="2390" w:type="dxa"/>
            <w:noWrap w:val="0"/>
            <w:vAlign w:val="center"/>
          </w:tcPr>
          <w:p w14:paraId="285EFA5C">
            <w:pPr>
              <w:widowControl/>
              <w:adjustRightInd w:val="0"/>
              <w:spacing w:line="320" w:lineRule="exact"/>
              <w:contextualSpacing/>
              <w:jc w:val="center"/>
              <w:rPr>
                <w:rFonts w:hint="eastAsia" w:ascii="Times New Roman" w:hAnsi="Times New Roman" w:eastAsia="宋体" w:cs="宋体"/>
                <w:bCs/>
                <w:color w:val="auto"/>
                <w:szCs w:val="28"/>
                <w:highlight w:val="none"/>
                <w:u w:val="single"/>
              </w:rPr>
            </w:pPr>
            <w:r>
              <w:rPr>
                <w:rFonts w:hint="eastAsia" w:ascii="Times New Roman" w:hAnsi="Times New Roman" w:eastAsia="宋体" w:cs="宋体"/>
                <w:bCs/>
                <w:color w:val="auto"/>
                <w:szCs w:val="28"/>
                <w:highlight w:val="none"/>
              </w:rPr>
              <w:t xml:space="preserve">信用记录 </w:t>
            </w:r>
            <w:r>
              <w:rPr>
                <w:rFonts w:hint="eastAsia" w:ascii="Times New Roman" w:hAnsi="Times New Roman" w:eastAsia="宋体" w:cs="宋体"/>
                <w:bCs/>
                <w:color w:val="auto"/>
                <w:szCs w:val="28"/>
                <w:highlight w:val="none"/>
                <w:u w:val="single"/>
              </w:rPr>
              <w:t>是/否</w:t>
            </w:r>
            <w:r>
              <w:rPr>
                <w:rFonts w:hint="eastAsia" w:ascii="Times New Roman" w:hAnsi="Times New Roman" w:eastAsia="宋体" w:cs="宋体"/>
                <w:bCs/>
                <w:color w:val="auto"/>
                <w:szCs w:val="28"/>
                <w:highlight w:val="none"/>
              </w:rPr>
              <w:t xml:space="preserve"> 已失效，如失效，证明材料详见</w:t>
            </w:r>
            <w:r>
              <w:rPr>
                <w:rFonts w:hint="eastAsia" w:ascii="Times New Roman" w:hAnsi="Times New Roman" w:eastAsia="宋体" w:cs="宋体"/>
                <w:color w:val="auto"/>
                <w:szCs w:val="21"/>
                <w:highlight w:val="none"/>
              </w:rPr>
              <w:t>第（ ）页-（  ）页</w:t>
            </w:r>
          </w:p>
        </w:tc>
      </w:tr>
      <w:tr w14:paraId="57746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49" w:type="dxa"/>
            <w:vMerge w:val="continue"/>
            <w:noWrap w:val="0"/>
            <w:vAlign w:val="top"/>
          </w:tcPr>
          <w:p w14:paraId="5847F426">
            <w:pPr>
              <w:widowControl/>
              <w:adjustRightInd w:val="0"/>
              <w:spacing w:line="320" w:lineRule="exact"/>
              <w:contextualSpacing/>
              <w:rPr>
                <w:rFonts w:hint="eastAsia" w:ascii="Times New Roman" w:hAnsi="Times New Roman" w:eastAsia="宋体" w:cs="宋体"/>
                <w:bCs/>
                <w:color w:val="auto"/>
                <w:szCs w:val="28"/>
                <w:highlight w:val="none"/>
              </w:rPr>
            </w:pPr>
          </w:p>
        </w:tc>
        <w:tc>
          <w:tcPr>
            <w:tcW w:w="4722" w:type="dxa"/>
            <w:noWrap w:val="0"/>
            <w:vAlign w:val="center"/>
          </w:tcPr>
          <w:p w14:paraId="260E13EE">
            <w:pPr>
              <w:widowControl/>
              <w:adjustRightInd w:val="0"/>
              <w:spacing w:line="320" w:lineRule="exact"/>
              <w:contextualSpacing/>
              <w:rPr>
                <w:rFonts w:hint="eastAsia" w:ascii="Times New Roman" w:hAnsi="Times New Roman" w:eastAsia="宋体" w:cs="宋体"/>
                <w:bCs/>
                <w:color w:val="auto"/>
                <w:szCs w:val="28"/>
                <w:highlight w:val="none"/>
              </w:rPr>
            </w:pPr>
            <w:r>
              <w:rPr>
                <w:rFonts w:hint="eastAsia" w:ascii="Times New Roman" w:hAnsi="Times New Roman" w:eastAsia="宋体" w:cs="宋体"/>
                <w:bCs/>
                <w:color w:val="auto"/>
                <w:szCs w:val="28"/>
                <w:highlight w:val="none"/>
              </w:rPr>
              <w:t>三、</w:t>
            </w:r>
            <w:r>
              <w:rPr>
                <w:rFonts w:hint="eastAsia" w:ascii="Times New Roman" w:hAnsi="Times New Roman" w:eastAsia="宋体" w:cs="宋体"/>
                <w:b/>
                <w:bCs/>
                <w:color w:val="auto"/>
                <w:szCs w:val="28"/>
                <w:highlight w:val="none"/>
              </w:rPr>
              <w:t>本项目服务全部由符合政策要求的中小微型企业承接，提供中小企业声明函（残疾人福利性企业、监狱企业视同小微企业）。</w:t>
            </w:r>
          </w:p>
        </w:tc>
        <w:tc>
          <w:tcPr>
            <w:tcW w:w="1225" w:type="dxa"/>
            <w:noWrap w:val="0"/>
            <w:vAlign w:val="center"/>
          </w:tcPr>
          <w:p w14:paraId="4BD048E5">
            <w:pPr>
              <w:widowControl/>
              <w:adjustRightInd w:val="0"/>
              <w:spacing w:line="320" w:lineRule="exact"/>
              <w:contextualSpacing/>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□通过 </w:t>
            </w:r>
          </w:p>
          <w:p w14:paraId="32144853">
            <w:pPr>
              <w:widowControl/>
              <w:adjustRightInd w:val="0"/>
              <w:spacing w:line="320" w:lineRule="exact"/>
              <w:contextualSpacing/>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□不通过</w:t>
            </w:r>
          </w:p>
        </w:tc>
        <w:tc>
          <w:tcPr>
            <w:tcW w:w="2390" w:type="dxa"/>
            <w:noWrap w:val="0"/>
            <w:vAlign w:val="center"/>
          </w:tcPr>
          <w:p w14:paraId="55E1D0F5">
            <w:pPr>
              <w:widowControl/>
              <w:adjustRightInd w:val="0"/>
              <w:spacing w:line="320" w:lineRule="exact"/>
              <w:contextualSpacing/>
              <w:jc w:val="center"/>
              <w:rPr>
                <w:rFonts w:hint="eastAsia" w:ascii="Times New Roman" w:hAnsi="Times New Roman" w:eastAsia="宋体" w:cs="宋体"/>
                <w:bCs/>
                <w:color w:val="auto"/>
                <w:szCs w:val="28"/>
                <w:highlight w:val="none"/>
              </w:rPr>
            </w:pPr>
            <w:r>
              <w:rPr>
                <w:rFonts w:hint="eastAsia" w:ascii="Times New Roman" w:hAnsi="Times New Roman" w:eastAsia="宋体" w:cs="宋体"/>
                <w:color w:val="auto"/>
                <w:szCs w:val="21"/>
                <w:highlight w:val="none"/>
              </w:rPr>
              <w:t>第（ ）页-（  ）页</w:t>
            </w:r>
          </w:p>
        </w:tc>
      </w:tr>
    </w:tbl>
    <w:p w14:paraId="705DD903">
      <w:pPr>
        <w:spacing w:line="500" w:lineRule="exact"/>
        <w:ind w:firstLine="420" w:firstLineChars="200"/>
        <w:rPr>
          <w:rFonts w:asciiTheme="minorEastAsia" w:hAnsiTheme="minorEastAsia"/>
          <w:color w:val="auto"/>
          <w:szCs w:val="21"/>
          <w:highlight w:val="none"/>
        </w:rPr>
      </w:pPr>
    </w:p>
    <w:p w14:paraId="2158B5F9">
      <w:pPr>
        <w:spacing w:line="500" w:lineRule="exact"/>
        <w:ind w:firstLine="420" w:firstLineChars="200"/>
        <w:jc w:val="right"/>
        <w:rPr>
          <w:rFonts w:asciiTheme="minorEastAsia" w:hAnsiTheme="minorEastAsia"/>
          <w:color w:val="auto"/>
          <w:szCs w:val="21"/>
          <w:highlight w:val="none"/>
        </w:rPr>
      </w:pPr>
      <w:r>
        <w:rPr>
          <w:rFonts w:asciiTheme="minorEastAsia" w:hAnsiTheme="minorEastAsia"/>
          <w:color w:val="auto"/>
          <w:szCs w:val="21"/>
          <w:highlight w:val="none"/>
        </w:rPr>
        <w:t>投标人名称(公章)：</w:t>
      </w:r>
    </w:p>
    <w:p w14:paraId="6B85397E">
      <w:pPr>
        <w:pStyle w:val="12"/>
        <w:spacing w:line="500" w:lineRule="exact"/>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法定代表人或授权委托人(签字或盖章)：</w:t>
      </w:r>
    </w:p>
    <w:p w14:paraId="728232F6">
      <w:pPr>
        <w:pStyle w:val="12"/>
        <w:spacing w:line="500" w:lineRule="exact"/>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日期：</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日</w:t>
      </w:r>
    </w:p>
    <w:p w14:paraId="250AD47A">
      <w:pPr>
        <w:spacing w:after="100" w:afterAutospacing="1" w:line="360" w:lineRule="auto"/>
        <w:jc w:val="center"/>
        <w:rPr>
          <w:rFonts w:asciiTheme="minorEastAsia" w:hAnsiTheme="minorEastAsia"/>
          <w:b/>
          <w:color w:val="auto"/>
          <w:szCs w:val="21"/>
          <w:highlight w:val="none"/>
        </w:rPr>
      </w:pPr>
    </w:p>
    <w:p w14:paraId="01EF6704">
      <w:pPr>
        <w:spacing w:after="100" w:afterAutospacing="1"/>
        <w:jc w:val="center"/>
        <w:rPr>
          <w:rFonts w:asciiTheme="minorEastAsia" w:hAnsiTheme="minorEastAsia"/>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EDC9400">
      <w:pPr>
        <w:spacing w:line="360" w:lineRule="auto"/>
        <w:jc w:val="center"/>
        <w:outlineLvl w:val="1"/>
        <w:rPr>
          <w:rFonts w:hint="eastAsia" w:ascii="Times New Roman" w:hAnsi="Times New Roman" w:eastAsia="宋体"/>
          <w:b/>
          <w:bCs/>
          <w:color w:val="auto"/>
          <w:szCs w:val="21"/>
          <w:highlight w:val="none"/>
        </w:rPr>
      </w:pPr>
      <w:r>
        <w:rPr>
          <w:rFonts w:hint="eastAsia" w:asciiTheme="minorEastAsia" w:hAnsiTheme="minorEastAsia"/>
          <w:b/>
          <w:color w:val="auto"/>
          <w:sz w:val="32"/>
          <w:szCs w:val="32"/>
          <w:highlight w:val="none"/>
        </w:rPr>
        <w:t>二、</w:t>
      </w:r>
      <w:bookmarkStart w:id="153" w:name="_Toc22483"/>
      <w:r>
        <w:rPr>
          <w:rFonts w:hint="eastAsia" w:ascii="Times New Roman" w:hAnsi="Times New Roman" w:eastAsia="宋体"/>
          <w:b/>
          <w:bCs/>
          <w:color w:val="auto"/>
          <w:sz w:val="24"/>
          <w:highlight w:val="none"/>
        </w:rPr>
        <w:t>关于资格的承诺函</w:t>
      </w:r>
      <w:bookmarkEnd w:id="153"/>
    </w:p>
    <w:p w14:paraId="32C602B8">
      <w:pPr>
        <w:spacing w:line="360" w:lineRule="auto"/>
        <w:contextualSpacing/>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致：中冠工程管理咨询有限公司</w:t>
      </w:r>
    </w:p>
    <w:p w14:paraId="3CF6357E">
      <w:pPr>
        <w:keepNext w:val="0"/>
        <w:keepLines w:val="0"/>
        <w:pageBreakBefore w:val="0"/>
        <w:widowControl w:val="0"/>
        <w:kinsoku/>
        <w:wordWrap/>
        <w:overflowPunct/>
        <w:topLinePunct w:val="0"/>
        <w:autoSpaceDE/>
        <w:autoSpaceDN/>
        <w:bidi w:val="0"/>
        <w:adjustRightInd/>
        <w:snapToGrid w:val="0"/>
        <w:spacing w:before="120" w:beforeLines="50" w:line="600" w:lineRule="exact"/>
        <w:ind w:firstLine="424" w:firstLineChars="202"/>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关于</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kern w:val="28"/>
          <w:sz w:val="21"/>
          <w:szCs w:val="21"/>
          <w:highlight w:val="none"/>
          <w:u w:val="single"/>
        </w:rPr>
        <w:t xml:space="preserve">                    </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项目（项目编号：</w:t>
      </w:r>
      <w:r>
        <w:rPr>
          <w:rFonts w:hint="eastAsia" w:ascii="Times New Roman" w:hAnsi="Times New Roman" w:eastAsia="宋体" w:cs="宋体"/>
          <w:color w:val="auto"/>
          <w:sz w:val="21"/>
          <w:szCs w:val="21"/>
          <w:highlight w:val="none"/>
          <w:u w:val="single"/>
        </w:rPr>
        <w:t>　　　</w:t>
      </w:r>
      <w:r>
        <w:rPr>
          <w:rFonts w:hint="eastAsia" w:ascii="Times New Roman" w:hAnsi="Times New Roman" w:eastAsia="宋体" w:cs="宋体"/>
          <w:color w:val="auto"/>
          <w:sz w:val="21"/>
          <w:szCs w:val="21"/>
          <w:highlight w:val="none"/>
        </w:rPr>
        <w:t>），我方愿意参加投标，并声明：</w:t>
      </w:r>
    </w:p>
    <w:p w14:paraId="06528A12">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1、我方具备《中华人民共和国政府采购法》第二十二条规定资格条件：</w:t>
      </w:r>
    </w:p>
    <w:p w14:paraId="4DBFE6EE">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30BF15F1">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2、我方的单位负责人与所参投的本采购项目的其他投标人的单位负责人不为同一人且与其他投标人之间不存在直接控股、管理关系。</w:t>
      </w:r>
    </w:p>
    <w:p w14:paraId="4CB52489">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3、我方不是本采购项目提供整体设计、规范编制或者项目管理、监理、检测等服务的供应商。</w:t>
      </w:r>
    </w:p>
    <w:p w14:paraId="316F9D18">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ascii="Times New Roman" w:hAnsi="Times New Roman" w:eastAsia="宋体" w:cs="宋体"/>
          <w:bCs/>
          <w:color w:val="auto"/>
          <w:sz w:val="21"/>
          <w:szCs w:val="21"/>
          <w:highlight w:val="none"/>
        </w:rPr>
      </w:pPr>
      <w:r>
        <w:rPr>
          <w:rFonts w:hint="eastAsia" w:ascii="Times New Roman" w:hAnsi="Times New Roman" w:eastAsia="宋体" w:cs="宋体"/>
          <w:color w:val="auto"/>
          <w:sz w:val="21"/>
          <w:szCs w:val="21"/>
          <w:highlight w:val="none"/>
        </w:rPr>
        <w:t>4、我方</w:t>
      </w:r>
      <w:r>
        <w:rPr>
          <w:rFonts w:hint="eastAsia" w:ascii="Times New Roman" w:hAnsi="Times New Roman" w:eastAsia="宋体" w:cs="宋体"/>
          <w:bCs/>
          <w:color w:val="auto"/>
          <w:sz w:val="21"/>
          <w:szCs w:val="21"/>
          <w:highlight w:val="none"/>
        </w:rPr>
        <w:t>未被“信用中国”（www.creditchina.gov.cn)、中国政府采购网（www.ccgp.gov.cn）列入失信被执行人、重大税收违法失信主体、政府采购严重违法失信行为记录名单。</w:t>
      </w:r>
    </w:p>
    <w:p w14:paraId="45D97A5F">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Cs/>
          <w:color w:val="auto"/>
          <w:sz w:val="21"/>
          <w:szCs w:val="21"/>
          <w:highlight w:val="none"/>
        </w:rPr>
        <w:t>我方对上述声明的真实性负责。</w:t>
      </w:r>
      <w:r>
        <w:rPr>
          <w:rFonts w:hint="eastAsia" w:ascii="Times New Roman" w:hAnsi="Times New Roman" w:eastAsia="宋体" w:cs="宋体"/>
          <w:color w:val="auto"/>
          <w:sz w:val="21"/>
          <w:szCs w:val="21"/>
          <w:highlight w:val="none"/>
        </w:rPr>
        <w:t>本次招标采购活动中，如有违法、违规、弄虚作假行为，所造成的损失、不良后果及法律责任，一律由我方承担。</w:t>
      </w:r>
    </w:p>
    <w:p w14:paraId="65B20098">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宋体" w:cs="宋体"/>
          <w:b/>
          <w:color w:val="auto"/>
          <w:sz w:val="21"/>
          <w:szCs w:val="21"/>
          <w:highlight w:val="none"/>
        </w:rPr>
      </w:pPr>
    </w:p>
    <w:p w14:paraId="32CF6D5E">
      <w:pPr>
        <w:keepNext w:val="0"/>
        <w:keepLines w:val="0"/>
        <w:pageBreakBefore w:val="0"/>
        <w:widowControl w:val="0"/>
        <w:kinsoku/>
        <w:wordWrap/>
        <w:overflowPunct/>
        <w:topLinePunct w:val="0"/>
        <w:autoSpaceDE/>
        <w:autoSpaceDN/>
        <w:bidi w:val="0"/>
        <w:adjustRightInd/>
        <w:spacing w:line="600" w:lineRule="exact"/>
        <w:ind w:firstLine="420"/>
        <w:textAlignment w:val="auto"/>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特此声明！</w:t>
      </w:r>
    </w:p>
    <w:p w14:paraId="42853215">
      <w:pPr>
        <w:spacing w:line="360" w:lineRule="auto"/>
        <w:outlineLvl w:val="1"/>
        <w:rPr>
          <w:rFonts w:hint="eastAsia" w:ascii="Times New Roman" w:hAnsi="Times New Roman" w:eastAsia="宋体" w:cs="宋体"/>
          <w:b/>
          <w:color w:val="auto"/>
          <w:szCs w:val="21"/>
          <w:highlight w:val="none"/>
        </w:rPr>
      </w:pPr>
    </w:p>
    <w:p w14:paraId="70065D3E">
      <w:pPr>
        <w:spacing w:line="360" w:lineRule="auto"/>
        <w:contextualSpacing/>
        <w:outlineLvl w:val="1"/>
        <w:rPr>
          <w:rFonts w:hint="eastAsia" w:ascii="Times New Roman" w:hAnsi="Times New Roman" w:eastAsia="宋体"/>
          <w:b/>
          <w:bCs/>
          <w:color w:val="auto"/>
          <w:sz w:val="24"/>
          <w:szCs w:val="24"/>
          <w:highlight w:val="none"/>
        </w:rPr>
      </w:pPr>
    </w:p>
    <w:p w14:paraId="601BCD24">
      <w:pPr>
        <w:spacing w:line="360" w:lineRule="auto"/>
        <w:contextualSpacing/>
        <w:jc w:val="right"/>
        <w:outlineLvl w:val="1"/>
        <w:rPr>
          <w:rFonts w:hint="eastAsia" w:ascii="Times New Roman" w:hAnsi="Times New Roman" w:eastAsia="宋体"/>
          <w:color w:val="auto"/>
          <w:sz w:val="21"/>
          <w:szCs w:val="21"/>
          <w:highlight w:val="none"/>
        </w:rPr>
      </w:pPr>
    </w:p>
    <w:p w14:paraId="7AB5ADEF">
      <w:pPr>
        <w:spacing w:line="360" w:lineRule="auto"/>
        <w:contextualSpacing/>
        <w:jc w:val="right"/>
        <w:outlineLvl w:val="1"/>
        <w:rPr>
          <w:rFonts w:hint="eastAsia" w:ascii="Times New Roman" w:hAnsi="Times New Roman" w:eastAsia="宋体"/>
          <w:color w:val="auto"/>
          <w:sz w:val="21"/>
          <w:szCs w:val="21"/>
          <w:highlight w:val="none"/>
        </w:rPr>
      </w:pPr>
      <w:bookmarkStart w:id="154" w:name="_Toc29077"/>
      <w:r>
        <w:rPr>
          <w:rFonts w:hint="eastAsia" w:ascii="Times New Roman" w:hAnsi="Times New Roman" w:eastAsia="宋体"/>
          <w:color w:val="auto"/>
          <w:sz w:val="21"/>
          <w:szCs w:val="21"/>
          <w:highlight w:val="none"/>
        </w:rPr>
        <w:t>投标人（盖章）：</w:t>
      </w:r>
      <w:bookmarkEnd w:id="154"/>
    </w:p>
    <w:p w14:paraId="7F967857">
      <w:pPr>
        <w:spacing w:line="360" w:lineRule="auto"/>
        <w:contextualSpacing/>
        <w:jc w:val="right"/>
        <w:outlineLvl w:val="1"/>
        <w:rPr>
          <w:rFonts w:hint="eastAsia" w:ascii="Times New Roman" w:hAnsi="Times New Roman" w:eastAsia="宋体"/>
          <w:color w:val="auto"/>
          <w:sz w:val="21"/>
          <w:szCs w:val="21"/>
          <w:highlight w:val="none"/>
        </w:rPr>
      </w:pPr>
      <w:bookmarkStart w:id="155" w:name="_Toc24541"/>
      <w:r>
        <w:rPr>
          <w:rFonts w:hint="eastAsia" w:ascii="Times New Roman" w:hAnsi="Times New Roman" w:eastAsia="宋体"/>
          <w:color w:val="auto"/>
          <w:sz w:val="21"/>
          <w:szCs w:val="21"/>
          <w:highlight w:val="none"/>
        </w:rPr>
        <w:t>法定代表人或授权代表人（签字或盖章）：</w:t>
      </w:r>
      <w:bookmarkEnd w:id="155"/>
    </w:p>
    <w:p w14:paraId="767CE6DE">
      <w:pPr>
        <w:spacing w:line="360" w:lineRule="auto"/>
        <w:contextualSpacing/>
        <w:jc w:val="right"/>
        <w:outlineLvl w:val="1"/>
        <w:rPr>
          <w:rFonts w:ascii="Times New Roman" w:hAnsi="Times New Roman" w:eastAsia="宋体"/>
          <w:color w:val="auto"/>
          <w:sz w:val="21"/>
          <w:szCs w:val="21"/>
          <w:highlight w:val="none"/>
        </w:rPr>
      </w:pPr>
      <w:bookmarkStart w:id="156" w:name="_Toc18821"/>
      <w:r>
        <w:rPr>
          <w:rFonts w:hint="eastAsia" w:ascii="Times New Roman" w:hAnsi="Times New Roman" w:eastAsia="宋体"/>
          <w:color w:val="auto"/>
          <w:sz w:val="21"/>
          <w:szCs w:val="21"/>
          <w:highlight w:val="none"/>
        </w:rPr>
        <w:t>日期：</w:t>
      </w:r>
      <w:bookmarkEnd w:id="156"/>
    </w:p>
    <w:p w14:paraId="085DF7EE">
      <w:pPr>
        <w:snapToGrid w:val="0"/>
        <w:spacing w:beforeLines="50" w:after="50" w:line="360" w:lineRule="auto"/>
        <w:jc w:val="right"/>
        <w:rPr>
          <w:rFonts w:asciiTheme="minorEastAsia" w:hAnsiTheme="minorEastAsia"/>
          <w:color w:val="auto"/>
          <w:szCs w:val="21"/>
          <w:highlight w:val="none"/>
        </w:rPr>
      </w:pPr>
    </w:p>
    <w:p w14:paraId="406A11CA">
      <w:pPr>
        <w:pStyle w:val="30"/>
        <w:pageBreakBefore/>
        <w:ind w:firstLine="643"/>
        <w:jc w:val="center"/>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三、中小企业声明函</w:t>
      </w:r>
    </w:p>
    <w:p w14:paraId="740DE9E5">
      <w:pPr>
        <w:spacing w:line="480" w:lineRule="auto"/>
        <w:ind w:firstLine="525" w:firstLineChars="250"/>
        <w:rPr>
          <w:rFonts w:ascii="Times New Roman" w:hAnsi="Times New Roman" w:eastAsia="宋体"/>
          <w:color w:val="auto"/>
          <w:highlight w:val="none"/>
        </w:rPr>
      </w:pPr>
      <w:r>
        <w:rPr>
          <w:rFonts w:hint="eastAsia" w:ascii="Times New Roman" w:hAnsi="Times New Roman" w:eastAsia="宋体"/>
          <w:color w:val="auto"/>
          <w:highlight w:val="none"/>
        </w:rPr>
        <w:t>本公司郑重声明，根据《政府采购促进中小企业发展管理办法》（财库﹝</w:t>
      </w:r>
      <w:r>
        <w:rPr>
          <w:rFonts w:ascii="Times New Roman" w:hAnsi="Times New Roman" w:eastAsia="宋体"/>
          <w:color w:val="auto"/>
          <w:highlight w:val="none"/>
        </w:rPr>
        <w:t>2020</w:t>
      </w:r>
      <w:r>
        <w:rPr>
          <w:rFonts w:hint="eastAsia" w:ascii="Times New Roman" w:hAnsi="Times New Roman" w:eastAsia="宋体"/>
          <w:color w:val="auto"/>
          <w:highlight w:val="none"/>
        </w:rPr>
        <w:t>﹞</w:t>
      </w:r>
      <w:r>
        <w:rPr>
          <w:rFonts w:ascii="Times New Roman" w:hAnsi="Times New Roman" w:eastAsia="宋体"/>
          <w:color w:val="auto"/>
          <w:highlight w:val="none"/>
        </w:rPr>
        <w:t xml:space="preserve">46 </w:t>
      </w:r>
      <w:r>
        <w:rPr>
          <w:rFonts w:hint="eastAsia" w:ascii="Times New Roman" w:hAnsi="Times New Roman" w:eastAsia="宋体"/>
          <w:color w:val="auto"/>
          <w:highlight w:val="none"/>
        </w:rPr>
        <w:t>号）的规定，本公司参加</w:t>
      </w:r>
      <w:r>
        <w:rPr>
          <w:rFonts w:hint="eastAsia" w:ascii="Times New Roman" w:hAnsi="Times New Roman" w:eastAsia="宋体"/>
          <w:color w:val="auto"/>
          <w:highlight w:val="none"/>
          <w:u w:val="single"/>
        </w:rPr>
        <w:t>（单位名称）</w:t>
      </w:r>
      <w:r>
        <w:rPr>
          <w:rFonts w:hint="eastAsia" w:ascii="Times New Roman" w:hAnsi="Times New Roman" w:eastAsia="宋体"/>
          <w:color w:val="auto"/>
          <w:highlight w:val="none"/>
        </w:rPr>
        <w:t>的</w:t>
      </w:r>
      <w:r>
        <w:rPr>
          <w:rFonts w:hint="eastAsia" w:ascii="Times New Roman" w:hAnsi="Times New Roman" w:eastAsia="宋体"/>
          <w:color w:val="auto"/>
          <w:highlight w:val="none"/>
          <w:u w:val="single"/>
        </w:rPr>
        <w:t>（项目名称）</w:t>
      </w:r>
      <w:r>
        <w:rPr>
          <w:rFonts w:hint="eastAsia" w:ascii="Times New Roman" w:hAnsi="Times New Roman" w:eastAsia="宋体"/>
          <w:color w:val="auto"/>
          <w:highlight w:val="none"/>
        </w:rPr>
        <w:t>采购活动，服务全部由符合政策要求的中小企业承接。相关企业的具体情况如下：</w:t>
      </w:r>
    </w:p>
    <w:p w14:paraId="2DE3F969">
      <w:pPr>
        <w:spacing w:line="480" w:lineRule="auto"/>
        <w:ind w:firstLine="420" w:firstLineChars="200"/>
        <w:rPr>
          <w:rFonts w:ascii="Times New Roman" w:hAnsi="Times New Roman" w:eastAsia="宋体"/>
          <w:color w:val="auto"/>
          <w:highlight w:val="none"/>
        </w:rPr>
      </w:pPr>
      <w:r>
        <w:rPr>
          <w:rFonts w:ascii="Times New Roman" w:hAnsi="Times New Roman" w:eastAsia="宋体"/>
          <w:color w:val="auto"/>
          <w:highlight w:val="none"/>
        </w:rPr>
        <w:t>1.</w:t>
      </w:r>
      <w:r>
        <w:rPr>
          <w:rFonts w:hint="eastAsia" w:ascii="Times New Roman" w:hAnsi="Times New Roman" w:eastAsia="宋体" w:cs="宋体"/>
          <w:b/>
          <w:bCs/>
          <w:color w:val="auto"/>
          <w:szCs w:val="32"/>
          <w:highlight w:val="none"/>
          <w:u w:val="single"/>
          <w:lang w:bidi="ar"/>
        </w:rPr>
        <w:t xml:space="preserve">  </w:t>
      </w:r>
      <w:r>
        <w:rPr>
          <w:rFonts w:hint="eastAsia" w:ascii="Times New Roman" w:hAnsi="Times New Roman" w:eastAsia="宋体" w:cs="宋体"/>
          <w:b/>
          <w:bCs/>
          <w:color w:val="auto"/>
          <w:szCs w:val="32"/>
          <w:highlight w:val="none"/>
          <w:u w:val="single"/>
          <w:lang w:eastAsia="zh-CN" w:bidi="ar"/>
        </w:rPr>
        <w:t>台州市公安局交通警察局2025-2027涉案车辆（交通违法、交通事故）拖移服务（重新招标）</w:t>
      </w:r>
      <w:r>
        <w:rPr>
          <w:rFonts w:ascii="Times New Roman" w:hAnsi="Times New Roman" w:eastAsia="宋体" w:cs="宋体"/>
          <w:color w:val="auto"/>
          <w:szCs w:val="32"/>
          <w:highlight w:val="none"/>
          <w:u w:val="single"/>
          <w:lang w:bidi="ar"/>
        </w:rPr>
        <w:t xml:space="preserve"> </w:t>
      </w:r>
      <w:r>
        <w:rPr>
          <w:rFonts w:hint="eastAsia" w:ascii="Times New Roman" w:hAnsi="Times New Roman" w:eastAsia="宋体" w:cs="宋体"/>
          <w:color w:val="auto"/>
          <w:szCs w:val="32"/>
          <w:highlight w:val="none"/>
          <w:lang w:bidi="ar"/>
        </w:rPr>
        <w:t>，属于</w:t>
      </w:r>
      <w:r>
        <w:rPr>
          <w:rFonts w:hint="eastAsia" w:ascii="Times New Roman" w:hAnsi="Times New Roman" w:eastAsia="宋体" w:cs="宋体"/>
          <w:b/>
          <w:bCs/>
          <w:color w:val="auto"/>
          <w:szCs w:val="32"/>
          <w:highlight w:val="none"/>
          <w:u w:val="single"/>
          <w:lang w:bidi="ar"/>
        </w:rPr>
        <w:t>租赁和商务服务业</w:t>
      </w:r>
      <w:r>
        <w:rPr>
          <w:rFonts w:hint="eastAsia" w:ascii="Times New Roman" w:hAnsi="Times New Roman" w:eastAsia="宋体" w:cs="宋体"/>
          <w:b/>
          <w:bCs/>
          <w:color w:val="auto"/>
          <w:kern w:val="0"/>
          <w:szCs w:val="21"/>
          <w:highlight w:val="none"/>
          <w:u w:val="single"/>
          <w:lang w:bidi="ar"/>
        </w:rPr>
        <w:t>（此项内容不允许更改）</w:t>
      </w:r>
      <w:r>
        <w:rPr>
          <w:rFonts w:hint="eastAsia" w:ascii="Times New Roman" w:hAnsi="Times New Roman" w:eastAsia="宋体" w:cs="宋体"/>
          <w:color w:val="auto"/>
          <w:szCs w:val="32"/>
          <w:highlight w:val="none"/>
          <w:lang w:bidi="ar"/>
        </w:rPr>
        <w:t>；承接企业为</w:t>
      </w:r>
      <w:r>
        <w:rPr>
          <w:rFonts w:hint="eastAsia" w:ascii="Times New Roman" w:hAnsi="Times New Roman" w:eastAsia="宋体" w:cs="宋体"/>
          <w:color w:val="auto"/>
          <w:szCs w:val="32"/>
          <w:highlight w:val="none"/>
          <w:u w:val="single"/>
          <w:lang w:bidi="ar"/>
        </w:rPr>
        <w:t>（企业名称）</w:t>
      </w:r>
      <w:r>
        <w:rPr>
          <w:rFonts w:hint="eastAsia" w:ascii="Times New Roman" w:hAnsi="Times New Roman" w:eastAsia="宋体" w:cs="宋体"/>
          <w:b/>
          <w:bCs/>
          <w:color w:val="auto"/>
          <w:szCs w:val="32"/>
          <w:highlight w:val="none"/>
          <w:u w:val="single"/>
          <w:lang w:bidi="ar"/>
        </w:rPr>
        <w:t>（本项为必填项）</w:t>
      </w:r>
      <w:r>
        <w:rPr>
          <w:rFonts w:hint="eastAsia" w:ascii="Times New Roman" w:hAnsi="Times New Roman" w:eastAsia="宋体" w:cs="宋体"/>
          <w:color w:val="auto"/>
          <w:szCs w:val="32"/>
          <w:highlight w:val="none"/>
          <w:lang w:bidi="ar"/>
        </w:rPr>
        <w:t>，从业人员</w:t>
      </w:r>
      <w:r>
        <w:rPr>
          <w:rFonts w:ascii="Times New Roman" w:hAnsi="Times New Roman" w:eastAsia="宋体" w:cs="宋体"/>
          <w:color w:val="auto"/>
          <w:szCs w:val="32"/>
          <w:highlight w:val="none"/>
          <w:u w:val="single"/>
          <w:lang w:bidi="ar"/>
        </w:rPr>
        <w:t xml:space="preserve">   </w:t>
      </w:r>
      <w:r>
        <w:rPr>
          <w:rFonts w:hint="eastAsia" w:ascii="Times New Roman" w:hAnsi="Times New Roman" w:eastAsia="宋体" w:cs="宋体"/>
          <w:b/>
          <w:bCs/>
          <w:color w:val="auto"/>
          <w:szCs w:val="32"/>
          <w:highlight w:val="none"/>
          <w:u w:val="single"/>
          <w:lang w:bidi="ar"/>
        </w:rPr>
        <w:t>（本项为必填项）</w:t>
      </w:r>
      <w:r>
        <w:rPr>
          <w:rFonts w:ascii="Times New Roman" w:hAnsi="Times New Roman" w:eastAsia="宋体" w:cs="宋体"/>
          <w:color w:val="auto"/>
          <w:szCs w:val="32"/>
          <w:highlight w:val="none"/>
          <w:u w:val="single"/>
          <w:lang w:bidi="ar"/>
        </w:rPr>
        <w:t xml:space="preserve">   </w:t>
      </w:r>
      <w:r>
        <w:rPr>
          <w:rFonts w:hint="eastAsia" w:ascii="Times New Roman" w:hAnsi="Times New Roman" w:eastAsia="宋体" w:cs="宋体"/>
          <w:color w:val="auto"/>
          <w:szCs w:val="32"/>
          <w:highlight w:val="none"/>
          <w:lang w:bidi="ar"/>
        </w:rPr>
        <w:t>人，营业收入为</w:t>
      </w:r>
      <w:r>
        <w:rPr>
          <w:rFonts w:ascii="Times New Roman" w:hAnsi="Times New Roman" w:eastAsia="宋体" w:cs="宋体"/>
          <w:color w:val="auto"/>
          <w:szCs w:val="32"/>
          <w:highlight w:val="none"/>
          <w:u w:val="single"/>
          <w:lang w:bidi="ar"/>
        </w:rPr>
        <w:t xml:space="preserve">   </w:t>
      </w:r>
      <w:r>
        <w:rPr>
          <w:rFonts w:hint="eastAsia" w:ascii="Times New Roman" w:hAnsi="Times New Roman" w:eastAsia="宋体" w:cs="宋体"/>
          <w:b/>
          <w:bCs/>
          <w:color w:val="auto"/>
          <w:szCs w:val="32"/>
          <w:highlight w:val="none"/>
          <w:u w:val="single"/>
          <w:lang w:bidi="ar"/>
        </w:rPr>
        <w:t>（本项为必填项）</w:t>
      </w:r>
      <w:r>
        <w:rPr>
          <w:rFonts w:ascii="Times New Roman" w:hAnsi="Times New Roman" w:eastAsia="宋体" w:cs="宋体"/>
          <w:color w:val="auto"/>
          <w:szCs w:val="32"/>
          <w:highlight w:val="none"/>
          <w:u w:val="single"/>
          <w:lang w:bidi="ar"/>
        </w:rPr>
        <w:t xml:space="preserve">   </w:t>
      </w:r>
      <w:r>
        <w:rPr>
          <w:rFonts w:hint="eastAsia" w:ascii="Times New Roman" w:hAnsi="Times New Roman" w:eastAsia="宋体" w:cs="宋体"/>
          <w:color w:val="auto"/>
          <w:szCs w:val="32"/>
          <w:highlight w:val="none"/>
          <w:lang w:bidi="ar"/>
        </w:rPr>
        <w:t>万元，资产总额为</w:t>
      </w:r>
      <w:r>
        <w:rPr>
          <w:rFonts w:ascii="Times New Roman" w:hAnsi="Times New Roman" w:eastAsia="宋体" w:cs="宋体"/>
          <w:color w:val="auto"/>
          <w:szCs w:val="32"/>
          <w:highlight w:val="none"/>
          <w:u w:val="single"/>
          <w:lang w:bidi="ar"/>
        </w:rPr>
        <w:t xml:space="preserve">   </w:t>
      </w:r>
      <w:r>
        <w:rPr>
          <w:rFonts w:hint="eastAsia" w:ascii="Times New Roman" w:hAnsi="Times New Roman" w:eastAsia="宋体" w:cs="宋体"/>
          <w:b/>
          <w:bCs/>
          <w:color w:val="auto"/>
          <w:szCs w:val="32"/>
          <w:highlight w:val="none"/>
          <w:u w:val="single"/>
          <w:lang w:bidi="ar"/>
        </w:rPr>
        <w:t>（本项为必填项）</w:t>
      </w:r>
      <w:r>
        <w:rPr>
          <w:rFonts w:ascii="Times New Roman" w:hAnsi="Times New Roman" w:eastAsia="宋体" w:cs="宋体"/>
          <w:color w:val="auto"/>
          <w:szCs w:val="32"/>
          <w:highlight w:val="none"/>
          <w:u w:val="single"/>
          <w:lang w:bidi="ar"/>
        </w:rPr>
        <w:t xml:space="preserve"> </w:t>
      </w:r>
      <w:r>
        <w:rPr>
          <w:rFonts w:hint="eastAsia" w:ascii="Times New Roman" w:hAnsi="Times New Roman" w:eastAsia="宋体" w:cs="宋体"/>
          <w:color w:val="auto"/>
          <w:szCs w:val="32"/>
          <w:highlight w:val="none"/>
          <w:lang w:bidi="ar"/>
        </w:rPr>
        <w:t>万元，属于</w:t>
      </w:r>
      <w:r>
        <w:rPr>
          <w:rFonts w:hint="eastAsia" w:ascii="Times New Roman" w:hAnsi="Times New Roman" w:eastAsia="宋体" w:cs="宋体"/>
          <w:color w:val="auto"/>
          <w:szCs w:val="32"/>
          <w:highlight w:val="none"/>
          <w:u w:val="single"/>
          <w:lang w:bidi="ar"/>
        </w:rPr>
        <w:t>（中型企业、小型企业、微型企业）</w:t>
      </w:r>
      <w:r>
        <w:rPr>
          <w:rFonts w:hint="eastAsia" w:ascii="Times New Roman" w:hAnsi="Times New Roman" w:eastAsia="宋体" w:cs="宋体"/>
          <w:b/>
          <w:bCs/>
          <w:color w:val="auto"/>
          <w:szCs w:val="32"/>
          <w:highlight w:val="none"/>
          <w:u w:val="single"/>
          <w:lang w:bidi="ar"/>
        </w:rPr>
        <w:t>（本项为必填项）</w:t>
      </w:r>
      <w:r>
        <w:rPr>
          <w:rFonts w:hint="eastAsia" w:ascii="Times New Roman" w:hAnsi="Times New Roman" w:eastAsia="宋体" w:cs="宋体"/>
          <w:color w:val="auto"/>
          <w:szCs w:val="32"/>
          <w:highlight w:val="none"/>
          <w:lang w:bidi="ar"/>
        </w:rPr>
        <w:t>。</w:t>
      </w:r>
    </w:p>
    <w:p w14:paraId="3025501F">
      <w:pPr>
        <w:spacing w:line="480" w:lineRule="auto"/>
        <w:ind w:firstLine="420" w:firstLineChars="200"/>
        <w:rPr>
          <w:rFonts w:ascii="Times New Roman" w:hAnsi="Times New Roman" w:eastAsia="宋体"/>
          <w:color w:val="auto"/>
          <w:highlight w:val="none"/>
        </w:rPr>
      </w:pPr>
      <w:r>
        <w:rPr>
          <w:rFonts w:hint="eastAsia" w:ascii="Times New Roman" w:hAnsi="Times New Roman" w:eastAsia="宋体"/>
          <w:color w:val="auto"/>
          <w:highlight w:val="none"/>
        </w:rPr>
        <w:t>……</w:t>
      </w:r>
    </w:p>
    <w:p w14:paraId="137C8E63">
      <w:pPr>
        <w:spacing w:line="480" w:lineRule="auto"/>
        <w:ind w:firstLine="420" w:firstLineChars="200"/>
        <w:rPr>
          <w:rFonts w:ascii="Times New Roman" w:hAnsi="Times New Roman" w:eastAsia="宋体"/>
          <w:color w:val="auto"/>
          <w:highlight w:val="none"/>
        </w:rPr>
      </w:pPr>
      <w:r>
        <w:rPr>
          <w:rFonts w:hint="eastAsia" w:ascii="Times New Roman" w:hAnsi="Times New Roman" w:eastAsia="宋体"/>
          <w:color w:val="auto"/>
          <w:highlight w:val="none"/>
        </w:rPr>
        <w:t>以上企业，不属于大企业的分支机构，不存在控股股东为大企业的情形，也不存在与大企业的负责人为同一人的情形。</w:t>
      </w:r>
    </w:p>
    <w:p w14:paraId="3B793D61">
      <w:pPr>
        <w:spacing w:line="480" w:lineRule="auto"/>
        <w:ind w:firstLine="420" w:firstLineChars="200"/>
        <w:rPr>
          <w:rFonts w:ascii="Times New Roman" w:hAnsi="Times New Roman" w:eastAsia="宋体"/>
          <w:color w:val="auto"/>
          <w:highlight w:val="none"/>
        </w:rPr>
      </w:pPr>
      <w:r>
        <w:rPr>
          <w:rFonts w:hint="eastAsia" w:ascii="Times New Roman" w:hAnsi="Times New Roman" w:eastAsia="宋体"/>
          <w:color w:val="auto"/>
          <w:highlight w:val="none"/>
        </w:rPr>
        <w:t>本企业对上述声明内容的真实性负责。如有虚假，将依法承担相应责任。</w:t>
      </w:r>
    </w:p>
    <w:p w14:paraId="320897C3">
      <w:pPr>
        <w:spacing w:line="480" w:lineRule="auto"/>
        <w:ind w:firstLine="640"/>
        <w:rPr>
          <w:rFonts w:hint="eastAsia" w:ascii="Times New Roman" w:hAnsi="Times New Roman" w:eastAsia="宋体"/>
          <w:color w:val="auto"/>
          <w:highlight w:val="none"/>
        </w:rPr>
      </w:pPr>
      <w:r>
        <w:rPr>
          <w:rFonts w:hint="eastAsia" w:ascii="Times New Roman" w:hAnsi="Times New Roman" w:eastAsia="宋体"/>
          <w:color w:val="auto"/>
          <w:highlight w:val="none"/>
        </w:rPr>
        <w:t xml:space="preserve">                       </w:t>
      </w:r>
    </w:p>
    <w:p w14:paraId="1412F426">
      <w:pPr>
        <w:spacing w:line="480" w:lineRule="auto"/>
        <w:ind w:right="420" w:firstLine="3150" w:firstLineChars="1500"/>
        <w:rPr>
          <w:rFonts w:ascii="Times New Roman" w:hAnsi="Times New Roman" w:eastAsia="宋体"/>
          <w:color w:val="auto"/>
          <w:highlight w:val="none"/>
        </w:rPr>
      </w:pPr>
      <w:r>
        <w:rPr>
          <w:rFonts w:hint="eastAsia" w:ascii="Times New Roman" w:hAnsi="Times New Roman" w:eastAsia="宋体"/>
          <w:color w:val="auto"/>
          <w:highlight w:val="none"/>
        </w:rPr>
        <w:t>企业名称（盖章）：</w:t>
      </w:r>
    </w:p>
    <w:p w14:paraId="7AB914A4">
      <w:pPr>
        <w:spacing w:line="480" w:lineRule="auto"/>
        <w:ind w:firstLine="640"/>
        <w:rPr>
          <w:rFonts w:hint="eastAsia" w:ascii="Times New Roman" w:hAnsi="Times New Roman" w:eastAsia="宋体"/>
          <w:color w:val="auto"/>
          <w:highlight w:val="none"/>
        </w:rPr>
      </w:pPr>
      <w:r>
        <w:rPr>
          <w:rFonts w:hint="eastAsia" w:ascii="Times New Roman" w:hAnsi="Times New Roman" w:eastAsia="宋体"/>
          <w:color w:val="auto"/>
          <w:highlight w:val="none"/>
        </w:rPr>
        <w:t xml:space="preserve">                        日期：</w:t>
      </w:r>
    </w:p>
    <w:p w14:paraId="53E0B09D">
      <w:pPr>
        <w:spacing w:line="480" w:lineRule="auto"/>
        <w:ind w:firstLine="640"/>
        <w:rPr>
          <w:rFonts w:hint="eastAsia" w:ascii="Times New Roman" w:hAnsi="Times New Roman" w:eastAsia="宋体"/>
          <w:color w:val="auto"/>
          <w:sz w:val="32"/>
          <w:szCs w:val="32"/>
          <w:highlight w:val="none"/>
          <w:u w:val="single"/>
        </w:rPr>
      </w:pPr>
      <w:r>
        <w:rPr>
          <w:rFonts w:hint="eastAsia" w:ascii="Times New Roman" w:hAnsi="Times New Roman" w:eastAsia="宋体"/>
          <w:color w:val="auto"/>
          <w:sz w:val="32"/>
          <w:szCs w:val="32"/>
          <w:highlight w:val="none"/>
          <w:u w:val="single"/>
        </w:rPr>
        <w:t xml:space="preserve">                  </w:t>
      </w:r>
    </w:p>
    <w:p w14:paraId="0293B67D">
      <w:pPr>
        <w:spacing w:line="480" w:lineRule="auto"/>
        <w:ind w:firstLine="320"/>
        <w:rPr>
          <w:rFonts w:hint="eastAsia" w:ascii="Times New Roman" w:hAnsi="Times New Roman" w:eastAsia="宋体" w:cs="宋体"/>
          <w:color w:val="auto"/>
          <w:kern w:val="0"/>
          <w:sz w:val="18"/>
          <w:szCs w:val="18"/>
          <w:highlight w:val="none"/>
        </w:rPr>
      </w:pPr>
      <w:r>
        <w:rPr>
          <w:rFonts w:ascii="Times New Roman" w:hAnsi="Times New Roman" w:eastAsia="宋体" w:cs="TimesNewRomanPSMT"/>
          <w:color w:val="auto"/>
          <w:kern w:val="0"/>
          <w:sz w:val="16"/>
          <w:szCs w:val="12"/>
          <w:highlight w:val="none"/>
          <w:vertAlign w:val="superscript"/>
        </w:rPr>
        <w:t>1</w:t>
      </w:r>
      <w:r>
        <w:rPr>
          <w:rFonts w:hint="eastAsia" w:ascii="Times New Roman" w:hAnsi="Times New Roman" w:eastAsia="宋体" w:cs="宋体"/>
          <w:color w:val="auto"/>
          <w:kern w:val="0"/>
          <w:sz w:val="18"/>
          <w:szCs w:val="18"/>
          <w:highlight w:val="none"/>
        </w:rPr>
        <w:t>从业人员、营业收入、资产总额填报上一年度数据，无上一年度数据的新成立企业可不填报。</w:t>
      </w:r>
    </w:p>
    <w:p w14:paraId="572333B2">
      <w:pPr>
        <w:spacing w:line="300" w:lineRule="exact"/>
        <w:ind w:firstLine="0" w:firstLineChars="0"/>
        <w:contextualSpacing/>
        <w:rPr>
          <w:rFonts w:hint="eastAsia" w:ascii="Times New Roman" w:hAnsi="Times New Roman" w:eastAsia="宋体" w:cs="宋体"/>
          <w:b/>
          <w:color w:val="auto"/>
          <w:szCs w:val="21"/>
          <w:highlight w:val="none"/>
          <w:lang w:bidi="ar"/>
        </w:rPr>
      </w:pPr>
      <w:r>
        <w:rPr>
          <w:rFonts w:hint="eastAsia" w:ascii="Times New Roman" w:hAnsi="Times New Roman" w:eastAsia="宋体" w:cs="宋体"/>
          <w:b/>
          <w:color w:val="auto"/>
          <w:szCs w:val="21"/>
          <w:highlight w:val="none"/>
          <w:lang w:bidi="ar"/>
        </w:rPr>
        <w:t>风险提示：</w:t>
      </w:r>
    </w:p>
    <w:p w14:paraId="037B54CE">
      <w:pPr>
        <w:spacing w:line="300" w:lineRule="exact"/>
        <w:ind w:firstLine="422" w:firstLineChars="200"/>
        <w:contextualSpacing/>
        <w:rPr>
          <w:rFonts w:hint="eastAsia" w:ascii="Times New Roman" w:hAnsi="Times New Roman" w:eastAsia="宋体" w:cs="宋体"/>
          <w:b/>
          <w:color w:val="auto"/>
          <w:szCs w:val="21"/>
          <w:highlight w:val="none"/>
          <w:lang w:bidi="ar"/>
        </w:rPr>
      </w:pPr>
      <w:r>
        <w:rPr>
          <w:rFonts w:hint="eastAsia" w:ascii="Times New Roman" w:hAnsi="Times New Roman" w:eastAsia="宋体" w:cs="宋体"/>
          <w:b/>
          <w:color w:val="auto"/>
          <w:szCs w:val="21"/>
          <w:highlight w:val="none"/>
          <w:lang w:bidi="ar"/>
        </w:rPr>
        <w:t>1、《中小企业声明函》格式中所属行业不允许修改，并明确各标的对应所属企业类型。</w:t>
      </w:r>
    </w:p>
    <w:p w14:paraId="5F0131E6">
      <w:pPr>
        <w:spacing w:line="300" w:lineRule="exact"/>
        <w:ind w:firstLine="413" w:firstLineChars="196"/>
        <w:contextualSpacing/>
        <w:rPr>
          <w:rFonts w:hint="eastAsia"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2、供应商应当对其出具的《中小企业声明函》真实性负责，供应商出具的《中小企业声明函》内容不实的，属于提供虚假材料谋取中标。</w:t>
      </w:r>
    </w:p>
    <w:p w14:paraId="251D1A93">
      <w:pPr>
        <w:spacing w:line="440" w:lineRule="exact"/>
        <w:contextualSpacing/>
        <w:rPr>
          <w:rFonts w:hint="eastAsia" w:ascii="Times New Roman" w:hAnsi="Times New Roman" w:eastAsia="宋体"/>
          <w:color w:val="auto"/>
          <w:sz w:val="24"/>
          <w:szCs w:val="24"/>
          <w:highlight w:val="none"/>
        </w:rPr>
      </w:pPr>
    </w:p>
    <w:p w14:paraId="7BAD734B">
      <w:pPr>
        <w:pStyle w:val="30"/>
        <w:ind w:firstLine="440"/>
        <w:rPr>
          <w:rFonts w:asciiTheme="minorEastAsia" w:hAnsiTheme="minorEastAsia"/>
          <w:color w:val="auto"/>
          <w:highlight w:val="none"/>
        </w:rPr>
      </w:pPr>
      <w:r>
        <w:rPr>
          <w:rFonts w:ascii="Times New Roman" w:hAnsi="Times New Roman" w:eastAsia="宋体"/>
          <w:color w:val="auto"/>
          <w:sz w:val="24"/>
          <w:szCs w:val="24"/>
          <w:highlight w:val="none"/>
        </w:rPr>
        <w:br w:type="page"/>
      </w:r>
    </w:p>
    <w:p w14:paraId="62BEF2BE">
      <w:pPr>
        <w:pStyle w:val="30"/>
        <w:ind w:firstLine="562"/>
        <w:jc w:val="center"/>
        <w:rPr>
          <w:rFonts w:asciiTheme="minorEastAsia" w:hAnsiTheme="minorEastAsia"/>
          <w:b/>
          <w:color w:val="auto"/>
          <w:sz w:val="28"/>
          <w:highlight w:val="none"/>
        </w:rPr>
      </w:pPr>
    </w:p>
    <w:p w14:paraId="3FCEDBCE">
      <w:pPr>
        <w:pStyle w:val="2"/>
        <w:spacing w:after="120" w:afterLines="50" w:line="360" w:lineRule="exact"/>
        <w:rPr>
          <w:rFonts w:hint="eastAsia" w:ascii="Times New Roman" w:hAnsi="Times New Roman" w:eastAsia="宋体"/>
          <w:color w:val="auto"/>
          <w:sz w:val="32"/>
          <w:szCs w:val="32"/>
          <w:highlight w:val="none"/>
        </w:rPr>
      </w:pPr>
      <w:r>
        <w:rPr>
          <w:rFonts w:hint="eastAsia" w:asciiTheme="minorEastAsia" w:hAnsiTheme="minorEastAsia"/>
          <w:b/>
          <w:color w:val="auto"/>
          <w:sz w:val="32"/>
          <w:szCs w:val="32"/>
          <w:highlight w:val="none"/>
          <w:lang w:eastAsia="zh-CN"/>
        </w:rPr>
        <w:t>四</w:t>
      </w:r>
      <w:r>
        <w:rPr>
          <w:rFonts w:hint="eastAsia" w:asciiTheme="minorEastAsia" w:hAnsiTheme="minorEastAsia"/>
          <w:b/>
          <w:color w:val="auto"/>
          <w:sz w:val="32"/>
          <w:szCs w:val="32"/>
          <w:highlight w:val="none"/>
        </w:rPr>
        <w:t>、</w:t>
      </w:r>
      <w:bookmarkStart w:id="157" w:name="_Toc30168"/>
      <w:bookmarkStart w:id="158" w:name="_Toc505353802"/>
      <w:r>
        <w:rPr>
          <w:rFonts w:hint="eastAsia" w:ascii="Times New Roman" w:hAnsi="Times New Roman" w:eastAsia="宋体"/>
          <w:color w:val="auto"/>
          <w:sz w:val="32"/>
          <w:szCs w:val="32"/>
          <w:highlight w:val="none"/>
        </w:rPr>
        <w:t>残疾人福利性单位声明函</w:t>
      </w:r>
      <w:bookmarkEnd w:id="157"/>
      <w:bookmarkEnd w:id="158"/>
    </w:p>
    <w:p w14:paraId="0A31D9B0">
      <w:pPr>
        <w:pStyle w:val="10"/>
        <w:spacing w:line="360" w:lineRule="auto"/>
        <w:ind w:firstLine="0"/>
        <w:jc w:val="center"/>
        <w:rPr>
          <w:rFonts w:hint="eastAsia" w:ascii="Times New Roman" w:hAnsi="Times New Roman" w:eastAsia="宋体"/>
          <w:b/>
          <w:color w:val="auto"/>
          <w:sz w:val="28"/>
          <w:szCs w:val="28"/>
          <w:highlight w:val="none"/>
        </w:rPr>
      </w:pPr>
    </w:p>
    <w:p w14:paraId="1B02531B">
      <w:pPr>
        <w:spacing w:line="360" w:lineRule="auto"/>
        <w:ind w:firstLine="480" w:firstLineChars="200"/>
        <w:contextualSpacing/>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本单位郑重声明，根据《财政部 民政部 中国残疾人联合会关于促进残疾人就业政府采购政策的通知》（财库〔2018〕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954B52">
      <w:pPr>
        <w:spacing w:line="360" w:lineRule="auto"/>
        <w:ind w:firstLine="480" w:firstLineChars="200"/>
        <w:contextualSpacing/>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本单位对上述声明的真实性负责。如有虚假，将依法承担相应责任。</w:t>
      </w:r>
    </w:p>
    <w:p w14:paraId="20DAD97D">
      <w:pPr>
        <w:spacing w:line="360" w:lineRule="auto"/>
        <w:ind w:firstLine="480" w:firstLineChars="200"/>
        <w:contextualSpacing/>
        <w:rPr>
          <w:rFonts w:hint="eastAsia" w:ascii="Times New Roman" w:hAnsi="Times New Roman" w:eastAsia="宋体"/>
          <w:color w:val="auto"/>
          <w:sz w:val="24"/>
          <w:szCs w:val="24"/>
          <w:highlight w:val="none"/>
        </w:rPr>
      </w:pPr>
    </w:p>
    <w:p w14:paraId="7F864A96">
      <w:pPr>
        <w:spacing w:line="360" w:lineRule="auto"/>
        <w:ind w:firstLine="480" w:firstLineChars="200"/>
        <w:contextualSpacing/>
        <w:rPr>
          <w:rFonts w:hint="eastAsia" w:ascii="Times New Roman" w:hAnsi="Times New Roman" w:eastAsia="宋体"/>
          <w:color w:val="auto"/>
          <w:sz w:val="24"/>
          <w:szCs w:val="24"/>
          <w:highlight w:val="none"/>
        </w:rPr>
      </w:pPr>
    </w:p>
    <w:p w14:paraId="79334C66">
      <w:pPr>
        <w:tabs>
          <w:tab w:val="left" w:pos="4860"/>
        </w:tabs>
        <w:spacing w:line="360" w:lineRule="auto"/>
        <w:ind w:right="1560" w:firstLine="480" w:firstLineChars="200"/>
        <w:contextualSpacing/>
        <w:jc w:val="center"/>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 xml:space="preserve">                                   企业名称（盖章）： </w:t>
      </w:r>
    </w:p>
    <w:p w14:paraId="776E3A1C">
      <w:pPr>
        <w:spacing w:line="360" w:lineRule="auto"/>
        <w:contextualSpacing/>
        <w:jc w:val="left"/>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 xml:space="preserve">                                            日  期：</w:t>
      </w:r>
    </w:p>
    <w:p w14:paraId="4D8F9ABE">
      <w:pPr>
        <w:autoSpaceDN w:val="0"/>
        <w:spacing w:line="400" w:lineRule="exact"/>
        <w:ind w:firstLine="422" w:firstLineChars="200"/>
        <w:rPr>
          <w:rFonts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注：</w:t>
      </w:r>
    </w:p>
    <w:p w14:paraId="69491FE9">
      <w:pPr>
        <w:autoSpaceDN w:val="0"/>
        <w:spacing w:line="400" w:lineRule="exact"/>
        <w:ind w:firstLine="422" w:firstLineChars="200"/>
        <w:rPr>
          <w:rFonts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享受政府采购支持政策的残疾人福利性单位应当同时满足以下条件：</w:t>
      </w:r>
    </w:p>
    <w:p w14:paraId="451E21AD">
      <w:pPr>
        <w:autoSpaceDN w:val="0"/>
        <w:spacing w:line="400" w:lineRule="exact"/>
        <w:ind w:firstLine="422" w:firstLineChars="200"/>
        <w:rPr>
          <w:rFonts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（一）安置的残疾人占本单位在职职工人数的比例不低于</w:t>
      </w:r>
      <w:r>
        <w:rPr>
          <w:rFonts w:ascii="Times New Roman" w:hAnsi="Times New Roman" w:eastAsia="宋体"/>
          <w:b/>
          <w:color w:val="auto"/>
          <w:szCs w:val="21"/>
          <w:highlight w:val="none"/>
          <w:lang w:bidi="ar"/>
        </w:rPr>
        <w:t>25%</w:t>
      </w:r>
      <w:r>
        <w:rPr>
          <w:rFonts w:hint="eastAsia" w:ascii="Times New Roman" w:hAnsi="Times New Roman" w:eastAsia="宋体" w:cs="宋体"/>
          <w:b/>
          <w:color w:val="auto"/>
          <w:szCs w:val="21"/>
          <w:highlight w:val="none"/>
          <w:lang w:bidi="ar"/>
        </w:rPr>
        <w:t>（含</w:t>
      </w:r>
      <w:r>
        <w:rPr>
          <w:rFonts w:ascii="Times New Roman" w:hAnsi="Times New Roman" w:eastAsia="宋体"/>
          <w:b/>
          <w:color w:val="auto"/>
          <w:szCs w:val="21"/>
          <w:highlight w:val="none"/>
          <w:lang w:bidi="ar"/>
        </w:rPr>
        <w:t>25%</w:t>
      </w:r>
      <w:r>
        <w:rPr>
          <w:rFonts w:hint="eastAsia" w:ascii="Times New Roman" w:hAnsi="Times New Roman" w:eastAsia="宋体" w:cs="宋体"/>
          <w:b/>
          <w:color w:val="auto"/>
          <w:szCs w:val="21"/>
          <w:highlight w:val="none"/>
          <w:lang w:bidi="ar"/>
        </w:rPr>
        <w:t>），并且安置的残疾人人数不少于</w:t>
      </w:r>
      <w:r>
        <w:rPr>
          <w:rFonts w:ascii="Times New Roman" w:hAnsi="Times New Roman" w:eastAsia="宋体"/>
          <w:b/>
          <w:color w:val="auto"/>
          <w:szCs w:val="21"/>
          <w:highlight w:val="none"/>
          <w:lang w:bidi="ar"/>
        </w:rPr>
        <w:t>10</w:t>
      </w:r>
      <w:r>
        <w:rPr>
          <w:rFonts w:hint="eastAsia" w:ascii="Times New Roman" w:hAnsi="Times New Roman" w:eastAsia="宋体" w:cs="宋体"/>
          <w:b/>
          <w:color w:val="auto"/>
          <w:szCs w:val="21"/>
          <w:highlight w:val="none"/>
          <w:lang w:bidi="ar"/>
        </w:rPr>
        <w:t>人（含</w:t>
      </w:r>
      <w:r>
        <w:rPr>
          <w:rFonts w:ascii="Times New Roman" w:hAnsi="Times New Roman" w:eastAsia="宋体"/>
          <w:b/>
          <w:color w:val="auto"/>
          <w:szCs w:val="21"/>
          <w:highlight w:val="none"/>
          <w:lang w:bidi="ar"/>
        </w:rPr>
        <w:t>10</w:t>
      </w:r>
      <w:r>
        <w:rPr>
          <w:rFonts w:hint="eastAsia" w:ascii="Times New Roman" w:hAnsi="Times New Roman" w:eastAsia="宋体" w:cs="宋体"/>
          <w:b/>
          <w:color w:val="auto"/>
          <w:szCs w:val="21"/>
          <w:highlight w:val="none"/>
          <w:lang w:bidi="ar"/>
        </w:rPr>
        <w:t>人）；</w:t>
      </w:r>
    </w:p>
    <w:p w14:paraId="2CFCA846">
      <w:pPr>
        <w:autoSpaceDN w:val="0"/>
        <w:spacing w:line="400" w:lineRule="exact"/>
        <w:ind w:firstLine="422" w:firstLineChars="200"/>
        <w:rPr>
          <w:rFonts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（二）依法与安置的每位残疾人签订了一年以上（含一年）的劳动合同或服务协议；</w:t>
      </w:r>
    </w:p>
    <w:p w14:paraId="2FFD0CED">
      <w:pPr>
        <w:autoSpaceDN w:val="0"/>
        <w:spacing w:line="400" w:lineRule="exact"/>
        <w:ind w:firstLine="422" w:firstLineChars="200"/>
        <w:rPr>
          <w:rFonts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（三）为安置的每位残疾人按月足额缴纳了基本养老保险、基本医疗保险、失业保险、工伤保险和生育保险等社会保险费；</w:t>
      </w:r>
    </w:p>
    <w:p w14:paraId="14E50976">
      <w:pPr>
        <w:autoSpaceDN w:val="0"/>
        <w:spacing w:line="400" w:lineRule="exact"/>
        <w:ind w:firstLine="422" w:firstLineChars="200"/>
        <w:rPr>
          <w:rFonts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（四）通过银行等金融机构向安置的每位残疾人，按月支付了不低于单位所在区县适用的经省级人民政府批准的月最低工资标准的工资；</w:t>
      </w:r>
    </w:p>
    <w:p w14:paraId="23E5A0E4">
      <w:pPr>
        <w:autoSpaceDN w:val="0"/>
        <w:spacing w:line="400" w:lineRule="exact"/>
        <w:ind w:firstLine="422" w:firstLineChars="200"/>
        <w:rPr>
          <w:rFonts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（五）提供本单位制造的货物、承担的工程或者服务（以下简称产品），或者提供其他残疾人福利性单位制造的货物（不包括使用非残疾人福利性单位注册商标的货物）。</w:t>
      </w:r>
    </w:p>
    <w:p w14:paraId="0168F564">
      <w:pPr>
        <w:autoSpaceDN w:val="0"/>
        <w:spacing w:line="360" w:lineRule="auto"/>
        <w:rPr>
          <w:rFonts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前款所称残疾人是指法定劳动年龄内，持有《中华人民共和国残疾人证》或者《中华人民共和国残疾军人证（</w:t>
      </w:r>
      <w:r>
        <w:rPr>
          <w:rFonts w:ascii="Times New Roman" w:hAnsi="Times New Roman" w:eastAsia="宋体"/>
          <w:b/>
          <w:color w:val="auto"/>
          <w:szCs w:val="21"/>
          <w:highlight w:val="none"/>
          <w:lang w:bidi="ar"/>
        </w:rPr>
        <w:t>1</w:t>
      </w:r>
      <w:r>
        <w:rPr>
          <w:rFonts w:hint="eastAsia" w:ascii="Times New Roman" w:hAnsi="Times New Roman" w:eastAsia="宋体" w:cs="宋体"/>
          <w:b/>
          <w:color w:val="auto"/>
          <w:szCs w:val="21"/>
          <w:highlight w:val="none"/>
          <w:lang w:bidi="ar"/>
        </w:rPr>
        <w:t>至</w:t>
      </w:r>
      <w:r>
        <w:rPr>
          <w:rFonts w:ascii="Times New Roman" w:hAnsi="Times New Roman" w:eastAsia="宋体"/>
          <w:b/>
          <w:color w:val="auto"/>
          <w:szCs w:val="21"/>
          <w:highlight w:val="none"/>
          <w:lang w:bidi="ar"/>
        </w:rPr>
        <w:t>8</w:t>
      </w:r>
      <w:r>
        <w:rPr>
          <w:rFonts w:hint="eastAsia" w:ascii="Times New Roman" w:hAnsi="Times New Roman" w:eastAsia="宋体" w:cs="宋体"/>
          <w:b/>
          <w:color w:val="auto"/>
          <w:szCs w:val="21"/>
          <w:highlight w:val="none"/>
          <w:lang w:bidi="ar"/>
        </w:rPr>
        <w:t>级）》的自然人，包括具有劳动条件和劳动意愿的精神残疾人。在职职工人数是指与残疾人福利性单位建立劳动关系并依法签订劳动合同或者服务协议的雇员人数。</w:t>
      </w:r>
    </w:p>
    <w:p w14:paraId="63D8980D">
      <w:pPr>
        <w:pStyle w:val="35"/>
        <w:rPr>
          <w:rFonts w:asciiTheme="minorEastAsia" w:hAnsiTheme="minorEastAsia" w:eastAsiaTheme="minorEastAsia"/>
          <w:color w:val="auto"/>
          <w:sz w:val="21"/>
          <w:szCs w:val="21"/>
          <w:highlight w:val="none"/>
        </w:rPr>
      </w:pPr>
    </w:p>
    <w:p w14:paraId="53A766EB">
      <w:pPr>
        <w:pStyle w:val="35"/>
        <w:rPr>
          <w:rFonts w:asciiTheme="minorEastAsia" w:hAnsiTheme="minorEastAsia" w:eastAsiaTheme="minorEastAsia"/>
          <w:color w:val="auto"/>
          <w:sz w:val="21"/>
          <w:szCs w:val="21"/>
          <w:highlight w:val="none"/>
        </w:rPr>
      </w:pPr>
    </w:p>
    <w:p w14:paraId="60AB5B43">
      <w:pPr>
        <w:pStyle w:val="35"/>
        <w:rPr>
          <w:rFonts w:asciiTheme="minorEastAsia" w:hAnsiTheme="minorEastAsia" w:eastAsiaTheme="minorEastAsia"/>
          <w:color w:val="auto"/>
          <w:sz w:val="21"/>
          <w:szCs w:val="21"/>
          <w:highlight w:val="none"/>
        </w:rPr>
      </w:pPr>
    </w:p>
    <w:p w14:paraId="54EC4E24">
      <w:pPr>
        <w:pStyle w:val="3"/>
        <w:spacing w:before="0" w:after="0" w:line="240" w:lineRule="auto"/>
        <w:ind w:right="-567"/>
        <w:jc w:val="left"/>
        <w:rPr>
          <w:rFonts w:ascii="Times New Roman" w:hAnsi="Times New Roman" w:eastAsia="宋体"/>
          <w:color w:val="auto"/>
          <w:sz w:val="24"/>
          <w:szCs w:val="24"/>
          <w:highlight w:val="none"/>
        </w:rPr>
      </w:pPr>
    </w:p>
    <w:p w14:paraId="532BDC38">
      <w:pPr>
        <w:pStyle w:val="30"/>
        <w:ind w:left="0" w:leftChars="0" w:firstLine="0" w:firstLineChars="0"/>
        <w:rPr>
          <w:rFonts w:asciiTheme="minorEastAsia" w:hAnsiTheme="minorEastAsia"/>
          <w:b/>
          <w:color w:val="auto"/>
          <w:sz w:val="28"/>
          <w:highlight w:val="none"/>
        </w:rPr>
      </w:pPr>
      <w:r>
        <w:rPr>
          <w:rFonts w:ascii="Times New Roman" w:hAnsi="Times New Roman" w:eastAsia="宋体"/>
          <w:color w:val="auto"/>
          <w:sz w:val="24"/>
          <w:szCs w:val="24"/>
          <w:highlight w:val="none"/>
        </w:rPr>
        <w:br w:type="page"/>
      </w:r>
    </w:p>
    <w:p w14:paraId="7BC37091">
      <w:pPr>
        <w:pageBreakBefore/>
        <w:spacing w:line="360" w:lineRule="auto"/>
        <w:ind w:right="-108"/>
        <w:jc w:val="center"/>
        <w:outlineLvl w:val="0"/>
        <w:rPr>
          <w:rFonts w:asciiTheme="minorEastAsia" w:hAnsiTheme="minorEastAsia"/>
          <w:color w:val="auto"/>
          <w:spacing w:val="40"/>
          <w:sz w:val="52"/>
          <w:szCs w:val="52"/>
          <w:highlight w:val="none"/>
        </w:rPr>
      </w:pPr>
      <w:bookmarkStart w:id="159" w:name="_Toc7488"/>
      <w:bookmarkStart w:id="160" w:name="_Toc17529"/>
      <w:bookmarkStart w:id="161" w:name="_Toc6727"/>
      <w:bookmarkStart w:id="162" w:name="_Toc2003"/>
      <w:bookmarkStart w:id="163" w:name="_Toc28068"/>
      <w:bookmarkStart w:id="164" w:name="_Toc18892"/>
      <w:r>
        <w:rPr>
          <w:rFonts w:hint="eastAsia" w:asciiTheme="minorEastAsia" w:hAnsiTheme="minorEastAsia"/>
          <w:color w:val="auto"/>
          <w:spacing w:val="40"/>
          <w:sz w:val="52"/>
          <w:szCs w:val="52"/>
          <w:highlight w:val="none"/>
        </w:rPr>
        <w:t>项目名称</w:t>
      </w:r>
      <w:bookmarkEnd w:id="159"/>
      <w:bookmarkEnd w:id="160"/>
      <w:bookmarkEnd w:id="161"/>
      <w:bookmarkEnd w:id="162"/>
      <w:bookmarkEnd w:id="163"/>
      <w:bookmarkEnd w:id="164"/>
    </w:p>
    <w:p w14:paraId="3CF0CF53">
      <w:pPr>
        <w:spacing w:beforeLines="100" w:line="360" w:lineRule="auto"/>
        <w:ind w:right="-108"/>
        <w:jc w:val="center"/>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 xml:space="preserve">项目编号：    </w:t>
      </w:r>
    </w:p>
    <w:p w14:paraId="7129372A">
      <w:pPr>
        <w:spacing w:after="100" w:afterAutospacing="1" w:line="360" w:lineRule="auto"/>
        <w:ind w:right="-108"/>
        <w:jc w:val="center"/>
        <w:rPr>
          <w:rFonts w:asciiTheme="minorEastAsia" w:hAnsiTheme="minorEastAsia"/>
          <w:b/>
          <w:color w:val="auto"/>
          <w:spacing w:val="40"/>
          <w:sz w:val="84"/>
          <w:szCs w:val="84"/>
          <w:highlight w:val="none"/>
        </w:rPr>
      </w:pPr>
      <w:r>
        <w:rPr>
          <w:rFonts w:hint="eastAsia" w:asciiTheme="minorEastAsia" w:hAnsiTheme="minorEastAsia"/>
          <w:b/>
          <w:color w:val="auto"/>
          <w:spacing w:val="40"/>
          <w:sz w:val="84"/>
          <w:szCs w:val="84"/>
          <w:highlight w:val="none"/>
        </w:rPr>
        <w:t>报</w:t>
      </w:r>
    </w:p>
    <w:p w14:paraId="53B99B07">
      <w:pPr>
        <w:spacing w:after="100" w:afterAutospacing="1" w:line="360" w:lineRule="auto"/>
        <w:ind w:right="-108"/>
        <w:jc w:val="center"/>
        <w:rPr>
          <w:rFonts w:asciiTheme="minorEastAsia" w:hAnsiTheme="minorEastAsia"/>
          <w:b/>
          <w:color w:val="auto"/>
          <w:spacing w:val="40"/>
          <w:sz w:val="84"/>
          <w:szCs w:val="84"/>
          <w:highlight w:val="none"/>
        </w:rPr>
      </w:pPr>
      <w:r>
        <w:rPr>
          <w:rFonts w:hint="eastAsia" w:asciiTheme="minorEastAsia" w:hAnsiTheme="minorEastAsia"/>
          <w:b/>
          <w:color w:val="auto"/>
          <w:spacing w:val="40"/>
          <w:sz w:val="84"/>
          <w:szCs w:val="84"/>
          <w:highlight w:val="none"/>
        </w:rPr>
        <w:t>价</w:t>
      </w:r>
    </w:p>
    <w:p w14:paraId="2D9900E0">
      <w:pPr>
        <w:spacing w:after="100" w:afterAutospacing="1" w:line="360" w:lineRule="auto"/>
        <w:ind w:right="-108"/>
        <w:jc w:val="center"/>
        <w:rPr>
          <w:rFonts w:asciiTheme="minorEastAsia" w:hAnsiTheme="minorEastAsia"/>
          <w:b/>
          <w:color w:val="auto"/>
          <w:spacing w:val="40"/>
          <w:sz w:val="84"/>
          <w:szCs w:val="84"/>
          <w:highlight w:val="none"/>
        </w:rPr>
      </w:pPr>
      <w:r>
        <w:rPr>
          <w:rFonts w:hint="eastAsia" w:asciiTheme="minorEastAsia" w:hAnsiTheme="minorEastAsia"/>
          <w:b/>
          <w:color w:val="auto"/>
          <w:spacing w:val="40"/>
          <w:sz w:val="84"/>
          <w:szCs w:val="84"/>
          <w:highlight w:val="none"/>
        </w:rPr>
        <w:t>文</w:t>
      </w:r>
    </w:p>
    <w:p w14:paraId="00D43666">
      <w:pPr>
        <w:spacing w:after="100" w:afterAutospacing="1" w:line="360" w:lineRule="auto"/>
        <w:ind w:right="-108"/>
        <w:jc w:val="center"/>
        <w:rPr>
          <w:rFonts w:asciiTheme="minorEastAsia" w:hAnsiTheme="minorEastAsia"/>
          <w:b/>
          <w:color w:val="auto"/>
          <w:spacing w:val="40"/>
          <w:sz w:val="84"/>
          <w:szCs w:val="84"/>
          <w:highlight w:val="none"/>
        </w:rPr>
      </w:pPr>
      <w:r>
        <w:rPr>
          <w:rFonts w:hint="eastAsia" w:asciiTheme="minorEastAsia" w:hAnsiTheme="minorEastAsia"/>
          <w:b/>
          <w:color w:val="auto"/>
          <w:spacing w:val="40"/>
          <w:sz w:val="84"/>
          <w:szCs w:val="84"/>
          <w:highlight w:val="none"/>
        </w:rPr>
        <w:t>件</w:t>
      </w:r>
    </w:p>
    <w:p w14:paraId="771FC431">
      <w:pPr>
        <w:spacing w:line="360" w:lineRule="auto"/>
        <w:jc w:val="center"/>
        <w:rPr>
          <w:rFonts w:asciiTheme="minorEastAsia" w:hAnsiTheme="minorEastAsia"/>
          <w:color w:val="auto"/>
          <w:sz w:val="32"/>
          <w:szCs w:val="32"/>
          <w:highlight w:val="none"/>
        </w:rPr>
      </w:pPr>
      <w:r>
        <w:rPr>
          <w:rFonts w:hint="eastAsia" w:asciiTheme="minorEastAsia" w:hAnsiTheme="minorEastAsia"/>
          <w:color w:val="auto"/>
          <w:sz w:val="32"/>
          <w:szCs w:val="32"/>
          <w:highlight w:val="none"/>
        </w:rPr>
        <w:t>（报价文件）</w:t>
      </w:r>
    </w:p>
    <w:p w14:paraId="484C9F48">
      <w:pPr>
        <w:spacing w:line="360" w:lineRule="auto"/>
        <w:ind w:right="532"/>
        <w:rPr>
          <w:rFonts w:asciiTheme="minorEastAsia" w:hAnsiTheme="minorEastAsia"/>
          <w:color w:val="auto"/>
          <w:sz w:val="36"/>
          <w:szCs w:val="36"/>
          <w:highlight w:val="none"/>
        </w:rPr>
      </w:pPr>
    </w:p>
    <w:p w14:paraId="3250B02B">
      <w:pPr>
        <w:spacing w:line="360" w:lineRule="auto"/>
        <w:ind w:right="532"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投标人名称（公章）：</w:t>
      </w:r>
    </w:p>
    <w:p w14:paraId="509B270E">
      <w:pPr>
        <w:spacing w:line="360" w:lineRule="auto"/>
        <w:ind w:right="-108"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投标人地址：</w:t>
      </w:r>
    </w:p>
    <w:p w14:paraId="02E60AC2">
      <w:pPr>
        <w:spacing w:line="360" w:lineRule="auto"/>
        <w:ind w:right="-108"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时    间：</w:t>
      </w:r>
    </w:p>
    <w:p w14:paraId="6025F76C">
      <w:pPr>
        <w:pStyle w:val="7"/>
        <w:rPr>
          <w:rFonts w:asciiTheme="minorEastAsia" w:hAnsiTheme="minorEastAsia" w:eastAsiaTheme="minorEastAsia"/>
          <w:color w:val="auto"/>
          <w:highlight w:val="none"/>
        </w:rPr>
      </w:pPr>
    </w:p>
    <w:p w14:paraId="67FA23FD">
      <w:pPr>
        <w:pStyle w:val="12"/>
        <w:rPr>
          <w:rFonts w:asciiTheme="minorEastAsia" w:hAnsiTheme="minorEastAsia" w:eastAsiaTheme="minorEastAsia"/>
          <w:color w:val="auto"/>
          <w:highlight w:val="none"/>
        </w:rPr>
      </w:pPr>
    </w:p>
    <w:p w14:paraId="2D387660">
      <w:pPr>
        <w:rPr>
          <w:rFonts w:asciiTheme="minorEastAsia" w:hAnsiTheme="minorEastAsia"/>
          <w:color w:val="auto"/>
          <w:highlight w:val="none"/>
        </w:rPr>
      </w:pPr>
    </w:p>
    <w:p w14:paraId="04E2BDBD">
      <w:pPr>
        <w:pStyle w:val="7"/>
        <w:rPr>
          <w:rFonts w:asciiTheme="minorEastAsia" w:hAnsiTheme="minorEastAsia" w:eastAsiaTheme="minorEastAsia"/>
          <w:color w:val="auto"/>
          <w:highlight w:val="none"/>
        </w:rPr>
      </w:pPr>
    </w:p>
    <w:p w14:paraId="549A4D93">
      <w:pPr>
        <w:shd w:val="clear" w:color="auto" w:fill="FFFFFF"/>
        <w:snapToGrid w:val="0"/>
        <w:spacing w:line="360" w:lineRule="auto"/>
        <w:jc w:val="center"/>
        <w:outlineLvl w:val="1"/>
        <w:rPr>
          <w:rFonts w:cs="宋体" w:asciiTheme="minorEastAsia" w:hAnsiTheme="minorEastAsia"/>
          <w:b/>
          <w:bCs/>
          <w:color w:val="auto"/>
          <w:kern w:val="0"/>
          <w:sz w:val="32"/>
          <w:szCs w:val="32"/>
          <w:highlight w:val="none"/>
        </w:rPr>
      </w:pPr>
    </w:p>
    <w:p w14:paraId="55DC03FD">
      <w:pPr>
        <w:spacing w:line="360" w:lineRule="auto"/>
        <w:jc w:val="center"/>
        <w:rPr>
          <w:rFonts w:asciiTheme="minorEastAsia" w:hAnsiTheme="minorEastAsia"/>
          <w:b/>
          <w:color w:val="auto"/>
          <w:sz w:val="44"/>
          <w:szCs w:val="44"/>
          <w:highlight w:val="none"/>
        </w:rPr>
        <w:sectPr>
          <w:footerReference r:id="rId9"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FFEA096">
      <w:pPr>
        <w:pageBreakBefore/>
        <w:spacing w:line="360" w:lineRule="auto"/>
        <w:jc w:val="center"/>
        <w:rPr>
          <w:rFonts w:asciiTheme="minorEastAsia" w:hAnsiTheme="minorEastAsia"/>
          <w:b/>
          <w:color w:val="auto"/>
          <w:sz w:val="44"/>
          <w:szCs w:val="44"/>
          <w:highlight w:val="none"/>
        </w:rPr>
      </w:pPr>
      <w:r>
        <w:rPr>
          <w:rFonts w:hint="eastAsia" w:asciiTheme="minorEastAsia" w:hAnsiTheme="minorEastAsia"/>
          <w:b/>
          <w:color w:val="auto"/>
          <w:sz w:val="44"/>
          <w:szCs w:val="44"/>
          <w:highlight w:val="none"/>
        </w:rPr>
        <w:t>报价文件</w:t>
      </w:r>
    </w:p>
    <w:p w14:paraId="2B3BFEDB">
      <w:pPr>
        <w:spacing w:line="360" w:lineRule="auto"/>
        <w:jc w:val="center"/>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目录</w:t>
      </w:r>
    </w:p>
    <w:p w14:paraId="73396F8B">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1</w:t>
      </w:r>
      <w:r>
        <w:rPr>
          <w:rFonts w:asciiTheme="minorEastAsia" w:hAnsiTheme="minorEastAsia"/>
          <w:color w:val="auto"/>
          <w:sz w:val="24"/>
          <w:highlight w:val="none"/>
        </w:rPr>
        <w:t>、</w:t>
      </w:r>
      <w:r>
        <w:rPr>
          <w:rFonts w:hint="eastAsia" w:asciiTheme="minorEastAsia" w:hAnsiTheme="minorEastAsia"/>
          <w:color w:val="auto"/>
          <w:sz w:val="24"/>
          <w:highlight w:val="none"/>
        </w:rPr>
        <w:t>投标函</w:t>
      </w:r>
      <w:r>
        <w:rPr>
          <w:rFonts w:asciiTheme="minorEastAsia" w:hAnsiTheme="minorEastAsia"/>
          <w:color w:val="auto"/>
          <w:sz w:val="24"/>
          <w:highlight w:val="none"/>
        </w:rPr>
        <w:t>………………………………………………………………………………（页码）</w:t>
      </w:r>
    </w:p>
    <w:p w14:paraId="3ACC62F7">
      <w:pPr>
        <w:spacing w:line="480" w:lineRule="auto"/>
        <w:jc w:val="left"/>
        <w:rPr>
          <w:rFonts w:asciiTheme="minorEastAsia" w:hAnsiTheme="minorEastAsia"/>
          <w:color w:val="auto"/>
          <w:sz w:val="24"/>
          <w:szCs w:val="24"/>
          <w:highlight w:val="none"/>
        </w:rPr>
      </w:pPr>
      <w:r>
        <w:rPr>
          <w:rFonts w:hint="eastAsia" w:asciiTheme="minorEastAsia" w:hAnsiTheme="minorEastAsia"/>
          <w:color w:val="auto"/>
          <w:sz w:val="24"/>
          <w:highlight w:val="none"/>
        </w:rPr>
        <w:t>2、</w:t>
      </w:r>
      <w:r>
        <w:rPr>
          <w:rFonts w:asciiTheme="minorEastAsia" w:hAnsiTheme="minorEastAsia"/>
          <w:color w:val="auto"/>
          <w:sz w:val="24"/>
          <w:highlight w:val="none"/>
        </w:rPr>
        <w:t>开标一览表…………………………………………………………………………（页码）</w:t>
      </w:r>
      <w:r>
        <w:rPr>
          <w:rFonts w:hint="eastAsia" w:asciiTheme="minorEastAsia" w:hAnsiTheme="minorEastAsia"/>
          <w:color w:val="auto"/>
          <w:sz w:val="24"/>
          <w:szCs w:val="24"/>
          <w:highlight w:val="none"/>
        </w:rPr>
        <w:t xml:space="preserve">  </w:t>
      </w:r>
    </w:p>
    <w:p w14:paraId="785D6DFD">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3</w:t>
      </w:r>
      <w:r>
        <w:rPr>
          <w:rFonts w:hint="eastAsia" w:asciiTheme="minorEastAsia" w:hAnsiTheme="minorEastAsia"/>
          <w:color w:val="auto"/>
          <w:sz w:val="24"/>
          <w:highlight w:val="none"/>
        </w:rPr>
        <w:t>、投标人认为需提交的其他文件资料</w:t>
      </w:r>
      <w:r>
        <w:rPr>
          <w:rFonts w:asciiTheme="minorEastAsia" w:hAnsiTheme="minorEastAsia"/>
          <w:color w:val="auto"/>
          <w:sz w:val="24"/>
          <w:highlight w:val="none"/>
        </w:rPr>
        <w:t>………………………………………………（页码）</w:t>
      </w:r>
    </w:p>
    <w:p w14:paraId="7B61AFA5">
      <w:pPr>
        <w:spacing w:line="480" w:lineRule="auto"/>
        <w:jc w:val="left"/>
        <w:rPr>
          <w:rFonts w:asciiTheme="minorEastAsia" w:hAnsiTheme="minorEastAsia"/>
          <w:color w:val="auto"/>
          <w:sz w:val="24"/>
          <w:highlight w:val="none"/>
        </w:rPr>
      </w:pPr>
    </w:p>
    <w:p w14:paraId="6C4BC86E">
      <w:pPr>
        <w:spacing w:line="480" w:lineRule="auto"/>
        <w:jc w:val="left"/>
        <w:rPr>
          <w:rFonts w:asciiTheme="minorEastAsia" w:hAnsiTheme="minorEastAsia"/>
          <w:color w:val="auto"/>
          <w:sz w:val="24"/>
          <w:highlight w:val="none"/>
        </w:rPr>
      </w:pPr>
    </w:p>
    <w:p w14:paraId="0B0B534A">
      <w:pPr>
        <w:spacing w:line="480" w:lineRule="auto"/>
        <w:jc w:val="left"/>
        <w:rPr>
          <w:rFonts w:asciiTheme="minorEastAsia" w:hAnsiTheme="minorEastAsia"/>
          <w:color w:val="auto"/>
          <w:sz w:val="24"/>
          <w:highlight w:val="none"/>
        </w:rPr>
      </w:pPr>
    </w:p>
    <w:p w14:paraId="075DECFD">
      <w:pPr>
        <w:pStyle w:val="12"/>
        <w:rPr>
          <w:rFonts w:asciiTheme="minorEastAsia" w:hAnsiTheme="minorEastAsia" w:eastAsiaTheme="minorEastAsia"/>
          <w:color w:val="auto"/>
          <w:highlight w:val="none"/>
        </w:rPr>
      </w:pPr>
    </w:p>
    <w:p w14:paraId="610A47C7">
      <w:pPr>
        <w:rPr>
          <w:rFonts w:asciiTheme="minorEastAsia" w:hAnsiTheme="minorEastAsia"/>
          <w:color w:val="auto"/>
          <w:highlight w:val="none"/>
        </w:rPr>
      </w:pPr>
    </w:p>
    <w:p w14:paraId="14F3D7BD">
      <w:pPr>
        <w:pStyle w:val="7"/>
        <w:rPr>
          <w:rFonts w:asciiTheme="minorEastAsia" w:hAnsiTheme="minorEastAsia" w:eastAsiaTheme="minorEastAsia"/>
          <w:color w:val="auto"/>
          <w:highlight w:val="none"/>
        </w:rPr>
      </w:pPr>
    </w:p>
    <w:p w14:paraId="3850CCEB">
      <w:pPr>
        <w:pStyle w:val="12"/>
        <w:rPr>
          <w:rFonts w:asciiTheme="minorEastAsia" w:hAnsiTheme="minorEastAsia" w:eastAsiaTheme="minorEastAsia"/>
          <w:color w:val="auto"/>
          <w:highlight w:val="none"/>
        </w:rPr>
      </w:pPr>
    </w:p>
    <w:p w14:paraId="5D41E21B">
      <w:pPr>
        <w:rPr>
          <w:rFonts w:asciiTheme="minorEastAsia" w:hAnsiTheme="minorEastAsia"/>
          <w:color w:val="auto"/>
          <w:highlight w:val="none"/>
        </w:rPr>
      </w:pPr>
    </w:p>
    <w:p w14:paraId="79A2EA84">
      <w:pPr>
        <w:pStyle w:val="7"/>
        <w:rPr>
          <w:rFonts w:asciiTheme="minorEastAsia" w:hAnsiTheme="minorEastAsia" w:eastAsiaTheme="minorEastAsia"/>
          <w:color w:val="auto"/>
          <w:highlight w:val="none"/>
        </w:rPr>
      </w:pPr>
    </w:p>
    <w:p w14:paraId="305F6B19">
      <w:pPr>
        <w:pStyle w:val="12"/>
        <w:rPr>
          <w:rFonts w:asciiTheme="minorEastAsia" w:hAnsiTheme="minorEastAsia" w:eastAsiaTheme="minorEastAsia"/>
          <w:color w:val="auto"/>
          <w:highlight w:val="none"/>
        </w:rPr>
      </w:pPr>
    </w:p>
    <w:p w14:paraId="4D5D6003">
      <w:pPr>
        <w:rPr>
          <w:rFonts w:asciiTheme="minorEastAsia" w:hAnsiTheme="minorEastAsia"/>
          <w:color w:val="auto"/>
          <w:highlight w:val="none"/>
        </w:rPr>
      </w:pPr>
    </w:p>
    <w:p w14:paraId="6D9DED74">
      <w:pPr>
        <w:pStyle w:val="7"/>
        <w:rPr>
          <w:rFonts w:asciiTheme="minorEastAsia" w:hAnsiTheme="minorEastAsia" w:eastAsiaTheme="minorEastAsia"/>
          <w:color w:val="auto"/>
          <w:highlight w:val="none"/>
        </w:rPr>
      </w:pPr>
    </w:p>
    <w:p w14:paraId="76E6194B">
      <w:pPr>
        <w:pStyle w:val="7"/>
        <w:rPr>
          <w:rFonts w:asciiTheme="minorEastAsia" w:hAnsiTheme="minorEastAsia" w:eastAsiaTheme="minorEastAsia"/>
          <w:color w:val="auto"/>
          <w:highlight w:val="none"/>
        </w:rPr>
      </w:pPr>
    </w:p>
    <w:p w14:paraId="7318B2C7">
      <w:pPr>
        <w:spacing w:line="360" w:lineRule="auto"/>
        <w:jc w:val="center"/>
        <w:rPr>
          <w:rFonts w:cs="宋体" w:asciiTheme="minorEastAsia" w:hAnsiTheme="minorEastAsia"/>
          <w:b/>
          <w:bCs/>
          <w:color w:val="auto"/>
          <w:kern w:val="0"/>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0EE3D84">
      <w:pPr>
        <w:pageBreakBefore/>
        <w:spacing w:line="360" w:lineRule="auto"/>
        <w:jc w:val="center"/>
        <w:rPr>
          <w:rFonts w:asciiTheme="minorEastAsia" w:hAnsiTheme="minorEastAsia"/>
          <w:b/>
          <w:color w:val="auto"/>
          <w:sz w:val="32"/>
          <w:szCs w:val="32"/>
          <w:highlight w:val="none"/>
        </w:rPr>
      </w:pPr>
      <w:r>
        <w:rPr>
          <w:rFonts w:hint="eastAsia" w:cs="宋体" w:asciiTheme="minorEastAsia" w:hAnsiTheme="minorEastAsia"/>
          <w:b/>
          <w:bCs/>
          <w:color w:val="auto"/>
          <w:kern w:val="0"/>
          <w:sz w:val="32"/>
          <w:szCs w:val="32"/>
          <w:highlight w:val="none"/>
        </w:rPr>
        <w:t>一、投标函</w:t>
      </w:r>
    </w:p>
    <w:p w14:paraId="0625BF14">
      <w:pPr>
        <w:pStyle w:val="10"/>
        <w:spacing w:line="500" w:lineRule="exact"/>
        <w:ind w:left="-284" w:firstLine="0"/>
        <w:rPr>
          <w:rFonts w:asciiTheme="minorEastAsia" w:hAnsiTheme="minorEastAsia" w:eastAsiaTheme="minorEastAsia"/>
          <w:color w:val="auto"/>
          <w:sz w:val="21"/>
          <w:szCs w:val="21"/>
          <w:highlight w:val="none"/>
          <w:u w:val="single"/>
        </w:rPr>
      </w:pPr>
      <w:r>
        <w:rPr>
          <w:rFonts w:asciiTheme="minorEastAsia" w:hAnsiTheme="minorEastAsia" w:eastAsiaTheme="minorEastAsia"/>
          <w:color w:val="auto"/>
          <w:sz w:val="21"/>
          <w:szCs w:val="21"/>
          <w:highlight w:val="none"/>
          <w:u w:val="single"/>
        </w:rPr>
        <w:t>致：  （</w:t>
      </w:r>
      <w:r>
        <w:rPr>
          <w:rFonts w:hint="eastAsia" w:asciiTheme="minorEastAsia" w:hAnsiTheme="minorEastAsia" w:eastAsiaTheme="minorEastAsia"/>
          <w:color w:val="auto"/>
          <w:sz w:val="21"/>
          <w:szCs w:val="21"/>
          <w:highlight w:val="none"/>
          <w:u w:val="single"/>
        </w:rPr>
        <w:t>采购人</w:t>
      </w:r>
      <w:r>
        <w:rPr>
          <w:rFonts w:asciiTheme="minorEastAsia" w:hAnsiTheme="minorEastAsia" w:eastAsiaTheme="minorEastAsia"/>
          <w:color w:val="auto"/>
          <w:sz w:val="21"/>
          <w:szCs w:val="21"/>
          <w:highlight w:val="none"/>
          <w:u w:val="single"/>
        </w:rPr>
        <w:t xml:space="preserve">）  </w:t>
      </w:r>
    </w:p>
    <w:p w14:paraId="1F969ADC">
      <w:pPr>
        <w:pStyle w:val="10"/>
        <w:spacing w:line="500" w:lineRule="exact"/>
        <w:ind w:firstLine="49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 xml:space="preserve">   （供应商全称）       授权   （</w:t>
      </w:r>
      <w:r>
        <w:rPr>
          <w:rFonts w:hint="eastAsia" w:asciiTheme="minorEastAsia" w:hAnsiTheme="minorEastAsia" w:eastAsiaTheme="minorEastAsia"/>
          <w:color w:val="auto"/>
          <w:sz w:val="21"/>
          <w:szCs w:val="21"/>
          <w:highlight w:val="none"/>
          <w:u w:val="single"/>
        </w:rPr>
        <w:t>被授权人</w:t>
      </w:r>
      <w:r>
        <w:rPr>
          <w:rFonts w:asciiTheme="minorEastAsia" w:hAnsiTheme="minorEastAsia" w:eastAsiaTheme="minorEastAsia"/>
          <w:color w:val="auto"/>
          <w:sz w:val="21"/>
          <w:szCs w:val="21"/>
          <w:highlight w:val="none"/>
          <w:u w:val="single"/>
        </w:rPr>
        <w:t xml:space="preserve">姓名、职务）  </w:t>
      </w:r>
      <w:r>
        <w:rPr>
          <w:rFonts w:asciiTheme="minorEastAsia" w:hAnsiTheme="minorEastAsia" w:eastAsiaTheme="minorEastAsia"/>
          <w:color w:val="auto"/>
          <w:sz w:val="21"/>
          <w:szCs w:val="21"/>
          <w:highlight w:val="none"/>
        </w:rPr>
        <w:t xml:space="preserve"> 为本公司合法代理人，参加贵方组织的</w:t>
      </w:r>
      <w:r>
        <w:rPr>
          <w:rFonts w:asciiTheme="minorEastAsia" w:hAnsiTheme="minorEastAsia" w:eastAsiaTheme="minorEastAsia"/>
          <w:color w:val="auto"/>
          <w:sz w:val="21"/>
          <w:szCs w:val="21"/>
          <w:highlight w:val="none"/>
          <w:u w:val="single"/>
        </w:rPr>
        <w:t xml:space="preserve">   （项目编号、项目名称） </w:t>
      </w:r>
      <w:r>
        <w:rPr>
          <w:rFonts w:asciiTheme="minorEastAsia" w:hAnsiTheme="minorEastAsia" w:eastAsiaTheme="minorEastAsia"/>
          <w:color w:val="auto"/>
          <w:sz w:val="21"/>
          <w:szCs w:val="21"/>
          <w:highlight w:val="none"/>
        </w:rPr>
        <w:t xml:space="preserve"> 招投标活动，代表本公司处理招投标活动中的一切事宜。在此：</w:t>
      </w:r>
    </w:p>
    <w:p w14:paraId="004669DA">
      <w:pPr>
        <w:pStyle w:val="10"/>
        <w:tabs>
          <w:tab w:val="left" w:pos="426"/>
        </w:tabs>
        <w:spacing w:line="500" w:lineRule="exact"/>
        <w:ind w:firstLine="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1、提供采购文件中“投标须知”规定的全部投标文件资料</w:t>
      </w:r>
      <w:r>
        <w:rPr>
          <w:rFonts w:hint="eastAsia" w:asciiTheme="minorEastAsia" w:hAnsiTheme="minorEastAsia" w:eastAsiaTheme="minorEastAsia"/>
          <w:color w:val="auto"/>
          <w:sz w:val="21"/>
          <w:szCs w:val="21"/>
          <w:highlight w:val="none"/>
        </w:rPr>
        <w:t>。</w:t>
      </w:r>
    </w:p>
    <w:p w14:paraId="0AB9DAC2">
      <w:pPr>
        <w:pStyle w:val="10"/>
        <w:tabs>
          <w:tab w:val="left" w:pos="426"/>
        </w:tabs>
        <w:spacing w:line="500" w:lineRule="exact"/>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、据此函，签字代表宣布并承诺如下：</w:t>
      </w:r>
    </w:p>
    <w:p w14:paraId="6C2C0376">
      <w:pPr>
        <w:pStyle w:val="10"/>
        <w:spacing w:line="500" w:lineRule="exact"/>
        <w:ind w:firstLine="210" w:firstLine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14:paraId="6B0C2EDB">
      <w:pPr>
        <w:pStyle w:val="10"/>
        <w:spacing w:line="500" w:lineRule="exact"/>
        <w:ind w:firstLine="210" w:firstLine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（2）本投标自开标之日起</w:t>
      </w:r>
      <w:r>
        <w:rPr>
          <w:rFonts w:hint="eastAsia" w:asciiTheme="minorEastAsia" w:hAnsiTheme="minorEastAsia" w:eastAsiaTheme="minorEastAsia"/>
          <w:color w:val="auto"/>
          <w:sz w:val="21"/>
          <w:szCs w:val="21"/>
          <w:highlight w:val="none"/>
          <w:u w:val="single"/>
          <w:lang w:val="en-US" w:eastAsia="zh-CN"/>
        </w:rPr>
        <w:t xml:space="preserve">   90   </w:t>
      </w:r>
      <w:r>
        <w:rPr>
          <w:rFonts w:hint="eastAsia" w:asciiTheme="minorEastAsia" w:hAnsiTheme="minorEastAsia" w:eastAsiaTheme="minorEastAsia"/>
          <w:color w:val="auto"/>
          <w:sz w:val="21"/>
          <w:szCs w:val="21"/>
          <w:highlight w:val="none"/>
        </w:rPr>
        <w:t>天</w:t>
      </w:r>
      <w:r>
        <w:rPr>
          <w:rFonts w:asciiTheme="minorEastAsia" w:hAnsiTheme="minorEastAsia" w:eastAsiaTheme="minorEastAsia"/>
          <w:color w:val="auto"/>
          <w:sz w:val="21"/>
          <w:szCs w:val="21"/>
          <w:highlight w:val="none"/>
        </w:rPr>
        <w:t>内有效。</w:t>
      </w:r>
    </w:p>
    <w:p w14:paraId="489D2C4E">
      <w:pPr>
        <w:pStyle w:val="10"/>
        <w:spacing w:line="500" w:lineRule="exact"/>
        <w:ind w:firstLine="210" w:firstLine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（3）保证遵守采购文件有关条款规定。</w:t>
      </w:r>
    </w:p>
    <w:p w14:paraId="2EE06803">
      <w:pPr>
        <w:pStyle w:val="10"/>
        <w:spacing w:line="500" w:lineRule="exact"/>
        <w:ind w:firstLine="210" w:firstLine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（4）保证在中标后忠实地执行与采购人所签署的合同，并承担合同规定的责任义务。保证在中标后按照采购文件的规定支付招标代理服务费。</w:t>
      </w:r>
    </w:p>
    <w:p w14:paraId="254685D2">
      <w:pPr>
        <w:pStyle w:val="10"/>
        <w:spacing w:line="500" w:lineRule="exact"/>
        <w:ind w:firstLine="210" w:firstLine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（5）承诺应贵方要求提供任何与该项目投标有关的数据、情况和技术资料。</w:t>
      </w:r>
    </w:p>
    <w:p w14:paraId="6C102F02">
      <w:pPr>
        <w:pStyle w:val="10"/>
        <w:tabs>
          <w:tab w:val="left" w:pos="426"/>
        </w:tabs>
        <w:spacing w:line="500" w:lineRule="exact"/>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、我们郑重声明：</w:t>
      </w:r>
    </w:p>
    <w:p w14:paraId="693824C9">
      <w:pPr>
        <w:pStyle w:val="10"/>
        <w:tabs>
          <w:tab w:val="left" w:pos="426"/>
        </w:tabs>
        <w:spacing w:line="500" w:lineRule="exact"/>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1371C6EB">
      <w:pPr>
        <w:pStyle w:val="10"/>
        <w:tabs>
          <w:tab w:val="left" w:pos="426"/>
        </w:tabs>
        <w:spacing w:line="500" w:lineRule="exact"/>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、与本投标有关的一切往来通讯请寄：</w:t>
      </w:r>
    </w:p>
    <w:p w14:paraId="0E1AD7BD">
      <w:pPr>
        <w:pStyle w:val="10"/>
        <w:spacing w:line="500" w:lineRule="exact"/>
        <w:ind w:left="480" w:firstLine="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地址：</w:t>
      </w:r>
    </w:p>
    <w:p w14:paraId="60FC53B1">
      <w:pPr>
        <w:pStyle w:val="10"/>
        <w:spacing w:line="500" w:lineRule="exact"/>
        <w:ind w:left="480" w:firstLine="0"/>
        <w:rPr>
          <w:rFonts w:asciiTheme="minorEastAsia" w:hAnsiTheme="minorEastAsia" w:eastAsiaTheme="minorEastAsia"/>
          <w:color w:val="auto"/>
          <w:sz w:val="21"/>
          <w:szCs w:val="21"/>
          <w:highlight w:val="none"/>
          <w:u w:val="single"/>
        </w:rPr>
      </w:pPr>
      <w:r>
        <w:rPr>
          <w:rFonts w:asciiTheme="minorEastAsia" w:hAnsiTheme="minorEastAsia" w:eastAsiaTheme="minorEastAsia"/>
          <w:color w:val="auto"/>
          <w:sz w:val="21"/>
          <w:szCs w:val="21"/>
          <w:highlight w:val="none"/>
        </w:rPr>
        <w:t>邮编：电话：传真：</w:t>
      </w:r>
    </w:p>
    <w:p w14:paraId="06E0FDA2">
      <w:pPr>
        <w:pStyle w:val="10"/>
        <w:tabs>
          <w:tab w:val="left" w:pos="5340"/>
        </w:tabs>
        <w:spacing w:before="100" w:beforeAutospacing="1" w:after="100" w:afterAutospacing="1" w:line="500" w:lineRule="exact"/>
        <w:ind w:firstLine="0"/>
        <w:jc w:val="righ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投标人名称（盖公章）：</w:t>
      </w:r>
      <w:r>
        <w:rPr>
          <w:rFonts w:asciiTheme="minorEastAsia" w:hAnsiTheme="minorEastAsia" w:eastAsiaTheme="minorEastAsia"/>
          <w:color w:val="auto"/>
          <w:sz w:val="21"/>
          <w:szCs w:val="21"/>
          <w:highlight w:val="none"/>
        </w:rPr>
        <w:tab/>
      </w:r>
    </w:p>
    <w:p w14:paraId="6116D261">
      <w:pPr>
        <w:spacing w:line="500" w:lineRule="exact"/>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0BC74F6A">
      <w:pPr>
        <w:spacing w:line="500" w:lineRule="exact"/>
        <w:jc w:val="right"/>
        <w:rPr>
          <w:rFonts w:asciiTheme="minorEastAsia" w:hAnsiTheme="minorEastAsia"/>
          <w:color w:val="auto"/>
          <w:szCs w:val="21"/>
          <w:highlight w:val="none"/>
        </w:rPr>
      </w:pPr>
      <w:r>
        <w:rPr>
          <w:rFonts w:asciiTheme="minorEastAsia" w:hAnsiTheme="minorEastAsia"/>
          <w:color w:val="auto"/>
          <w:szCs w:val="21"/>
          <w:highlight w:val="none"/>
        </w:rPr>
        <w:tab/>
      </w:r>
    </w:p>
    <w:p w14:paraId="7B4629E7">
      <w:pPr>
        <w:widowControl/>
        <w:snapToGrid w:val="0"/>
        <w:spacing w:line="360" w:lineRule="auto"/>
        <w:rPr>
          <w:rFonts w:hint="eastAsia" w:asciiTheme="minorEastAsia" w:hAnsiTheme="minorEastAsia"/>
          <w:color w:val="auto"/>
          <w:szCs w:val="21"/>
          <w:highlight w:val="none"/>
        </w:rPr>
      </w:pPr>
      <w:r>
        <w:rPr>
          <w:rFonts w:asciiTheme="minorEastAsia" w:hAnsiTheme="minorEastAsia"/>
          <w:color w:val="auto"/>
          <w:szCs w:val="21"/>
          <w:highlight w:val="none"/>
        </w:rPr>
        <w:t>日期：年   月</w:t>
      </w:r>
      <w:r>
        <w:rPr>
          <w:rFonts w:hint="eastAsia" w:asciiTheme="minorEastAsia" w:hAnsiTheme="minorEastAsia"/>
          <w:color w:val="auto"/>
          <w:szCs w:val="21"/>
          <w:highlight w:val="none"/>
        </w:rPr>
        <w:t xml:space="preserve">  日</w:t>
      </w:r>
    </w:p>
    <w:p w14:paraId="4ABB9316">
      <w:pPr>
        <w:widowControl/>
        <w:snapToGrid w:val="0"/>
        <w:spacing w:line="360" w:lineRule="auto"/>
        <w:rPr>
          <w:rFonts w:hint="eastAsia" w:asciiTheme="minorEastAsia" w:hAnsiTheme="minorEastAsia"/>
          <w:color w:val="auto"/>
          <w:szCs w:val="21"/>
          <w:highlight w:val="none"/>
        </w:rPr>
      </w:pPr>
    </w:p>
    <w:p w14:paraId="738DE1FA">
      <w:pPr>
        <w:widowControl/>
        <w:snapToGrid w:val="0"/>
        <w:spacing w:line="360" w:lineRule="auto"/>
        <w:rPr>
          <w:rFonts w:hint="eastAsia" w:ascii="Times New Roman" w:hAnsi="Times New Roman" w:eastAsia="宋体"/>
          <w:b/>
          <w:bCs/>
          <w:color w:val="auto"/>
          <w:szCs w:val="21"/>
          <w:highlight w:val="none"/>
        </w:rPr>
      </w:pPr>
    </w:p>
    <w:p w14:paraId="6A246114">
      <w:pPr>
        <w:widowControl/>
        <w:snapToGrid w:val="0"/>
        <w:spacing w:line="360" w:lineRule="auto"/>
        <w:rPr>
          <w:rFonts w:hint="eastAsia" w:ascii="Times New Roman" w:hAnsi="Times New Roman" w:eastAsia="宋体"/>
          <w:b/>
          <w:bCs/>
          <w:color w:val="auto"/>
          <w:szCs w:val="21"/>
          <w:highlight w:val="none"/>
        </w:rPr>
      </w:pPr>
      <w:r>
        <w:rPr>
          <w:rFonts w:hint="eastAsia" w:ascii="Times New Roman" w:hAnsi="Times New Roman" w:eastAsia="宋体"/>
          <w:b/>
          <w:bCs/>
          <w:color w:val="auto"/>
          <w:szCs w:val="21"/>
          <w:highlight w:val="none"/>
        </w:rPr>
        <w:t>附：招标服务费支付承诺书</w:t>
      </w:r>
    </w:p>
    <w:p w14:paraId="02157E51">
      <w:pPr>
        <w:widowControl/>
        <w:snapToGrid w:val="0"/>
        <w:spacing w:line="360" w:lineRule="auto"/>
        <w:jc w:val="center"/>
        <w:rPr>
          <w:rFonts w:hint="eastAsia" w:ascii="Times New Roman" w:hAnsi="Times New Roman" w:eastAsia="宋体"/>
          <w:b/>
          <w:color w:val="auto"/>
          <w:sz w:val="24"/>
          <w:szCs w:val="21"/>
          <w:highlight w:val="none"/>
        </w:rPr>
      </w:pPr>
      <w:r>
        <w:rPr>
          <w:rFonts w:hint="eastAsia" w:ascii="Times New Roman" w:hAnsi="Times New Roman" w:eastAsia="宋体"/>
          <w:b/>
          <w:color w:val="auto"/>
          <w:sz w:val="24"/>
          <w:szCs w:val="21"/>
          <w:highlight w:val="none"/>
        </w:rPr>
        <w:t>招标服务费支付承诺书</w:t>
      </w:r>
    </w:p>
    <w:p w14:paraId="4CC5D3C9">
      <w:pPr>
        <w:widowControl/>
        <w:snapToGrid w:val="0"/>
        <w:spacing w:line="360" w:lineRule="auto"/>
        <w:jc w:val="center"/>
        <w:rPr>
          <w:rFonts w:hint="eastAsia" w:ascii="Times New Roman" w:hAnsi="Times New Roman" w:eastAsia="宋体"/>
          <w:b/>
          <w:color w:val="auto"/>
          <w:sz w:val="28"/>
          <w:szCs w:val="28"/>
          <w:highlight w:val="none"/>
        </w:rPr>
      </w:pPr>
    </w:p>
    <w:p w14:paraId="646B4C8F">
      <w:pPr>
        <w:widowControl/>
        <w:snapToGrid w:val="0"/>
        <w:spacing w:line="360" w:lineRule="auto"/>
        <w:rPr>
          <w:rFonts w:hint="eastAsia" w:ascii="Times New Roman" w:hAnsi="Times New Roman" w:eastAsia="宋体"/>
          <w:b/>
          <w:color w:val="auto"/>
          <w:szCs w:val="24"/>
          <w:highlight w:val="none"/>
          <w:u w:val="single"/>
        </w:rPr>
      </w:pPr>
      <w:r>
        <w:rPr>
          <w:rFonts w:hint="eastAsia" w:ascii="Times New Roman" w:hAnsi="Times New Roman" w:eastAsia="宋体"/>
          <w:b/>
          <w:color w:val="auto"/>
          <w:szCs w:val="24"/>
          <w:highlight w:val="none"/>
          <w:u w:val="single"/>
        </w:rPr>
        <w:t>致：中冠工程管理</w:t>
      </w:r>
      <w:r>
        <w:rPr>
          <w:rFonts w:ascii="Times New Roman" w:hAnsi="Times New Roman" w:eastAsia="宋体"/>
          <w:b/>
          <w:color w:val="auto"/>
          <w:szCs w:val="24"/>
          <w:highlight w:val="none"/>
          <w:u w:val="single"/>
        </w:rPr>
        <w:t>咨询有限公司</w:t>
      </w:r>
    </w:p>
    <w:p w14:paraId="13732C0B">
      <w:pPr>
        <w:widowControl/>
        <w:snapToGrid w:val="0"/>
        <w:spacing w:line="360" w:lineRule="auto"/>
        <w:ind w:firstLine="420" w:firstLineChars="200"/>
        <w:rPr>
          <w:rFonts w:ascii="Times New Roman" w:hAnsi="Times New Roman" w:eastAsia="宋体"/>
          <w:color w:val="auto"/>
          <w:highlight w:val="none"/>
        </w:rPr>
      </w:pPr>
      <w:r>
        <w:rPr>
          <w:rFonts w:ascii="Times New Roman" w:hAnsi="Times New Roman" w:eastAsia="宋体"/>
          <w:color w:val="auto"/>
          <w:highlight w:val="none"/>
        </w:rPr>
        <w:t>我公司已认真阅读了</w:t>
      </w:r>
      <w:r>
        <w:rPr>
          <w:rFonts w:hint="eastAsia" w:ascii="Times New Roman" w:hAnsi="Times New Roman" w:eastAsia="宋体"/>
          <w:color w:val="auto"/>
          <w:highlight w:val="none"/>
          <w:u w:val="single"/>
        </w:rPr>
        <w:t xml:space="preserve">                       </w:t>
      </w:r>
      <w:r>
        <w:rPr>
          <w:rFonts w:hint="eastAsia" w:ascii="Times New Roman" w:hAnsi="Times New Roman" w:eastAsia="宋体"/>
          <w:color w:val="auto"/>
          <w:highlight w:val="none"/>
        </w:rPr>
        <w:t>项目</w:t>
      </w:r>
      <w:r>
        <w:rPr>
          <w:rFonts w:hint="eastAsia" w:ascii="Times New Roman" w:hAnsi="Times New Roman" w:eastAsia="宋体"/>
          <w:color w:val="auto"/>
          <w:highlight w:val="none"/>
          <w:lang w:eastAsia="zh-CN"/>
        </w:rPr>
        <w:t>采购文件</w:t>
      </w:r>
      <w:r>
        <w:rPr>
          <w:rFonts w:ascii="Times New Roman" w:hAnsi="Times New Roman" w:eastAsia="宋体"/>
          <w:color w:val="auto"/>
          <w:highlight w:val="none"/>
        </w:rPr>
        <w:t>并在此承诺：</w:t>
      </w:r>
    </w:p>
    <w:p w14:paraId="67690EDC">
      <w:pPr>
        <w:widowControl/>
        <w:snapToGrid w:val="0"/>
        <w:spacing w:line="360" w:lineRule="auto"/>
        <w:ind w:firstLine="420" w:firstLineChars="200"/>
        <w:rPr>
          <w:rFonts w:hint="eastAsia" w:ascii="Times New Roman" w:hAnsi="Times New Roman" w:eastAsia="宋体"/>
          <w:bCs/>
          <w:color w:val="auto"/>
          <w:highlight w:val="none"/>
        </w:rPr>
      </w:pPr>
      <w:r>
        <w:rPr>
          <w:rFonts w:hint="eastAsia" w:ascii="Times New Roman" w:hAnsi="Times New Roman" w:eastAsia="宋体"/>
          <w:bCs/>
          <w:color w:val="auto"/>
          <w:highlight w:val="none"/>
        </w:rPr>
        <w:t>如在本项目中标，我公司将在</w:t>
      </w:r>
      <w:r>
        <w:rPr>
          <w:rFonts w:hint="eastAsia" w:ascii="Times New Roman" w:hAnsi="Times New Roman" w:eastAsia="宋体"/>
          <w:color w:val="auto"/>
          <w:highlight w:val="none"/>
        </w:rPr>
        <w:t>结果公示</w:t>
      </w:r>
      <w:r>
        <w:rPr>
          <w:rFonts w:ascii="Times New Roman" w:hAnsi="Times New Roman" w:eastAsia="宋体"/>
          <w:color w:val="auto"/>
          <w:highlight w:val="none"/>
        </w:rPr>
        <w:t>发布之日起</w:t>
      </w:r>
      <w:r>
        <w:rPr>
          <w:rFonts w:hint="eastAsia" w:ascii="Times New Roman" w:hAnsi="Times New Roman" w:eastAsia="宋体"/>
          <w:bCs/>
          <w:color w:val="auto"/>
          <w:highlight w:val="none"/>
          <w:lang w:val="en-US" w:eastAsia="zh-CN"/>
        </w:rPr>
        <w:t>10</w:t>
      </w:r>
      <w:r>
        <w:rPr>
          <w:rFonts w:hint="eastAsia" w:ascii="Times New Roman" w:hAnsi="Times New Roman" w:eastAsia="宋体"/>
          <w:bCs/>
          <w:color w:val="auto"/>
          <w:highlight w:val="none"/>
        </w:rPr>
        <w:t>个工作日之内</w:t>
      </w:r>
      <w:r>
        <w:rPr>
          <w:rFonts w:ascii="Times New Roman" w:hAnsi="Times New Roman" w:eastAsia="宋体"/>
          <w:color w:val="auto"/>
          <w:highlight w:val="none"/>
        </w:rPr>
        <w:t>按</w:t>
      </w:r>
      <w:r>
        <w:rPr>
          <w:rFonts w:hint="eastAsia" w:ascii="Times New Roman" w:hAnsi="Times New Roman" w:eastAsia="宋体"/>
          <w:color w:val="auto"/>
          <w:highlight w:val="none"/>
          <w:lang w:eastAsia="zh-CN"/>
        </w:rPr>
        <w:t>采购文件</w:t>
      </w:r>
      <w:r>
        <w:rPr>
          <w:rFonts w:ascii="Times New Roman" w:hAnsi="Times New Roman" w:eastAsia="宋体"/>
          <w:color w:val="auto"/>
          <w:highlight w:val="none"/>
        </w:rPr>
        <w:t>规定的标准（金额）一次性向</w:t>
      </w:r>
      <w:r>
        <w:rPr>
          <w:rFonts w:hint="eastAsia" w:ascii="Times New Roman" w:hAnsi="Times New Roman" w:eastAsia="宋体"/>
          <w:color w:val="auto"/>
          <w:highlight w:val="none"/>
        </w:rPr>
        <w:t>贵公司</w:t>
      </w:r>
      <w:r>
        <w:rPr>
          <w:rFonts w:hint="eastAsia" w:ascii="Times New Roman" w:hAnsi="Times New Roman" w:eastAsia="宋体"/>
          <w:bCs/>
          <w:color w:val="auto"/>
          <w:highlight w:val="none"/>
        </w:rPr>
        <w:t>支付招标服务费。</w:t>
      </w:r>
    </w:p>
    <w:p w14:paraId="40831086">
      <w:pPr>
        <w:widowControl/>
        <w:snapToGrid w:val="0"/>
        <w:spacing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bCs/>
          <w:color w:val="auto"/>
          <w:highlight w:val="none"/>
        </w:rPr>
        <w:t>若我司未按上述承诺内容执行，我司自愿承担本项目招标服务费200%的违约金，且在中标通知书领取后</w:t>
      </w:r>
      <w:r>
        <w:rPr>
          <w:rFonts w:hint="eastAsia" w:ascii="Times New Roman" w:hAnsi="Times New Roman" w:eastAsia="宋体"/>
          <w:bCs/>
          <w:color w:val="auto"/>
          <w:highlight w:val="none"/>
          <w:lang w:val="en-US" w:eastAsia="zh-CN"/>
        </w:rPr>
        <w:t>7</w:t>
      </w:r>
      <w:r>
        <w:rPr>
          <w:rFonts w:hint="eastAsia" w:ascii="Times New Roman" w:hAnsi="Times New Roman" w:eastAsia="宋体"/>
          <w:bCs/>
          <w:color w:val="auto"/>
          <w:highlight w:val="none"/>
        </w:rPr>
        <w:t>个工作日内支付上述违约金，否则由此引起的一切法律责任和经济责任由我公司承担。</w:t>
      </w:r>
    </w:p>
    <w:p w14:paraId="21DB4290">
      <w:pPr>
        <w:widowControl/>
        <w:snapToGrid w:val="0"/>
        <w:spacing w:line="360" w:lineRule="auto"/>
        <w:ind w:left="479" w:leftChars="228"/>
        <w:rPr>
          <w:rFonts w:hint="eastAsia" w:ascii="Times New Roman" w:hAnsi="Times New Roman" w:eastAsia="宋体"/>
          <w:b/>
          <w:color w:val="auto"/>
          <w:szCs w:val="24"/>
          <w:highlight w:val="none"/>
        </w:rPr>
      </w:pPr>
    </w:p>
    <w:p w14:paraId="7BE16329">
      <w:pPr>
        <w:widowControl/>
        <w:snapToGrid w:val="0"/>
        <w:spacing w:line="360" w:lineRule="auto"/>
        <w:rPr>
          <w:rFonts w:hint="eastAsia" w:ascii="Times New Roman" w:hAnsi="Times New Roman" w:eastAsia="宋体"/>
          <w:color w:val="auto"/>
          <w:highlight w:val="none"/>
        </w:rPr>
      </w:pPr>
    </w:p>
    <w:p w14:paraId="5347C27A">
      <w:pPr>
        <w:widowControl/>
        <w:snapToGrid w:val="0"/>
        <w:spacing w:line="360" w:lineRule="auto"/>
        <w:rPr>
          <w:rFonts w:hint="eastAsia" w:ascii="Times New Roman" w:hAnsi="Times New Roman" w:eastAsia="宋体"/>
          <w:color w:val="auto"/>
          <w:highlight w:val="none"/>
        </w:rPr>
      </w:pPr>
    </w:p>
    <w:p w14:paraId="50CDF808">
      <w:pPr>
        <w:widowControl/>
        <w:snapToGrid w:val="0"/>
        <w:spacing w:line="360" w:lineRule="auto"/>
        <w:rPr>
          <w:rFonts w:hint="eastAsia" w:ascii="Times New Roman" w:hAnsi="Times New Roman" w:eastAsia="宋体"/>
          <w:color w:val="auto"/>
          <w:highlight w:val="none"/>
        </w:rPr>
      </w:pPr>
    </w:p>
    <w:p w14:paraId="65B4641A">
      <w:pPr>
        <w:spacing w:line="480" w:lineRule="auto"/>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投标人全称（公章）：</w:t>
      </w:r>
    </w:p>
    <w:p w14:paraId="590AE896">
      <w:pPr>
        <w:spacing w:line="480" w:lineRule="auto"/>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法定代表人或授权代表（签字或盖章）：                       </w:t>
      </w:r>
    </w:p>
    <w:p w14:paraId="07132437">
      <w:pPr>
        <w:widowControl/>
        <w:snapToGrid w:val="0"/>
        <w:spacing w:line="480" w:lineRule="auto"/>
        <w:ind w:right="375"/>
        <w:rPr>
          <w:rFonts w:hint="eastAsia" w:ascii="Times New Roman" w:hAnsi="Times New Roman" w:eastAsia="宋体"/>
          <w:color w:val="auto"/>
          <w:highlight w:val="none"/>
        </w:rPr>
      </w:pPr>
      <w:r>
        <w:rPr>
          <w:rFonts w:hint="eastAsia" w:ascii="Times New Roman" w:hAnsi="Times New Roman" w:eastAsia="宋体"/>
          <w:color w:val="auto"/>
          <w:szCs w:val="21"/>
          <w:highlight w:val="none"/>
        </w:rPr>
        <w:t>日期：</w:t>
      </w:r>
    </w:p>
    <w:p w14:paraId="1A83F89A">
      <w:pPr>
        <w:widowControl/>
        <w:snapToGrid w:val="0"/>
        <w:spacing w:line="360" w:lineRule="auto"/>
        <w:ind w:right="480"/>
        <w:rPr>
          <w:rFonts w:hint="eastAsia" w:ascii="Times New Roman" w:hAnsi="Times New Roman" w:eastAsia="宋体"/>
          <w:color w:val="auto"/>
          <w:highlight w:val="none"/>
        </w:rPr>
      </w:pPr>
    </w:p>
    <w:p w14:paraId="187978EB">
      <w:pPr>
        <w:widowControl/>
        <w:snapToGrid w:val="0"/>
        <w:spacing w:line="360" w:lineRule="auto"/>
        <w:ind w:right="480"/>
        <w:rPr>
          <w:rFonts w:hint="eastAsia" w:ascii="Times New Roman" w:hAnsi="Times New Roman" w:eastAsia="宋体"/>
          <w:color w:val="auto"/>
          <w:highlight w:val="none"/>
        </w:rPr>
      </w:pPr>
    </w:p>
    <w:p w14:paraId="1254B5FA">
      <w:pPr>
        <w:widowControl/>
        <w:snapToGrid w:val="0"/>
        <w:spacing w:line="360" w:lineRule="auto"/>
        <w:ind w:right="480"/>
        <w:rPr>
          <w:rFonts w:hint="eastAsia" w:ascii="Times New Roman" w:hAnsi="Times New Roman" w:eastAsia="宋体"/>
          <w:color w:val="auto"/>
          <w:highlight w:val="none"/>
        </w:rPr>
      </w:pPr>
    </w:p>
    <w:p w14:paraId="1D314BF6">
      <w:pPr>
        <w:widowControl/>
        <w:snapToGrid w:val="0"/>
        <w:spacing w:line="360" w:lineRule="auto"/>
        <w:ind w:right="480"/>
        <w:rPr>
          <w:rFonts w:hint="eastAsia" w:ascii="Times New Roman" w:hAnsi="Times New Roman" w:eastAsia="宋体"/>
          <w:color w:val="auto"/>
          <w:highlight w:val="none"/>
        </w:rPr>
      </w:pPr>
    </w:p>
    <w:p w14:paraId="0CC1E231">
      <w:pPr>
        <w:widowControl/>
        <w:snapToGrid w:val="0"/>
        <w:spacing w:line="360" w:lineRule="auto"/>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招标服务费收取账号信息：</w:t>
      </w:r>
    </w:p>
    <w:p w14:paraId="67C39DC5">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开户银行：中国农业银行股份有限公司台州经济开发区支行</w:t>
      </w:r>
    </w:p>
    <w:p w14:paraId="6C8714F8">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户名：中冠工程管理咨询有限公司台州分公司</w:t>
      </w:r>
    </w:p>
    <w:p w14:paraId="06811FF5">
      <w:pPr>
        <w:snapToGrid w:val="0"/>
        <w:spacing w:before="50" w:after="50"/>
        <w:rPr>
          <w:rFonts w:ascii="Times New Roman" w:hAnsi="Times New Roman" w:eastAsia="宋体"/>
          <w:color w:val="auto"/>
          <w:szCs w:val="21"/>
          <w:highlight w:val="none"/>
        </w:rPr>
      </w:pPr>
      <w:r>
        <w:rPr>
          <w:rFonts w:hint="eastAsia" w:cs="Times New Roman" w:asciiTheme="minorEastAsia" w:hAnsiTheme="minorEastAsia" w:eastAsiaTheme="minorEastAsia"/>
          <w:color w:val="auto"/>
          <w:sz w:val="21"/>
          <w:szCs w:val="21"/>
          <w:highlight w:val="none"/>
        </w:rPr>
        <w:t>账号：19900101040031566</w:t>
      </w:r>
    </w:p>
    <w:p w14:paraId="502397A5">
      <w:pPr>
        <w:spacing w:line="500" w:lineRule="exact"/>
        <w:jc w:val="right"/>
        <w:rPr>
          <w:rFonts w:asciiTheme="minorEastAsia" w:hAnsiTheme="minorEastAsia"/>
          <w:color w:val="auto"/>
          <w:szCs w:val="21"/>
          <w:highlight w:val="none"/>
        </w:rPr>
      </w:pPr>
    </w:p>
    <w:p w14:paraId="6DBBD42C">
      <w:pPr>
        <w:pageBreakBefore/>
        <w:rPr>
          <w:rFonts w:asciiTheme="minorEastAsia" w:hAnsiTheme="minorEastAsia"/>
          <w:color w:val="auto"/>
          <w:highlight w:val="none"/>
        </w:rPr>
      </w:pPr>
    </w:p>
    <w:p w14:paraId="645B599C">
      <w:pPr>
        <w:spacing w:line="360" w:lineRule="auto"/>
        <w:jc w:val="center"/>
        <w:rPr>
          <w:rFonts w:cs="宋体" w:asciiTheme="minorEastAsia" w:hAnsiTheme="minorEastAsia"/>
          <w:b/>
          <w:bCs/>
          <w:color w:val="auto"/>
          <w:kern w:val="0"/>
          <w:sz w:val="32"/>
          <w:szCs w:val="32"/>
          <w:highlight w:val="none"/>
        </w:rPr>
      </w:pPr>
      <w:r>
        <w:rPr>
          <w:rFonts w:hint="eastAsia" w:cs="宋体" w:asciiTheme="minorEastAsia" w:hAnsiTheme="minorEastAsia"/>
          <w:b/>
          <w:bCs/>
          <w:color w:val="auto"/>
          <w:kern w:val="0"/>
          <w:sz w:val="32"/>
          <w:szCs w:val="32"/>
          <w:highlight w:val="none"/>
        </w:rPr>
        <w:t>二、</w:t>
      </w:r>
      <w:r>
        <w:rPr>
          <w:rFonts w:cs="宋体" w:asciiTheme="minorEastAsia" w:hAnsiTheme="minorEastAsia"/>
          <w:b/>
          <w:bCs/>
          <w:color w:val="auto"/>
          <w:kern w:val="0"/>
          <w:sz w:val="32"/>
          <w:szCs w:val="32"/>
          <w:highlight w:val="none"/>
        </w:rPr>
        <w:t>开标一览表</w:t>
      </w:r>
    </w:p>
    <w:p w14:paraId="0AA5DF31">
      <w:pPr>
        <w:tabs>
          <w:tab w:val="left" w:pos="8280"/>
        </w:tabs>
        <w:autoSpaceDE w:val="0"/>
        <w:autoSpaceDN w:val="0"/>
        <w:adjustRightInd w:val="0"/>
        <w:spacing w:line="3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项目编号：                                             项目名称：</w:t>
      </w:r>
    </w:p>
    <w:tbl>
      <w:tblPr>
        <w:tblStyle w:val="22"/>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46"/>
        <w:gridCol w:w="3462"/>
        <w:gridCol w:w="2595"/>
      </w:tblGrid>
      <w:tr w14:paraId="389F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1" w:type="dxa"/>
            <w:vAlign w:val="center"/>
          </w:tcPr>
          <w:p w14:paraId="02B162E7">
            <w:pPr>
              <w:tabs>
                <w:tab w:val="left" w:pos="8280"/>
              </w:tabs>
              <w:autoSpaceDE w:val="0"/>
              <w:autoSpaceDN w:val="0"/>
              <w:adjustRightIn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46" w:type="dxa"/>
            <w:vAlign w:val="center"/>
          </w:tcPr>
          <w:p w14:paraId="499A6B33">
            <w:pPr>
              <w:autoSpaceDE w:val="0"/>
              <w:autoSpaceDN w:val="0"/>
              <w:adjustRightInd w:val="0"/>
              <w:spacing w:line="240" w:lineRule="exact"/>
              <w:ind w:right="25"/>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3462" w:type="dxa"/>
            <w:vAlign w:val="center"/>
          </w:tcPr>
          <w:p w14:paraId="3FE57138">
            <w:pPr>
              <w:autoSpaceDE w:val="0"/>
              <w:autoSpaceDN w:val="0"/>
              <w:adjustRightInd w:val="0"/>
              <w:spacing w:line="240" w:lineRule="exact"/>
              <w:ind w:right="25"/>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结算率</w:t>
            </w:r>
          </w:p>
        </w:tc>
        <w:tc>
          <w:tcPr>
            <w:tcW w:w="2595" w:type="dxa"/>
            <w:vAlign w:val="center"/>
          </w:tcPr>
          <w:p w14:paraId="4008785A">
            <w:pPr>
              <w:autoSpaceDE w:val="0"/>
              <w:autoSpaceDN w:val="0"/>
              <w:adjustRightInd w:val="0"/>
              <w:spacing w:line="240" w:lineRule="exact"/>
              <w:ind w:right="25"/>
              <w:jc w:val="center"/>
              <w:rPr>
                <w:rFonts w:ascii="宋体" w:hAnsi="宋体" w:cs="宋体"/>
                <w:color w:val="auto"/>
                <w:szCs w:val="21"/>
                <w:highlight w:val="none"/>
              </w:rPr>
            </w:pPr>
            <w:r>
              <w:rPr>
                <w:rFonts w:hint="eastAsia" w:ascii="宋体" w:hAnsi="宋体" w:cs="宋体"/>
                <w:color w:val="auto"/>
                <w:szCs w:val="21"/>
                <w:highlight w:val="none"/>
              </w:rPr>
              <w:t>备注</w:t>
            </w:r>
          </w:p>
          <w:p w14:paraId="74DBE99F">
            <w:pPr>
              <w:autoSpaceDE w:val="0"/>
              <w:autoSpaceDN w:val="0"/>
              <w:adjustRightInd w:val="0"/>
              <w:spacing w:line="240" w:lineRule="exact"/>
              <w:ind w:right="25"/>
              <w:jc w:val="center"/>
              <w:rPr>
                <w:rFonts w:ascii="宋体" w:hAnsi="宋体" w:cs="宋体"/>
                <w:color w:val="auto"/>
                <w:szCs w:val="21"/>
                <w:highlight w:val="none"/>
              </w:rPr>
            </w:pPr>
          </w:p>
        </w:tc>
      </w:tr>
      <w:tr w14:paraId="24DC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41" w:type="dxa"/>
            <w:vAlign w:val="center"/>
          </w:tcPr>
          <w:p w14:paraId="4D8C0A7A">
            <w:pPr>
              <w:tabs>
                <w:tab w:val="left" w:pos="8280"/>
              </w:tabs>
              <w:autoSpaceDE w:val="0"/>
              <w:autoSpaceDN w:val="0"/>
              <w:adjustRightIn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546" w:type="dxa"/>
            <w:vAlign w:val="center"/>
          </w:tcPr>
          <w:p w14:paraId="42CE6345">
            <w:pPr>
              <w:tabs>
                <w:tab w:val="left" w:pos="8280"/>
              </w:tabs>
              <w:autoSpaceDE w:val="0"/>
              <w:autoSpaceDN w:val="0"/>
              <w:adjustRightInd w:val="0"/>
              <w:spacing w:line="300" w:lineRule="exact"/>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台州市公安局交通警察局2025-2027涉案车辆（交通违法、交通事故）拖移服务（重新招标）</w:t>
            </w:r>
          </w:p>
        </w:tc>
        <w:tc>
          <w:tcPr>
            <w:tcW w:w="3462" w:type="dxa"/>
            <w:vAlign w:val="center"/>
          </w:tcPr>
          <w:p w14:paraId="72F22F46">
            <w:pPr>
              <w:tabs>
                <w:tab w:val="left" w:pos="8280"/>
              </w:tabs>
              <w:autoSpaceDE w:val="0"/>
              <w:autoSpaceDN w:val="0"/>
              <w:adjustRightInd w:val="0"/>
              <w:spacing w:line="300" w:lineRule="exact"/>
              <w:jc w:val="left"/>
              <w:rPr>
                <w:rFonts w:ascii="宋体" w:hAnsi="宋体" w:cs="宋体"/>
                <w:color w:val="auto"/>
                <w:szCs w:val="21"/>
                <w:highlight w:val="none"/>
              </w:rPr>
            </w:pPr>
          </w:p>
        </w:tc>
        <w:tc>
          <w:tcPr>
            <w:tcW w:w="2595" w:type="dxa"/>
            <w:vAlign w:val="center"/>
          </w:tcPr>
          <w:p w14:paraId="43B0F574">
            <w:pPr>
              <w:spacing w:line="360" w:lineRule="auto"/>
              <w:jc w:val="left"/>
              <w:rPr>
                <w:rFonts w:ascii="宋体" w:hAnsi="宋体" w:cs="宋体" w:eastAsiaTheme="minorEastAsia"/>
                <w:color w:val="auto"/>
                <w:kern w:val="2"/>
                <w:sz w:val="21"/>
                <w:szCs w:val="21"/>
                <w:highlight w:val="none"/>
                <w:lang w:val="en-US" w:eastAsia="zh-CN" w:bidi="ar-SA"/>
              </w:rPr>
            </w:pPr>
            <w:r>
              <w:rPr>
                <w:rFonts w:hint="eastAsia" w:ascii="宋体" w:hAnsi="宋体" w:cs="宋体"/>
                <w:b/>
                <w:bCs/>
                <w:color w:val="auto"/>
                <w:szCs w:val="21"/>
                <w:highlight w:val="none"/>
                <w:lang w:val="en-GB"/>
              </w:rPr>
              <w:t>结算单价</w:t>
            </w:r>
            <w:r>
              <w:rPr>
                <w:rFonts w:hint="eastAsia" w:ascii="宋体" w:hAnsi="宋体" w:cs="宋体"/>
                <w:b/>
                <w:bCs/>
                <w:color w:val="auto"/>
                <w:szCs w:val="21"/>
                <w:highlight w:val="none"/>
              </w:rPr>
              <w:t>=采购需求提供的各项车辆定价单价*投标结算率(%)</w:t>
            </w:r>
          </w:p>
        </w:tc>
      </w:tr>
      <w:tr w14:paraId="34A8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87" w:type="dxa"/>
            <w:gridSpan w:val="2"/>
            <w:vAlign w:val="center"/>
          </w:tcPr>
          <w:p w14:paraId="0FE8399C">
            <w:pPr>
              <w:tabs>
                <w:tab w:val="left" w:pos="8280"/>
              </w:tabs>
              <w:autoSpaceDE w:val="0"/>
              <w:autoSpaceDN w:val="0"/>
              <w:adjustRightIn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6057" w:type="dxa"/>
            <w:gridSpan w:val="2"/>
            <w:vAlign w:val="center"/>
          </w:tcPr>
          <w:p w14:paraId="4CD329C4">
            <w:pPr>
              <w:tabs>
                <w:tab w:val="left" w:pos="8280"/>
              </w:tabs>
              <w:autoSpaceDE w:val="0"/>
              <w:autoSpaceDN w:val="0"/>
              <w:adjustRightIn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自合同生效之日起三年（合同一年一签）</w:t>
            </w:r>
          </w:p>
        </w:tc>
      </w:tr>
    </w:tbl>
    <w:p w14:paraId="5A0DEA9F">
      <w:pPr>
        <w:shd w:val="clear" w:color="auto" w:fill="FFFFFF"/>
        <w:adjustRightInd w:val="0"/>
        <w:snapToGrid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注：</w:t>
      </w:r>
    </w:p>
    <w:p w14:paraId="212A4B0C">
      <w:pPr>
        <w:shd w:val="clear" w:color="auto" w:fill="FFFFFF"/>
        <w:adjustRightInd w:val="0"/>
        <w:snapToGrid w:val="0"/>
        <w:spacing w:line="360" w:lineRule="auto"/>
        <w:ind w:firstLine="420" w:firstLineChars="200"/>
        <w:rPr>
          <w:rFonts w:hint="eastAsia" w:ascii="宋体" w:hAnsi="宋体" w:cs="宋体"/>
          <w:color w:val="auto"/>
          <w:kern w:val="0"/>
          <w:szCs w:val="21"/>
          <w:highlight w:val="none"/>
          <w:lang w:val="zh-CN" w:eastAsia="zh-CN"/>
        </w:rPr>
      </w:pPr>
      <w:r>
        <w:rPr>
          <w:rFonts w:hint="eastAsia" w:ascii="宋体" w:hAnsi="宋体" w:cs="宋体"/>
          <w:color w:val="auto"/>
          <w:kern w:val="0"/>
          <w:szCs w:val="21"/>
          <w:highlight w:val="none"/>
          <w:lang w:val="zh-CN"/>
        </w:rPr>
        <w:t>（1）百分号前小数点后保留二位小数，第三位四舍五入，格式示例：88.88%</w:t>
      </w:r>
      <w:r>
        <w:rPr>
          <w:rFonts w:hint="eastAsia" w:ascii="宋体" w:hAnsi="宋体" w:cs="宋体"/>
          <w:color w:val="auto"/>
          <w:kern w:val="0"/>
          <w:szCs w:val="21"/>
          <w:highlight w:val="none"/>
          <w:lang w:val="zh-CN" w:eastAsia="zh-CN"/>
        </w:rPr>
        <w:t>；</w:t>
      </w:r>
    </w:p>
    <w:p w14:paraId="730B1FA2">
      <w:pPr>
        <w:shd w:val="clear" w:color="auto" w:fill="FFFFFF"/>
        <w:adjustRightInd w:val="0"/>
        <w:snapToGrid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val="zh-CN"/>
        </w:rPr>
        <w:t>）本投标文件及其所附文件涵盖了我方要约的全部内容；</w:t>
      </w:r>
    </w:p>
    <w:p w14:paraId="5FF33CA3">
      <w:pPr>
        <w:shd w:val="clear" w:color="auto" w:fill="FFFFFF"/>
        <w:adjustRightInd w:val="0"/>
        <w:snapToGrid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（2）我方要约有效期为自投标截止日起90天；</w:t>
      </w:r>
    </w:p>
    <w:p w14:paraId="22534757">
      <w:pPr>
        <w:shd w:val="clear" w:color="auto" w:fill="FFFFFF"/>
        <w:adjustRightInd w:val="0"/>
        <w:snapToGrid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（3）在投标有效标期内，我方受投标文件之价目表上我方要约金额的约束。</w:t>
      </w:r>
    </w:p>
    <w:p w14:paraId="20866A15">
      <w:pPr>
        <w:pStyle w:val="36"/>
        <w:spacing w:line="360" w:lineRule="auto"/>
        <w:ind w:right="480"/>
        <w:jc w:val="left"/>
        <w:rPr>
          <w:rFonts w:ascii="宋体" w:hAnsi="宋体" w:cs="宋体"/>
          <w:color w:val="auto"/>
          <w:szCs w:val="21"/>
          <w:highlight w:val="none"/>
        </w:rPr>
      </w:pPr>
    </w:p>
    <w:p w14:paraId="1DB0E6CF">
      <w:pPr>
        <w:pStyle w:val="36"/>
        <w:spacing w:line="360" w:lineRule="auto"/>
        <w:ind w:right="480"/>
        <w:jc w:val="left"/>
        <w:rPr>
          <w:rFonts w:ascii="宋体" w:hAnsi="宋体" w:cs="宋体"/>
          <w:color w:val="auto"/>
          <w:szCs w:val="21"/>
          <w:highlight w:val="none"/>
        </w:rPr>
      </w:pPr>
      <w:r>
        <w:rPr>
          <w:rFonts w:hint="eastAsia" w:ascii="宋体" w:hAnsi="宋体" w:cs="宋体"/>
          <w:color w:val="auto"/>
          <w:szCs w:val="21"/>
          <w:highlight w:val="none"/>
        </w:rPr>
        <w:t>填报要求：</w:t>
      </w:r>
    </w:p>
    <w:p w14:paraId="442BB553">
      <w:pPr>
        <w:pStyle w:val="5"/>
        <w:spacing w:line="360" w:lineRule="auto"/>
        <w:rPr>
          <w:rFonts w:ascii="宋体" w:hAnsi="宋体" w:cs="宋体"/>
          <w:color w:val="auto"/>
          <w:szCs w:val="21"/>
          <w:highlight w:val="none"/>
        </w:rPr>
      </w:pPr>
      <w:r>
        <w:rPr>
          <w:rFonts w:hint="eastAsia" w:ascii="宋体" w:hAnsi="宋体" w:cs="宋体"/>
          <w:color w:val="auto"/>
          <w:szCs w:val="21"/>
          <w:highlight w:val="none"/>
        </w:rPr>
        <w:t>1.投标总报价是履行本项目合同的所有费用包含了所有风险责任等各项费用及不可预见费等所需的全部费用。</w:t>
      </w:r>
    </w:p>
    <w:p w14:paraId="24ABCB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2.报价一经涂改，应在涂改处加盖单位公章，或者由法定代表人或授权代理人签字或盖章，否则其投标作无效标处理。</w:t>
      </w:r>
    </w:p>
    <w:p w14:paraId="28D0D40E">
      <w:pPr>
        <w:spacing w:line="360" w:lineRule="auto"/>
        <w:ind w:left="420"/>
        <w:rPr>
          <w:rFonts w:ascii="宋体" w:hAnsi="宋体" w:cs="宋体"/>
          <w:color w:val="auto"/>
          <w:szCs w:val="21"/>
          <w:highlight w:val="none"/>
        </w:rPr>
      </w:pPr>
    </w:p>
    <w:p w14:paraId="13C3D3F6">
      <w:pPr>
        <w:spacing w:line="360" w:lineRule="auto"/>
        <w:ind w:left="420"/>
        <w:jc w:val="right"/>
        <w:rPr>
          <w:rFonts w:ascii="宋体" w:hAnsi="宋体" w:cs="宋体"/>
          <w:color w:val="auto"/>
          <w:szCs w:val="21"/>
          <w:highlight w:val="none"/>
        </w:rPr>
      </w:pPr>
      <w:r>
        <w:rPr>
          <w:rFonts w:hint="eastAsia" w:ascii="宋体" w:hAnsi="宋体" w:cs="宋体"/>
          <w:color w:val="auto"/>
          <w:szCs w:val="21"/>
          <w:highlight w:val="none"/>
        </w:rPr>
        <w:t>投标人名称（盖公章）：</w:t>
      </w:r>
    </w:p>
    <w:p w14:paraId="5B447BB0">
      <w:pPr>
        <w:spacing w:line="360" w:lineRule="auto"/>
        <w:ind w:firstLine="371" w:firstLineChars="177"/>
        <w:jc w:val="right"/>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p>
    <w:p w14:paraId="1EE60497">
      <w:pPr>
        <w:spacing w:line="360" w:lineRule="auto"/>
        <w:ind w:firstLine="435"/>
        <w:jc w:val="right"/>
        <w:rPr>
          <w:rFonts w:ascii="宋体" w:hAnsi="宋体" w:cs="宋体"/>
          <w:color w:val="auto"/>
          <w:szCs w:val="21"/>
          <w:highlight w:val="none"/>
        </w:rPr>
      </w:pPr>
      <w:r>
        <w:rPr>
          <w:rFonts w:hint="eastAsia" w:ascii="宋体" w:hAnsi="宋体" w:cs="宋体"/>
          <w:color w:val="auto"/>
          <w:szCs w:val="21"/>
          <w:highlight w:val="none"/>
        </w:rPr>
        <w:t>日        期：</w:t>
      </w:r>
    </w:p>
    <w:p w14:paraId="4BC6790B">
      <w:pPr>
        <w:spacing w:line="480" w:lineRule="auto"/>
        <w:ind w:firstLine="435"/>
        <w:jc w:val="right"/>
        <w:rPr>
          <w:rFonts w:cs="宋体" w:asciiTheme="minorEastAsia" w:hAnsiTheme="minorEastAsia"/>
          <w:color w:val="auto"/>
          <w:szCs w:val="21"/>
          <w:highlight w:val="none"/>
        </w:rPr>
      </w:pPr>
    </w:p>
    <w:p w14:paraId="54933D8E">
      <w:pPr>
        <w:pStyle w:val="10"/>
        <w:rPr>
          <w:color w:val="auto"/>
          <w:highlight w:val="none"/>
        </w:rPr>
      </w:pPr>
    </w:p>
    <w:p w14:paraId="22775111">
      <w:pPr>
        <w:rPr>
          <w:color w:val="auto"/>
          <w:highlight w:val="none"/>
        </w:rPr>
      </w:pPr>
    </w:p>
    <w:p w14:paraId="6D6FDC43">
      <w:pPr>
        <w:pStyle w:val="10"/>
        <w:rPr>
          <w:color w:val="auto"/>
          <w:highlight w:val="none"/>
        </w:rPr>
      </w:pPr>
    </w:p>
    <w:p w14:paraId="5B32D8C7">
      <w:pPr>
        <w:rPr>
          <w:color w:val="auto"/>
          <w:highlight w:val="none"/>
        </w:rPr>
      </w:pPr>
    </w:p>
    <w:p w14:paraId="1C1232AC">
      <w:pPr>
        <w:rPr>
          <w:color w:val="auto"/>
          <w:highlight w:val="none"/>
        </w:rPr>
      </w:pPr>
    </w:p>
    <w:p w14:paraId="696FFE54">
      <w:pPr>
        <w:spacing w:line="360" w:lineRule="auto"/>
        <w:jc w:val="center"/>
        <w:rPr>
          <w:rFonts w:cs="宋体" w:asciiTheme="minorEastAsia" w:hAnsiTheme="minorEastAsia"/>
          <w:b/>
          <w:bCs/>
          <w:color w:val="auto"/>
          <w:kern w:val="0"/>
          <w:sz w:val="32"/>
          <w:szCs w:val="32"/>
          <w:highlight w:val="none"/>
        </w:rPr>
      </w:pPr>
    </w:p>
    <w:p w14:paraId="4AF9F8C1">
      <w:pPr>
        <w:spacing w:line="500" w:lineRule="exact"/>
        <w:rPr>
          <w:color w:val="auto"/>
          <w:szCs w:val="21"/>
          <w:highlight w:val="none"/>
        </w:rPr>
        <w:sectPr>
          <w:headerReference r:id="rId10" w:type="default"/>
          <w:footerReference r:id="rId11"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54A7F7A">
      <w:pPr>
        <w:pageBreakBefore/>
        <w:spacing w:line="360" w:lineRule="auto"/>
        <w:ind w:right="-108"/>
        <w:jc w:val="center"/>
        <w:outlineLvl w:val="0"/>
        <w:rPr>
          <w:rFonts w:asciiTheme="minorEastAsia" w:hAnsiTheme="minorEastAsia"/>
          <w:color w:val="auto"/>
          <w:spacing w:val="40"/>
          <w:sz w:val="52"/>
          <w:szCs w:val="52"/>
          <w:highlight w:val="none"/>
        </w:rPr>
      </w:pPr>
      <w:bookmarkStart w:id="165" w:name="_Toc24755"/>
      <w:bookmarkStart w:id="166" w:name="_Toc4606"/>
      <w:bookmarkStart w:id="167" w:name="_Toc11790"/>
      <w:bookmarkStart w:id="168" w:name="_Toc12630"/>
      <w:bookmarkStart w:id="169" w:name="_Toc17190"/>
      <w:bookmarkStart w:id="170" w:name="_Toc29941"/>
      <w:r>
        <w:rPr>
          <w:rFonts w:hint="eastAsia" w:asciiTheme="minorEastAsia" w:hAnsiTheme="minorEastAsia"/>
          <w:color w:val="auto"/>
          <w:spacing w:val="40"/>
          <w:sz w:val="52"/>
          <w:szCs w:val="52"/>
          <w:highlight w:val="none"/>
        </w:rPr>
        <w:t>项目名称</w:t>
      </w:r>
      <w:bookmarkEnd w:id="165"/>
      <w:bookmarkEnd w:id="166"/>
      <w:bookmarkEnd w:id="167"/>
      <w:bookmarkEnd w:id="168"/>
      <w:bookmarkEnd w:id="169"/>
      <w:bookmarkEnd w:id="170"/>
    </w:p>
    <w:p w14:paraId="63FAA221">
      <w:pPr>
        <w:spacing w:beforeLines="100" w:line="360" w:lineRule="auto"/>
        <w:ind w:right="-108"/>
        <w:jc w:val="center"/>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 xml:space="preserve">项目编号：   </w:t>
      </w:r>
    </w:p>
    <w:p w14:paraId="4B2CFFA7">
      <w:pPr>
        <w:spacing w:beforeLines="100" w:line="360" w:lineRule="auto"/>
        <w:ind w:right="-108"/>
        <w:jc w:val="center"/>
        <w:rPr>
          <w:rFonts w:cs="宋体" w:asciiTheme="minorEastAsia" w:hAnsiTheme="minorEastAsia"/>
          <w:color w:val="auto"/>
          <w:sz w:val="84"/>
          <w:szCs w:val="84"/>
          <w:highlight w:val="none"/>
          <w:lang w:val="zh-CN"/>
        </w:rPr>
      </w:pPr>
      <w:r>
        <w:rPr>
          <w:rFonts w:hint="eastAsia" w:cs="宋体" w:asciiTheme="minorEastAsia" w:hAnsiTheme="minorEastAsia"/>
          <w:color w:val="auto"/>
          <w:sz w:val="84"/>
          <w:szCs w:val="84"/>
          <w:highlight w:val="none"/>
          <w:lang w:val="zh-CN"/>
        </w:rPr>
        <w:t>投</w:t>
      </w:r>
    </w:p>
    <w:p w14:paraId="1B3040CD">
      <w:pPr>
        <w:autoSpaceDE w:val="0"/>
        <w:autoSpaceDN w:val="0"/>
        <w:adjustRightInd w:val="0"/>
        <w:spacing w:line="360" w:lineRule="auto"/>
        <w:jc w:val="center"/>
        <w:rPr>
          <w:rFonts w:cs="宋体" w:asciiTheme="minorEastAsia" w:hAnsiTheme="minorEastAsia"/>
          <w:color w:val="auto"/>
          <w:sz w:val="84"/>
          <w:szCs w:val="84"/>
          <w:highlight w:val="none"/>
          <w:lang w:val="zh-CN"/>
        </w:rPr>
      </w:pPr>
      <w:r>
        <w:rPr>
          <w:rFonts w:hint="eastAsia" w:cs="宋体" w:asciiTheme="minorEastAsia" w:hAnsiTheme="minorEastAsia"/>
          <w:color w:val="auto"/>
          <w:sz w:val="84"/>
          <w:szCs w:val="84"/>
          <w:highlight w:val="none"/>
          <w:lang w:val="zh-CN"/>
        </w:rPr>
        <w:t>标</w:t>
      </w:r>
    </w:p>
    <w:p w14:paraId="362EF1D4">
      <w:pPr>
        <w:autoSpaceDE w:val="0"/>
        <w:autoSpaceDN w:val="0"/>
        <w:adjustRightInd w:val="0"/>
        <w:spacing w:line="360" w:lineRule="auto"/>
        <w:jc w:val="center"/>
        <w:rPr>
          <w:rFonts w:asciiTheme="minorEastAsia" w:hAnsiTheme="minorEastAsia"/>
          <w:color w:val="auto"/>
          <w:sz w:val="84"/>
          <w:szCs w:val="84"/>
          <w:highlight w:val="none"/>
        </w:rPr>
      </w:pPr>
      <w:r>
        <w:rPr>
          <w:rFonts w:hint="eastAsia" w:cs="宋体" w:asciiTheme="minorEastAsia" w:hAnsiTheme="minorEastAsia"/>
          <w:color w:val="auto"/>
          <w:sz w:val="84"/>
          <w:szCs w:val="84"/>
          <w:highlight w:val="none"/>
          <w:lang w:val="zh-CN"/>
        </w:rPr>
        <w:t>文</w:t>
      </w:r>
    </w:p>
    <w:p w14:paraId="7C3DBF93">
      <w:pPr>
        <w:spacing w:after="100" w:afterAutospacing="1" w:line="360" w:lineRule="auto"/>
        <w:ind w:right="-108"/>
        <w:jc w:val="center"/>
        <w:rPr>
          <w:rFonts w:cs="宋体" w:asciiTheme="minorEastAsia" w:hAnsiTheme="minorEastAsia"/>
          <w:color w:val="auto"/>
          <w:sz w:val="84"/>
          <w:szCs w:val="84"/>
          <w:highlight w:val="none"/>
          <w:lang w:val="zh-CN"/>
        </w:rPr>
      </w:pPr>
      <w:r>
        <w:rPr>
          <w:rFonts w:hint="eastAsia" w:cs="宋体" w:asciiTheme="minorEastAsia" w:hAnsiTheme="minorEastAsia"/>
          <w:color w:val="auto"/>
          <w:sz w:val="84"/>
          <w:szCs w:val="84"/>
          <w:highlight w:val="none"/>
          <w:lang w:val="zh-CN"/>
        </w:rPr>
        <w:t>件</w:t>
      </w:r>
    </w:p>
    <w:p w14:paraId="3933850D">
      <w:pPr>
        <w:spacing w:after="100" w:afterAutospacing="1" w:line="360" w:lineRule="auto"/>
        <w:ind w:right="-108"/>
        <w:jc w:val="center"/>
        <w:rPr>
          <w:rFonts w:asciiTheme="minorEastAsia" w:hAnsiTheme="minorEastAsia"/>
          <w:b/>
          <w:color w:val="auto"/>
          <w:spacing w:val="40"/>
          <w:sz w:val="28"/>
          <w:szCs w:val="28"/>
          <w:highlight w:val="none"/>
        </w:rPr>
      </w:pPr>
      <w:r>
        <w:rPr>
          <w:rFonts w:hint="eastAsia" w:cs="宋体" w:asciiTheme="minorEastAsia" w:hAnsiTheme="minorEastAsia"/>
          <w:color w:val="auto"/>
          <w:sz w:val="28"/>
          <w:szCs w:val="28"/>
          <w:highlight w:val="none"/>
          <w:lang w:val="zh-CN"/>
        </w:rPr>
        <w:t>（</w:t>
      </w:r>
      <w:r>
        <w:rPr>
          <w:rFonts w:hint="eastAsia" w:asciiTheme="minorEastAsia" w:hAnsiTheme="minorEastAsia"/>
          <w:bCs/>
          <w:color w:val="auto"/>
          <w:sz w:val="24"/>
          <w:highlight w:val="none"/>
          <w:lang w:val="zh-CN"/>
        </w:rPr>
        <w:t>商务与技术文件</w:t>
      </w:r>
      <w:r>
        <w:rPr>
          <w:rFonts w:hint="eastAsia" w:asciiTheme="minorEastAsia" w:hAnsiTheme="minorEastAsia"/>
          <w:b/>
          <w:color w:val="auto"/>
          <w:spacing w:val="40"/>
          <w:sz w:val="28"/>
          <w:szCs w:val="28"/>
          <w:highlight w:val="none"/>
        </w:rPr>
        <w:t>）</w:t>
      </w:r>
    </w:p>
    <w:p w14:paraId="2DB7180A">
      <w:pPr>
        <w:spacing w:line="480" w:lineRule="auto"/>
        <w:ind w:right="532" w:firstLine="720" w:firstLineChars="200"/>
        <w:rPr>
          <w:rFonts w:asciiTheme="minorEastAsia" w:hAnsiTheme="minorEastAsia"/>
          <w:color w:val="auto"/>
          <w:sz w:val="36"/>
          <w:szCs w:val="36"/>
          <w:highlight w:val="none"/>
        </w:rPr>
      </w:pPr>
    </w:p>
    <w:p w14:paraId="72CCA970">
      <w:pPr>
        <w:spacing w:line="480" w:lineRule="auto"/>
        <w:ind w:right="532"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投标人名称（公章）：</w:t>
      </w:r>
    </w:p>
    <w:p w14:paraId="476D91CB">
      <w:pPr>
        <w:spacing w:line="480" w:lineRule="auto"/>
        <w:ind w:right="532"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投标人地址：</w:t>
      </w:r>
    </w:p>
    <w:p w14:paraId="36D5D6C6">
      <w:pPr>
        <w:spacing w:line="480" w:lineRule="auto"/>
        <w:ind w:right="532"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时</w:t>
      </w:r>
      <w:r>
        <w:rPr>
          <w:rFonts w:asciiTheme="minorEastAsia" w:hAnsiTheme="minorEastAsia"/>
          <w:color w:val="auto"/>
          <w:sz w:val="36"/>
          <w:szCs w:val="36"/>
          <w:highlight w:val="none"/>
        </w:rPr>
        <w:t xml:space="preserve">    间：</w:t>
      </w:r>
    </w:p>
    <w:p w14:paraId="15DF6C98">
      <w:pPr>
        <w:rPr>
          <w:rFonts w:asciiTheme="minorEastAsia" w:hAnsiTheme="minorEastAsia"/>
          <w:color w:val="auto"/>
          <w:highlight w:val="none"/>
        </w:rPr>
      </w:pPr>
    </w:p>
    <w:p w14:paraId="4A42AE8C">
      <w:pPr>
        <w:pStyle w:val="7"/>
        <w:rPr>
          <w:rFonts w:asciiTheme="minorEastAsia" w:hAnsiTheme="minorEastAsia" w:eastAsiaTheme="minorEastAsia"/>
          <w:color w:val="auto"/>
          <w:highlight w:val="none"/>
        </w:rPr>
      </w:pPr>
    </w:p>
    <w:p w14:paraId="1F33E933">
      <w:pPr>
        <w:pStyle w:val="12"/>
        <w:rPr>
          <w:rFonts w:asciiTheme="minorEastAsia" w:hAnsiTheme="minorEastAsia" w:eastAsiaTheme="minorEastAsia"/>
          <w:color w:val="auto"/>
          <w:highlight w:val="none"/>
        </w:rPr>
      </w:pPr>
    </w:p>
    <w:p w14:paraId="4F1A2428">
      <w:pPr>
        <w:rPr>
          <w:rFonts w:asciiTheme="minorEastAsia" w:hAnsiTheme="minorEastAsia"/>
          <w:b/>
          <w:color w:val="auto"/>
          <w:sz w:val="44"/>
          <w:szCs w:val="44"/>
          <w:highlight w:val="none"/>
        </w:rPr>
      </w:pPr>
    </w:p>
    <w:p w14:paraId="6CDFE831">
      <w:pPr>
        <w:jc w:val="center"/>
        <w:rPr>
          <w:rFonts w:asciiTheme="minorEastAsia" w:hAnsiTheme="minorEastAsia"/>
          <w:b/>
          <w:color w:val="auto"/>
          <w:sz w:val="44"/>
          <w:szCs w:val="44"/>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70F95D8">
      <w:pPr>
        <w:jc w:val="center"/>
        <w:rPr>
          <w:rFonts w:asciiTheme="minorEastAsia" w:hAnsiTheme="minorEastAsia"/>
          <w:b/>
          <w:color w:val="auto"/>
          <w:sz w:val="44"/>
          <w:szCs w:val="44"/>
          <w:highlight w:val="none"/>
        </w:rPr>
      </w:pPr>
      <w:r>
        <w:rPr>
          <w:rFonts w:asciiTheme="minorEastAsia" w:hAnsiTheme="minorEastAsia"/>
          <w:b/>
          <w:color w:val="auto"/>
          <w:sz w:val="44"/>
          <w:szCs w:val="44"/>
          <w:highlight w:val="none"/>
        </w:rPr>
        <w:t>技术商务文件</w:t>
      </w:r>
    </w:p>
    <w:p w14:paraId="211B16E2">
      <w:pPr>
        <w:jc w:val="center"/>
        <w:rPr>
          <w:rFonts w:asciiTheme="minorEastAsia" w:hAnsiTheme="minorEastAsia"/>
          <w:b/>
          <w:color w:val="auto"/>
          <w:sz w:val="32"/>
          <w:szCs w:val="32"/>
          <w:highlight w:val="none"/>
        </w:rPr>
      </w:pPr>
      <w:r>
        <w:rPr>
          <w:rFonts w:asciiTheme="minorEastAsia" w:hAnsiTheme="minorEastAsia"/>
          <w:b/>
          <w:color w:val="auto"/>
          <w:sz w:val="32"/>
          <w:szCs w:val="32"/>
          <w:highlight w:val="none"/>
        </w:rPr>
        <w:t>目录</w:t>
      </w:r>
    </w:p>
    <w:p w14:paraId="2058C15F">
      <w:pPr>
        <w:spacing w:line="480" w:lineRule="auto"/>
        <w:jc w:val="left"/>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商务技术自评表</w:t>
      </w:r>
      <w:r>
        <w:rPr>
          <w:rFonts w:asciiTheme="minorEastAsia" w:hAnsiTheme="minorEastAsia"/>
          <w:color w:val="auto"/>
          <w:sz w:val="24"/>
          <w:highlight w:val="none"/>
        </w:rPr>
        <w:t>…………………………………………………………………………（页码）</w:t>
      </w:r>
    </w:p>
    <w:p w14:paraId="051C5FE7">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2、供应商基本情况表</w:t>
      </w:r>
      <w:r>
        <w:rPr>
          <w:rFonts w:asciiTheme="minorEastAsia" w:hAnsiTheme="minorEastAsia"/>
          <w:color w:val="auto"/>
          <w:sz w:val="24"/>
          <w:highlight w:val="none"/>
        </w:rPr>
        <w:t>…………………………………………………………………………（页码）</w:t>
      </w:r>
    </w:p>
    <w:p w14:paraId="17CF3597">
      <w:pPr>
        <w:spacing w:line="48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3、</w:t>
      </w:r>
      <w:r>
        <w:rPr>
          <w:rFonts w:hint="eastAsia" w:ascii="Times New Roman" w:hAnsi="Times New Roman" w:eastAsia="宋体"/>
          <w:color w:val="auto"/>
          <w:szCs w:val="21"/>
          <w:highlight w:val="none"/>
        </w:rPr>
        <w:t>法定代表人授权书（</w:t>
      </w:r>
      <w:r>
        <w:rPr>
          <w:rFonts w:ascii="Times New Roman" w:hAnsi="Times New Roman" w:eastAsia="宋体"/>
          <w:color w:val="auto"/>
          <w:szCs w:val="21"/>
          <w:highlight w:val="none"/>
        </w:rPr>
        <w:t>若投标人代表系法定代表人，无</w:t>
      </w:r>
      <w:r>
        <w:rPr>
          <w:rFonts w:hint="eastAsia" w:ascii="Times New Roman" w:hAnsi="Times New Roman" w:eastAsia="宋体"/>
          <w:color w:val="auto"/>
          <w:szCs w:val="21"/>
          <w:highlight w:val="none"/>
        </w:rPr>
        <w:t>需提供</w:t>
      </w:r>
      <w:r>
        <w:rPr>
          <w:rFonts w:ascii="Times New Roman" w:hAnsi="Times New Roman" w:eastAsia="宋体"/>
          <w:color w:val="auto"/>
          <w:szCs w:val="21"/>
          <w:highlight w:val="none"/>
        </w:rPr>
        <w:t>授权书，</w:t>
      </w:r>
      <w:r>
        <w:rPr>
          <w:rFonts w:hint="eastAsia" w:ascii="Times New Roman" w:hAnsi="Times New Roman" w:eastAsia="宋体"/>
          <w:color w:val="auto"/>
          <w:szCs w:val="21"/>
          <w:highlight w:val="none"/>
        </w:rPr>
        <w:t>必须提供法定代表人身份证</w:t>
      </w:r>
      <w:r>
        <w:rPr>
          <w:rFonts w:hint="eastAsia" w:ascii="Times New Roman" w:hAnsi="Times New Roman" w:eastAsia="宋体"/>
          <w:color w:val="auto"/>
          <w:szCs w:val="21"/>
          <w:highlight w:val="none"/>
          <w:lang w:eastAsia="zh-CN"/>
        </w:rPr>
        <w:t>扫描件</w:t>
      </w:r>
      <w:r>
        <w:rPr>
          <w:rFonts w:hint="eastAsia" w:ascii="Times New Roman" w:hAnsi="Times New Roman" w:eastAsia="宋体"/>
          <w:color w:val="auto"/>
          <w:szCs w:val="21"/>
          <w:highlight w:val="none"/>
        </w:rPr>
        <w:t>及法定代表人身份证</w:t>
      </w:r>
      <w:r>
        <w:rPr>
          <w:rFonts w:hint="eastAsia" w:ascii="Times New Roman" w:hAnsi="Times New Roman" w:eastAsia="宋体"/>
          <w:color w:val="auto"/>
          <w:szCs w:val="21"/>
          <w:highlight w:val="none"/>
          <w:lang w:eastAsia="zh-CN"/>
        </w:rPr>
        <w:t>明书</w:t>
      </w:r>
      <w:r>
        <w:rPr>
          <w:rFonts w:hint="eastAsia" w:asciiTheme="minorEastAsia" w:hAnsiTheme="minorEastAsia"/>
          <w:color w:val="auto"/>
          <w:sz w:val="24"/>
          <w:highlight w:val="none"/>
        </w:rPr>
        <w:t>……………………………………………………………………（页码）</w:t>
      </w:r>
    </w:p>
    <w:p w14:paraId="3A1A9FAB">
      <w:pPr>
        <w:spacing w:line="480" w:lineRule="auto"/>
        <w:jc w:val="left"/>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lang w:val="en-US" w:eastAsia="zh-CN"/>
        </w:rPr>
        <w:t>4、整体服务方案</w:t>
      </w:r>
      <w:r>
        <w:rPr>
          <w:rFonts w:hint="eastAsia" w:asciiTheme="minorEastAsia" w:hAnsiTheme="minorEastAsia"/>
          <w:color w:val="auto"/>
          <w:sz w:val="24"/>
          <w:highlight w:val="none"/>
        </w:rPr>
        <w:t>……………………………………………………………………………（页码）</w:t>
      </w:r>
    </w:p>
    <w:p w14:paraId="370CF91B">
      <w:pPr>
        <w:spacing w:line="48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lang w:val="en-US" w:eastAsia="zh-CN"/>
        </w:rPr>
        <w:t>5、</w:t>
      </w:r>
      <w:r>
        <w:rPr>
          <w:rFonts w:hint="eastAsia" w:asciiTheme="minorEastAsia" w:hAnsiTheme="minorEastAsia"/>
          <w:color w:val="auto"/>
          <w:sz w:val="24"/>
          <w:highlight w:val="none"/>
        </w:rPr>
        <w:t>证书一览表………………………………………………………………………………（页码）</w:t>
      </w:r>
    </w:p>
    <w:p w14:paraId="6328B791">
      <w:pPr>
        <w:spacing w:line="48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lang w:val="en-US" w:eastAsia="zh-CN"/>
        </w:rPr>
        <w:t>6</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技术规范</w:t>
      </w:r>
      <w:r>
        <w:rPr>
          <w:rFonts w:hint="eastAsia" w:asciiTheme="minorEastAsia" w:hAnsiTheme="minorEastAsia"/>
          <w:color w:val="auto"/>
          <w:sz w:val="24"/>
          <w:highlight w:val="none"/>
        </w:rPr>
        <w:t>偏离表…………………………………………………………………………（页码）</w:t>
      </w:r>
    </w:p>
    <w:p w14:paraId="51009A2F">
      <w:pPr>
        <w:spacing w:line="480" w:lineRule="auto"/>
        <w:jc w:val="left"/>
        <w:rPr>
          <w:rFonts w:hint="eastAsia" w:asciiTheme="minorEastAsia" w:hAnsiTheme="minorEastAsia"/>
          <w:color w:val="auto"/>
          <w:sz w:val="24"/>
          <w:highlight w:val="none"/>
          <w:lang w:eastAsia="zh-CN"/>
        </w:rPr>
      </w:pPr>
      <w:r>
        <w:rPr>
          <w:rFonts w:hint="eastAsia" w:asciiTheme="minorEastAsia" w:hAnsiTheme="minorEastAsia"/>
          <w:color w:val="auto"/>
          <w:sz w:val="24"/>
          <w:highlight w:val="none"/>
          <w:lang w:val="en-US" w:eastAsia="zh-CN"/>
        </w:rPr>
        <w:t>7</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商务偏离表</w:t>
      </w:r>
      <w:r>
        <w:rPr>
          <w:rFonts w:hint="eastAsia" w:asciiTheme="minorEastAsia" w:hAnsiTheme="minorEastAsia"/>
          <w:color w:val="auto"/>
          <w:sz w:val="24"/>
          <w:highlight w:val="none"/>
        </w:rPr>
        <w:t>………………………………………………………………………………（页码）</w:t>
      </w:r>
    </w:p>
    <w:p w14:paraId="3381BF9A">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8</w:t>
      </w:r>
      <w:r>
        <w:rPr>
          <w:rFonts w:asciiTheme="minorEastAsia" w:hAnsiTheme="minorEastAsia"/>
          <w:color w:val="auto"/>
          <w:sz w:val="24"/>
          <w:highlight w:val="none"/>
        </w:rPr>
        <w:t>、</w:t>
      </w:r>
      <w:r>
        <w:rPr>
          <w:rFonts w:hint="eastAsia" w:asciiTheme="minorEastAsia" w:hAnsiTheme="minorEastAsia"/>
          <w:color w:val="auto"/>
          <w:sz w:val="24"/>
          <w:highlight w:val="none"/>
        </w:rPr>
        <w:t>项目实施人员一览表</w:t>
      </w:r>
      <w:r>
        <w:rPr>
          <w:rFonts w:asciiTheme="minorEastAsia" w:hAnsiTheme="minorEastAsia"/>
          <w:color w:val="auto"/>
          <w:sz w:val="24"/>
          <w:highlight w:val="none"/>
        </w:rPr>
        <w:t>……………………………………………………………………（页码）</w:t>
      </w:r>
    </w:p>
    <w:p w14:paraId="26A320E0">
      <w:pPr>
        <w:spacing w:line="48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color w:val="auto"/>
          <w:sz w:val="24"/>
          <w:highlight w:val="none"/>
          <w:lang w:val="en-US" w:eastAsia="zh-CN"/>
        </w:rPr>
        <w:t>9</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车辆配置表</w:t>
      </w:r>
      <w:r>
        <w:rPr>
          <w:rFonts w:hint="eastAsia" w:asciiTheme="minorEastAsia" w:hAnsiTheme="minorEastAsia"/>
          <w:color w:val="auto"/>
          <w:sz w:val="24"/>
          <w:highlight w:val="none"/>
        </w:rPr>
        <w:t>………………………………………………………………………………（页码）</w:t>
      </w:r>
    </w:p>
    <w:p w14:paraId="695D4A79">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10、</w:t>
      </w:r>
      <w:r>
        <w:rPr>
          <w:rFonts w:asciiTheme="minorEastAsia" w:hAnsiTheme="minorEastAsia"/>
          <w:color w:val="auto"/>
          <w:sz w:val="24"/>
          <w:highlight w:val="none"/>
        </w:rPr>
        <w:t>相关项目实施业绩一览表………………………………………………………………（页码）</w:t>
      </w:r>
    </w:p>
    <w:p w14:paraId="4D1F2E12">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11</w:t>
      </w:r>
      <w:r>
        <w:rPr>
          <w:rFonts w:hint="eastAsia" w:asciiTheme="minorEastAsia" w:hAnsiTheme="minorEastAsia"/>
          <w:color w:val="auto"/>
          <w:sz w:val="24"/>
          <w:highlight w:val="none"/>
        </w:rPr>
        <w:t>、评分标准或采购文件需要提供的其他技术商务材料…</w:t>
      </w:r>
      <w:r>
        <w:rPr>
          <w:rFonts w:asciiTheme="minorEastAsia" w:hAnsiTheme="minorEastAsia"/>
          <w:color w:val="auto"/>
          <w:sz w:val="24"/>
          <w:highlight w:val="none"/>
        </w:rPr>
        <w:t>………………………</w:t>
      </w:r>
      <w:r>
        <w:rPr>
          <w:rFonts w:hint="eastAsia" w:asciiTheme="minorEastAsia" w:hAnsiTheme="minorEastAsia"/>
          <w:color w:val="auto"/>
          <w:sz w:val="24"/>
          <w:highlight w:val="none"/>
        </w:rPr>
        <w:t>……（页码）</w:t>
      </w:r>
    </w:p>
    <w:p w14:paraId="659FF47B">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1</w:t>
      </w:r>
      <w:r>
        <w:rPr>
          <w:rFonts w:hint="eastAsia" w:asciiTheme="minorEastAsia" w:hAnsiTheme="minorEastAsia"/>
          <w:color w:val="auto"/>
          <w:sz w:val="24"/>
          <w:highlight w:val="none"/>
          <w:lang w:val="en-US" w:eastAsia="zh-CN"/>
        </w:rPr>
        <w:t>2</w:t>
      </w:r>
      <w:r>
        <w:rPr>
          <w:rFonts w:hint="eastAsia" w:asciiTheme="minorEastAsia" w:hAnsiTheme="minorEastAsia"/>
          <w:color w:val="auto"/>
          <w:sz w:val="24"/>
          <w:highlight w:val="none"/>
        </w:rPr>
        <w:t>、供应商认为有必要提供的其他技术商务文件资料………</w:t>
      </w:r>
      <w:r>
        <w:rPr>
          <w:rFonts w:asciiTheme="minorEastAsia" w:hAnsiTheme="minorEastAsia"/>
          <w:color w:val="auto"/>
          <w:sz w:val="24"/>
          <w:highlight w:val="none"/>
        </w:rPr>
        <w:t>………………………</w:t>
      </w:r>
      <w:r>
        <w:rPr>
          <w:rFonts w:hint="eastAsia" w:asciiTheme="minorEastAsia" w:hAnsiTheme="minorEastAsia"/>
          <w:color w:val="auto"/>
          <w:sz w:val="24"/>
          <w:highlight w:val="none"/>
        </w:rPr>
        <w:t>…（页码）</w:t>
      </w:r>
    </w:p>
    <w:p w14:paraId="642137F0">
      <w:pPr>
        <w:spacing w:line="480" w:lineRule="auto"/>
        <w:jc w:val="left"/>
        <w:rPr>
          <w:rFonts w:asciiTheme="minorEastAsia" w:hAnsiTheme="minorEastAsia"/>
          <w:color w:val="auto"/>
          <w:sz w:val="24"/>
          <w:highlight w:val="none"/>
        </w:rPr>
      </w:pPr>
      <w:r>
        <w:rPr>
          <w:rFonts w:asciiTheme="minorEastAsia" w:hAnsiTheme="minorEastAsia"/>
          <w:color w:val="auto"/>
          <w:sz w:val="24"/>
          <w:highlight w:val="none"/>
        </w:rPr>
        <w:t>......( 目录自行扩展)</w:t>
      </w:r>
    </w:p>
    <w:p w14:paraId="439FA2B1">
      <w:pPr>
        <w:pStyle w:val="12"/>
        <w:rPr>
          <w:rFonts w:asciiTheme="minorEastAsia" w:hAnsiTheme="minorEastAsia" w:eastAsiaTheme="minorEastAsia"/>
          <w:color w:val="auto"/>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3D7BDC2">
      <w:pPr>
        <w:pStyle w:val="9"/>
        <w:rPr>
          <w:rFonts w:asciiTheme="minorEastAsia" w:hAnsiTheme="minorEastAsia" w:eastAsiaTheme="minorEastAsia"/>
          <w:color w:val="auto"/>
          <w:highlight w:val="none"/>
        </w:rPr>
      </w:pPr>
    </w:p>
    <w:p w14:paraId="18D80593">
      <w:pPr>
        <w:pStyle w:val="37"/>
        <w:numPr>
          <w:ilvl w:val="0"/>
          <w:numId w:val="4"/>
        </w:numPr>
        <w:spacing w:afterLines="50" w:line="360" w:lineRule="auto"/>
        <w:ind w:firstLineChars="0"/>
        <w:jc w:val="center"/>
        <w:outlineLvl w:val="0"/>
        <w:rPr>
          <w:rFonts w:cs="Times New Roman" w:asciiTheme="minorEastAsia" w:hAnsiTheme="minorEastAsia" w:eastAsiaTheme="minorEastAsia"/>
          <w:b/>
          <w:color w:val="auto"/>
          <w:kern w:val="2"/>
          <w:sz w:val="32"/>
          <w:szCs w:val="32"/>
          <w:highlight w:val="none"/>
        </w:rPr>
      </w:pPr>
      <w:bookmarkStart w:id="171" w:name="_Toc4248"/>
      <w:bookmarkStart w:id="172" w:name="_Toc28471"/>
      <w:bookmarkStart w:id="173" w:name="_Toc26107"/>
      <w:bookmarkStart w:id="174" w:name="_Toc25635"/>
      <w:bookmarkStart w:id="175" w:name="_Toc20566"/>
      <w:bookmarkStart w:id="176" w:name="_Toc13033"/>
      <w:r>
        <w:rPr>
          <w:rFonts w:hint="eastAsia" w:cs="Times New Roman" w:asciiTheme="minorEastAsia" w:hAnsiTheme="minorEastAsia" w:eastAsiaTheme="minorEastAsia"/>
          <w:b/>
          <w:color w:val="auto"/>
          <w:kern w:val="2"/>
          <w:sz w:val="32"/>
          <w:szCs w:val="32"/>
          <w:highlight w:val="none"/>
        </w:rPr>
        <w:t>商务技术自评表</w:t>
      </w:r>
      <w:bookmarkEnd w:id="171"/>
      <w:bookmarkEnd w:id="172"/>
      <w:bookmarkEnd w:id="173"/>
      <w:bookmarkEnd w:id="174"/>
      <w:bookmarkEnd w:id="175"/>
      <w:bookmarkEnd w:id="176"/>
    </w:p>
    <w:tbl>
      <w:tblPr>
        <w:tblStyle w:val="22"/>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4"/>
        <w:gridCol w:w="5567"/>
        <w:gridCol w:w="709"/>
        <w:gridCol w:w="709"/>
        <w:gridCol w:w="1145"/>
      </w:tblGrid>
      <w:tr w14:paraId="1A74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9C4E690">
            <w:pPr>
              <w:spacing w:line="360" w:lineRule="exact"/>
              <w:jc w:val="center"/>
              <w:rPr>
                <w:rFonts w:cs="宋体" w:asciiTheme="minorEastAsia" w:hAnsiTheme="minorEastAsia"/>
                <w:b/>
                <w:color w:val="auto"/>
                <w:spacing w:val="20"/>
                <w:szCs w:val="21"/>
                <w:highlight w:val="none"/>
              </w:rPr>
            </w:pPr>
            <w:r>
              <w:rPr>
                <w:rFonts w:hint="eastAsia" w:cs="宋体" w:asciiTheme="minorEastAsia" w:hAnsiTheme="minorEastAsia"/>
                <w:b/>
                <w:color w:val="auto"/>
                <w:spacing w:val="20"/>
                <w:szCs w:val="21"/>
                <w:highlight w:val="none"/>
              </w:rPr>
              <w:t>评审项目</w:t>
            </w:r>
          </w:p>
        </w:tc>
        <w:tc>
          <w:tcPr>
            <w:tcW w:w="5567" w:type="dxa"/>
            <w:tcBorders>
              <w:top w:val="single" w:color="auto" w:sz="2" w:space="0"/>
              <w:left w:val="single" w:color="auto" w:sz="4" w:space="0"/>
              <w:bottom w:val="single" w:color="auto" w:sz="2" w:space="0"/>
              <w:right w:val="single" w:color="auto" w:sz="2" w:space="0"/>
            </w:tcBorders>
            <w:vAlign w:val="center"/>
          </w:tcPr>
          <w:p w14:paraId="0549BCC5">
            <w:pPr>
              <w:spacing w:line="360" w:lineRule="exact"/>
              <w:jc w:val="center"/>
              <w:rPr>
                <w:rFonts w:cs="宋体" w:asciiTheme="minorEastAsia" w:hAnsiTheme="minorEastAsia"/>
                <w:b/>
                <w:color w:val="auto"/>
                <w:spacing w:val="20"/>
                <w:szCs w:val="21"/>
                <w:highlight w:val="none"/>
              </w:rPr>
            </w:pPr>
            <w:r>
              <w:rPr>
                <w:rFonts w:hint="eastAsia" w:cs="宋体" w:asciiTheme="minorEastAsia" w:hAnsiTheme="minorEastAsia"/>
                <w:b/>
                <w:color w:val="auto"/>
                <w:spacing w:val="20"/>
                <w:szCs w:val="21"/>
                <w:highlight w:val="none"/>
              </w:rPr>
              <w:t>评审细则</w:t>
            </w:r>
          </w:p>
        </w:tc>
        <w:tc>
          <w:tcPr>
            <w:tcW w:w="709" w:type="dxa"/>
            <w:tcBorders>
              <w:top w:val="single" w:color="auto" w:sz="2" w:space="0"/>
              <w:left w:val="single" w:color="auto" w:sz="4" w:space="0"/>
              <w:bottom w:val="single" w:color="auto" w:sz="2" w:space="0"/>
              <w:right w:val="single" w:color="auto" w:sz="2" w:space="0"/>
            </w:tcBorders>
            <w:vAlign w:val="center"/>
          </w:tcPr>
          <w:p w14:paraId="292B1CFD">
            <w:pPr>
              <w:spacing w:line="360" w:lineRule="exact"/>
              <w:jc w:val="center"/>
              <w:rPr>
                <w:rFonts w:cs="宋体" w:asciiTheme="minorEastAsia" w:hAnsiTheme="minorEastAsia"/>
                <w:b/>
                <w:color w:val="auto"/>
                <w:spacing w:val="20"/>
                <w:szCs w:val="21"/>
                <w:highlight w:val="none"/>
              </w:rPr>
            </w:pPr>
            <w:r>
              <w:rPr>
                <w:rFonts w:hint="eastAsia" w:cs="宋体" w:asciiTheme="minorEastAsia" w:hAnsiTheme="minorEastAsia"/>
                <w:b/>
                <w:color w:val="auto"/>
                <w:spacing w:val="20"/>
                <w:szCs w:val="21"/>
                <w:highlight w:val="none"/>
              </w:rPr>
              <w:t>分值</w:t>
            </w:r>
          </w:p>
        </w:tc>
        <w:tc>
          <w:tcPr>
            <w:tcW w:w="709" w:type="dxa"/>
            <w:tcBorders>
              <w:top w:val="single" w:color="auto" w:sz="2" w:space="0"/>
              <w:left w:val="single" w:color="auto" w:sz="4" w:space="0"/>
              <w:bottom w:val="single" w:color="auto" w:sz="2" w:space="0"/>
              <w:right w:val="single" w:color="auto" w:sz="2" w:space="0"/>
            </w:tcBorders>
            <w:vAlign w:val="center"/>
          </w:tcPr>
          <w:p w14:paraId="2B296184">
            <w:pPr>
              <w:spacing w:line="360" w:lineRule="exact"/>
              <w:jc w:val="center"/>
              <w:rPr>
                <w:rFonts w:cs="宋体" w:asciiTheme="minorEastAsia" w:hAnsiTheme="minorEastAsia"/>
                <w:b/>
                <w:color w:val="auto"/>
                <w:spacing w:val="20"/>
                <w:szCs w:val="21"/>
                <w:highlight w:val="none"/>
              </w:rPr>
            </w:pPr>
            <w:r>
              <w:rPr>
                <w:rFonts w:hint="eastAsia" w:cs="宋体" w:asciiTheme="minorEastAsia" w:hAnsiTheme="minorEastAsia"/>
                <w:b/>
                <w:color w:val="auto"/>
                <w:spacing w:val="20"/>
                <w:szCs w:val="21"/>
                <w:highlight w:val="none"/>
              </w:rPr>
              <w:t>自评分</w:t>
            </w:r>
          </w:p>
        </w:tc>
        <w:tc>
          <w:tcPr>
            <w:tcW w:w="1145" w:type="dxa"/>
            <w:tcBorders>
              <w:top w:val="single" w:color="auto" w:sz="2" w:space="0"/>
              <w:left w:val="single" w:color="auto" w:sz="4" w:space="0"/>
              <w:bottom w:val="single" w:color="auto" w:sz="2" w:space="0"/>
              <w:right w:val="single" w:color="auto" w:sz="2" w:space="0"/>
            </w:tcBorders>
            <w:vAlign w:val="center"/>
          </w:tcPr>
          <w:p w14:paraId="0A2EF214">
            <w:pPr>
              <w:spacing w:line="360" w:lineRule="exact"/>
              <w:jc w:val="center"/>
              <w:rPr>
                <w:rFonts w:cs="宋体" w:asciiTheme="minorEastAsia" w:hAnsiTheme="minorEastAsia"/>
                <w:b/>
                <w:color w:val="auto"/>
                <w:spacing w:val="20"/>
                <w:szCs w:val="21"/>
                <w:highlight w:val="none"/>
              </w:rPr>
            </w:pPr>
            <w:r>
              <w:rPr>
                <w:rFonts w:hint="eastAsia" w:cs="宋体" w:asciiTheme="minorEastAsia" w:hAnsiTheme="minorEastAsia"/>
                <w:b/>
                <w:color w:val="auto"/>
                <w:spacing w:val="20"/>
                <w:szCs w:val="21"/>
                <w:highlight w:val="none"/>
              </w:rPr>
              <w:t>投标文件对应页码</w:t>
            </w:r>
          </w:p>
        </w:tc>
      </w:tr>
      <w:tr w14:paraId="2977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32F0963">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98068AF">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9F60A2C">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17A86C0">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04EE8FD">
            <w:pPr>
              <w:spacing w:line="360" w:lineRule="exact"/>
              <w:jc w:val="center"/>
              <w:rPr>
                <w:rFonts w:cs="宋体" w:asciiTheme="minorEastAsia" w:hAnsiTheme="minorEastAsia"/>
                <w:b/>
                <w:color w:val="auto"/>
                <w:spacing w:val="20"/>
                <w:szCs w:val="21"/>
                <w:highlight w:val="none"/>
              </w:rPr>
            </w:pPr>
          </w:p>
        </w:tc>
      </w:tr>
      <w:tr w14:paraId="5A44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2216654">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02C01F8C">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72D943B">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87687FA">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33A00CA8">
            <w:pPr>
              <w:spacing w:line="360" w:lineRule="exact"/>
              <w:jc w:val="center"/>
              <w:rPr>
                <w:rFonts w:cs="宋体" w:asciiTheme="minorEastAsia" w:hAnsiTheme="minorEastAsia"/>
                <w:b/>
                <w:color w:val="auto"/>
                <w:spacing w:val="20"/>
                <w:szCs w:val="21"/>
                <w:highlight w:val="none"/>
              </w:rPr>
            </w:pPr>
          </w:p>
        </w:tc>
      </w:tr>
      <w:tr w14:paraId="0434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5B4BA51">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7D9D509F">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D7E0B72">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25F593D">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36BEA234">
            <w:pPr>
              <w:spacing w:line="360" w:lineRule="exact"/>
              <w:jc w:val="center"/>
              <w:rPr>
                <w:rFonts w:cs="宋体" w:asciiTheme="minorEastAsia" w:hAnsiTheme="minorEastAsia"/>
                <w:b/>
                <w:color w:val="auto"/>
                <w:spacing w:val="20"/>
                <w:szCs w:val="21"/>
                <w:highlight w:val="none"/>
              </w:rPr>
            </w:pPr>
          </w:p>
        </w:tc>
      </w:tr>
      <w:tr w14:paraId="132C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3CD015E">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7ABF324">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01413C1">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6DFEBF4">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E3B442F">
            <w:pPr>
              <w:spacing w:line="360" w:lineRule="exact"/>
              <w:jc w:val="center"/>
              <w:rPr>
                <w:rFonts w:cs="宋体" w:asciiTheme="minorEastAsia" w:hAnsiTheme="minorEastAsia"/>
                <w:b/>
                <w:color w:val="auto"/>
                <w:spacing w:val="20"/>
                <w:szCs w:val="21"/>
                <w:highlight w:val="none"/>
              </w:rPr>
            </w:pPr>
          </w:p>
        </w:tc>
      </w:tr>
      <w:tr w14:paraId="2F46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2F12940">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2D5AE09">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B8B9B8A">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7EADDEC">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AA8D317">
            <w:pPr>
              <w:spacing w:line="360" w:lineRule="exact"/>
              <w:jc w:val="center"/>
              <w:rPr>
                <w:rFonts w:cs="宋体" w:asciiTheme="minorEastAsia" w:hAnsiTheme="minorEastAsia"/>
                <w:b/>
                <w:color w:val="auto"/>
                <w:spacing w:val="20"/>
                <w:szCs w:val="21"/>
                <w:highlight w:val="none"/>
              </w:rPr>
            </w:pPr>
          </w:p>
        </w:tc>
      </w:tr>
      <w:tr w14:paraId="6A0D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42F56FF">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953905E">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CDBB75A">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46CDA86">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1F256FEE">
            <w:pPr>
              <w:spacing w:line="360" w:lineRule="exact"/>
              <w:jc w:val="center"/>
              <w:rPr>
                <w:rFonts w:cs="宋体" w:asciiTheme="minorEastAsia" w:hAnsiTheme="minorEastAsia"/>
                <w:b/>
                <w:color w:val="auto"/>
                <w:spacing w:val="20"/>
                <w:szCs w:val="21"/>
                <w:highlight w:val="none"/>
              </w:rPr>
            </w:pPr>
          </w:p>
        </w:tc>
      </w:tr>
      <w:tr w14:paraId="0FEA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DC15EFE">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B2D62D7">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3DF7942">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72DC25C">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6B28161">
            <w:pPr>
              <w:spacing w:line="360" w:lineRule="exact"/>
              <w:jc w:val="center"/>
              <w:rPr>
                <w:rFonts w:cs="宋体" w:asciiTheme="minorEastAsia" w:hAnsiTheme="minorEastAsia"/>
                <w:b/>
                <w:color w:val="auto"/>
                <w:spacing w:val="20"/>
                <w:szCs w:val="21"/>
                <w:highlight w:val="none"/>
              </w:rPr>
            </w:pPr>
          </w:p>
        </w:tc>
      </w:tr>
      <w:tr w14:paraId="2D89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E7826C4">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DC63FE4">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DF86B09">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7CC278C">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0DD2E30">
            <w:pPr>
              <w:spacing w:line="360" w:lineRule="exact"/>
              <w:jc w:val="center"/>
              <w:rPr>
                <w:rFonts w:cs="宋体" w:asciiTheme="minorEastAsia" w:hAnsiTheme="minorEastAsia"/>
                <w:b/>
                <w:color w:val="auto"/>
                <w:spacing w:val="20"/>
                <w:szCs w:val="21"/>
                <w:highlight w:val="none"/>
              </w:rPr>
            </w:pPr>
          </w:p>
        </w:tc>
      </w:tr>
      <w:tr w14:paraId="61DE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876A12E">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DC43476">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A9FE549">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58CC099">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D663EC0">
            <w:pPr>
              <w:spacing w:line="360" w:lineRule="exact"/>
              <w:jc w:val="center"/>
              <w:rPr>
                <w:rFonts w:cs="宋体" w:asciiTheme="minorEastAsia" w:hAnsiTheme="minorEastAsia"/>
                <w:b/>
                <w:color w:val="auto"/>
                <w:spacing w:val="20"/>
                <w:szCs w:val="21"/>
                <w:highlight w:val="none"/>
              </w:rPr>
            </w:pPr>
          </w:p>
        </w:tc>
      </w:tr>
      <w:tr w14:paraId="4113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AF4C61F">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5B6EF14">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4EB3CCD">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58AF156">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AAACB3F">
            <w:pPr>
              <w:spacing w:line="360" w:lineRule="exact"/>
              <w:jc w:val="center"/>
              <w:rPr>
                <w:rFonts w:cs="宋体" w:asciiTheme="minorEastAsia" w:hAnsiTheme="minorEastAsia"/>
                <w:b/>
                <w:color w:val="auto"/>
                <w:spacing w:val="20"/>
                <w:szCs w:val="21"/>
                <w:highlight w:val="none"/>
              </w:rPr>
            </w:pPr>
          </w:p>
        </w:tc>
      </w:tr>
      <w:tr w14:paraId="4901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2ACF76A">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BCF3667">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7A48B31">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213612F">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0142178">
            <w:pPr>
              <w:spacing w:line="360" w:lineRule="exact"/>
              <w:jc w:val="center"/>
              <w:rPr>
                <w:rFonts w:cs="宋体" w:asciiTheme="minorEastAsia" w:hAnsiTheme="minorEastAsia"/>
                <w:b/>
                <w:color w:val="auto"/>
                <w:spacing w:val="20"/>
                <w:szCs w:val="21"/>
                <w:highlight w:val="none"/>
              </w:rPr>
            </w:pPr>
          </w:p>
        </w:tc>
      </w:tr>
    </w:tbl>
    <w:p w14:paraId="5949A550">
      <w:pPr>
        <w:spacing w:afterLines="50" w:line="360" w:lineRule="auto"/>
        <w:jc w:val="center"/>
        <w:outlineLvl w:val="0"/>
        <w:rPr>
          <w:rFonts w:asciiTheme="minorEastAsia" w:hAnsiTheme="minorEastAsia"/>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B25BA17">
      <w:pPr>
        <w:spacing w:afterLines="50" w:line="360" w:lineRule="auto"/>
        <w:jc w:val="center"/>
        <w:outlineLvl w:val="0"/>
        <w:rPr>
          <w:rFonts w:asciiTheme="minorEastAsia" w:hAnsiTheme="minorEastAsia"/>
          <w:b/>
          <w:color w:val="auto"/>
          <w:sz w:val="32"/>
          <w:szCs w:val="32"/>
          <w:highlight w:val="none"/>
        </w:rPr>
      </w:pPr>
      <w:bookmarkStart w:id="177" w:name="_Toc2650"/>
      <w:bookmarkStart w:id="178" w:name="_Toc29896"/>
      <w:bookmarkStart w:id="179" w:name="_Toc5952"/>
      <w:bookmarkStart w:id="180" w:name="_Toc8155"/>
      <w:bookmarkStart w:id="181" w:name="_Toc15162"/>
      <w:bookmarkStart w:id="182" w:name="_Toc10969"/>
      <w:r>
        <w:rPr>
          <w:rFonts w:hint="eastAsia" w:asciiTheme="minorEastAsia" w:hAnsiTheme="minorEastAsia"/>
          <w:b/>
          <w:color w:val="auto"/>
          <w:sz w:val="32"/>
          <w:szCs w:val="32"/>
          <w:highlight w:val="none"/>
        </w:rPr>
        <w:t>二、供应商基本情况表</w:t>
      </w:r>
      <w:bookmarkEnd w:id="177"/>
      <w:bookmarkEnd w:id="178"/>
      <w:bookmarkEnd w:id="179"/>
      <w:bookmarkEnd w:id="180"/>
      <w:bookmarkEnd w:id="181"/>
      <w:bookmarkEnd w:id="182"/>
    </w:p>
    <w:tbl>
      <w:tblPr>
        <w:tblStyle w:val="2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453"/>
      </w:tblGrid>
      <w:tr w14:paraId="1837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9FCAC1F">
            <w:pPr>
              <w:spacing w:line="360" w:lineRule="exact"/>
              <w:jc w:val="center"/>
              <w:rPr>
                <w:rFonts w:ascii="Times New Roman" w:hAnsi="Times New Roman" w:cs="宋体"/>
                <w:color w:val="auto"/>
                <w:szCs w:val="21"/>
                <w:highlight w:val="none"/>
              </w:rPr>
            </w:pPr>
            <w:bookmarkStart w:id="183" w:name="_Toc14297"/>
            <w:bookmarkStart w:id="184" w:name="_Toc20172"/>
            <w:bookmarkStart w:id="185" w:name="_Toc5320"/>
            <w:bookmarkStart w:id="186" w:name="_Toc4427"/>
            <w:bookmarkStart w:id="187" w:name="_Toc5966"/>
            <w:bookmarkStart w:id="188" w:name="_Toc11379"/>
            <w:r>
              <w:rPr>
                <w:rFonts w:hint="eastAsia" w:ascii="Times New Roman" w:hAnsi="Times New Roman" w:cs="宋体"/>
                <w:color w:val="auto"/>
                <w:szCs w:val="21"/>
                <w:highlight w:val="none"/>
              </w:rPr>
              <w:t>单位名称</w:t>
            </w:r>
          </w:p>
        </w:tc>
        <w:tc>
          <w:tcPr>
            <w:tcW w:w="2739" w:type="dxa"/>
            <w:gridSpan w:val="3"/>
            <w:vAlign w:val="center"/>
          </w:tcPr>
          <w:p w14:paraId="34D5D8E1">
            <w:pPr>
              <w:spacing w:line="360" w:lineRule="exact"/>
              <w:jc w:val="center"/>
              <w:rPr>
                <w:rFonts w:ascii="Times New Roman" w:hAnsi="Times New Roman" w:cs="宋体"/>
                <w:color w:val="auto"/>
                <w:szCs w:val="21"/>
                <w:highlight w:val="none"/>
              </w:rPr>
            </w:pPr>
          </w:p>
        </w:tc>
        <w:tc>
          <w:tcPr>
            <w:tcW w:w="2347" w:type="dxa"/>
            <w:vAlign w:val="center"/>
          </w:tcPr>
          <w:p w14:paraId="3AEE969F">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组织机构代码</w:t>
            </w:r>
          </w:p>
        </w:tc>
        <w:tc>
          <w:tcPr>
            <w:tcW w:w="2453" w:type="dxa"/>
            <w:vAlign w:val="center"/>
          </w:tcPr>
          <w:p w14:paraId="699C68BF">
            <w:pPr>
              <w:spacing w:line="360" w:lineRule="exact"/>
              <w:jc w:val="center"/>
              <w:rPr>
                <w:rFonts w:ascii="Times New Roman" w:hAnsi="Times New Roman" w:cs="宋体"/>
                <w:color w:val="auto"/>
                <w:szCs w:val="21"/>
                <w:highlight w:val="none"/>
              </w:rPr>
            </w:pPr>
          </w:p>
        </w:tc>
      </w:tr>
      <w:tr w14:paraId="6907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CA7AB61">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注册地址</w:t>
            </w:r>
          </w:p>
        </w:tc>
        <w:tc>
          <w:tcPr>
            <w:tcW w:w="2739" w:type="dxa"/>
            <w:gridSpan w:val="3"/>
            <w:vAlign w:val="center"/>
          </w:tcPr>
          <w:p w14:paraId="2B5966F0">
            <w:pPr>
              <w:spacing w:line="360" w:lineRule="exact"/>
              <w:jc w:val="center"/>
              <w:rPr>
                <w:rFonts w:ascii="Times New Roman" w:hAnsi="Times New Roman" w:cs="宋体"/>
                <w:color w:val="auto"/>
                <w:szCs w:val="21"/>
                <w:highlight w:val="none"/>
              </w:rPr>
            </w:pPr>
          </w:p>
        </w:tc>
        <w:tc>
          <w:tcPr>
            <w:tcW w:w="2347" w:type="dxa"/>
            <w:vAlign w:val="center"/>
          </w:tcPr>
          <w:p w14:paraId="57B10234">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注册登记号</w:t>
            </w:r>
          </w:p>
        </w:tc>
        <w:tc>
          <w:tcPr>
            <w:tcW w:w="2453" w:type="dxa"/>
            <w:vAlign w:val="center"/>
          </w:tcPr>
          <w:p w14:paraId="649FD733">
            <w:pPr>
              <w:spacing w:line="360" w:lineRule="exact"/>
              <w:jc w:val="center"/>
              <w:rPr>
                <w:rFonts w:ascii="Times New Roman" w:hAnsi="Times New Roman" w:cs="宋体"/>
                <w:color w:val="auto"/>
                <w:szCs w:val="21"/>
                <w:highlight w:val="none"/>
              </w:rPr>
            </w:pPr>
          </w:p>
        </w:tc>
      </w:tr>
      <w:tr w14:paraId="3D25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2EFA3F5E">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经营地址</w:t>
            </w:r>
          </w:p>
        </w:tc>
        <w:tc>
          <w:tcPr>
            <w:tcW w:w="2739" w:type="dxa"/>
            <w:gridSpan w:val="3"/>
            <w:vAlign w:val="center"/>
          </w:tcPr>
          <w:p w14:paraId="6D879775">
            <w:pPr>
              <w:spacing w:line="360" w:lineRule="exact"/>
              <w:jc w:val="center"/>
              <w:rPr>
                <w:rFonts w:ascii="Times New Roman" w:hAnsi="Times New Roman" w:cs="宋体"/>
                <w:color w:val="auto"/>
                <w:szCs w:val="21"/>
                <w:highlight w:val="none"/>
              </w:rPr>
            </w:pPr>
          </w:p>
        </w:tc>
        <w:tc>
          <w:tcPr>
            <w:tcW w:w="2347" w:type="dxa"/>
            <w:vAlign w:val="center"/>
          </w:tcPr>
          <w:p w14:paraId="561A05D2">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税务登记证号</w:t>
            </w:r>
          </w:p>
        </w:tc>
        <w:tc>
          <w:tcPr>
            <w:tcW w:w="2453" w:type="dxa"/>
            <w:vAlign w:val="center"/>
          </w:tcPr>
          <w:p w14:paraId="049F5263">
            <w:pPr>
              <w:spacing w:line="360" w:lineRule="exact"/>
              <w:jc w:val="center"/>
              <w:rPr>
                <w:rFonts w:ascii="Times New Roman" w:hAnsi="Times New Roman" w:cs="宋体"/>
                <w:color w:val="auto"/>
                <w:szCs w:val="21"/>
                <w:highlight w:val="none"/>
              </w:rPr>
            </w:pPr>
          </w:p>
        </w:tc>
      </w:tr>
      <w:tr w14:paraId="5FFB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12445CBD">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单位性质</w:t>
            </w:r>
          </w:p>
        </w:tc>
        <w:tc>
          <w:tcPr>
            <w:tcW w:w="2739" w:type="dxa"/>
            <w:gridSpan w:val="3"/>
            <w:vAlign w:val="center"/>
          </w:tcPr>
          <w:p w14:paraId="2FE7A8F2">
            <w:pPr>
              <w:spacing w:line="360" w:lineRule="exact"/>
              <w:jc w:val="center"/>
              <w:rPr>
                <w:rFonts w:ascii="Times New Roman" w:hAnsi="Times New Roman" w:cs="宋体"/>
                <w:color w:val="auto"/>
                <w:szCs w:val="21"/>
                <w:highlight w:val="none"/>
              </w:rPr>
            </w:pPr>
          </w:p>
        </w:tc>
        <w:tc>
          <w:tcPr>
            <w:tcW w:w="2347" w:type="dxa"/>
            <w:vAlign w:val="center"/>
          </w:tcPr>
          <w:p w14:paraId="78CFA640">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注册资本</w:t>
            </w:r>
          </w:p>
        </w:tc>
        <w:tc>
          <w:tcPr>
            <w:tcW w:w="2453" w:type="dxa"/>
            <w:vAlign w:val="center"/>
          </w:tcPr>
          <w:p w14:paraId="2C3FBAFA">
            <w:pPr>
              <w:spacing w:line="360" w:lineRule="exact"/>
              <w:jc w:val="center"/>
              <w:rPr>
                <w:rFonts w:ascii="Times New Roman" w:hAnsi="Times New Roman" w:cs="宋体"/>
                <w:color w:val="auto"/>
                <w:szCs w:val="21"/>
                <w:highlight w:val="none"/>
              </w:rPr>
            </w:pPr>
          </w:p>
        </w:tc>
      </w:tr>
      <w:tr w14:paraId="17D0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8AE3C49">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经营范围</w:t>
            </w:r>
          </w:p>
        </w:tc>
        <w:tc>
          <w:tcPr>
            <w:tcW w:w="2739" w:type="dxa"/>
            <w:gridSpan w:val="3"/>
            <w:vAlign w:val="center"/>
          </w:tcPr>
          <w:p w14:paraId="2D8BFBCC">
            <w:pPr>
              <w:spacing w:line="360" w:lineRule="exact"/>
              <w:jc w:val="center"/>
              <w:rPr>
                <w:rFonts w:ascii="Times New Roman" w:hAnsi="Times New Roman" w:cs="宋体"/>
                <w:color w:val="auto"/>
                <w:szCs w:val="21"/>
                <w:highlight w:val="none"/>
              </w:rPr>
            </w:pPr>
          </w:p>
        </w:tc>
        <w:tc>
          <w:tcPr>
            <w:tcW w:w="2347" w:type="dxa"/>
            <w:vAlign w:val="center"/>
          </w:tcPr>
          <w:p w14:paraId="1001595F">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营业期限</w:t>
            </w:r>
          </w:p>
        </w:tc>
        <w:tc>
          <w:tcPr>
            <w:tcW w:w="2453" w:type="dxa"/>
            <w:vAlign w:val="center"/>
          </w:tcPr>
          <w:p w14:paraId="214D46BB">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年 月-  年 月</w:t>
            </w:r>
          </w:p>
        </w:tc>
      </w:tr>
      <w:tr w14:paraId="4553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78481B39">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资质情况</w:t>
            </w:r>
          </w:p>
        </w:tc>
        <w:tc>
          <w:tcPr>
            <w:tcW w:w="7539" w:type="dxa"/>
            <w:gridSpan w:val="5"/>
            <w:vAlign w:val="center"/>
          </w:tcPr>
          <w:p w14:paraId="2A76B688">
            <w:pPr>
              <w:spacing w:line="360" w:lineRule="exact"/>
              <w:jc w:val="center"/>
              <w:rPr>
                <w:rFonts w:ascii="Times New Roman" w:hAnsi="Times New Roman" w:cs="宋体"/>
                <w:color w:val="auto"/>
                <w:szCs w:val="21"/>
                <w:highlight w:val="none"/>
              </w:rPr>
            </w:pPr>
          </w:p>
        </w:tc>
      </w:tr>
      <w:tr w14:paraId="3E78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2C0EE72">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员工数量</w:t>
            </w:r>
          </w:p>
        </w:tc>
        <w:tc>
          <w:tcPr>
            <w:tcW w:w="7539" w:type="dxa"/>
            <w:gridSpan w:val="5"/>
            <w:vAlign w:val="center"/>
          </w:tcPr>
          <w:p w14:paraId="575D4807">
            <w:pPr>
              <w:spacing w:line="360" w:lineRule="exact"/>
              <w:rPr>
                <w:rFonts w:ascii="Times New Roman" w:hAnsi="Times New Roman" w:cs="宋体"/>
                <w:color w:val="auto"/>
                <w:szCs w:val="21"/>
                <w:highlight w:val="none"/>
              </w:rPr>
            </w:pPr>
            <w:r>
              <w:rPr>
                <w:rFonts w:hint="eastAsia" w:ascii="Times New Roman" w:hAnsi="Times New Roman" w:cs="宋体"/>
                <w:color w:val="auto"/>
                <w:szCs w:val="21"/>
                <w:highlight w:val="none"/>
              </w:rPr>
              <w:t>共人，其中，高级职称人，中级职称人</w:t>
            </w:r>
          </w:p>
        </w:tc>
      </w:tr>
      <w:tr w14:paraId="7E76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9EB1E74">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联系电话</w:t>
            </w:r>
          </w:p>
        </w:tc>
        <w:tc>
          <w:tcPr>
            <w:tcW w:w="2739" w:type="dxa"/>
            <w:gridSpan w:val="3"/>
            <w:vAlign w:val="center"/>
          </w:tcPr>
          <w:p w14:paraId="353874B1">
            <w:pPr>
              <w:spacing w:line="360" w:lineRule="exact"/>
              <w:jc w:val="center"/>
              <w:rPr>
                <w:rFonts w:ascii="Times New Roman" w:hAnsi="Times New Roman" w:cs="宋体"/>
                <w:color w:val="auto"/>
                <w:szCs w:val="21"/>
                <w:highlight w:val="none"/>
              </w:rPr>
            </w:pPr>
          </w:p>
        </w:tc>
        <w:tc>
          <w:tcPr>
            <w:tcW w:w="2347" w:type="dxa"/>
            <w:vAlign w:val="center"/>
          </w:tcPr>
          <w:p w14:paraId="11D7C9F1">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传真</w:t>
            </w:r>
          </w:p>
        </w:tc>
        <w:tc>
          <w:tcPr>
            <w:tcW w:w="2453" w:type="dxa"/>
            <w:vAlign w:val="center"/>
          </w:tcPr>
          <w:p w14:paraId="64B1024C">
            <w:pPr>
              <w:spacing w:line="360" w:lineRule="exact"/>
              <w:jc w:val="center"/>
              <w:rPr>
                <w:rFonts w:ascii="Times New Roman" w:hAnsi="Times New Roman" w:cs="宋体"/>
                <w:color w:val="auto"/>
                <w:szCs w:val="21"/>
                <w:highlight w:val="none"/>
              </w:rPr>
            </w:pPr>
          </w:p>
        </w:tc>
      </w:tr>
      <w:tr w14:paraId="5AF2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CBEFEBF">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主要业绩</w:t>
            </w:r>
          </w:p>
        </w:tc>
        <w:tc>
          <w:tcPr>
            <w:tcW w:w="7539" w:type="dxa"/>
            <w:gridSpan w:val="5"/>
            <w:vAlign w:val="center"/>
          </w:tcPr>
          <w:p w14:paraId="7D9F2017">
            <w:pPr>
              <w:spacing w:line="360" w:lineRule="exact"/>
              <w:rPr>
                <w:rFonts w:ascii="Times New Roman" w:hAnsi="Times New Roman" w:cs="宋体"/>
                <w:color w:val="auto"/>
                <w:szCs w:val="21"/>
                <w:highlight w:val="none"/>
              </w:rPr>
            </w:pPr>
          </w:p>
          <w:p w14:paraId="5686EEBC">
            <w:pPr>
              <w:spacing w:line="360" w:lineRule="exact"/>
              <w:rPr>
                <w:rFonts w:ascii="Times New Roman" w:hAnsi="Times New Roman" w:cs="宋体"/>
                <w:color w:val="auto"/>
                <w:szCs w:val="21"/>
                <w:highlight w:val="none"/>
              </w:rPr>
            </w:pPr>
          </w:p>
        </w:tc>
      </w:tr>
      <w:tr w14:paraId="05EC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vAlign w:val="center"/>
          </w:tcPr>
          <w:p w14:paraId="7F1DD335">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法 定 代 表 人 基 本 情 况</w:t>
            </w:r>
          </w:p>
        </w:tc>
      </w:tr>
      <w:tr w14:paraId="1A7A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1CBF130E">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姓  名</w:t>
            </w:r>
          </w:p>
        </w:tc>
        <w:tc>
          <w:tcPr>
            <w:tcW w:w="2739" w:type="dxa"/>
            <w:gridSpan w:val="3"/>
            <w:vAlign w:val="center"/>
          </w:tcPr>
          <w:p w14:paraId="71FC37F0">
            <w:pPr>
              <w:spacing w:line="360" w:lineRule="exact"/>
              <w:jc w:val="center"/>
              <w:rPr>
                <w:rFonts w:ascii="Times New Roman" w:hAnsi="Times New Roman" w:cs="宋体"/>
                <w:color w:val="auto"/>
                <w:szCs w:val="21"/>
                <w:highlight w:val="none"/>
              </w:rPr>
            </w:pPr>
          </w:p>
        </w:tc>
        <w:tc>
          <w:tcPr>
            <w:tcW w:w="2347" w:type="dxa"/>
            <w:vAlign w:val="center"/>
          </w:tcPr>
          <w:p w14:paraId="7C8FD131">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身份证号码</w:t>
            </w:r>
          </w:p>
        </w:tc>
        <w:tc>
          <w:tcPr>
            <w:tcW w:w="2453" w:type="dxa"/>
            <w:vAlign w:val="center"/>
          </w:tcPr>
          <w:p w14:paraId="791FF2A7">
            <w:pPr>
              <w:spacing w:line="360" w:lineRule="exact"/>
              <w:jc w:val="center"/>
              <w:rPr>
                <w:rFonts w:ascii="Times New Roman" w:hAnsi="Times New Roman" w:cs="宋体"/>
                <w:color w:val="auto"/>
                <w:szCs w:val="21"/>
                <w:highlight w:val="none"/>
              </w:rPr>
            </w:pPr>
          </w:p>
        </w:tc>
      </w:tr>
      <w:tr w14:paraId="7EC2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80C49CC">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职  务</w:t>
            </w:r>
          </w:p>
        </w:tc>
        <w:tc>
          <w:tcPr>
            <w:tcW w:w="915" w:type="dxa"/>
            <w:vAlign w:val="center"/>
          </w:tcPr>
          <w:p w14:paraId="14712E2C">
            <w:pPr>
              <w:spacing w:line="360" w:lineRule="exact"/>
              <w:jc w:val="center"/>
              <w:rPr>
                <w:rFonts w:ascii="Times New Roman" w:hAnsi="Times New Roman" w:cs="宋体"/>
                <w:color w:val="auto"/>
                <w:szCs w:val="21"/>
                <w:highlight w:val="none"/>
              </w:rPr>
            </w:pPr>
          </w:p>
        </w:tc>
        <w:tc>
          <w:tcPr>
            <w:tcW w:w="1062" w:type="dxa"/>
            <w:vAlign w:val="center"/>
          </w:tcPr>
          <w:p w14:paraId="5E1A8A09">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职   称</w:t>
            </w:r>
          </w:p>
        </w:tc>
        <w:tc>
          <w:tcPr>
            <w:tcW w:w="762" w:type="dxa"/>
            <w:vAlign w:val="center"/>
          </w:tcPr>
          <w:p w14:paraId="51802AF6">
            <w:pPr>
              <w:spacing w:line="360" w:lineRule="exact"/>
              <w:jc w:val="center"/>
              <w:rPr>
                <w:rFonts w:ascii="Times New Roman" w:hAnsi="Times New Roman" w:cs="宋体"/>
                <w:color w:val="auto"/>
                <w:szCs w:val="21"/>
                <w:highlight w:val="none"/>
              </w:rPr>
            </w:pPr>
          </w:p>
        </w:tc>
        <w:tc>
          <w:tcPr>
            <w:tcW w:w="2347" w:type="dxa"/>
            <w:vAlign w:val="center"/>
          </w:tcPr>
          <w:p w14:paraId="42752D31">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学    历</w:t>
            </w:r>
          </w:p>
        </w:tc>
        <w:tc>
          <w:tcPr>
            <w:tcW w:w="2453" w:type="dxa"/>
            <w:vAlign w:val="center"/>
          </w:tcPr>
          <w:p w14:paraId="0DFA55A6">
            <w:pPr>
              <w:spacing w:line="360" w:lineRule="exact"/>
              <w:jc w:val="center"/>
              <w:rPr>
                <w:rFonts w:ascii="Times New Roman" w:hAnsi="Times New Roman" w:cs="宋体"/>
                <w:color w:val="auto"/>
                <w:szCs w:val="21"/>
                <w:highlight w:val="none"/>
              </w:rPr>
            </w:pPr>
          </w:p>
        </w:tc>
      </w:tr>
      <w:tr w14:paraId="775F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tcPr>
          <w:p w14:paraId="0F309115">
            <w:pPr>
              <w:spacing w:line="360" w:lineRule="exact"/>
              <w:rPr>
                <w:rFonts w:ascii="Times New Roman" w:hAnsi="Times New Roman" w:cs="宋体"/>
                <w:color w:val="auto"/>
                <w:szCs w:val="21"/>
                <w:highlight w:val="none"/>
              </w:rPr>
            </w:pPr>
            <w:r>
              <w:rPr>
                <w:rFonts w:hint="eastAsia" w:ascii="Times New Roman" w:hAnsi="Times New Roman" w:cs="宋体"/>
                <w:color w:val="auto"/>
                <w:szCs w:val="21"/>
                <w:highlight w:val="none"/>
              </w:rPr>
              <w:t>备注：</w:t>
            </w:r>
          </w:p>
        </w:tc>
      </w:tr>
    </w:tbl>
    <w:p w14:paraId="2246FEE8">
      <w:pPr>
        <w:spacing w:beforeLines="50" w:line="360" w:lineRule="auto"/>
        <w:ind w:right="-227" w:rightChars="-108"/>
        <w:rPr>
          <w:rFonts w:cs="宋体"/>
          <w:b/>
          <w:color w:val="auto"/>
          <w:szCs w:val="21"/>
          <w:highlight w:val="none"/>
        </w:rPr>
      </w:pPr>
      <w:r>
        <w:rPr>
          <w:rFonts w:hint="eastAsia" w:cs="宋体"/>
          <w:b/>
          <w:color w:val="auto"/>
          <w:szCs w:val="21"/>
          <w:highlight w:val="none"/>
        </w:rPr>
        <w:t>兹证明上述声明是真实、正确的，并提供了全部能提供的资料和数据，我们同意遵照贵方要求出示有关证明文件。</w:t>
      </w:r>
    </w:p>
    <w:p w14:paraId="046269BC">
      <w:pPr>
        <w:pStyle w:val="38"/>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投标人名称（盖公章）：</w:t>
      </w:r>
    </w:p>
    <w:p w14:paraId="3231184E">
      <w:pPr>
        <w:pStyle w:val="38"/>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法定代表人或授权委托代理人（签字或盖章）：</w:t>
      </w:r>
    </w:p>
    <w:p w14:paraId="47AB667D">
      <w:pPr>
        <w:pStyle w:val="38"/>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r>
        <w:rPr>
          <w:rFonts w:asciiTheme="minorEastAsia" w:hAnsiTheme="minorEastAsia" w:eastAsiaTheme="minorEastAsia"/>
          <w:color w:val="auto"/>
          <w:szCs w:val="21"/>
          <w:highlight w:val="none"/>
        </w:rPr>
        <w:t xml:space="preserve">  年    月   日</w:t>
      </w:r>
    </w:p>
    <w:p w14:paraId="37906D87">
      <w:pPr>
        <w:pStyle w:val="10"/>
        <w:ind w:firstLine="0"/>
        <w:jc w:val="center"/>
        <w:rPr>
          <w:rFonts w:ascii="Times New Roman" w:hAnsi="Times New Roman" w:eastAsia="宋体"/>
          <w:color w:val="auto"/>
          <w:sz w:val="28"/>
          <w:highlight w:val="none"/>
        </w:rPr>
      </w:pPr>
      <w:r>
        <w:rPr>
          <w:rFonts w:hint="eastAsia" w:asciiTheme="minorEastAsia" w:hAnsiTheme="minorEastAsia" w:eastAsiaTheme="minorEastAsia"/>
          <w:b/>
          <w:color w:val="auto"/>
          <w:sz w:val="32"/>
          <w:szCs w:val="32"/>
          <w:highlight w:val="none"/>
        </w:rPr>
        <w:t>三、</w:t>
      </w:r>
    </w:p>
    <w:p w14:paraId="4549FA3F">
      <w:pPr>
        <w:pStyle w:val="2"/>
        <w:spacing w:after="120" w:afterLines="50" w:line="360" w:lineRule="exact"/>
        <w:rPr>
          <w:rFonts w:hint="eastAsia" w:asciiTheme="minorEastAsia" w:hAnsiTheme="minorEastAsia" w:eastAsiaTheme="minorEastAsia" w:cstheme="minorBidi"/>
          <w:b/>
          <w:bCs w:val="0"/>
          <w:color w:val="auto"/>
          <w:kern w:val="2"/>
          <w:sz w:val="32"/>
          <w:szCs w:val="32"/>
          <w:highlight w:val="none"/>
          <w:lang w:val="en-US" w:eastAsia="zh-CN" w:bidi="ar-SA"/>
        </w:rPr>
      </w:pPr>
      <w:bookmarkStart w:id="189" w:name="_Toc496003222"/>
      <w:bookmarkStart w:id="190" w:name="_Toc498429655"/>
      <w:bookmarkStart w:id="191" w:name="_Toc17360"/>
      <w:bookmarkStart w:id="192" w:name="_Toc505353799"/>
      <w:r>
        <w:rPr>
          <w:rFonts w:hint="eastAsia" w:asciiTheme="minorEastAsia" w:hAnsiTheme="minorEastAsia" w:eastAsiaTheme="minorEastAsia" w:cstheme="minorBidi"/>
          <w:b/>
          <w:bCs w:val="0"/>
          <w:color w:val="auto"/>
          <w:kern w:val="2"/>
          <w:sz w:val="32"/>
          <w:szCs w:val="32"/>
          <w:highlight w:val="none"/>
          <w:lang w:val="en-US" w:eastAsia="zh-CN" w:bidi="ar-SA"/>
        </w:rPr>
        <w:t>三、法定代表人授权书</w:t>
      </w:r>
      <w:bookmarkEnd w:id="189"/>
      <w:bookmarkEnd w:id="190"/>
      <w:bookmarkEnd w:id="191"/>
      <w:bookmarkEnd w:id="192"/>
    </w:p>
    <w:p w14:paraId="16BCF4E0">
      <w:pPr>
        <w:pStyle w:val="10"/>
        <w:spacing w:line="360" w:lineRule="auto"/>
        <w:ind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致：中冠工程管理咨询有限公司</w:t>
      </w:r>
    </w:p>
    <w:p w14:paraId="6A3DFBA6">
      <w:pPr>
        <w:pStyle w:val="10"/>
        <w:spacing w:line="360" w:lineRule="auto"/>
        <w:ind w:firstLine="0"/>
        <w:rPr>
          <w:rFonts w:ascii="Times New Roman" w:hAnsi="Times New Roman" w:eastAsia="宋体"/>
          <w:color w:val="auto"/>
          <w:sz w:val="21"/>
          <w:szCs w:val="21"/>
          <w:highlight w:val="none"/>
        </w:rPr>
      </w:pPr>
    </w:p>
    <w:p w14:paraId="47B44F9E">
      <w:pPr>
        <w:pStyle w:val="10"/>
        <w:spacing w:before="120" w:beforeLines="50" w:after="120" w:afterLines="50" w:line="480" w:lineRule="auto"/>
        <w:ind w:right="340" w:firstLine="516"/>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u w:val="single"/>
        </w:rPr>
        <w:t>（投标人全称）</w:t>
      </w:r>
      <w:r>
        <w:rPr>
          <w:rFonts w:hint="eastAsia" w:ascii="Times New Roman" w:hAnsi="Times New Roman" w:eastAsia="宋体"/>
          <w:color w:val="auto"/>
          <w:sz w:val="21"/>
          <w:szCs w:val="21"/>
          <w:highlight w:val="none"/>
        </w:rPr>
        <w:t>法定代表人</w:t>
      </w:r>
      <w:r>
        <w:rPr>
          <w:rFonts w:hint="eastAsia" w:ascii="Times New Roman" w:hAnsi="Times New Roman" w:eastAsia="宋体"/>
          <w:color w:val="auto"/>
          <w:sz w:val="21"/>
          <w:szCs w:val="21"/>
          <w:highlight w:val="none"/>
          <w:u w:val="single"/>
        </w:rPr>
        <w:t>（姓名、职务）</w:t>
      </w:r>
      <w:r>
        <w:rPr>
          <w:rFonts w:hint="eastAsia" w:ascii="Times New Roman" w:hAnsi="Times New Roman" w:eastAsia="宋体"/>
          <w:color w:val="auto"/>
          <w:sz w:val="21"/>
          <w:szCs w:val="21"/>
          <w:highlight w:val="none"/>
        </w:rPr>
        <w:t>授权</w:t>
      </w:r>
      <w:r>
        <w:rPr>
          <w:rFonts w:hint="eastAsia" w:ascii="Times New Roman" w:hAnsi="Times New Roman" w:eastAsia="宋体"/>
          <w:color w:val="auto"/>
          <w:sz w:val="21"/>
          <w:szCs w:val="21"/>
          <w:highlight w:val="none"/>
          <w:u w:val="single"/>
        </w:rPr>
        <w:t>（被授权代表姓名、职务）</w:t>
      </w:r>
      <w:r>
        <w:rPr>
          <w:rFonts w:hint="eastAsia" w:ascii="Times New Roman" w:hAnsi="Times New Roman" w:eastAsia="宋体"/>
          <w:color w:val="auto"/>
          <w:sz w:val="21"/>
          <w:szCs w:val="21"/>
          <w:highlight w:val="none"/>
        </w:rPr>
        <w:t>为本公司合法代理人，参加贵采购代理机构组织的</w:t>
      </w:r>
      <w:r>
        <w:rPr>
          <w:rFonts w:hint="eastAsia" w:ascii="Times New Roman" w:hAnsi="Times New Roman" w:eastAsia="宋体"/>
          <w:color w:val="auto"/>
          <w:sz w:val="21"/>
          <w:szCs w:val="21"/>
          <w:highlight w:val="none"/>
          <w:u w:val="single"/>
        </w:rPr>
        <w:t xml:space="preserve">   (项目编号)(项目名称)                      </w:t>
      </w:r>
      <w:r>
        <w:rPr>
          <w:rFonts w:hint="eastAsia" w:ascii="Times New Roman" w:hAnsi="Times New Roman" w:eastAsia="宋体"/>
          <w:color w:val="auto"/>
          <w:sz w:val="21"/>
          <w:szCs w:val="21"/>
          <w:highlight w:val="none"/>
        </w:rPr>
        <w:t>项目的招标投标活动，全权代表本公司处理招标投标活动中的一切事宜。</w:t>
      </w:r>
    </w:p>
    <w:p w14:paraId="5BC526E1">
      <w:pPr>
        <w:pStyle w:val="10"/>
        <w:spacing w:before="120" w:beforeLines="50" w:after="120" w:afterLines="50" w:line="480" w:lineRule="auto"/>
        <w:ind w:firstLine="426"/>
        <w:rPr>
          <w:rFonts w:ascii="Times New Roman" w:hAnsi="Times New Roman" w:eastAsia="宋体"/>
          <w:color w:val="auto"/>
          <w:sz w:val="21"/>
          <w:szCs w:val="21"/>
          <w:highlight w:val="none"/>
          <w:u w:val="single"/>
        </w:rPr>
      </w:pPr>
      <w:r>
        <w:rPr>
          <w:rFonts w:hint="eastAsia" w:ascii="Times New Roman" w:hAnsi="Times New Roman" w:eastAsia="宋体"/>
          <w:color w:val="auto"/>
          <w:sz w:val="21"/>
          <w:szCs w:val="21"/>
          <w:highlight w:val="none"/>
        </w:rPr>
        <w:t>本授权书于</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rPr>
        <w:t>年</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rPr>
        <w:t>月</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rPr>
        <w:t>日签字（或盖章）生效，特此声明。</w:t>
      </w:r>
    </w:p>
    <w:p w14:paraId="3BA7B92C">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（后附被授权人身份证正反面</w:t>
      </w:r>
      <w:r>
        <w:rPr>
          <w:rFonts w:hint="eastAsia" w:ascii="Times New Roman" w:hAnsi="Times New Roman" w:eastAsia="宋体"/>
          <w:bCs/>
          <w:color w:val="auto"/>
          <w:sz w:val="21"/>
          <w:szCs w:val="21"/>
          <w:highlight w:val="none"/>
          <w:lang w:eastAsia="zh-CN"/>
        </w:rPr>
        <w:t>扫描件</w:t>
      </w:r>
      <w:r>
        <w:rPr>
          <w:rFonts w:hint="eastAsia" w:ascii="Times New Roman" w:hAnsi="Times New Roman" w:eastAsia="宋体"/>
          <w:bCs/>
          <w:color w:val="auto"/>
          <w:sz w:val="21"/>
          <w:szCs w:val="21"/>
          <w:highlight w:val="none"/>
        </w:rPr>
        <w:t>）</w:t>
      </w:r>
    </w:p>
    <w:p w14:paraId="7EC8F441">
      <w:pPr>
        <w:pStyle w:val="10"/>
        <w:spacing w:line="480" w:lineRule="auto"/>
        <w:ind w:firstLine="0"/>
        <w:rPr>
          <w:rFonts w:hint="eastAsia" w:ascii="Times New Roman" w:hAnsi="Times New Roman" w:eastAsia="宋体"/>
          <w:color w:val="auto"/>
          <w:sz w:val="21"/>
          <w:szCs w:val="21"/>
          <w:highlight w:val="none"/>
        </w:rPr>
      </w:pPr>
    </w:p>
    <w:p w14:paraId="226DBA82">
      <w:pPr>
        <w:pStyle w:val="10"/>
        <w:spacing w:line="360" w:lineRule="auto"/>
        <w:ind w:left="3969"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法定代表人（签字或盖章）：</w:t>
      </w:r>
    </w:p>
    <w:p w14:paraId="282558DB">
      <w:pPr>
        <w:pStyle w:val="10"/>
        <w:spacing w:line="360" w:lineRule="auto"/>
        <w:ind w:firstLine="0"/>
        <w:rPr>
          <w:rFonts w:ascii="Times New Roman" w:hAnsi="Times New Roman" w:eastAsia="宋体"/>
          <w:color w:val="auto"/>
          <w:sz w:val="21"/>
          <w:szCs w:val="21"/>
          <w:highlight w:val="none"/>
        </w:rPr>
      </w:pPr>
    </w:p>
    <w:p w14:paraId="3E3AD121">
      <w:pPr>
        <w:pStyle w:val="10"/>
        <w:spacing w:line="360" w:lineRule="auto"/>
        <w:ind w:left="3969"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投标人（盖章）：</w:t>
      </w:r>
    </w:p>
    <w:p w14:paraId="580DF31D">
      <w:pPr>
        <w:pStyle w:val="10"/>
        <w:spacing w:line="360" w:lineRule="auto"/>
        <w:ind w:firstLine="0"/>
        <w:rPr>
          <w:rFonts w:ascii="Times New Roman" w:hAnsi="Times New Roman" w:eastAsia="宋体"/>
          <w:color w:val="auto"/>
          <w:sz w:val="21"/>
          <w:szCs w:val="21"/>
          <w:highlight w:val="none"/>
        </w:rPr>
      </w:pPr>
    </w:p>
    <w:p w14:paraId="67DF95A9">
      <w:pPr>
        <w:pStyle w:val="10"/>
        <w:spacing w:line="360" w:lineRule="auto"/>
        <w:ind w:left="3969"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日期：</w:t>
      </w:r>
    </w:p>
    <w:p w14:paraId="7C5AE206">
      <w:pPr>
        <w:pStyle w:val="10"/>
        <w:spacing w:line="360" w:lineRule="auto"/>
        <w:ind w:firstLine="0"/>
        <w:rPr>
          <w:rFonts w:ascii="Times New Roman" w:hAnsi="Times New Roman" w:eastAsia="宋体"/>
          <w:color w:val="auto"/>
          <w:szCs w:val="24"/>
          <w:highlight w:val="none"/>
        </w:rPr>
      </w:pPr>
    </w:p>
    <w:p w14:paraId="1A2AD3B2">
      <w:pPr>
        <w:pStyle w:val="10"/>
        <w:spacing w:line="360" w:lineRule="auto"/>
        <w:ind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附：</w:t>
      </w:r>
    </w:p>
    <w:p w14:paraId="65796FD2">
      <w:pPr>
        <w:pStyle w:val="10"/>
        <w:spacing w:before="60" w:after="60" w:line="360" w:lineRule="auto"/>
        <w:ind w:left="306"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被授权人姓名（印刷体）：</w:t>
      </w:r>
    </w:p>
    <w:p w14:paraId="37A904B3">
      <w:pPr>
        <w:pStyle w:val="10"/>
        <w:spacing w:before="60" w:after="60" w:line="360" w:lineRule="auto"/>
        <w:ind w:left="306"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职务：</w:t>
      </w:r>
    </w:p>
    <w:p w14:paraId="73E432C9">
      <w:pPr>
        <w:pStyle w:val="10"/>
        <w:spacing w:before="60" w:after="60" w:line="360" w:lineRule="auto"/>
        <w:ind w:left="306"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被授权人（签字或盖章）：</w:t>
      </w:r>
    </w:p>
    <w:p w14:paraId="53E2BC76">
      <w:pPr>
        <w:pStyle w:val="10"/>
        <w:spacing w:before="60" w:after="60" w:line="360" w:lineRule="auto"/>
        <w:ind w:left="306"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详细通讯地址：</w:t>
      </w:r>
    </w:p>
    <w:p w14:paraId="39D35682">
      <w:pPr>
        <w:pStyle w:val="10"/>
        <w:spacing w:before="60" w:after="60" w:line="360" w:lineRule="auto"/>
        <w:ind w:left="306"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传真：</w:t>
      </w:r>
    </w:p>
    <w:p w14:paraId="6DD578DA">
      <w:pPr>
        <w:pStyle w:val="10"/>
        <w:spacing w:before="60" w:after="60" w:line="360" w:lineRule="auto"/>
        <w:ind w:left="306"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电话：</w:t>
      </w:r>
    </w:p>
    <w:p w14:paraId="101FCC9B">
      <w:pPr>
        <w:pStyle w:val="2"/>
        <w:spacing w:after="120" w:afterLines="50" w:line="360" w:lineRule="exact"/>
        <w:rPr>
          <w:rFonts w:hint="eastAsia" w:ascii="Times New Roman" w:hAnsi="Times New Roman" w:eastAsia="宋体"/>
          <w:b w:val="0"/>
          <w:color w:val="auto"/>
          <w:sz w:val="24"/>
          <w:highlight w:val="none"/>
        </w:rPr>
      </w:pPr>
      <w:r>
        <w:rPr>
          <w:rFonts w:ascii="Times New Roman" w:hAnsi="Times New Roman" w:eastAsia="宋体"/>
          <w:color w:val="auto"/>
          <w:highlight w:val="none"/>
        </w:rPr>
        <w:br w:type="page"/>
      </w:r>
      <w:bookmarkStart w:id="193" w:name="_Toc24896"/>
      <w:bookmarkStart w:id="194" w:name="_Toc498429656"/>
      <w:bookmarkStart w:id="195" w:name="_Toc505353800"/>
      <w:r>
        <w:rPr>
          <w:rFonts w:hint="eastAsia" w:ascii="Times New Roman" w:hAnsi="Times New Roman" w:eastAsia="宋体"/>
          <w:color w:val="auto"/>
          <w:highlight w:val="none"/>
          <w:lang w:eastAsia="zh-CN"/>
        </w:rPr>
        <w:t>四、</w:t>
      </w:r>
      <w:r>
        <w:rPr>
          <w:rFonts w:hint="eastAsia" w:ascii="Times New Roman" w:hAnsi="Times New Roman" w:eastAsia="宋体"/>
          <w:color w:val="auto"/>
          <w:sz w:val="32"/>
          <w:szCs w:val="32"/>
          <w:highlight w:val="none"/>
        </w:rPr>
        <w:t>法定代表人身份证明书</w:t>
      </w:r>
      <w:bookmarkEnd w:id="193"/>
      <w:bookmarkEnd w:id="194"/>
      <w:bookmarkEnd w:id="195"/>
    </w:p>
    <w:p w14:paraId="5DB4128D">
      <w:pPr>
        <w:spacing w:line="360" w:lineRule="auto"/>
        <w:rPr>
          <w:rFonts w:hint="eastAsia" w:ascii="Times New Roman" w:hAnsi="Times New Roman" w:eastAsia="宋体"/>
          <w:bCs/>
          <w:color w:val="auto"/>
          <w:szCs w:val="21"/>
          <w:highlight w:val="none"/>
        </w:rPr>
      </w:pPr>
    </w:p>
    <w:p w14:paraId="5F21B49C">
      <w:pPr>
        <w:spacing w:line="360" w:lineRule="auto"/>
        <w:contextualSpacing/>
        <w:rPr>
          <w:rFonts w:hint="eastAsia" w:ascii="Times New Roman" w:hAnsi="Times New Roman" w:eastAsia="宋体"/>
          <w:bCs/>
          <w:color w:val="auto"/>
          <w:sz w:val="21"/>
          <w:szCs w:val="21"/>
          <w:highlight w:val="none"/>
          <w:u w:val="single"/>
        </w:rPr>
      </w:pPr>
      <w:r>
        <w:rPr>
          <w:rFonts w:hint="eastAsia" w:ascii="Times New Roman" w:hAnsi="Times New Roman" w:eastAsia="宋体"/>
          <w:bCs/>
          <w:color w:val="auto"/>
          <w:sz w:val="21"/>
          <w:szCs w:val="21"/>
          <w:highlight w:val="none"/>
        </w:rPr>
        <w:t>单位名称：</w:t>
      </w:r>
      <w:r>
        <w:rPr>
          <w:rFonts w:hint="eastAsia" w:ascii="Times New Roman" w:hAnsi="Times New Roman" w:eastAsia="宋体"/>
          <w:bCs/>
          <w:color w:val="auto"/>
          <w:sz w:val="21"/>
          <w:szCs w:val="21"/>
          <w:highlight w:val="none"/>
          <w:u w:val="single"/>
        </w:rPr>
        <w:t xml:space="preserve">                                                                </w:t>
      </w:r>
    </w:p>
    <w:p w14:paraId="57607943">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地    址：</w:t>
      </w:r>
      <w:r>
        <w:rPr>
          <w:rFonts w:hint="eastAsia" w:ascii="Times New Roman" w:hAnsi="Times New Roman" w:eastAsia="宋体"/>
          <w:bCs/>
          <w:color w:val="auto"/>
          <w:sz w:val="21"/>
          <w:szCs w:val="21"/>
          <w:highlight w:val="none"/>
          <w:u w:val="single"/>
        </w:rPr>
        <w:t xml:space="preserve">                                                                </w:t>
      </w:r>
    </w:p>
    <w:p w14:paraId="06F870EC">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姓    名：</w:t>
      </w:r>
      <w:r>
        <w:rPr>
          <w:rFonts w:hint="eastAsia" w:ascii="Times New Roman" w:hAnsi="Times New Roman" w:eastAsia="宋体"/>
          <w:bCs/>
          <w:color w:val="auto"/>
          <w:sz w:val="21"/>
          <w:szCs w:val="21"/>
          <w:highlight w:val="none"/>
          <w:u w:val="single"/>
        </w:rPr>
        <w:t xml:space="preserve">                          </w:t>
      </w:r>
      <w:r>
        <w:rPr>
          <w:rFonts w:hint="eastAsia" w:ascii="Times New Roman" w:hAnsi="Times New Roman" w:eastAsia="宋体"/>
          <w:bCs/>
          <w:color w:val="auto"/>
          <w:sz w:val="21"/>
          <w:szCs w:val="21"/>
          <w:highlight w:val="none"/>
        </w:rPr>
        <w:t xml:space="preserve">  性    别：</w:t>
      </w:r>
      <w:r>
        <w:rPr>
          <w:rFonts w:hint="eastAsia" w:ascii="Times New Roman" w:hAnsi="Times New Roman" w:eastAsia="宋体"/>
          <w:bCs/>
          <w:color w:val="auto"/>
          <w:sz w:val="21"/>
          <w:szCs w:val="21"/>
          <w:highlight w:val="none"/>
          <w:u w:val="single"/>
        </w:rPr>
        <w:t xml:space="preserve">                          </w:t>
      </w:r>
    </w:p>
    <w:p w14:paraId="3F2EBB04">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年    龄：</w:t>
      </w:r>
      <w:r>
        <w:rPr>
          <w:rFonts w:hint="eastAsia" w:ascii="Times New Roman" w:hAnsi="Times New Roman" w:eastAsia="宋体"/>
          <w:bCs/>
          <w:color w:val="auto"/>
          <w:sz w:val="21"/>
          <w:szCs w:val="21"/>
          <w:highlight w:val="none"/>
          <w:u w:val="single"/>
        </w:rPr>
        <w:t xml:space="preserve">                          </w:t>
      </w:r>
      <w:r>
        <w:rPr>
          <w:rFonts w:hint="eastAsia" w:ascii="Times New Roman" w:hAnsi="Times New Roman" w:eastAsia="宋体"/>
          <w:bCs/>
          <w:color w:val="auto"/>
          <w:sz w:val="21"/>
          <w:szCs w:val="21"/>
          <w:highlight w:val="none"/>
        </w:rPr>
        <w:t xml:space="preserve">  职    务：</w:t>
      </w:r>
      <w:r>
        <w:rPr>
          <w:rFonts w:hint="eastAsia" w:ascii="Times New Roman" w:hAnsi="Times New Roman" w:eastAsia="宋体"/>
          <w:bCs/>
          <w:color w:val="auto"/>
          <w:sz w:val="21"/>
          <w:szCs w:val="21"/>
          <w:highlight w:val="none"/>
          <w:u w:val="single"/>
        </w:rPr>
        <w:t xml:space="preserve">                          </w:t>
      </w:r>
    </w:p>
    <w:p w14:paraId="503202BC">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身份证号码：</w:t>
      </w:r>
      <w:r>
        <w:rPr>
          <w:rFonts w:hint="eastAsia" w:ascii="Times New Roman" w:hAnsi="Times New Roman" w:eastAsia="宋体"/>
          <w:bCs/>
          <w:color w:val="auto"/>
          <w:sz w:val="21"/>
          <w:szCs w:val="21"/>
          <w:highlight w:val="none"/>
          <w:u w:val="single"/>
        </w:rPr>
        <w:t xml:space="preserve">                     </w:t>
      </w:r>
      <w:r>
        <w:rPr>
          <w:rFonts w:hint="eastAsia" w:ascii="Times New Roman" w:hAnsi="Times New Roman" w:eastAsia="宋体"/>
          <w:bCs/>
          <w:color w:val="auto"/>
          <w:sz w:val="21"/>
          <w:szCs w:val="21"/>
          <w:highlight w:val="none"/>
        </w:rPr>
        <w:t>系</w:t>
      </w:r>
      <w:r>
        <w:rPr>
          <w:rFonts w:hint="eastAsia" w:ascii="Times New Roman" w:hAnsi="Times New Roman" w:eastAsia="宋体"/>
          <w:bCs/>
          <w:color w:val="auto"/>
          <w:sz w:val="21"/>
          <w:szCs w:val="21"/>
          <w:highlight w:val="none"/>
          <w:u w:val="single"/>
        </w:rPr>
        <w:t xml:space="preserve">               </w:t>
      </w:r>
      <w:r>
        <w:rPr>
          <w:rFonts w:hint="eastAsia" w:ascii="Times New Roman" w:hAnsi="Times New Roman" w:eastAsia="宋体"/>
          <w:bCs/>
          <w:color w:val="auto"/>
          <w:sz w:val="21"/>
          <w:szCs w:val="21"/>
          <w:highlight w:val="none"/>
        </w:rPr>
        <w:t>（投标人单位全称）的法定代表人。</w:t>
      </w:r>
    </w:p>
    <w:p w14:paraId="37D4CF42">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 xml:space="preserve">    特此证明。</w:t>
      </w:r>
    </w:p>
    <w:p w14:paraId="4E4DE2AA">
      <w:pPr>
        <w:spacing w:line="360" w:lineRule="auto"/>
        <w:contextualSpacing/>
        <w:rPr>
          <w:rFonts w:hint="eastAsia" w:ascii="Times New Roman" w:hAnsi="Times New Roman" w:eastAsia="宋体"/>
          <w:bCs/>
          <w:color w:val="auto"/>
          <w:sz w:val="21"/>
          <w:szCs w:val="21"/>
          <w:highlight w:val="none"/>
        </w:rPr>
      </w:pPr>
    </w:p>
    <w:p w14:paraId="0BAE7EA1">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（后附法定代表人身份证正反面</w:t>
      </w:r>
      <w:r>
        <w:rPr>
          <w:rFonts w:hint="eastAsia" w:ascii="Times New Roman" w:hAnsi="Times New Roman" w:eastAsia="宋体"/>
          <w:bCs/>
          <w:color w:val="auto"/>
          <w:sz w:val="21"/>
          <w:szCs w:val="21"/>
          <w:highlight w:val="none"/>
          <w:lang w:eastAsia="zh-CN"/>
        </w:rPr>
        <w:t>扫描件</w:t>
      </w:r>
      <w:r>
        <w:rPr>
          <w:rFonts w:hint="eastAsia" w:ascii="Times New Roman" w:hAnsi="Times New Roman" w:eastAsia="宋体"/>
          <w:bCs/>
          <w:color w:val="auto"/>
          <w:sz w:val="21"/>
          <w:szCs w:val="21"/>
          <w:highlight w:val="none"/>
        </w:rPr>
        <w:t>）</w:t>
      </w:r>
    </w:p>
    <w:p w14:paraId="6065133F">
      <w:pPr>
        <w:spacing w:line="360" w:lineRule="auto"/>
        <w:contextualSpacing/>
        <w:rPr>
          <w:rFonts w:hint="eastAsia" w:ascii="Times New Roman" w:hAnsi="Times New Roman" w:eastAsia="宋体"/>
          <w:bCs/>
          <w:color w:val="auto"/>
          <w:sz w:val="21"/>
          <w:szCs w:val="21"/>
          <w:highlight w:val="none"/>
        </w:rPr>
      </w:pPr>
    </w:p>
    <w:p w14:paraId="4A379867">
      <w:pPr>
        <w:spacing w:line="360" w:lineRule="auto"/>
        <w:contextualSpacing/>
        <w:rPr>
          <w:rFonts w:hint="eastAsia" w:ascii="Times New Roman" w:hAnsi="Times New Roman" w:eastAsia="宋体"/>
          <w:bCs/>
          <w:color w:val="auto"/>
          <w:sz w:val="21"/>
          <w:szCs w:val="21"/>
          <w:highlight w:val="none"/>
        </w:rPr>
      </w:pPr>
    </w:p>
    <w:p w14:paraId="1ABB067D">
      <w:pPr>
        <w:spacing w:line="360" w:lineRule="auto"/>
        <w:contextualSpacing/>
        <w:rPr>
          <w:rFonts w:hint="eastAsia" w:ascii="Times New Roman" w:hAnsi="Times New Roman" w:eastAsia="宋体"/>
          <w:bCs/>
          <w:color w:val="auto"/>
          <w:sz w:val="21"/>
          <w:szCs w:val="21"/>
          <w:highlight w:val="none"/>
        </w:rPr>
      </w:pPr>
    </w:p>
    <w:p w14:paraId="336C4C0B">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投标人（盖章）：</w:t>
      </w:r>
    </w:p>
    <w:p w14:paraId="255A89DD">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法定代表人（签字或盖章）：</w:t>
      </w:r>
    </w:p>
    <w:p w14:paraId="70B295E6">
      <w:pPr>
        <w:spacing w:line="360" w:lineRule="auto"/>
        <w:contextualSpacing/>
        <w:rPr>
          <w:rFonts w:hint="eastAsia" w:ascii="Times New Roman" w:hAnsi="Times New Roman" w:eastAsia="宋体"/>
          <w:b/>
          <w:color w:val="auto"/>
          <w:sz w:val="21"/>
          <w:szCs w:val="21"/>
          <w:highlight w:val="none"/>
        </w:rPr>
      </w:pPr>
      <w:r>
        <w:rPr>
          <w:rFonts w:hint="eastAsia" w:ascii="Times New Roman" w:hAnsi="Times New Roman" w:eastAsia="宋体"/>
          <w:bCs/>
          <w:color w:val="auto"/>
          <w:sz w:val="21"/>
          <w:szCs w:val="21"/>
          <w:highlight w:val="none"/>
        </w:rPr>
        <w:t>日期：</w:t>
      </w:r>
    </w:p>
    <w:p w14:paraId="56750A89">
      <w:pPr>
        <w:pStyle w:val="38"/>
        <w:pageBreakBefore/>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eastAsia="zh-CN"/>
        </w:rPr>
        <w:t>五、</w:t>
      </w:r>
      <w:r>
        <w:rPr>
          <w:rFonts w:hint="eastAsia" w:asciiTheme="minorEastAsia" w:hAnsiTheme="minorEastAsia" w:eastAsiaTheme="minorEastAsia"/>
          <w:b/>
          <w:color w:val="auto"/>
          <w:sz w:val="32"/>
          <w:szCs w:val="32"/>
          <w:highlight w:val="none"/>
        </w:rPr>
        <w:t>证书一览表</w:t>
      </w:r>
    </w:p>
    <w:p w14:paraId="1EEF46C2">
      <w:pPr>
        <w:pStyle w:val="38"/>
        <w:spacing w:line="360" w:lineRule="auto"/>
        <w:jc w:val="center"/>
        <w:rPr>
          <w:rFonts w:cs="Arial" w:asciiTheme="minorEastAsia" w:hAnsiTheme="minorEastAsia" w:eastAsiaTheme="minorEastAsia"/>
          <w:color w:val="auto"/>
          <w:sz w:val="28"/>
          <w:szCs w:val="28"/>
          <w:highlight w:val="none"/>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AC4E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bottom w:val="single" w:color="auto" w:sz="4" w:space="0"/>
            </w:tcBorders>
            <w:vAlign w:val="center"/>
          </w:tcPr>
          <w:p w14:paraId="4F6315EE">
            <w:pPr>
              <w:pStyle w:val="38"/>
              <w:spacing w:line="360" w:lineRule="auto"/>
              <w:jc w:val="center"/>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证书名称</w:t>
            </w:r>
          </w:p>
        </w:tc>
        <w:tc>
          <w:tcPr>
            <w:tcW w:w="2258" w:type="dxa"/>
            <w:tcBorders>
              <w:top w:val="single" w:color="auto" w:sz="4" w:space="0"/>
              <w:bottom w:val="single" w:color="auto" w:sz="4" w:space="0"/>
            </w:tcBorders>
            <w:vAlign w:val="center"/>
          </w:tcPr>
          <w:p w14:paraId="1BD6AAA9">
            <w:pPr>
              <w:pStyle w:val="38"/>
              <w:spacing w:line="360" w:lineRule="auto"/>
              <w:jc w:val="center"/>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发证单位</w:t>
            </w:r>
          </w:p>
        </w:tc>
        <w:tc>
          <w:tcPr>
            <w:tcW w:w="2260" w:type="dxa"/>
            <w:tcBorders>
              <w:top w:val="single" w:color="auto" w:sz="4" w:space="0"/>
              <w:bottom w:val="single" w:color="auto" w:sz="4" w:space="0"/>
            </w:tcBorders>
            <w:vAlign w:val="center"/>
          </w:tcPr>
          <w:p w14:paraId="3CBAD918">
            <w:pPr>
              <w:pStyle w:val="38"/>
              <w:spacing w:line="360" w:lineRule="auto"/>
              <w:jc w:val="center"/>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证书等级</w:t>
            </w:r>
          </w:p>
        </w:tc>
        <w:tc>
          <w:tcPr>
            <w:tcW w:w="2047" w:type="dxa"/>
            <w:tcBorders>
              <w:top w:val="single" w:color="auto" w:sz="4" w:space="0"/>
              <w:bottom w:val="single" w:color="auto" w:sz="4" w:space="0"/>
              <w:right w:val="single" w:color="auto" w:sz="4" w:space="0"/>
            </w:tcBorders>
            <w:vAlign w:val="center"/>
          </w:tcPr>
          <w:p w14:paraId="2376489B">
            <w:pPr>
              <w:pStyle w:val="38"/>
              <w:spacing w:line="360" w:lineRule="auto"/>
              <w:jc w:val="center"/>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证书有效期</w:t>
            </w:r>
          </w:p>
        </w:tc>
      </w:tr>
      <w:tr w14:paraId="592AB8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tcBorders>
            <w:vAlign w:val="center"/>
          </w:tcPr>
          <w:p w14:paraId="2C1399E8">
            <w:pPr>
              <w:pStyle w:val="38"/>
              <w:spacing w:line="360" w:lineRule="auto"/>
              <w:jc w:val="center"/>
              <w:rPr>
                <w:rFonts w:cs="Arial" w:asciiTheme="minorEastAsia" w:hAnsiTheme="minorEastAsia" w:eastAsiaTheme="minorEastAsia"/>
                <w:color w:val="auto"/>
                <w:szCs w:val="21"/>
                <w:highlight w:val="none"/>
              </w:rPr>
            </w:pPr>
          </w:p>
        </w:tc>
        <w:tc>
          <w:tcPr>
            <w:tcW w:w="2258" w:type="dxa"/>
            <w:tcBorders>
              <w:top w:val="single" w:color="auto" w:sz="4" w:space="0"/>
            </w:tcBorders>
            <w:vAlign w:val="center"/>
          </w:tcPr>
          <w:p w14:paraId="566F02F9">
            <w:pPr>
              <w:pStyle w:val="38"/>
              <w:spacing w:line="360" w:lineRule="auto"/>
              <w:jc w:val="center"/>
              <w:rPr>
                <w:rFonts w:cs="Arial" w:asciiTheme="minorEastAsia" w:hAnsiTheme="minorEastAsia" w:eastAsiaTheme="minorEastAsia"/>
                <w:color w:val="auto"/>
                <w:szCs w:val="21"/>
                <w:highlight w:val="none"/>
              </w:rPr>
            </w:pPr>
          </w:p>
        </w:tc>
        <w:tc>
          <w:tcPr>
            <w:tcW w:w="2260" w:type="dxa"/>
            <w:tcBorders>
              <w:top w:val="single" w:color="auto" w:sz="4" w:space="0"/>
            </w:tcBorders>
            <w:vAlign w:val="center"/>
          </w:tcPr>
          <w:p w14:paraId="23C64C85">
            <w:pPr>
              <w:pStyle w:val="38"/>
              <w:spacing w:line="360" w:lineRule="auto"/>
              <w:jc w:val="center"/>
              <w:rPr>
                <w:rFonts w:cs="Arial" w:asciiTheme="minorEastAsia" w:hAnsiTheme="minorEastAsia" w:eastAsiaTheme="minorEastAsia"/>
                <w:color w:val="auto"/>
                <w:szCs w:val="21"/>
                <w:highlight w:val="none"/>
              </w:rPr>
            </w:pPr>
          </w:p>
        </w:tc>
        <w:tc>
          <w:tcPr>
            <w:tcW w:w="2047" w:type="dxa"/>
            <w:tcBorders>
              <w:top w:val="single" w:color="auto" w:sz="4" w:space="0"/>
              <w:right w:val="single" w:color="auto" w:sz="4" w:space="0"/>
            </w:tcBorders>
            <w:vAlign w:val="center"/>
          </w:tcPr>
          <w:p w14:paraId="0331365F">
            <w:pPr>
              <w:pStyle w:val="38"/>
              <w:spacing w:line="360" w:lineRule="auto"/>
              <w:jc w:val="center"/>
              <w:rPr>
                <w:rFonts w:cs="Arial" w:asciiTheme="minorEastAsia" w:hAnsiTheme="minorEastAsia" w:eastAsiaTheme="minorEastAsia"/>
                <w:color w:val="auto"/>
                <w:szCs w:val="21"/>
                <w:highlight w:val="none"/>
              </w:rPr>
            </w:pPr>
          </w:p>
        </w:tc>
      </w:tr>
      <w:tr w14:paraId="7CF48F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623A15B1">
            <w:pPr>
              <w:pStyle w:val="38"/>
              <w:spacing w:line="360" w:lineRule="auto"/>
              <w:jc w:val="center"/>
              <w:rPr>
                <w:rFonts w:cs="Arial" w:asciiTheme="minorEastAsia" w:hAnsiTheme="minorEastAsia" w:eastAsiaTheme="minorEastAsia"/>
                <w:color w:val="auto"/>
                <w:szCs w:val="21"/>
                <w:highlight w:val="none"/>
              </w:rPr>
            </w:pPr>
          </w:p>
        </w:tc>
        <w:tc>
          <w:tcPr>
            <w:tcW w:w="2258" w:type="dxa"/>
            <w:vAlign w:val="center"/>
          </w:tcPr>
          <w:p w14:paraId="512832F5">
            <w:pPr>
              <w:pStyle w:val="38"/>
              <w:spacing w:line="360" w:lineRule="auto"/>
              <w:jc w:val="center"/>
              <w:rPr>
                <w:rFonts w:cs="Arial" w:asciiTheme="minorEastAsia" w:hAnsiTheme="minorEastAsia" w:eastAsiaTheme="minorEastAsia"/>
                <w:color w:val="auto"/>
                <w:szCs w:val="21"/>
                <w:highlight w:val="none"/>
              </w:rPr>
            </w:pPr>
          </w:p>
        </w:tc>
        <w:tc>
          <w:tcPr>
            <w:tcW w:w="2260" w:type="dxa"/>
            <w:vAlign w:val="center"/>
          </w:tcPr>
          <w:p w14:paraId="642D9518">
            <w:pPr>
              <w:pStyle w:val="38"/>
              <w:spacing w:line="360" w:lineRule="auto"/>
              <w:jc w:val="center"/>
              <w:rPr>
                <w:rFonts w:cs="Arial" w:asciiTheme="minorEastAsia" w:hAnsiTheme="minorEastAsia" w:eastAsiaTheme="minorEastAsia"/>
                <w:color w:val="auto"/>
                <w:szCs w:val="21"/>
                <w:highlight w:val="none"/>
              </w:rPr>
            </w:pPr>
          </w:p>
        </w:tc>
        <w:tc>
          <w:tcPr>
            <w:tcW w:w="2047" w:type="dxa"/>
            <w:tcBorders>
              <w:right w:val="single" w:color="auto" w:sz="4" w:space="0"/>
            </w:tcBorders>
            <w:vAlign w:val="center"/>
          </w:tcPr>
          <w:p w14:paraId="0B4255DC">
            <w:pPr>
              <w:pStyle w:val="38"/>
              <w:spacing w:line="360" w:lineRule="auto"/>
              <w:jc w:val="center"/>
              <w:rPr>
                <w:rFonts w:cs="Arial" w:asciiTheme="minorEastAsia" w:hAnsiTheme="minorEastAsia" w:eastAsiaTheme="minorEastAsia"/>
                <w:color w:val="auto"/>
                <w:szCs w:val="21"/>
                <w:highlight w:val="none"/>
              </w:rPr>
            </w:pPr>
          </w:p>
        </w:tc>
      </w:tr>
      <w:tr w14:paraId="73B39E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FF3885A">
            <w:pPr>
              <w:pStyle w:val="38"/>
              <w:spacing w:line="360" w:lineRule="auto"/>
              <w:jc w:val="center"/>
              <w:rPr>
                <w:rFonts w:cs="Arial" w:asciiTheme="minorEastAsia" w:hAnsiTheme="minorEastAsia" w:eastAsiaTheme="minorEastAsia"/>
                <w:color w:val="auto"/>
                <w:szCs w:val="21"/>
                <w:highlight w:val="none"/>
              </w:rPr>
            </w:pPr>
          </w:p>
        </w:tc>
        <w:tc>
          <w:tcPr>
            <w:tcW w:w="2258" w:type="dxa"/>
            <w:vAlign w:val="center"/>
          </w:tcPr>
          <w:p w14:paraId="14C377D4">
            <w:pPr>
              <w:pStyle w:val="38"/>
              <w:spacing w:line="360" w:lineRule="auto"/>
              <w:jc w:val="center"/>
              <w:rPr>
                <w:rFonts w:cs="Arial" w:asciiTheme="minorEastAsia" w:hAnsiTheme="minorEastAsia" w:eastAsiaTheme="minorEastAsia"/>
                <w:color w:val="auto"/>
                <w:szCs w:val="21"/>
                <w:highlight w:val="none"/>
              </w:rPr>
            </w:pPr>
          </w:p>
        </w:tc>
        <w:tc>
          <w:tcPr>
            <w:tcW w:w="2260" w:type="dxa"/>
            <w:vAlign w:val="center"/>
          </w:tcPr>
          <w:p w14:paraId="7B84BF11">
            <w:pPr>
              <w:pStyle w:val="38"/>
              <w:spacing w:line="360" w:lineRule="auto"/>
              <w:jc w:val="center"/>
              <w:rPr>
                <w:rFonts w:cs="Arial" w:asciiTheme="minorEastAsia" w:hAnsiTheme="minorEastAsia" w:eastAsiaTheme="minorEastAsia"/>
                <w:color w:val="auto"/>
                <w:szCs w:val="21"/>
                <w:highlight w:val="none"/>
              </w:rPr>
            </w:pPr>
          </w:p>
        </w:tc>
        <w:tc>
          <w:tcPr>
            <w:tcW w:w="2047" w:type="dxa"/>
            <w:tcBorders>
              <w:right w:val="single" w:color="auto" w:sz="4" w:space="0"/>
            </w:tcBorders>
            <w:vAlign w:val="center"/>
          </w:tcPr>
          <w:p w14:paraId="5113895C">
            <w:pPr>
              <w:pStyle w:val="38"/>
              <w:spacing w:line="360" w:lineRule="auto"/>
              <w:jc w:val="center"/>
              <w:rPr>
                <w:rFonts w:cs="Arial" w:asciiTheme="minorEastAsia" w:hAnsiTheme="minorEastAsia" w:eastAsiaTheme="minorEastAsia"/>
                <w:color w:val="auto"/>
                <w:szCs w:val="21"/>
                <w:highlight w:val="none"/>
              </w:rPr>
            </w:pPr>
          </w:p>
        </w:tc>
      </w:tr>
      <w:tr w14:paraId="5806B2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12FB4A49">
            <w:pPr>
              <w:pStyle w:val="38"/>
              <w:spacing w:line="360" w:lineRule="auto"/>
              <w:jc w:val="center"/>
              <w:rPr>
                <w:rFonts w:cs="Arial" w:asciiTheme="minorEastAsia" w:hAnsiTheme="minorEastAsia" w:eastAsiaTheme="minorEastAsia"/>
                <w:color w:val="auto"/>
                <w:szCs w:val="21"/>
                <w:highlight w:val="none"/>
              </w:rPr>
            </w:pPr>
          </w:p>
        </w:tc>
        <w:tc>
          <w:tcPr>
            <w:tcW w:w="2258" w:type="dxa"/>
            <w:vAlign w:val="center"/>
          </w:tcPr>
          <w:p w14:paraId="74565CD3">
            <w:pPr>
              <w:pStyle w:val="38"/>
              <w:spacing w:line="360" w:lineRule="auto"/>
              <w:jc w:val="center"/>
              <w:rPr>
                <w:rFonts w:cs="Arial" w:asciiTheme="minorEastAsia" w:hAnsiTheme="minorEastAsia" w:eastAsiaTheme="minorEastAsia"/>
                <w:color w:val="auto"/>
                <w:szCs w:val="21"/>
                <w:highlight w:val="none"/>
              </w:rPr>
            </w:pPr>
          </w:p>
        </w:tc>
        <w:tc>
          <w:tcPr>
            <w:tcW w:w="2260" w:type="dxa"/>
            <w:vAlign w:val="center"/>
          </w:tcPr>
          <w:p w14:paraId="2E73E61F">
            <w:pPr>
              <w:pStyle w:val="38"/>
              <w:spacing w:line="360" w:lineRule="auto"/>
              <w:jc w:val="center"/>
              <w:rPr>
                <w:rFonts w:cs="Arial" w:asciiTheme="minorEastAsia" w:hAnsiTheme="minorEastAsia" w:eastAsiaTheme="minorEastAsia"/>
                <w:color w:val="auto"/>
                <w:szCs w:val="21"/>
                <w:highlight w:val="none"/>
              </w:rPr>
            </w:pPr>
          </w:p>
        </w:tc>
        <w:tc>
          <w:tcPr>
            <w:tcW w:w="2047" w:type="dxa"/>
            <w:tcBorders>
              <w:right w:val="single" w:color="auto" w:sz="4" w:space="0"/>
            </w:tcBorders>
            <w:vAlign w:val="center"/>
          </w:tcPr>
          <w:p w14:paraId="2391CE25">
            <w:pPr>
              <w:pStyle w:val="38"/>
              <w:spacing w:line="360" w:lineRule="auto"/>
              <w:jc w:val="center"/>
              <w:rPr>
                <w:rFonts w:cs="Arial" w:asciiTheme="minorEastAsia" w:hAnsiTheme="minorEastAsia" w:eastAsiaTheme="minorEastAsia"/>
                <w:color w:val="auto"/>
                <w:szCs w:val="21"/>
                <w:highlight w:val="none"/>
              </w:rPr>
            </w:pPr>
          </w:p>
        </w:tc>
      </w:tr>
      <w:tr w14:paraId="7708BE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1C4842AF">
            <w:pPr>
              <w:pStyle w:val="38"/>
              <w:spacing w:line="360" w:lineRule="auto"/>
              <w:jc w:val="center"/>
              <w:rPr>
                <w:rFonts w:cs="Arial" w:asciiTheme="minorEastAsia" w:hAnsiTheme="minorEastAsia" w:eastAsiaTheme="minorEastAsia"/>
                <w:color w:val="auto"/>
                <w:szCs w:val="21"/>
                <w:highlight w:val="none"/>
              </w:rPr>
            </w:pPr>
          </w:p>
        </w:tc>
        <w:tc>
          <w:tcPr>
            <w:tcW w:w="2258" w:type="dxa"/>
            <w:vAlign w:val="center"/>
          </w:tcPr>
          <w:p w14:paraId="2BC5B30D">
            <w:pPr>
              <w:pStyle w:val="38"/>
              <w:spacing w:line="360" w:lineRule="auto"/>
              <w:jc w:val="center"/>
              <w:rPr>
                <w:rFonts w:cs="Arial" w:asciiTheme="minorEastAsia" w:hAnsiTheme="minorEastAsia" w:eastAsiaTheme="minorEastAsia"/>
                <w:color w:val="auto"/>
                <w:szCs w:val="21"/>
                <w:highlight w:val="none"/>
              </w:rPr>
            </w:pPr>
          </w:p>
        </w:tc>
        <w:tc>
          <w:tcPr>
            <w:tcW w:w="2260" w:type="dxa"/>
            <w:vAlign w:val="center"/>
          </w:tcPr>
          <w:p w14:paraId="33244E4A">
            <w:pPr>
              <w:pStyle w:val="38"/>
              <w:spacing w:line="360" w:lineRule="auto"/>
              <w:jc w:val="center"/>
              <w:rPr>
                <w:rFonts w:cs="Arial" w:asciiTheme="minorEastAsia" w:hAnsiTheme="minorEastAsia" w:eastAsiaTheme="minorEastAsia"/>
                <w:color w:val="auto"/>
                <w:szCs w:val="21"/>
                <w:highlight w:val="none"/>
              </w:rPr>
            </w:pPr>
          </w:p>
        </w:tc>
        <w:tc>
          <w:tcPr>
            <w:tcW w:w="2047" w:type="dxa"/>
            <w:tcBorders>
              <w:right w:val="single" w:color="auto" w:sz="4" w:space="0"/>
            </w:tcBorders>
            <w:vAlign w:val="center"/>
          </w:tcPr>
          <w:p w14:paraId="18B82951">
            <w:pPr>
              <w:pStyle w:val="38"/>
              <w:spacing w:line="360" w:lineRule="auto"/>
              <w:jc w:val="center"/>
              <w:rPr>
                <w:rFonts w:cs="Arial" w:asciiTheme="minorEastAsia" w:hAnsiTheme="minorEastAsia" w:eastAsiaTheme="minorEastAsia"/>
                <w:color w:val="auto"/>
                <w:szCs w:val="21"/>
                <w:highlight w:val="none"/>
              </w:rPr>
            </w:pPr>
          </w:p>
        </w:tc>
      </w:tr>
      <w:tr w14:paraId="2B777C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452B9698">
            <w:pPr>
              <w:pStyle w:val="38"/>
              <w:spacing w:line="360" w:lineRule="auto"/>
              <w:jc w:val="center"/>
              <w:rPr>
                <w:rFonts w:cs="Arial" w:asciiTheme="minorEastAsia" w:hAnsiTheme="minorEastAsia" w:eastAsiaTheme="minorEastAsia"/>
                <w:color w:val="auto"/>
                <w:szCs w:val="21"/>
                <w:highlight w:val="none"/>
              </w:rPr>
            </w:pPr>
          </w:p>
        </w:tc>
        <w:tc>
          <w:tcPr>
            <w:tcW w:w="2258" w:type="dxa"/>
            <w:vAlign w:val="center"/>
          </w:tcPr>
          <w:p w14:paraId="785187E2">
            <w:pPr>
              <w:pStyle w:val="38"/>
              <w:spacing w:line="360" w:lineRule="auto"/>
              <w:jc w:val="center"/>
              <w:rPr>
                <w:rFonts w:cs="Arial" w:asciiTheme="minorEastAsia" w:hAnsiTheme="minorEastAsia" w:eastAsiaTheme="minorEastAsia"/>
                <w:color w:val="auto"/>
                <w:szCs w:val="21"/>
                <w:highlight w:val="none"/>
              </w:rPr>
            </w:pPr>
          </w:p>
        </w:tc>
        <w:tc>
          <w:tcPr>
            <w:tcW w:w="2260" w:type="dxa"/>
            <w:vAlign w:val="center"/>
          </w:tcPr>
          <w:p w14:paraId="54F3D195">
            <w:pPr>
              <w:pStyle w:val="38"/>
              <w:spacing w:line="360" w:lineRule="auto"/>
              <w:jc w:val="center"/>
              <w:rPr>
                <w:rFonts w:cs="Arial" w:asciiTheme="minorEastAsia" w:hAnsiTheme="minorEastAsia" w:eastAsiaTheme="minorEastAsia"/>
                <w:color w:val="auto"/>
                <w:szCs w:val="21"/>
                <w:highlight w:val="none"/>
              </w:rPr>
            </w:pPr>
          </w:p>
        </w:tc>
        <w:tc>
          <w:tcPr>
            <w:tcW w:w="2047" w:type="dxa"/>
            <w:tcBorders>
              <w:right w:val="single" w:color="auto" w:sz="4" w:space="0"/>
            </w:tcBorders>
            <w:vAlign w:val="center"/>
          </w:tcPr>
          <w:p w14:paraId="163B9CAE">
            <w:pPr>
              <w:pStyle w:val="38"/>
              <w:spacing w:line="360" w:lineRule="auto"/>
              <w:jc w:val="center"/>
              <w:rPr>
                <w:rFonts w:cs="Arial" w:asciiTheme="minorEastAsia" w:hAnsiTheme="minorEastAsia" w:eastAsiaTheme="minorEastAsia"/>
                <w:color w:val="auto"/>
                <w:szCs w:val="21"/>
                <w:highlight w:val="none"/>
              </w:rPr>
            </w:pPr>
          </w:p>
        </w:tc>
      </w:tr>
      <w:tr w14:paraId="45951A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bottom w:val="single" w:color="auto" w:sz="4" w:space="0"/>
            </w:tcBorders>
            <w:vAlign w:val="center"/>
          </w:tcPr>
          <w:p w14:paraId="79A7FAE5">
            <w:pPr>
              <w:pStyle w:val="38"/>
              <w:spacing w:line="360" w:lineRule="auto"/>
              <w:jc w:val="center"/>
              <w:rPr>
                <w:rFonts w:cs="Arial" w:asciiTheme="minorEastAsia" w:hAnsiTheme="minorEastAsia" w:eastAsiaTheme="minorEastAsia"/>
                <w:color w:val="auto"/>
                <w:szCs w:val="21"/>
                <w:highlight w:val="none"/>
              </w:rPr>
            </w:pPr>
          </w:p>
        </w:tc>
        <w:tc>
          <w:tcPr>
            <w:tcW w:w="2258" w:type="dxa"/>
            <w:tcBorders>
              <w:bottom w:val="single" w:color="auto" w:sz="4" w:space="0"/>
            </w:tcBorders>
            <w:vAlign w:val="center"/>
          </w:tcPr>
          <w:p w14:paraId="20891290">
            <w:pPr>
              <w:pStyle w:val="38"/>
              <w:spacing w:line="360" w:lineRule="auto"/>
              <w:jc w:val="center"/>
              <w:rPr>
                <w:rFonts w:cs="Arial" w:asciiTheme="minorEastAsia" w:hAnsiTheme="minorEastAsia" w:eastAsiaTheme="minorEastAsia"/>
                <w:color w:val="auto"/>
                <w:szCs w:val="21"/>
                <w:highlight w:val="none"/>
              </w:rPr>
            </w:pPr>
          </w:p>
        </w:tc>
        <w:tc>
          <w:tcPr>
            <w:tcW w:w="2260" w:type="dxa"/>
            <w:tcBorders>
              <w:bottom w:val="single" w:color="auto" w:sz="4" w:space="0"/>
            </w:tcBorders>
            <w:vAlign w:val="center"/>
          </w:tcPr>
          <w:p w14:paraId="6CE52FD6">
            <w:pPr>
              <w:pStyle w:val="38"/>
              <w:spacing w:line="360" w:lineRule="auto"/>
              <w:jc w:val="center"/>
              <w:rPr>
                <w:rFonts w:cs="Arial" w:asciiTheme="minorEastAsia" w:hAnsiTheme="minorEastAsia" w:eastAsiaTheme="minorEastAsia"/>
                <w:color w:val="auto"/>
                <w:szCs w:val="21"/>
                <w:highlight w:val="none"/>
              </w:rPr>
            </w:pPr>
          </w:p>
        </w:tc>
        <w:tc>
          <w:tcPr>
            <w:tcW w:w="2047" w:type="dxa"/>
            <w:tcBorders>
              <w:bottom w:val="single" w:color="auto" w:sz="4" w:space="0"/>
              <w:right w:val="single" w:color="auto" w:sz="4" w:space="0"/>
            </w:tcBorders>
            <w:vAlign w:val="center"/>
          </w:tcPr>
          <w:p w14:paraId="1E159B04">
            <w:pPr>
              <w:pStyle w:val="38"/>
              <w:spacing w:line="360" w:lineRule="auto"/>
              <w:jc w:val="center"/>
              <w:rPr>
                <w:rFonts w:cs="Arial" w:asciiTheme="minorEastAsia" w:hAnsiTheme="minorEastAsia" w:eastAsiaTheme="minorEastAsia"/>
                <w:color w:val="auto"/>
                <w:szCs w:val="21"/>
                <w:highlight w:val="none"/>
              </w:rPr>
            </w:pPr>
          </w:p>
        </w:tc>
      </w:tr>
    </w:tbl>
    <w:p w14:paraId="5F1B5706">
      <w:pPr>
        <w:pStyle w:val="38"/>
        <w:tabs>
          <w:tab w:val="left" w:pos="1050"/>
        </w:tabs>
        <w:spacing w:line="360" w:lineRule="auto"/>
        <w:rPr>
          <w:rFonts w:asciiTheme="minorEastAsia" w:hAnsiTheme="minorEastAsia" w:eastAsiaTheme="minorEastAsia"/>
          <w:color w:val="auto"/>
          <w:szCs w:val="21"/>
          <w:highlight w:val="none"/>
        </w:rPr>
      </w:pPr>
    </w:p>
    <w:p w14:paraId="14771808">
      <w:pPr>
        <w:pStyle w:val="38"/>
        <w:tabs>
          <w:tab w:val="left" w:pos="1050"/>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要求：</w:t>
      </w:r>
    </w:p>
    <w:p w14:paraId="4AFE6C3E">
      <w:pPr>
        <w:pStyle w:val="38"/>
        <w:tabs>
          <w:tab w:val="left" w:pos="1050"/>
        </w:tabs>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1.根据评分标准要求填写投标供应商获得的资质、认证或企业信誉证书等；</w:t>
      </w:r>
    </w:p>
    <w:p w14:paraId="67AB687D">
      <w:pPr>
        <w:pStyle w:val="38"/>
        <w:tabs>
          <w:tab w:val="left" w:pos="1050"/>
        </w:tabs>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2.附所列证书扫描件或影印件或其他证明材料。</w:t>
      </w:r>
    </w:p>
    <w:p w14:paraId="56E778F3">
      <w:pPr>
        <w:spacing w:line="360" w:lineRule="auto"/>
        <w:jc w:val="left"/>
        <w:rPr>
          <w:rFonts w:asciiTheme="minorEastAsia" w:hAnsiTheme="minorEastAsia"/>
          <w:color w:val="auto"/>
          <w:szCs w:val="21"/>
          <w:highlight w:val="none"/>
        </w:rPr>
      </w:pPr>
    </w:p>
    <w:p w14:paraId="639F2D96">
      <w:pPr>
        <w:spacing w:line="360" w:lineRule="auto"/>
        <w:jc w:val="left"/>
        <w:rPr>
          <w:rFonts w:asciiTheme="minorEastAsia" w:hAnsiTheme="minorEastAsia"/>
          <w:color w:val="auto"/>
          <w:szCs w:val="21"/>
          <w:highlight w:val="none"/>
        </w:rPr>
      </w:pPr>
    </w:p>
    <w:p w14:paraId="3FF09075">
      <w:pPr>
        <w:tabs>
          <w:tab w:val="left" w:pos="312"/>
        </w:tabs>
        <w:spacing w:line="480" w:lineRule="auto"/>
        <w:ind w:firstLine="420" w:firstLineChars="200"/>
        <w:jc w:val="right"/>
        <w:rPr>
          <w:rFonts w:asciiTheme="minorEastAsia" w:hAnsiTheme="minorEastAsia"/>
          <w:color w:val="auto"/>
          <w:szCs w:val="21"/>
          <w:highlight w:val="none"/>
        </w:rPr>
      </w:pPr>
      <w:r>
        <w:rPr>
          <w:rFonts w:hint="eastAsia" w:cs="宋体" w:asciiTheme="minorEastAsia" w:hAnsiTheme="minorEastAsia"/>
          <w:color w:val="auto"/>
          <w:szCs w:val="21"/>
          <w:highlight w:val="none"/>
        </w:rPr>
        <w:t>投标人名称（盖公章）：</w:t>
      </w:r>
    </w:p>
    <w:p w14:paraId="33A7BC1B">
      <w:pPr>
        <w:spacing w:line="480" w:lineRule="auto"/>
        <w:ind w:firstLine="371" w:firstLineChars="177"/>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50B9810B">
      <w:pPr>
        <w:spacing w:line="480" w:lineRule="auto"/>
        <w:ind w:firstLine="435"/>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0ABE59B0">
      <w:pPr>
        <w:spacing w:after="100" w:afterAutospacing="1" w:line="360" w:lineRule="auto"/>
        <w:jc w:val="center"/>
        <w:outlineLvl w:val="0"/>
        <w:rPr>
          <w:rFonts w:asciiTheme="minorEastAsia" w:hAnsiTheme="minorEastAsia"/>
          <w:b/>
          <w:color w:val="auto"/>
          <w:sz w:val="32"/>
          <w:szCs w:val="32"/>
          <w:highlight w:val="none"/>
        </w:rPr>
      </w:pPr>
    </w:p>
    <w:bookmarkEnd w:id="183"/>
    <w:bookmarkEnd w:id="184"/>
    <w:bookmarkEnd w:id="185"/>
    <w:bookmarkEnd w:id="186"/>
    <w:bookmarkEnd w:id="187"/>
    <w:bookmarkEnd w:id="188"/>
    <w:p w14:paraId="61E1E38A">
      <w:pPr>
        <w:pageBreakBefore/>
        <w:spacing w:after="100" w:afterAutospacing="1" w:line="360" w:lineRule="auto"/>
        <w:jc w:val="center"/>
        <w:outlineLvl w:val="0"/>
        <w:rPr>
          <w:rFonts w:asciiTheme="minorEastAsia" w:hAnsiTheme="minorEastAsia"/>
          <w:b/>
          <w:color w:val="auto"/>
          <w:sz w:val="32"/>
          <w:szCs w:val="32"/>
          <w:highlight w:val="none"/>
        </w:rPr>
      </w:pPr>
      <w:bookmarkStart w:id="196" w:name="_Toc3100"/>
      <w:bookmarkStart w:id="197" w:name="_Toc7232"/>
      <w:bookmarkStart w:id="198" w:name="_Toc18229"/>
      <w:bookmarkStart w:id="199" w:name="_Toc22735"/>
      <w:bookmarkStart w:id="200" w:name="_Toc4688"/>
      <w:bookmarkStart w:id="201" w:name="_Toc14058"/>
      <w:r>
        <w:rPr>
          <w:rFonts w:hint="eastAsia" w:asciiTheme="minorEastAsia" w:hAnsiTheme="minorEastAsia"/>
          <w:b/>
          <w:color w:val="auto"/>
          <w:sz w:val="32"/>
          <w:szCs w:val="32"/>
          <w:highlight w:val="none"/>
        </w:rPr>
        <w:t>五、</w:t>
      </w:r>
      <w:r>
        <w:rPr>
          <w:rFonts w:asciiTheme="minorEastAsia" w:hAnsiTheme="minorEastAsia"/>
          <w:b/>
          <w:color w:val="auto"/>
          <w:sz w:val="32"/>
          <w:szCs w:val="32"/>
          <w:highlight w:val="none"/>
        </w:rPr>
        <w:t>商务偏离表</w:t>
      </w:r>
      <w:bookmarkEnd w:id="196"/>
      <w:bookmarkEnd w:id="197"/>
      <w:bookmarkEnd w:id="198"/>
      <w:bookmarkEnd w:id="199"/>
      <w:bookmarkEnd w:id="200"/>
      <w:bookmarkEnd w:id="201"/>
    </w:p>
    <w:p w14:paraId="2D77602A">
      <w:pPr>
        <w:pStyle w:val="10"/>
        <w:tabs>
          <w:tab w:val="right" w:pos="8847"/>
        </w:tabs>
        <w:ind w:left="479" w:leftChars="228" w:firstLine="315" w:firstLineChars="150"/>
        <w:rPr>
          <w:rFonts w:eastAsia="宋体"/>
          <w:color w:val="auto"/>
          <w:sz w:val="21"/>
          <w:szCs w:val="21"/>
          <w:highlight w:val="none"/>
          <w:u w:val="single"/>
        </w:rPr>
      </w:pPr>
      <w:r>
        <w:rPr>
          <w:rFonts w:hint="eastAsia" w:eastAsia="宋体"/>
          <w:color w:val="auto"/>
          <w:sz w:val="21"/>
          <w:szCs w:val="21"/>
          <w:highlight w:val="none"/>
        </w:rPr>
        <w:t>项目编号：                                                             项目名称：</w:t>
      </w:r>
    </w:p>
    <w:tbl>
      <w:tblPr>
        <w:tblStyle w:val="22"/>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450"/>
        <w:gridCol w:w="3086"/>
        <w:gridCol w:w="995"/>
      </w:tblGrid>
      <w:tr w14:paraId="55F93E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23470654">
            <w:pPr>
              <w:pStyle w:val="10"/>
              <w:spacing w:line="340" w:lineRule="exact"/>
              <w:ind w:firstLine="105" w:firstLineChars="50"/>
              <w:contextualSpacing/>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序号</w:t>
            </w:r>
          </w:p>
        </w:tc>
        <w:tc>
          <w:tcPr>
            <w:tcW w:w="4450" w:type="dxa"/>
            <w:tcBorders>
              <w:top w:val="single" w:color="auto" w:sz="4" w:space="0"/>
              <w:bottom w:val="single" w:color="auto" w:sz="4" w:space="0"/>
            </w:tcBorders>
            <w:tcMar>
              <w:left w:w="0" w:type="dxa"/>
              <w:right w:w="0" w:type="dxa"/>
            </w:tcMar>
            <w:vAlign w:val="center"/>
          </w:tcPr>
          <w:p w14:paraId="6F61FDE5">
            <w:pPr>
              <w:pStyle w:val="10"/>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《采购文件》商务条款要求</w:t>
            </w:r>
          </w:p>
        </w:tc>
        <w:tc>
          <w:tcPr>
            <w:tcW w:w="3086" w:type="dxa"/>
            <w:tcBorders>
              <w:top w:val="single" w:color="auto" w:sz="4" w:space="0"/>
              <w:bottom w:val="single" w:color="auto" w:sz="4" w:space="0"/>
            </w:tcBorders>
            <w:tcMar>
              <w:left w:w="0" w:type="dxa"/>
              <w:right w:w="0" w:type="dxa"/>
            </w:tcMar>
            <w:vAlign w:val="center"/>
          </w:tcPr>
          <w:p w14:paraId="2E0789A0">
            <w:pPr>
              <w:pStyle w:val="10"/>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《投标文件》商务条款响应</w:t>
            </w:r>
          </w:p>
        </w:tc>
        <w:tc>
          <w:tcPr>
            <w:tcW w:w="995" w:type="dxa"/>
            <w:tcBorders>
              <w:top w:val="single" w:color="auto" w:sz="4" w:space="0"/>
              <w:bottom w:val="single" w:color="auto" w:sz="4" w:space="0"/>
            </w:tcBorders>
            <w:tcMar>
              <w:left w:w="0" w:type="dxa"/>
              <w:right w:w="0" w:type="dxa"/>
            </w:tcMar>
            <w:vAlign w:val="center"/>
          </w:tcPr>
          <w:p w14:paraId="14D2BB5A">
            <w:pPr>
              <w:pStyle w:val="10"/>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说明</w:t>
            </w:r>
          </w:p>
        </w:tc>
      </w:tr>
      <w:tr w14:paraId="218EAB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362E27F2">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4450" w:type="dxa"/>
            <w:tcBorders>
              <w:top w:val="single" w:color="auto" w:sz="4" w:space="0"/>
            </w:tcBorders>
            <w:tcMar>
              <w:left w:w="0" w:type="dxa"/>
              <w:right w:w="0" w:type="dxa"/>
            </w:tcMar>
            <w:vAlign w:val="center"/>
          </w:tcPr>
          <w:p w14:paraId="42D1EEEE">
            <w:pPr>
              <w:spacing w:line="340" w:lineRule="exact"/>
              <w:contextualSpacing/>
              <w:rPr>
                <w:rFonts w:ascii="Times New Roman" w:hAnsi="Times New Roman"/>
                <w:color w:val="auto"/>
                <w:szCs w:val="21"/>
                <w:highlight w:val="none"/>
              </w:rPr>
            </w:pPr>
          </w:p>
        </w:tc>
        <w:tc>
          <w:tcPr>
            <w:tcW w:w="3086" w:type="dxa"/>
            <w:tcBorders>
              <w:top w:val="single" w:color="auto" w:sz="4" w:space="0"/>
            </w:tcBorders>
            <w:tcMar>
              <w:left w:w="0" w:type="dxa"/>
              <w:right w:w="0" w:type="dxa"/>
            </w:tcMar>
            <w:vAlign w:val="center"/>
          </w:tcPr>
          <w:p w14:paraId="1EB94AB8">
            <w:pPr>
              <w:spacing w:line="340" w:lineRule="exact"/>
              <w:contextualSpacing/>
              <w:jc w:val="center"/>
              <w:rPr>
                <w:rFonts w:ascii="Times New Roman" w:hAnsi="Times New Roman"/>
                <w:color w:val="auto"/>
                <w:szCs w:val="21"/>
                <w:highlight w:val="none"/>
              </w:rPr>
            </w:pPr>
          </w:p>
        </w:tc>
        <w:tc>
          <w:tcPr>
            <w:tcW w:w="995" w:type="dxa"/>
            <w:tcBorders>
              <w:top w:val="single" w:color="auto" w:sz="4" w:space="0"/>
            </w:tcBorders>
            <w:tcMar>
              <w:left w:w="0" w:type="dxa"/>
              <w:right w:w="0" w:type="dxa"/>
            </w:tcMar>
            <w:vAlign w:val="center"/>
          </w:tcPr>
          <w:p w14:paraId="77E9EDB7">
            <w:pPr>
              <w:spacing w:line="340" w:lineRule="exact"/>
              <w:contextualSpacing/>
              <w:jc w:val="center"/>
              <w:rPr>
                <w:rFonts w:ascii="Times New Roman" w:hAnsi="Times New Roman"/>
                <w:color w:val="auto"/>
                <w:szCs w:val="21"/>
                <w:highlight w:val="none"/>
              </w:rPr>
            </w:pPr>
          </w:p>
        </w:tc>
      </w:tr>
      <w:tr w14:paraId="4A4C87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682CB87">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4450" w:type="dxa"/>
            <w:tcMar>
              <w:left w:w="0" w:type="dxa"/>
              <w:right w:w="0" w:type="dxa"/>
            </w:tcMar>
            <w:vAlign w:val="center"/>
          </w:tcPr>
          <w:p w14:paraId="02B805DB">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070F67A4">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30DBBF76">
            <w:pPr>
              <w:spacing w:line="340" w:lineRule="exact"/>
              <w:contextualSpacing/>
              <w:jc w:val="center"/>
              <w:rPr>
                <w:rFonts w:ascii="Times New Roman" w:hAnsi="Times New Roman"/>
                <w:color w:val="auto"/>
                <w:szCs w:val="21"/>
                <w:highlight w:val="none"/>
              </w:rPr>
            </w:pPr>
          </w:p>
        </w:tc>
      </w:tr>
      <w:tr w14:paraId="0F82BA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833C500">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4450" w:type="dxa"/>
            <w:tcMar>
              <w:left w:w="0" w:type="dxa"/>
              <w:right w:w="0" w:type="dxa"/>
            </w:tcMar>
            <w:vAlign w:val="center"/>
          </w:tcPr>
          <w:p w14:paraId="5624CA0D">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0B8F6F32">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0505D3A4">
            <w:pPr>
              <w:spacing w:line="340" w:lineRule="exact"/>
              <w:contextualSpacing/>
              <w:jc w:val="center"/>
              <w:rPr>
                <w:rFonts w:ascii="Times New Roman" w:hAnsi="Times New Roman"/>
                <w:color w:val="auto"/>
                <w:szCs w:val="21"/>
                <w:highlight w:val="none"/>
              </w:rPr>
            </w:pPr>
          </w:p>
        </w:tc>
      </w:tr>
      <w:tr w14:paraId="1F981B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D10E168">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4450" w:type="dxa"/>
            <w:tcMar>
              <w:left w:w="0" w:type="dxa"/>
              <w:right w:w="0" w:type="dxa"/>
            </w:tcMar>
            <w:vAlign w:val="center"/>
          </w:tcPr>
          <w:p w14:paraId="0CE8235C">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7D6B102D">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233FC885">
            <w:pPr>
              <w:spacing w:line="340" w:lineRule="exact"/>
              <w:contextualSpacing/>
              <w:jc w:val="center"/>
              <w:rPr>
                <w:rFonts w:ascii="Times New Roman" w:hAnsi="Times New Roman"/>
                <w:color w:val="auto"/>
                <w:szCs w:val="21"/>
                <w:highlight w:val="none"/>
              </w:rPr>
            </w:pPr>
          </w:p>
        </w:tc>
      </w:tr>
      <w:tr w14:paraId="13E32E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E8DEADA">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5</w:t>
            </w:r>
          </w:p>
        </w:tc>
        <w:tc>
          <w:tcPr>
            <w:tcW w:w="4450" w:type="dxa"/>
            <w:tcMar>
              <w:left w:w="0" w:type="dxa"/>
              <w:right w:w="0" w:type="dxa"/>
            </w:tcMar>
            <w:vAlign w:val="center"/>
          </w:tcPr>
          <w:p w14:paraId="68CE3697">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789624E6">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737CA561">
            <w:pPr>
              <w:spacing w:line="340" w:lineRule="exact"/>
              <w:contextualSpacing/>
              <w:jc w:val="center"/>
              <w:rPr>
                <w:rFonts w:ascii="Times New Roman" w:hAnsi="Times New Roman"/>
                <w:color w:val="auto"/>
                <w:szCs w:val="21"/>
                <w:highlight w:val="none"/>
              </w:rPr>
            </w:pPr>
          </w:p>
        </w:tc>
      </w:tr>
      <w:tr w14:paraId="71A3D4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3CE32C5">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4450" w:type="dxa"/>
            <w:tcMar>
              <w:left w:w="0" w:type="dxa"/>
              <w:right w:w="0" w:type="dxa"/>
            </w:tcMar>
            <w:vAlign w:val="center"/>
          </w:tcPr>
          <w:p w14:paraId="6C5BCDD4">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35C6488A">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48468543">
            <w:pPr>
              <w:spacing w:line="340" w:lineRule="exact"/>
              <w:contextualSpacing/>
              <w:jc w:val="center"/>
              <w:rPr>
                <w:rFonts w:ascii="Times New Roman" w:hAnsi="Times New Roman"/>
                <w:color w:val="auto"/>
                <w:szCs w:val="21"/>
                <w:highlight w:val="none"/>
              </w:rPr>
            </w:pPr>
          </w:p>
        </w:tc>
      </w:tr>
      <w:tr w14:paraId="2EA40F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8A60D8E">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7</w:t>
            </w:r>
          </w:p>
        </w:tc>
        <w:tc>
          <w:tcPr>
            <w:tcW w:w="4450" w:type="dxa"/>
            <w:tcMar>
              <w:left w:w="0" w:type="dxa"/>
              <w:right w:w="0" w:type="dxa"/>
            </w:tcMar>
            <w:vAlign w:val="center"/>
          </w:tcPr>
          <w:p w14:paraId="43D7E3AA">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111D2E61">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6C685A81">
            <w:pPr>
              <w:spacing w:line="340" w:lineRule="exact"/>
              <w:contextualSpacing/>
              <w:jc w:val="center"/>
              <w:rPr>
                <w:rFonts w:ascii="Times New Roman" w:hAnsi="Times New Roman"/>
                <w:color w:val="auto"/>
                <w:szCs w:val="21"/>
                <w:highlight w:val="none"/>
              </w:rPr>
            </w:pPr>
          </w:p>
        </w:tc>
      </w:tr>
      <w:tr w14:paraId="1E1B67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076E23E">
            <w:pPr>
              <w:spacing w:line="340" w:lineRule="exact"/>
              <w:contextualSpacing/>
              <w:jc w:val="center"/>
              <w:rPr>
                <w:rFonts w:ascii="Times New Roman" w:hAnsi="Times New Roman"/>
                <w:color w:val="auto"/>
                <w:szCs w:val="21"/>
                <w:highlight w:val="none"/>
              </w:rPr>
            </w:pPr>
            <w:r>
              <w:rPr>
                <w:rFonts w:ascii="Times New Roman" w:hAnsi="Times New Roman"/>
                <w:color w:val="auto"/>
                <w:szCs w:val="21"/>
                <w:highlight w:val="none"/>
              </w:rPr>
              <w:t>8</w:t>
            </w:r>
          </w:p>
        </w:tc>
        <w:tc>
          <w:tcPr>
            <w:tcW w:w="4450" w:type="dxa"/>
            <w:tcMar>
              <w:left w:w="0" w:type="dxa"/>
              <w:right w:w="0" w:type="dxa"/>
            </w:tcMar>
            <w:vAlign w:val="center"/>
          </w:tcPr>
          <w:p w14:paraId="1D90F8C8">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2BBF235C">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7D175D2F">
            <w:pPr>
              <w:spacing w:line="340" w:lineRule="exact"/>
              <w:contextualSpacing/>
              <w:jc w:val="center"/>
              <w:rPr>
                <w:rFonts w:ascii="Times New Roman" w:hAnsi="Times New Roman"/>
                <w:color w:val="auto"/>
                <w:szCs w:val="21"/>
                <w:highlight w:val="none"/>
              </w:rPr>
            </w:pPr>
          </w:p>
        </w:tc>
      </w:tr>
      <w:tr w14:paraId="5ABCE7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8B262A2">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9</w:t>
            </w:r>
          </w:p>
        </w:tc>
        <w:tc>
          <w:tcPr>
            <w:tcW w:w="4450" w:type="dxa"/>
            <w:tcMar>
              <w:left w:w="0" w:type="dxa"/>
              <w:right w:w="0" w:type="dxa"/>
            </w:tcMar>
            <w:vAlign w:val="center"/>
          </w:tcPr>
          <w:p w14:paraId="59396661">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62704639">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6CBEB1E1">
            <w:pPr>
              <w:spacing w:line="340" w:lineRule="exact"/>
              <w:contextualSpacing/>
              <w:jc w:val="center"/>
              <w:rPr>
                <w:rFonts w:ascii="Times New Roman" w:hAnsi="Times New Roman"/>
                <w:color w:val="auto"/>
                <w:szCs w:val="21"/>
                <w:highlight w:val="none"/>
              </w:rPr>
            </w:pPr>
          </w:p>
        </w:tc>
      </w:tr>
      <w:tr w14:paraId="22090A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1001879">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0</w:t>
            </w:r>
          </w:p>
        </w:tc>
        <w:tc>
          <w:tcPr>
            <w:tcW w:w="4450" w:type="dxa"/>
            <w:tcMar>
              <w:left w:w="0" w:type="dxa"/>
              <w:right w:w="0" w:type="dxa"/>
            </w:tcMar>
            <w:vAlign w:val="center"/>
          </w:tcPr>
          <w:p w14:paraId="79890943">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5236B9B9">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58AA8828">
            <w:pPr>
              <w:spacing w:line="340" w:lineRule="exact"/>
              <w:contextualSpacing/>
              <w:jc w:val="center"/>
              <w:rPr>
                <w:rFonts w:ascii="Times New Roman" w:hAnsi="Times New Roman"/>
                <w:color w:val="auto"/>
                <w:szCs w:val="21"/>
                <w:highlight w:val="none"/>
              </w:rPr>
            </w:pPr>
          </w:p>
        </w:tc>
      </w:tr>
      <w:tr w14:paraId="4E215E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9C624D8">
            <w:pPr>
              <w:spacing w:line="340" w:lineRule="exact"/>
              <w:contextualSpacing/>
              <w:jc w:val="center"/>
              <w:rPr>
                <w:rFonts w:ascii="Times New Roman" w:hAnsi="Times New Roman"/>
                <w:color w:val="auto"/>
                <w:szCs w:val="21"/>
                <w:highlight w:val="none"/>
              </w:rPr>
            </w:pPr>
            <w:r>
              <w:rPr>
                <w:rFonts w:ascii="Times New Roman" w:hAnsi="Times New Roman"/>
                <w:color w:val="auto"/>
                <w:szCs w:val="21"/>
                <w:highlight w:val="none"/>
              </w:rPr>
              <w:t>……</w:t>
            </w:r>
          </w:p>
        </w:tc>
        <w:tc>
          <w:tcPr>
            <w:tcW w:w="4450" w:type="dxa"/>
            <w:tcMar>
              <w:left w:w="0" w:type="dxa"/>
              <w:right w:w="0" w:type="dxa"/>
            </w:tcMar>
            <w:vAlign w:val="center"/>
          </w:tcPr>
          <w:p w14:paraId="0BA92EE9">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133882BE">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276BFAFC">
            <w:pPr>
              <w:spacing w:line="340" w:lineRule="exact"/>
              <w:contextualSpacing/>
              <w:jc w:val="center"/>
              <w:rPr>
                <w:rFonts w:ascii="Times New Roman" w:hAnsi="Times New Roman"/>
                <w:color w:val="auto"/>
                <w:szCs w:val="21"/>
                <w:highlight w:val="none"/>
              </w:rPr>
            </w:pPr>
          </w:p>
        </w:tc>
      </w:tr>
    </w:tbl>
    <w:p w14:paraId="59EC4BA4">
      <w:pPr>
        <w:pStyle w:val="10"/>
        <w:ind w:firstLine="0"/>
        <w:rPr>
          <w:rFonts w:eastAsia="宋体"/>
          <w:color w:val="auto"/>
          <w:sz w:val="21"/>
          <w:szCs w:val="21"/>
          <w:highlight w:val="none"/>
        </w:rPr>
      </w:pPr>
      <w:r>
        <w:rPr>
          <w:rFonts w:hint="eastAsia" w:eastAsia="宋体"/>
          <w:color w:val="auto"/>
          <w:sz w:val="21"/>
          <w:szCs w:val="21"/>
          <w:highlight w:val="none"/>
        </w:rPr>
        <w:t>备注：</w:t>
      </w:r>
    </w:p>
    <w:p w14:paraId="5ED368CB">
      <w:pPr>
        <w:pStyle w:val="10"/>
        <w:ind w:firstLine="0"/>
        <w:rPr>
          <w:rFonts w:eastAsia="宋体"/>
          <w:color w:val="auto"/>
          <w:sz w:val="21"/>
          <w:szCs w:val="21"/>
          <w:highlight w:val="none"/>
        </w:rPr>
      </w:pPr>
      <w:r>
        <w:rPr>
          <w:rFonts w:hint="eastAsia" w:eastAsia="宋体"/>
          <w:color w:val="auto"/>
          <w:sz w:val="21"/>
          <w:szCs w:val="21"/>
          <w:highlight w:val="none"/>
        </w:rPr>
        <w:t>1、列明采购文件的商务要求与投标文件对应响应，并说明偏离状况（正偏离或负偏离）；</w:t>
      </w:r>
    </w:p>
    <w:p w14:paraId="102BA717">
      <w:pPr>
        <w:pStyle w:val="10"/>
        <w:ind w:firstLine="0"/>
        <w:rPr>
          <w:rFonts w:eastAsia="宋体"/>
          <w:color w:val="auto"/>
          <w:sz w:val="21"/>
          <w:szCs w:val="21"/>
          <w:highlight w:val="none"/>
        </w:rPr>
      </w:pPr>
      <w:r>
        <w:rPr>
          <w:rFonts w:hint="eastAsia" w:eastAsia="宋体"/>
          <w:color w:val="auto"/>
          <w:sz w:val="21"/>
          <w:szCs w:val="21"/>
          <w:highlight w:val="none"/>
        </w:rPr>
        <w:t>2、无偏离应在本表“说明”处醒目地注明“无条款偏离”的字样。</w:t>
      </w:r>
    </w:p>
    <w:p w14:paraId="2DA5AC27">
      <w:pPr>
        <w:pStyle w:val="10"/>
        <w:ind w:firstLine="0"/>
        <w:rPr>
          <w:rFonts w:eastAsia="宋体"/>
          <w:color w:val="auto"/>
          <w:sz w:val="21"/>
          <w:szCs w:val="21"/>
          <w:highlight w:val="none"/>
        </w:rPr>
      </w:pPr>
      <w:r>
        <w:rPr>
          <w:rFonts w:hint="eastAsia" w:eastAsia="宋体"/>
          <w:color w:val="auto"/>
          <w:sz w:val="21"/>
          <w:szCs w:val="21"/>
          <w:highlight w:val="none"/>
        </w:rPr>
        <w:t>3、本表格供参考，投标人可根据项目实际情况自拟（增减）表格。</w:t>
      </w:r>
    </w:p>
    <w:p w14:paraId="1208643A">
      <w:pPr>
        <w:spacing w:line="360" w:lineRule="auto"/>
        <w:ind w:right="420"/>
        <w:rPr>
          <w:color w:val="auto"/>
          <w:szCs w:val="21"/>
          <w:highlight w:val="none"/>
        </w:rPr>
      </w:pPr>
    </w:p>
    <w:p w14:paraId="325500FF">
      <w:pPr>
        <w:tabs>
          <w:tab w:val="left" w:pos="312"/>
        </w:tabs>
        <w:spacing w:line="480" w:lineRule="auto"/>
        <w:ind w:firstLine="420" w:firstLineChars="200"/>
        <w:jc w:val="right"/>
        <w:rPr>
          <w:rFonts w:asciiTheme="minorEastAsia" w:hAnsiTheme="minorEastAsia"/>
          <w:color w:val="auto"/>
          <w:szCs w:val="21"/>
          <w:highlight w:val="none"/>
        </w:rPr>
      </w:pPr>
      <w:r>
        <w:rPr>
          <w:rFonts w:hint="eastAsia" w:cs="宋体" w:asciiTheme="minorEastAsia" w:hAnsiTheme="minorEastAsia"/>
          <w:color w:val="auto"/>
          <w:szCs w:val="21"/>
          <w:highlight w:val="none"/>
        </w:rPr>
        <w:t>投标人名称（盖公章）：</w:t>
      </w:r>
    </w:p>
    <w:p w14:paraId="0293BF99">
      <w:pPr>
        <w:spacing w:line="480" w:lineRule="auto"/>
        <w:ind w:firstLine="371" w:firstLineChars="177"/>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26228A90">
      <w:pPr>
        <w:spacing w:line="480" w:lineRule="auto"/>
        <w:ind w:firstLine="435"/>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1E139B3C">
      <w:pPr>
        <w:rPr>
          <w:rFonts w:asciiTheme="minorEastAsia" w:hAnsiTheme="minorEastAsia"/>
          <w:color w:val="auto"/>
          <w:szCs w:val="21"/>
          <w:highlight w:val="none"/>
        </w:rPr>
      </w:pPr>
    </w:p>
    <w:p w14:paraId="5584B5F5">
      <w:pPr>
        <w:spacing w:line="360" w:lineRule="auto"/>
        <w:jc w:val="center"/>
        <w:outlineLvl w:val="0"/>
        <w:rPr>
          <w:rFonts w:asciiTheme="minorEastAsia" w:hAnsiTheme="minorEastAsia"/>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202" w:name="_Toc24263"/>
      <w:bookmarkStart w:id="203" w:name="_Toc5031"/>
      <w:bookmarkStart w:id="204" w:name="_Toc17343"/>
      <w:bookmarkStart w:id="205" w:name="_Toc18183"/>
      <w:bookmarkStart w:id="206" w:name="_Toc14352"/>
    </w:p>
    <w:p w14:paraId="58463117">
      <w:pPr>
        <w:pageBreakBefore/>
        <w:spacing w:after="100" w:afterAutospacing="1" w:line="360" w:lineRule="auto"/>
        <w:jc w:val="center"/>
        <w:outlineLvl w:val="0"/>
        <w:rPr>
          <w:rFonts w:asciiTheme="minorEastAsia" w:hAnsiTheme="minorEastAsia"/>
          <w:b/>
          <w:color w:val="auto"/>
          <w:sz w:val="32"/>
          <w:szCs w:val="32"/>
          <w:highlight w:val="none"/>
        </w:rPr>
      </w:pPr>
      <w:bookmarkStart w:id="207" w:name="_Toc24808"/>
      <w:bookmarkStart w:id="208" w:name="_Toc30962"/>
      <w:r>
        <w:rPr>
          <w:rFonts w:hint="eastAsia" w:asciiTheme="minorEastAsia" w:hAnsiTheme="minorEastAsia"/>
          <w:b/>
          <w:color w:val="auto"/>
          <w:sz w:val="32"/>
          <w:szCs w:val="32"/>
          <w:highlight w:val="none"/>
          <w:lang w:eastAsia="zh-CN"/>
        </w:rPr>
        <w:t>六、技术规范偏离表</w:t>
      </w:r>
    </w:p>
    <w:p w14:paraId="4696D1EA">
      <w:pPr>
        <w:spacing w:after="100" w:afterAutospacing="1" w:line="360" w:lineRule="auto"/>
        <w:outlineLvl w:val="0"/>
        <w:rPr>
          <w:rFonts w:ascii="Times New Roman" w:hAnsi="Times New Roman" w:cs="宋体"/>
          <w:color w:val="auto"/>
          <w:szCs w:val="21"/>
          <w:highlight w:val="none"/>
        </w:rPr>
      </w:pPr>
      <w:r>
        <w:rPr>
          <w:rFonts w:hint="eastAsia" w:ascii="Times New Roman" w:hAnsi="Times New Roman" w:cs="宋体"/>
          <w:color w:val="auto"/>
          <w:szCs w:val="21"/>
          <w:highlight w:val="none"/>
        </w:rPr>
        <w:t>项目编号：</w:t>
      </w:r>
      <w:r>
        <w:rPr>
          <w:rFonts w:ascii="Times New Roman" w:hAnsi="Times New Roman" w:cs="宋体"/>
          <w:color w:val="auto"/>
          <w:szCs w:val="21"/>
          <w:highlight w:val="none"/>
        </w:rPr>
        <w:t xml:space="preserve"> </w:t>
      </w:r>
      <w:r>
        <w:rPr>
          <w:rFonts w:hint="eastAsia" w:ascii="Times New Roman" w:hAnsi="Times New Roman" w:cs="宋体"/>
          <w:color w:val="auto"/>
          <w:szCs w:val="21"/>
          <w:highlight w:val="none"/>
          <w:lang w:val="en-US" w:eastAsia="zh-CN"/>
        </w:rPr>
        <w:t xml:space="preserve">                                                    </w:t>
      </w:r>
      <w:r>
        <w:rPr>
          <w:rFonts w:ascii="Times New Roman" w:hAnsi="Times New Roman" w:cs="宋体"/>
          <w:color w:val="auto"/>
          <w:szCs w:val="21"/>
          <w:highlight w:val="none"/>
        </w:rPr>
        <w:t>项目名称：</w:t>
      </w:r>
    </w:p>
    <w:tbl>
      <w:tblPr>
        <w:tblStyle w:val="22"/>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3768"/>
        <w:gridCol w:w="3768"/>
        <w:gridCol w:w="995"/>
      </w:tblGrid>
      <w:tr w14:paraId="3257CB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48BED4E8">
            <w:pPr>
              <w:pStyle w:val="10"/>
              <w:spacing w:line="340" w:lineRule="exact"/>
              <w:ind w:firstLine="105" w:firstLineChars="50"/>
              <w:contextualSpacing/>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序号</w:t>
            </w:r>
          </w:p>
        </w:tc>
        <w:tc>
          <w:tcPr>
            <w:tcW w:w="3768" w:type="dxa"/>
            <w:tcBorders>
              <w:top w:val="single" w:color="auto" w:sz="4" w:space="0"/>
              <w:bottom w:val="single" w:color="auto" w:sz="4" w:space="0"/>
            </w:tcBorders>
            <w:tcMar>
              <w:left w:w="0" w:type="dxa"/>
              <w:right w:w="0" w:type="dxa"/>
            </w:tcMar>
            <w:vAlign w:val="center"/>
          </w:tcPr>
          <w:p w14:paraId="693736B0">
            <w:pPr>
              <w:pStyle w:val="10"/>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《采购文件》中的技术要求</w:t>
            </w:r>
          </w:p>
        </w:tc>
        <w:tc>
          <w:tcPr>
            <w:tcW w:w="3768" w:type="dxa"/>
            <w:tcBorders>
              <w:top w:val="single" w:color="auto" w:sz="4" w:space="0"/>
              <w:bottom w:val="single" w:color="auto" w:sz="4" w:space="0"/>
            </w:tcBorders>
            <w:tcMar>
              <w:left w:w="0" w:type="dxa"/>
              <w:right w:w="0" w:type="dxa"/>
            </w:tcMar>
            <w:vAlign w:val="center"/>
          </w:tcPr>
          <w:p w14:paraId="68631212">
            <w:pPr>
              <w:pStyle w:val="10"/>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《投标文件》技术条款响应</w:t>
            </w:r>
          </w:p>
        </w:tc>
        <w:tc>
          <w:tcPr>
            <w:tcW w:w="995" w:type="dxa"/>
            <w:tcBorders>
              <w:top w:val="single" w:color="auto" w:sz="4" w:space="0"/>
              <w:bottom w:val="single" w:color="auto" w:sz="4" w:space="0"/>
            </w:tcBorders>
            <w:tcMar>
              <w:left w:w="0" w:type="dxa"/>
              <w:right w:w="0" w:type="dxa"/>
            </w:tcMar>
            <w:vAlign w:val="center"/>
          </w:tcPr>
          <w:p w14:paraId="16F2ADC1">
            <w:pPr>
              <w:pStyle w:val="10"/>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说明</w:t>
            </w:r>
          </w:p>
        </w:tc>
      </w:tr>
      <w:tr w14:paraId="117402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556E88EB">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3768" w:type="dxa"/>
            <w:tcBorders>
              <w:top w:val="single" w:color="auto" w:sz="4" w:space="0"/>
            </w:tcBorders>
            <w:tcMar>
              <w:left w:w="0" w:type="dxa"/>
              <w:right w:w="0" w:type="dxa"/>
            </w:tcMar>
            <w:vAlign w:val="center"/>
          </w:tcPr>
          <w:p w14:paraId="79A8463D">
            <w:pPr>
              <w:spacing w:line="340" w:lineRule="exact"/>
              <w:contextualSpacing/>
              <w:rPr>
                <w:rFonts w:ascii="Times New Roman" w:hAnsi="Times New Roman"/>
                <w:color w:val="auto"/>
                <w:szCs w:val="21"/>
                <w:highlight w:val="none"/>
              </w:rPr>
            </w:pPr>
          </w:p>
        </w:tc>
        <w:tc>
          <w:tcPr>
            <w:tcW w:w="3768" w:type="dxa"/>
            <w:tcBorders>
              <w:top w:val="single" w:color="auto" w:sz="4" w:space="0"/>
            </w:tcBorders>
            <w:tcMar>
              <w:left w:w="0" w:type="dxa"/>
              <w:right w:w="0" w:type="dxa"/>
            </w:tcMar>
            <w:vAlign w:val="center"/>
          </w:tcPr>
          <w:p w14:paraId="7AC76164">
            <w:pPr>
              <w:spacing w:line="340" w:lineRule="exact"/>
              <w:contextualSpacing/>
              <w:jc w:val="center"/>
              <w:rPr>
                <w:rFonts w:ascii="Times New Roman" w:hAnsi="Times New Roman"/>
                <w:color w:val="auto"/>
                <w:szCs w:val="21"/>
                <w:highlight w:val="none"/>
              </w:rPr>
            </w:pPr>
          </w:p>
        </w:tc>
        <w:tc>
          <w:tcPr>
            <w:tcW w:w="995" w:type="dxa"/>
            <w:tcBorders>
              <w:top w:val="single" w:color="auto" w:sz="4" w:space="0"/>
            </w:tcBorders>
            <w:tcMar>
              <w:left w:w="0" w:type="dxa"/>
              <w:right w:w="0" w:type="dxa"/>
            </w:tcMar>
            <w:vAlign w:val="center"/>
          </w:tcPr>
          <w:p w14:paraId="7B9AC7D5">
            <w:pPr>
              <w:spacing w:line="340" w:lineRule="exact"/>
              <w:contextualSpacing/>
              <w:jc w:val="center"/>
              <w:rPr>
                <w:rFonts w:ascii="Times New Roman" w:hAnsi="Times New Roman"/>
                <w:color w:val="auto"/>
                <w:szCs w:val="21"/>
                <w:highlight w:val="none"/>
              </w:rPr>
            </w:pPr>
          </w:p>
        </w:tc>
      </w:tr>
      <w:tr w14:paraId="740B03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B808E6F">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3768" w:type="dxa"/>
            <w:tcMar>
              <w:left w:w="0" w:type="dxa"/>
              <w:right w:w="0" w:type="dxa"/>
            </w:tcMar>
            <w:vAlign w:val="center"/>
          </w:tcPr>
          <w:p w14:paraId="048F2F3E">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4165ECB8">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6130509F">
            <w:pPr>
              <w:spacing w:line="340" w:lineRule="exact"/>
              <w:contextualSpacing/>
              <w:jc w:val="center"/>
              <w:rPr>
                <w:rFonts w:ascii="Times New Roman" w:hAnsi="Times New Roman"/>
                <w:color w:val="auto"/>
                <w:szCs w:val="21"/>
                <w:highlight w:val="none"/>
              </w:rPr>
            </w:pPr>
          </w:p>
        </w:tc>
      </w:tr>
      <w:tr w14:paraId="0D1015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D90880F">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3768" w:type="dxa"/>
            <w:tcMar>
              <w:left w:w="0" w:type="dxa"/>
              <w:right w:w="0" w:type="dxa"/>
            </w:tcMar>
            <w:vAlign w:val="center"/>
          </w:tcPr>
          <w:p w14:paraId="5EE11D2E">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1544A1DF">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781D182F">
            <w:pPr>
              <w:spacing w:line="340" w:lineRule="exact"/>
              <w:contextualSpacing/>
              <w:jc w:val="center"/>
              <w:rPr>
                <w:rFonts w:ascii="Times New Roman" w:hAnsi="Times New Roman"/>
                <w:color w:val="auto"/>
                <w:szCs w:val="21"/>
                <w:highlight w:val="none"/>
              </w:rPr>
            </w:pPr>
          </w:p>
        </w:tc>
      </w:tr>
      <w:tr w14:paraId="19619C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AFC4AE5">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3768" w:type="dxa"/>
            <w:tcMar>
              <w:left w:w="0" w:type="dxa"/>
              <w:right w:w="0" w:type="dxa"/>
            </w:tcMar>
            <w:vAlign w:val="center"/>
          </w:tcPr>
          <w:p w14:paraId="6E3F488F">
            <w:pPr>
              <w:tabs>
                <w:tab w:val="left" w:pos="851"/>
              </w:tabs>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770D6C0C">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5711AD56">
            <w:pPr>
              <w:spacing w:line="340" w:lineRule="exact"/>
              <w:contextualSpacing/>
              <w:jc w:val="center"/>
              <w:rPr>
                <w:rFonts w:ascii="Times New Roman" w:hAnsi="Times New Roman"/>
                <w:color w:val="auto"/>
                <w:szCs w:val="21"/>
                <w:highlight w:val="none"/>
              </w:rPr>
            </w:pPr>
          </w:p>
        </w:tc>
      </w:tr>
      <w:tr w14:paraId="1A4857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CDB9927">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5</w:t>
            </w:r>
          </w:p>
        </w:tc>
        <w:tc>
          <w:tcPr>
            <w:tcW w:w="3768" w:type="dxa"/>
            <w:tcMar>
              <w:left w:w="0" w:type="dxa"/>
              <w:right w:w="0" w:type="dxa"/>
            </w:tcMar>
            <w:vAlign w:val="center"/>
          </w:tcPr>
          <w:p w14:paraId="4A06E349">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55376CB0">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3BAAB5C1">
            <w:pPr>
              <w:spacing w:line="340" w:lineRule="exact"/>
              <w:contextualSpacing/>
              <w:jc w:val="center"/>
              <w:rPr>
                <w:rFonts w:ascii="Times New Roman" w:hAnsi="Times New Roman"/>
                <w:color w:val="auto"/>
                <w:szCs w:val="21"/>
                <w:highlight w:val="none"/>
              </w:rPr>
            </w:pPr>
          </w:p>
        </w:tc>
      </w:tr>
      <w:tr w14:paraId="552DA3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42FA03B">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3768" w:type="dxa"/>
            <w:tcMar>
              <w:left w:w="0" w:type="dxa"/>
              <w:right w:w="0" w:type="dxa"/>
            </w:tcMar>
            <w:vAlign w:val="center"/>
          </w:tcPr>
          <w:p w14:paraId="100D1EB9">
            <w:pPr>
              <w:spacing w:line="340" w:lineRule="exact"/>
              <w:contextualSpacing/>
              <w:rPr>
                <w:rFonts w:ascii="Times New Roman" w:hAnsi="Times New Roman"/>
                <w:color w:val="auto"/>
                <w:szCs w:val="21"/>
                <w:highlight w:val="none"/>
              </w:rPr>
            </w:pPr>
            <w:r>
              <w:rPr>
                <w:rFonts w:ascii="Times New Roman" w:hAnsi="Times New Roman"/>
                <w:color w:val="auto"/>
                <w:szCs w:val="21"/>
                <w:highlight w:val="none"/>
              </w:rPr>
              <w:t>……</w:t>
            </w:r>
          </w:p>
        </w:tc>
        <w:tc>
          <w:tcPr>
            <w:tcW w:w="3768" w:type="dxa"/>
            <w:tcMar>
              <w:left w:w="0" w:type="dxa"/>
              <w:right w:w="0" w:type="dxa"/>
            </w:tcMar>
            <w:vAlign w:val="center"/>
          </w:tcPr>
          <w:p w14:paraId="3474913E">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4CB07FA8">
            <w:pPr>
              <w:spacing w:line="340" w:lineRule="exact"/>
              <w:contextualSpacing/>
              <w:jc w:val="center"/>
              <w:rPr>
                <w:rFonts w:ascii="Times New Roman" w:hAnsi="Times New Roman"/>
                <w:color w:val="auto"/>
                <w:szCs w:val="21"/>
                <w:highlight w:val="none"/>
              </w:rPr>
            </w:pPr>
          </w:p>
        </w:tc>
      </w:tr>
      <w:tr w14:paraId="6F148E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F4D8E55">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7</w:t>
            </w:r>
          </w:p>
        </w:tc>
        <w:tc>
          <w:tcPr>
            <w:tcW w:w="3768" w:type="dxa"/>
            <w:tcMar>
              <w:left w:w="0" w:type="dxa"/>
              <w:right w:w="0" w:type="dxa"/>
            </w:tcMar>
            <w:vAlign w:val="center"/>
          </w:tcPr>
          <w:p w14:paraId="0535D0B6">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63E40098">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03876BF9">
            <w:pPr>
              <w:spacing w:line="340" w:lineRule="exact"/>
              <w:contextualSpacing/>
              <w:jc w:val="center"/>
              <w:rPr>
                <w:rFonts w:ascii="Times New Roman" w:hAnsi="Times New Roman"/>
                <w:color w:val="auto"/>
                <w:szCs w:val="21"/>
                <w:highlight w:val="none"/>
              </w:rPr>
            </w:pPr>
          </w:p>
        </w:tc>
      </w:tr>
      <w:tr w14:paraId="7C0C50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1C92198">
            <w:pPr>
              <w:spacing w:line="340" w:lineRule="exact"/>
              <w:contextualSpacing/>
              <w:jc w:val="center"/>
              <w:rPr>
                <w:rFonts w:ascii="Times New Roman" w:hAnsi="Times New Roman"/>
                <w:color w:val="auto"/>
                <w:szCs w:val="21"/>
                <w:highlight w:val="none"/>
              </w:rPr>
            </w:pPr>
            <w:r>
              <w:rPr>
                <w:rFonts w:ascii="Times New Roman" w:hAnsi="Times New Roman"/>
                <w:color w:val="auto"/>
                <w:szCs w:val="21"/>
                <w:highlight w:val="none"/>
              </w:rPr>
              <w:t>8</w:t>
            </w:r>
          </w:p>
        </w:tc>
        <w:tc>
          <w:tcPr>
            <w:tcW w:w="3768" w:type="dxa"/>
            <w:tcMar>
              <w:left w:w="0" w:type="dxa"/>
              <w:right w:w="0" w:type="dxa"/>
            </w:tcMar>
            <w:vAlign w:val="center"/>
          </w:tcPr>
          <w:p w14:paraId="1D965BAF">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4F727040">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294DBAA1">
            <w:pPr>
              <w:spacing w:line="340" w:lineRule="exact"/>
              <w:contextualSpacing/>
              <w:jc w:val="center"/>
              <w:rPr>
                <w:rFonts w:ascii="Times New Roman" w:hAnsi="Times New Roman"/>
                <w:color w:val="auto"/>
                <w:szCs w:val="21"/>
                <w:highlight w:val="none"/>
              </w:rPr>
            </w:pPr>
          </w:p>
        </w:tc>
      </w:tr>
      <w:tr w14:paraId="55AC40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3CDBD91">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9</w:t>
            </w:r>
          </w:p>
        </w:tc>
        <w:tc>
          <w:tcPr>
            <w:tcW w:w="3768" w:type="dxa"/>
            <w:tcMar>
              <w:left w:w="0" w:type="dxa"/>
              <w:right w:w="0" w:type="dxa"/>
            </w:tcMar>
            <w:vAlign w:val="center"/>
          </w:tcPr>
          <w:p w14:paraId="3CBE11E8">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4FA1C46C">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196A194B">
            <w:pPr>
              <w:spacing w:line="340" w:lineRule="exact"/>
              <w:contextualSpacing/>
              <w:jc w:val="center"/>
              <w:rPr>
                <w:rFonts w:ascii="Times New Roman" w:hAnsi="Times New Roman"/>
                <w:color w:val="auto"/>
                <w:szCs w:val="21"/>
                <w:highlight w:val="none"/>
              </w:rPr>
            </w:pPr>
          </w:p>
        </w:tc>
      </w:tr>
      <w:tr w14:paraId="3BB5D3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60BEFAC">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0</w:t>
            </w:r>
          </w:p>
        </w:tc>
        <w:tc>
          <w:tcPr>
            <w:tcW w:w="3768" w:type="dxa"/>
            <w:tcMar>
              <w:left w:w="0" w:type="dxa"/>
              <w:right w:w="0" w:type="dxa"/>
            </w:tcMar>
            <w:vAlign w:val="center"/>
          </w:tcPr>
          <w:p w14:paraId="16547407">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519D18B3">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3879BD65">
            <w:pPr>
              <w:spacing w:line="340" w:lineRule="exact"/>
              <w:contextualSpacing/>
              <w:jc w:val="center"/>
              <w:rPr>
                <w:rFonts w:ascii="Times New Roman" w:hAnsi="Times New Roman"/>
                <w:color w:val="auto"/>
                <w:szCs w:val="21"/>
                <w:highlight w:val="none"/>
              </w:rPr>
            </w:pPr>
          </w:p>
        </w:tc>
      </w:tr>
      <w:tr w14:paraId="36CA8F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6DFDFAA">
            <w:pPr>
              <w:spacing w:line="340" w:lineRule="exact"/>
              <w:contextualSpacing/>
              <w:jc w:val="center"/>
              <w:rPr>
                <w:rFonts w:ascii="Times New Roman" w:hAnsi="Times New Roman"/>
                <w:color w:val="auto"/>
                <w:szCs w:val="21"/>
                <w:highlight w:val="none"/>
              </w:rPr>
            </w:pPr>
            <w:r>
              <w:rPr>
                <w:rFonts w:ascii="Times New Roman" w:hAnsi="Times New Roman"/>
                <w:color w:val="auto"/>
                <w:szCs w:val="21"/>
                <w:highlight w:val="none"/>
              </w:rPr>
              <w:t>……</w:t>
            </w:r>
          </w:p>
        </w:tc>
        <w:tc>
          <w:tcPr>
            <w:tcW w:w="3768" w:type="dxa"/>
            <w:tcMar>
              <w:left w:w="0" w:type="dxa"/>
              <w:right w:w="0" w:type="dxa"/>
            </w:tcMar>
            <w:vAlign w:val="center"/>
          </w:tcPr>
          <w:p w14:paraId="2541C0EA">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4E81085A">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44071A6D">
            <w:pPr>
              <w:spacing w:line="340" w:lineRule="exact"/>
              <w:contextualSpacing/>
              <w:jc w:val="center"/>
              <w:rPr>
                <w:rFonts w:ascii="Times New Roman" w:hAnsi="Times New Roman"/>
                <w:color w:val="auto"/>
                <w:szCs w:val="21"/>
                <w:highlight w:val="none"/>
              </w:rPr>
            </w:pPr>
          </w:p>
        </w:tc>
      </w:tr>
    </w:tbl>
    <w:p w14:paraId="020F6E03">
      <w:pPr>
        <w:pStyle w:val="10"/>
        <w:ind w:firstLine="0"/>
        <w:rPr>
          <w:rFonts w:eastAsia="宋体"/>
          <w:color w:val="auto"/>
          <w:sz w:val="21"/>
          <w:szCs w:val="21"/>
          <w:highlight w:val="none"/>
        </w:rPr>
      </w:pPr>
      <w:r>
        <w:rPr>
          <w:rFonts w:hint="eastAsia" w:eastAsia="宋体"/>
          <w:color w:val="auto"/>
          <w:sz w:val="21"/>
          <w:szCs w:val="21"/>
          <w:highlight w:val="none"/>
        </w:rPr>
        <w:t>备注：</w:t>
      </w:r>
    </w:p>
    <w:p w14:paraId="023DF809">
      <w:pPr>
        <w:pStyle w:val="10"/>
        <w:ind w:firstLine="0"/>
        <w:rPr>
          <w:rFonts w:eastAsia="宋体"/>
          <w:color w:val="auto"/>
          <w:sz w:val="21"/>
          <w:szCs w:val="21"/>
          <w:highlight w:val="none"/>
        </w:rPr>
      </w:pPr>
      <w:r>
        <w:rPr>
          <w:rFonts w:hint="eastAsia" w:eastAsia="宋体"/>
          <w:color w:val="auto"/>
          <w:sz w:val="21"/>
          <w:szCs w:val="21"/>
          <w:highlight w:val="none"/>
        </w:rPr>
        <w:t>1、列明采购文件的技术要求与投标文件对应响应，并说明偏离状况（正偏离或负偏离）；</w:t>
      </w:r>
    </w:p>
    <w:p w14:paraId="7E33995A">
      <w:pPr>
        <w:pStyle w:val="10"/>
        <w:ind w:firstLine="0"/>
        <w:rPr>
          <w:rFonts w:eastAsia="宋体"/>
          <w:color w:val="auto"/>
          <w:sz w:val="21"/>
          <w:szCs w:val="21"/>
          <w:highlight w:val="none"/>
        </w:rPr>
      </w:pPr>
      <w:r>
        <w:rPr>
          <w:rFonts w:hint="eastAsia" w:eastAsia="宋体"/>
          <w:color w:val="auto"/>
          <w:sz w:val="21"/>
          <w:szCs w:val="21"/>
          <w:highlight w:val="none"/>
        </w:rPr>
        <w:t>2、无偏离应在本表“说明”处醒目地注明“无条款偏离”的字样。</w:t>
      </w:r>
    </w:p>
    <w:p w14:paraId="4A306A25">
      <w:pPr>
        <w:pStyle w:val="10"/>
        <w:ind w:firstLine="0"/>
        <w:rPr>
          <w:rFonts w:eastAsia="宋体"/>
          <w:color w:val="auto"/>
          <w:sz w:val="21"/>
          <w:szCs w:val="21"/>
          <w:highlight w:val="none"/>
        </w:rPr>
      </w:pPr>
      <w:r>
        <w:rPr>
          <w:rFonts w:hint="eastAsia" w:eastAsia="宋体"/>
          <w:color w:val="auto"/>
          <w:sz w:val="21"/>
          <w:szCs w:val="21"/>
          <w:highlight w:val="none"/>
        </w:rPr>
        <w:t>3、本表格供参考，投标人可根据项目实际情况自拟（增减）表格。</w:t>
      </w:r>
    </w:p>
    <w:p w14:paraId="20CEE8B3">
      <w:pPr>
        <w:spacing w:line="360" w:lineRule="auto"/>
        <w:ind w:right="420"/>
        <w:rPr>
          <w:color w:val="auto"/>
          <w:sz w:val="24"/>
          <w:highlight w:val="none"/>
        </w:rPr>
      </w:pPr>
    </w:p>
    <w:p w14:paraId="402F9856">
      <w:pPr>
        <w:tabs>
          <w:tab w:val="left" w:pos="312"/>
        </w:tabs>
        <w:spacing w:line="480" w:lineRule="auto"/>
        <w:ind w:firstLine="420" w:firstLineChars="200"/>
        <w:jc w:val="right"/>
        <w:rPr>
          <w:rFonts w:asciiTheme="minorEastAsia" w:hAnsiTheme="minorEastAsia"/>
          <w:color w:val="auto"/>
          <w:szCs w:val="21"/>
          <w:highlight w:val="none"/>
        </w:rPr>
      </w:pPr>
      <w:r>
        <w:rPr>
          <w:rFonts w:hint="eastAsia" w:cs="宋体" w:asciiTheme="minorEastAsia" w:hAnsiTheme="minorEastAsia"/>
          <w:color w:val="auto"/>
          <w:szCs w:val="21"/>
          <w:highlight w:val="none"/>
        </w:rPr>
        <w:t>投标人名称（盖公章）：</w:t>
      </w:r>
    </w:p>
    <w:p w14:paraId="383DB100">
      <w:pPr>
        <w:spacing w:line="480" w:lineRule="auto"/>
        <w:ind w:firstLine="371" w:firstLineChars="177"/>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1AC4EFE7">
      <w:pPr>
        <w:spacing w:line="480" w:lineRule="auto"/>
        <w:ind w:firstLine="435"/>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7D8C8DBB">
      <w:pPr>
        <w:rPr>
          <w:rFonts w:asciiTheme="minorEastAsia" w:hAnsiTheme="minorEastAsia"/>
          <w:color w:val="auto"/>
          <w:szCs w:val="21"/>
          <w:highlight w:val="none"/>
        </w:rPr>
      </w:pPr>
    </w:p>
    <w:p w14:paraId="2020F252">
      <w:pPr>
        <w:spacing w:line="360" w:lineRule="auto"/>
        <w:jc w:val="center"/>
        <w:outlineLvl w:val="0"/>
        <w:rPr>
          <w:rFonts w:asciiTheme="minorEastAsia" w:hAnsiTheme="minorEastAsia"/>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207"/>
    <w:p w14:paraId="63DA80B8">
      <w:pPr>
        <w:spacing w:line="360" w:lineRule="auto"/>
        <w:jc w:val="center"/>
        <w:outlineLvl w:val="0"/>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eastAsia="zh-CN"/>
        </w:rPr>
        <w:t>七</w:t>
      </w:r>
      <w:r>
        <w:rPr>
          <w:rFonts w:hint="eastAsia" w:asciiTheme="minorEastAsia" w:hAnsiTheme="minorEastAsia"/>
          <w:b/>
          <w:color w:val="auto"/>
          <w:sz w:val="32"/>
          <w:szCs w:val="32"/>
          <w:highlight w:val="none"/>
        </w:rPr>
        <w:t>、项目实施人员一览表</w:t>
      </w:r>
      <w:bookmarkEnd w:id="202"/>
      <w:bookmarkEnd w:id="203"/>
      <w:bookmarkEnd w:id="204"/>
      <w:bookmarkEnd w:id="205"/>
      <w:bookmarkEnd w:id="206"/>
      <w:bookmarkEnd w:id="208"/>
    </w:p>
    <w:p w14:paraId="5BBF6297">
      <w:pPr>
        <w:spacing w:line="360" w:lineRule="auto"/>
        <w:jc w:val="center"/>
        <w:outlineLvl w:val="0"/>
        <w:rPr>
          <w:rFonts w:asciiTheme="minorEastAsia" w:hAnsiTheme="minorEastAsia"/>
          <w:color w:val="auto"/>
          <w:szCs w:val="21"/>
          <w:highlight w:val="none"/>
        </w:rPr>
      </w:pPr>
      <w:bookmarkStart w:id="209" w:name="_Toc17994"/>
      <w:bookmarkStart w:id="210" w:name="_Toc11034"/>
      <w:bookmarkStart w:id="211" w:name="_Toc15311"/>
      <w:bookmarkStart w:id="212" w:name="_Toc1209"/>
      <w:bookmarkStart w:id="213" w:name="_Toc9541"/>
      <w:bookmarkStart w:id="214" w:name="_Toc30359"/>
      <w:r>
        <w:rPr>
          <w:rFonts w:hint="eastAsia" w:asciiTheme="minorEastAsia" w:hAnsiTheme="minorEastAsia"/>
          <w:color w:val="auto"/>
          <w:szCs w:val="21"/>
          <w:highlight w:val="none"/>
        </w:rPr>
        <w:t>（主要从业人员及其技术资格）</w:t>
      </w:r>
      <w:bookmarkEnd w:id="209"/>
      <w:bookmarkEnd w:id="210"/>
      <w:bookmarkEnd w:id="211"/>
      <w:bookmarkEnd w:id="212"/>
      <w:bookmarkEnd w:id="213"/>
      <w:bookmarkEnd w:id="214"/>
    </w:p>
    <w:tbl>
      <w:tblPr>
        <w:tblStyle w:val="22"/>
        <w:tblW w:w="9547" w:type="dxa"/>
        <w:tblInd w:w="8" w:type="dxa"/>
        <w:tblLayout w:type="fixed"/>
        <w:tblCellMar>
          <w:top w:w="57" w:type="dxa"/>
          <w:left w:w="57" w:type="dxa"/>
          <w:bottom w:w="57" w:type="dxa"/>
          <w:right w:w="57" w:type="dxa"/>
        </w:tblCellMar>
      </w:tblPr>
      <w:tblGrid>
        <w:gridCol w:w="589"/>
        <w:gridCol w:w="1303"/>
        <w:gridCol w:w="709"/>
        <w:gridCol w:w="850"/>
        <w:gridCol w:w="851"/>
        <w:gridCol w:w="1276"/>
        <w:gridCol w:w="1134"/>
        <w:gridCol w:w="1842"/>
        <w:gridCol w:w="993"/>
      </w:tblGrid>
      <w:tr w14:paraId="4E2C8B26">
        <w:tblPrEx>
          <w:tblCellMar>
            <w:top w:w="57" w:type="dxa"/>
            <w:left w:w="57" w:type="dxa"/>
            <w:bottom w:w="57" w:type="dxa"/>
            <w:right w:w="57" w:type="dxa"/>
          </w:tblCellMar>
        </w:tblPrEx>
        <w:trPr>
          <w:cantSplit/>
          <w:trHeight w:val="624" w:hRule="atLeast"/>
        </w:trPr>
        <w:tc>
          <w:tcPr>
            <w:tcW w:w="589" w:type="dxa"/>
            <w:tcBorders>
              <w:top w:val="single" w:color="auto" w:sz="6" w:space="0"/>
              <w:left w:val="single" w:color="auto" w:sz="6" w:space="0"/>
              <w:bottom w:val="single" w:color="auto" w:sz="6" w:space="0"/>
              <w:right w:val="single" w:color="auto" w:sz="6" w:space="0"/>
            </w:tcBorders>
            <w:vAlign w:val="center"/>
          </w:tcPr>
          <w:p w14:paraId="4056771A">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序号</w:t>
            </w:r>
          </w:p>
        </w:tc>
        <w:tc>
          <w:tcPr>
            <w:tcW w:w="1303" w:type="dxa"/>
            <w:tcBorders>
              <w:top w:val="single" w:color="auto" w:sz="6" w:space="0"/>
              <w:left w:val="single" w:color="auto" w:sz="6" w:space="0"/>
              <w:bottom w:val="single" w:color="auto" w:sz="6" w:space="0"/>
              <w:right w:val="single" w:color="auto" w:sz="6" w:space="0"/>
            </w:tcBorders>
            <w:vAlign w:val="center"/>
          </w:tcPr>
          <w:p w14:paraId="5B9B8839">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姓 名</w:t>
            </w:r>
          </w:p>
        </w:tc>
        <w:tc>
          <w:tcPr>
            <w:tcW w:w="709" w:type="dxa"/>
            <w:tcBorders>
              <w:top w:val="single" w:color="auto" w:sz="6" w:space="0"/>
              <w:left w:val="single" w:color="auto" w:sz="6" w:space="0"/>
              <w:bottom w:val="single" w:color="auto" w:sz="6" w:space="0"/>
              <w:right w:val="single" w:color="auto" w:sz="6" w:space="0"/>
            </w:tcBorders>
            <w:vAlign w:val="center"/>
          </w:tcPr>
          <w:p w14:paraId="06328B92">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性别</w:t>
            </w:r>
          </w:p>
        </w:tc>
        <w:tc>
          <w:tcPr>
            <w:tcW w:w="850" w:type="dxa"/>
            <w:tcBorders>
              <w:top w:val="single" w:color="auto" w:sz="6" w:space="0"/>
              <w:left w:val="single" w:color="auto" w:sz="6" w:space="0"/>
              <w:bottom w:val="single" w:color="auto" w:sz="6" w:space="0"/>
              <w:right w:val="single" w:color="auto" w:sz="6" w:space="0"/>
            </w:tcBorders>
            <w:vAlign w:val="center"/>
          </w:tcPr>
          <w:p w14:paraId="0E7D9BB0">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年龄</w:t>
            </w:r>
          </w:p>
        </w:tc>
        <w:tc>
          <w:tcPr>
            <w:tcW w:w="851" w:type="dxa"/>
            <w:tcBorders>
              <w:top w:val="single" w:color="auto" w:sz="6" w:space="0"/>
              <w:left w:val="single" w:color="auto" w:sz="6" w:space="0"/>
              <w:bottom w:val="single" w:color="auto" w:sz="6" w:space="0"/>
              <w:right w:val="single" w:color="auto" w:sz="6" w:space="0"/>
            </w:tcBorders>
            <w:vAlign w:val="center"/>
          </w:tcPr>
          <w:p w14:paraId="4F22A45C">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学 历</w:t>
            </w:r>
          </w:p>
        </w:tc>
        <w:tc>
          <w:tcPr>
            <w:tcW w:w="1276" w:type="dxa"/>
            <w:tcBorders>
              <w:top w:val="single" w:color="auto" w:sz="6" w:space="0"/>
              <w:left w:val="single" w:color="auto" w:sz="6" w:space="0"/>
              <w:bottom w:val="single" w:color="auto" w:sz="6" w:space="0"/>
              <w:right w:val="single" w:color="auto" w:sz="6" w:space="0"/>
            </w:tcBorders>
            <w:vAlign w:val="center"/>
          </w:tcPr>
          <w:p w14:paraId="24F279DC">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14:paraId="6545139B">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证书编号</w:t>
            </w:r>
          </w:p>
        </w:tc>
        <w:tc>
          <w:tcPr>
            <w:tcW w:w="1842" w:type="dxa"/>
            <w:tcBorders>
              <w:top w:val="single" w:color="auto" w:sz="6" w:space="0"/>
              <w:left w:val="single" w:color="auto" w:sz="6" w:space="0"/>
              <w:bottom w:val="single" w:color="auto" w:sz="6" w:space="0"/>
              <w:right w:val="single" w:color="auto" w:sz="6" w:space="0"/>
            </w:tcBorders>
            <w:vAlign w:val="center"/>
          </w:tcPr>
          <w:p w14:paraId="6BD9FAE1">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拟任本项目职务</w:t>
            </w:r>
          </w:p>
        </w:tc>
        <w:tc>
          <w:tcPr>
            <w:tcW w:w="993" w:type="dxa"/>
            <w:tcBorders>
              <w:top w:val="single" w:color="auto" w:sz="6" w:space="0"/>
              <w:left w:val="single" w:color="auto" w:sz="6" w:space="0"/>
              <w:bottom w:val="single" w:color="auto" w:sz="6" w:space="0"/>
              <w:right w:val="single" w:color="auto" w:sz="6" w:space="0"/>
            </w:tcBorders>
            <w:vAlign w:val="center"/>
          </w:tcPr>
          <w:p w14:paraId="23F6662A">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备注</w:t>
            </w:r>
          </w:p>
        </w:tc>
      </w:tr>
      <w:tr w14:paraId="1E42D860">
        <w:tblPrEx>
          <w:tblCellMar>
            <w:top w:w="57" w:type="dxa"/>
            <w:left w:w="57" w:type="dxa"/>
            <w:bottom w:w="57" w:type="dxa"/>
            <w:right w:w="57" w:type="dxa"/>
          </w:tblCellMar>
        </w:tblPrEx>
        <w:trPr>
          <w:cantSplit/>
          <w:trHeight w:val="624" w:hRule="atLeast"/>
        </w:trPr>
        <w:tc>
          <w:tcPr>
            <w:tcW w:w="589" w:type="dxa"/>
            <w:tcBorders>
              <w:top w:val="single" w:color="auto" w:sz="6" w:space="0"/>
              <w:left w:val="single" w:color="auto" w:sz="6" w:space="0"/>
              <w:bottom w:val="single" w:color="auto" w:sz="4" w:space="0"/>
              <w:right w:val="single" w:color="auto" w:sz="6" w:space="0"/>
            </w:tcBorders>
            <w:vAlign w:val="center"/>
          </w:tcPr>
          <w:p w14:paraId="6CBF7C99">
            <w:pPr>
              <w:spacing w:line="360" w:lineRule="auto"/>
              <w:jc w:val="center"/>
              <w:rPr>
                <w:rFonts w:asciiTheme="minorEastAsia" w:hAnsiTheme="minorEastAsia"/>
                <w:color w:val="auto"/>
                <w:szCs w:val="21"/>
                <w:highlight w:val="none"/>
              </w:rPr>
            </w:pPr>
          </w:p>
        </w:tc>
        <w:tc>
          <w:tcPr>
            <w:tcW w:w="1303" w:type="dxa"/>
            <w:tcBorders>
              <w:top w:val="single" w:color="auto" w:sz="6" w:space="0"/>
              <w:left w:val="single" w:color="auto" w:sz="6" w:space="0"/>
              <w:bottom w:val="single" w:color="auto" w:sz="4" w:space="0"/>
              <w:right w:val="single" w:color="auto" w:sz="6" w:space="0"/>
            </w:tcBorders>
            <w:vAlign w:val="center"/>
          </w:tcPr>
          <w:p w14:paraId="5D02E2E2">
            <w:pPr>
              <w:spacing w:line="360" w:lineRule="auto"/>
              <w:jc w:val="center"/>
              <w:rPr>
                <w:rFonts w:asciiTheme="minorEastAsia" w:hAnsiTheme="minorEastAsia"/>
                <w:color w:val="auto"/>
                <w:szCs w:val="21"/>
                <w:highlight w:val="none"/>
              </w:rPr>
            </w:pPr>
          </w:p>
        </w:tc>
        <w:tc>
          <w:tcPr>
            <w:tcW w:w="709" w:type="dxa"/>
            <w:tcBorders>
              <w:top w:val="single" w:color="auto" w:sz="6" w:space="0"/>
              <w:left w:val="single" w:color="auto" w:sz="6" w:space="0"/>
              <w:bottom w:val="single" w:color="auto" w:sz="4" w:space="0"/>
              <w:right w:val="single" w:color="auto" w:sz="6" w:space="0"/>
            </w:tcBorders>
            <w:vAlign w:val="center"/>
          </w:tcPr>
          <w:p w14:paraId="16F1C167">
            <w:pPr>
              <w:spacing w:line="360" w:lineRule="auto"/>
              <w:jc w:val="center"/>
              <w:rPr>
                <w:rFonts w:asciiTheme="minorEastAsia" w:hAnsiTheme="minorEastAsia"/>
                <w:color w:val="auto"/>
                <w:szCs w:val="21"/>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14:paraId="0F86A844">
            <w:pPr>
              <w:spacing w:line="360" w:lineRule="auto"/>
              <w:jc w:val="center"/>
              <w:rPr>
                <w:rFonts w:asciiTheme="minorEastAsia" w:hAnsiTheme="minorEastAsia"/>
                <w:color w:val="auto"/>
                <w:szCs w:val="21"/>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14:paraId="321238F7">
            <w:pPr>
              <w:spacing w:line="360" w:lineRule="auto"/>
              <w:jc w:val="center"/>
              <w:rPr>
                <w:rFonts w:asciiTheme="minorEastAsia" w:hAnsiTheme="minorEastAsia"/>
                <w:color w:val="auto"/>
                <w:szCs w:val="21"/>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14:paraId="76F5ECA4">
            <w:pPr>
              <w:spacing w:line="360" w:lineRule="auto"/>
              <w:jc w:val="center"/>
              <w:rPr>
                <w:rFonts w:asciiTheme="minorEastAsia" w:hAnsiTheme="minorEastAsia"/>
                <w:color w:val="auto"/>
                <w:szCs w:val="21"/>
                <w:highlight w:val="none"/>
              </w:rPr>
            </w:pPr>
          </w:p>
        </w:tc>
        <w:tc>
          <w:tcPr>
            <w:tcW w:w="1134" w:type="dxa"/>
            <w:tcBorders>
              <w:top w:val="single" w:color="auto" w:sz="6" w:space="0"/>
              <w:left w:val="single" w:color="auto" w:sz="6" w:space="0"/>
              <w:bottom w:val="single" w:color="auto" w:sz="4" w:space="0"/>
              <w:right w:val="single" w:color="auto" w:sz="4" w:space="0"/>
            </w:tcBorders>
            <w:vAlign w:val="center"/>
          </w:tcPr>
          <w:p w14:paraId="14DA4F75">
            <w:pPr>
              <w:spacing w:line="360" w:lineRule="auto"/>
              <w:jc w:val="center"/>
              <w:rPr>
                <w:rFonts w:asciiTheme="minorEastAsia" w:hAnsiTheme="minorEastAsia"/>
                <w:color w:val="auto"/>
                <w:szCs w:val="21"/>
                <w:highlight w:val="none"/>
              </w:rPr>
            </w:pPr>
          </w:p>
        </w:tc>
        <w:tc>
          <w:tcPr>
            <w:tcW w:w="1842" w:type="dxa"/>
            <w:tcBorders>
              <w:top w:val="single" w:color="auto" w:sz="6" w:space="0"/>
              <w:left w:val="single" w:color="auto" w:sz="6" w:space="0"/>
              <w:bottom w:val="single" w:color="auto" w:sz="4" w:space="0"/>
              <w:right w:val="single" w:color="auto" w:sz="6" w:space="0"/>
            </w:tcBorders>
            <w:vAlign w:val="center"/>
          </w:tcPr>
          <w:p w14:paraId="6114C983">
            <w:pPr>
              <w:spacing w:line="360" w:lineRule="auto"/>
              <w:jc w:val="center"/>
              <w:rPr>
                <w:rFonts w:asciiTheme="minorEastAsia" w:hAnsiTheme="minorEastAsia"/>
                <w:color w:val="auto"/>
                <w:szCs w:val="21"/>
                <w:highlight w:val="none"/>
              </w:rPr>
            </w:pPr>
          </w:p>
        </w:tc>
        <w:tc>
          <w:tcPr>
            <w:tcW w:w="993" w:type="dxa"/>
            <w:tcBorders>
              <w:top w:val="single" w:color="auto" w:sz="6" w:space="0"/>
              <w:left w:val="single" w:color="auto" w:sz="6" w:space="0"/>
              <w:bottom w:val="single" w:color="auto" w:sz="4" w:space="0"/>
              <w:right w:val="single" w:color="auto" w:sz="6" w:space="0"/>
            </w:tcBorders>
            <w:vAlign w:val="center"/>
          </w:tcPr>
          <w:p w14:paraId="61B0942B">
            <w:pPr>
              <w:spacing w:line="360" w:lineRule="auto"/>
              <w:jc w:val="center"/>
              <w:rPr>
                <w:rFonts w:asciiTheme="minorEastAsia" w:hAnsiTheme="minorEastAsia"/>
                <w:color w:val="auto"/>
                <w:szCs w:val="21"/>
                <w:highlight w:val="none"/>
              </w:rPr>
            </w:pPr>
          </w:p>
        </w:tc>
      </w:tr>
      <w:tr w14:paraId="230122EF">
        <w:tblPrEx>
          <w:tblCellMar>
            <w:top w:w="57" w:type="dxa"/>
            <w:left w:w="57" w:type="dxa"/>
            <w:bottom w:w="57" w:type="dxa"/>
            <w:right w:w="57" w:type="dxa"/>
          </w:tblCellMar>
        </w:tblPrEx>
        <w:trPr>
          <w:cantSplit/>
          <w:trHeight w:val="624" w:hRule="atLeast"/>
        </w:trPr>
        <w:tc>
          <w:tcPr>
            <w:tcW w:w="589" w:type="dxa"/>
            <w:tcBorders>
              <w:top w:val="single" w:color="auto" w:sz="6" w:space="0"/>
              <w:left w:val="single" w:color="auto" w:sz="6" w:space="0"/>
              <w:bottom w:val="single" w:color="auto" w:sz="4" w:space="0"/>
              <w:right w:val="single" w:color="auto" w:sz="6" w:space="0"/>
            </w:tcBorders>
            <w:vAlign w:val="center"/>
          </w:tcPr>
          <w:p w14:paraId="2E828894">
            <w:pPr>
              <w:spacing w:line="360" w:lineRule="auto"/>
              <w:jc w:val="center"/>
              <w:rPr>
                <w:rFonts w:asciiTheme="minorEastAsia" w:hAnsiTheme="minorEastAsia"/>
                <w:color w:val="auto"/>
                <w:szCs w:val="21"/>
                <w:highlight w:val="none"/>
              </w:rPr>
            </w:pPr>
          </w:p>
        </w:tc>
        <w:tc>
          <w:tcPr>
            <w:tcW w:w="1303" w:type="dxa"/>
            <w:tcBorders>
              <w:top w:val="single" w:color="auto" w:sz="6" w:space="0"/>
              <w:left w:val="single" w:color="auto" w:sz="6" w:space="0"/>
              <w:bottom w:val="single" w:color="auto" w:sz="4" w:space="0"/>
              <w:right w:val="single" w:color="auto" w:sz="6" w:space="0"/>
            </w:tcBorders>
            <w:vAlign w:val="center"/>
          </w:tcPr>
          <w:p w14:paraId="76B4F99E">
            <w:pPr>
              <w:spacing w:line="360" w:lineRule="auto"/>
              <w:jc w:val="center"/>
              <w:rPr>
                <w:rFonts w:asciiTheme="minorEastAsia" w:hAnsiTheme="minorEastAsia"/>
                <w:color w:val="auto"/>
                <w:szCs w:val="21"/>
                <w:highlight w:val="none"/>
              </w:rPr>
            </w:pPr>
          </w:p>
        </w:tc>
        <w:tc>
          <w:tcPr>
            <w:tcW w:w="709" w:type="dxa"/>
            <w:tcBorders>
              <w:top w:val="single" w:color="auto" w:sz="6" w:space="0"/>
              <w:left w:val="single" w:color="auto" w:sz="6" w:space="0"/>
              <w:bottom w:val="single" w:color="auto" w:sz="4" w:space="0"/>
              <w:right w:val="single" w:color="auto" w:sz="6" w:space="0"/>
            </w:tcBorders>
            <w:vAlign w:val="center"/>
          </w:tcPr>
          <w:p w14:paraId="71B958A2">
            <w:pPr>
              <w:spacing w:line="360" w:lineRule="auto"/>
              <w:jc w:val="center"/>
              <w:rPr>
                <w:rFonts w:asciiTheme="minorEastAsia" w:hAnsiTheme="minorEastAsia"/>
                <w:color w:val="auto"/>
                <w:szCs w:val="21"/>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14:paraId="01E222F0">
            <w:pPr>
              <w:spacing w:line="360" w:lineRule="auto"/>
              <w:jc w:val="center"/>
              <w:rPr>
                <w:rFonts w:asciiTheme="minorEastAsia" w:hAnsiTheme="minorEastAsia"/>
                <w:color w:val="auto"/>
                <w:szCs w:val="21"/>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14:paraId="7A1D1A0B">
            <w:pPr>
              <w:spacing w:line="360" w:lineRule="auto"/>
              <w:jc w:val="center"/>
              <w:rPr>
                <w:rFonts w:asciiTheme="minorEastAsia" w:hAnsiTheme="minorEastAsia"/>
                <w:color w:val="auto"/>
                <w:szCs w:val="21"/>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14:paraId="6EAFE338">
            <w:pPr>
              <w:spacing w:line="360" w:lineRule="auto"/>
              <w:jc w:val="center"/>
              <w:rPr>
                <w:rFonts w:asciiTheme="minorEastAsia" w:hAnsiTheme="minorEastAsia"/>
                <w:color w:val="auto"/>
                <w:szCs w:val="21"/>
                <w:highlight w:val="none"/>
              </w:rPr>
            </w:pPr>
          </w:p>
        </w:tc>
        <w:tc>
          <w:tcPr>
            <w:tcW w:w="1134" w:type="dxa"/>
            <w:tcBorders>
              <w:top w:val="single" w:color="auto" w:sz="6" w:space="0"/>
              <w:left w:val="single" w:color="auto" w:sz="6" w:space="0"/>
              <w:bottom w:val="single" w:color="auto" w:sz="4" w:space="0"/>
              <w:right w:val="single" w:color="auto" w:sz="4" w:space="0"/>
            </w:tcBorders>
            <w:vAlign w:val="center"/>
          </w:tcPr>
          <w:p w14:paraId="0146C8EB">
            <w:pPr>
              <w:spacing w:line="360" w:lineRule="auto"/>
              <w:jc w:val="center"/>
              <w:rPr>
                <w:rFonts w:asciiTheme="minorEastAsia" w:hAnsiTheme="minorEastAsia"/>
                <w:color w:val="auto"/>
                <w:szCs w:val="21"/>
                <w:highlight w:val="none"/>
              </w:rPr>
            </w:pPr>
          </w:p>
        </w:tc>
        <w:tc>
          <w:tcPr>
            <w:tcW w:w="1842" w:type="dxa"/>
            <w:tcBorders>
              <w:top w:val="single" w:color="auto" w:sz="6" w:space="0"/>
              <w:left w:val="single" w:color="auto" w:sz="6" w:space="0"/>
              <w:bottom w:val="single" w:color="auto" w:sz="4" w:space="0"/>
              <w:right w:val="single" w:color="auto" w:sz="6" w:space="0"/>
            </w:tcBorders>
            <w:vAlign w:val="center"/>
          </w:tcPr>
          <w:p w14:paraId="66C34981">
            <w:pPr>
              <w:spacing w:line="360" w:lineRule="auto"/>
              <w:jc w:val="center"/>
              <w:rPr>
                <w:rFonts w:asciiTheme="minorEastAsia" w:hAnsiTheme="minorEastAsia"/>
                <w:color w:val="auto"/>
                <w:szCs w:val="21"/>
                <w:highlight w:val="none"/>
              </w:rPr>
            </w:pPr>
          </w:p>
        </w:tc>
        <w:tc>
          <w:tcPr>
            <w:tcW w:w="993" w:type="dxa"/>
            <w:tcBorders>
              <w:top w:val="single" w:color="auto" w:sz="6" w:space="0"/>
              <w:left w:val="single" w:color="auto" w:sz="6" w:space="0"/>
              <w:bottom w:val="single" w:color="auto" w:sz="4" w:space="0"/>
              <w:right w:val="single" w:color="auto" w:sz="6" w:space="0"/>
            </w:tcBorders>
            <w:vAlign w:val="center"/>
          </w:tcPr>
          <w:p w14:paraId="4DF777D9">
            <w:pPr>
              <w:spacing w:line="360" w:lineRule="auto"/>
              <w:jc w:val="center"/>
              <w:rPr>
                <w:rFonts w:asciiTheme="minorEastAsia" w:hAnsiTheme="minorEastAsia"/>
                <w:color w:val="auto"/>
                <w:szCs w:val="21"/>
                <w:highlight w:val="none"/>
              </w:rPr>
            </w:pPr>
          </w:p>
        </w:tc>
      </w:tr>
      <w:tr w14:paraId="4F18EDEB">
        <w:tblPrEx>
          <w:tblCellMar>
            <w:top w:w="57" w:type="dxa"/>
            <w:left w:w="57" w:type="dxa"/>
            <w:bottom w:w="57" w:type="dxa"/>
            <w:right w:w="57" w:type="dxa"/>
          </w:tblCellMar>
        </w:tblPrEx>
        <w:trPr>
          <w:cantSplit/>
          <w:trHeight w:val="624" w:hRule="atLeast"/>
        </w:trPr>
        <w:tc>
          <w:tcPr>
            <w:tcW w:w="589" w:type="dxa"/>
            <w:tcBorders>
              <w:top w:val="single" w:color="auto" w:sz="6" w:space="0"/>
              <w:left w:val="single" w:color="auto" w:sz="6" w:space="0"/>
              <w:bottom w:val="single" w:color="auto" w:sz="4" w:space="0"/>
              <w:right w:val="single" w:color="auto" w:sz="6" w:space="0"/>
            </w:tcBorders>
            <w:vAlign w:val="center"/>
          </w:tcPr>
          <w:p w14:paraId="02F61CD3">
            <w:pPr>
              <w:spacing w:line="360" w:lineRule="auto"/>
              <w:jc w:val="center"/>
              <w:rPr>
                <w:rFonts w:asciiTheme="minorEastAsia" w:hAnsiTheme="minorEastAsia"/>
                <w:color w:val="auto"/>
                <w:szCs w:val="21"/>
                <w:highlight w:val="none"/>
              </w:rPr>
            </w:pPr>
          </w:p>
        </w:tc>
        <w:tc>
          <w:tcPr>
            <w:tcW w:w="1303" w:type="dxa"/>
            <w:tcBorders>
              <w:top w:val="single" w:color="auto" w:sz="6" w:space="0"/>
              <w:left w:val="single" w:color="auto" w:sz="6" w:space="0"/>
              <w:bottom w:val="single" w:color="auto" w:sz="4" w:space="0"/>
              <w:right w:val="single" w:color="auto" w:sz="6" w:space="0"/>
            </w:tcBorders>
            <w:vAlign w:val="center"/>
          </w:tcPr>
          <w:p w14:paraId="7D60FDDB">
            <w:pPr>
              <w:spacing w:line="360" w:lineRule="auto"/>
              <w:jc w:val="center"/>
              <w:rPr>
                <w:rFonts w:asciiTheme="minorEastAsia" w:hAnsiTheme="minorEastAsia"/>
                <w:color w:val="auto"/>
                <w:szCs w:val="21"/>
                <w:highlight w:val="none"/>
              </w:rPr>
            </w:pPr>
          </w:p>
        </w:tc>
        <w:tc>
          <w:tcPr>
            <w:tcW w:w="709" w:type="dxa"/>
            <w:tcBorders>
              <w:top w:val="single" w:color="auto" w:sz="6" w:space="0"/>
              <w:left w:val="single" w:color="auto" w:sz="6" w:space="0"/>
              <w:bottom w:val="single" w:color="auto" w:sz="4" w:space="0"/>
              <w:right w:val="single" w:color="auto" w:sz="6" w:space="0"/>
            </w:tcBorders>
            <w:vAlign w:val="center"/>
          </w:tcPr>
          <w:p w14:paraId="28EB3FDC">
            <w:pPr>
              <w:spacing w:line="360" w:lineRule="auto"/>
              <w:jc w:val="center"/>
              <w:rPr>
                <w:rFonts w:asciiTheme="minorEastAsia" w:hAnsiTheme="minorEastAsia"/>
                <w:color w:val="auto"/>
                <w:szCs w:val="21"/>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14:paraId="420EA42A">
            <w:pPr>
              <w:spacing w:line="360" w:lineRule="auto"/>
              <w:jc w:val="center"/>
              <w:rPr>
                <w:rFonts w:asciiTheme="minorEastAsia" w:hAnsiTheme="minorEastAsia"/>
                <w:color w:val="auto"/>
                <w:szCs w:val="21"/>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14:paraId="520CA849">
            <w:pPr>
              <w:spacing w:line="360" w:lineRule="auto"/>
              <w:jc w:val="center"/>
              <w:rPr>
                <w:rFonts w:asciiTheme="minorEastAsia" w:hAnsiTheme="minorEastAsia"/>
                <w:color w:val="auto"/>
                <w:szCs w:val="21"/>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14:paraId="6721107D">
            <w:pPr>
              <w:spacing w:line="360" w:lineRule="auto"/>
              <w:jc w:val="center"/>
              <w:rPr>
                <w:rFonts w:asciiTheme="minorEastAsia" w:hAnsiTheme="minorEastAsia"/>
                <w:color w:val="auto"/>
                <w:szCs w:val="21"/>
                <w:highlight w:val="none"/>
              </w:rPr>
            </w:pPr>
          </w:p>
        </w:tc>
        <w:tc>
          <w:tcPr>
            <w:tcW w:w="1134" w:type="dxa"/>
            <w:tcBorders>
              <w:top w:val="single" w:color="auto" w:sz="6" w:space="0"/>
              <w:left w:val="single" w:color="auto" w:sz="6" w:space="0"/>
              <w:bottom w:val="single" w:color="auto" w:sz="4" w:space="0"/>
              <w:right w:val="single" w:color="auto" w:sz="4" w:space="0"/>
            </w:tcBorders>
            <w:vAlign w:val="center"/>
          </w:tcPr>
          <w:p w14:paraId="5933CBA1">
            <w:pPr>
              <w:spacing w:line="360" w:lineRule="auto"/>
              <w:jc w:val="center"/>
              <w:rPr>
                <w:rFonts w:asciiTheme="minorEastAsia" w:hAnsiTheme="minorEastAsia"/>
                <w:color w:val="auto"/>
                <w:szCs w:val="21"/>
                <w:highlight w:val="none"/>
              </w:rPr>
            </w:pPr>
          </w:p>
        </w:tc>
        <w:tc>
          <w:tcPr>
            <w:tcW w:w="1842" w:type="dxa"/>
            <w:tcBorders>
              <w:top w:val="single" w:color="auto" w:sz="6" w:space="0"/>
              <w:left w:val="single" w:color="auto" w:sz="6" w:space="0"/>
              <w:bottom w:val="single" w:color="auto" w:sz="4" w:space="0"/>
              <w:right w:val="single" w:color="auto" w:sz="6" w:space="0"/>
            </w:tcBorders>
            <w:vAlign w:val="center"/>
          </w:tcPr>
          <w:p w14:paraId="1D06AFCC">
            <w:pPr>
              <w:spacing w:line="360" w:lineRule="auto"/>
              <w:jc w:val="center"/>
              <w:rPr>
                <w:rFonts w:asciiTheme="minorEastAsia" w:hAnsiTheme="minorEastAsia"/>
                <w:color w:val="auto"/>
                <w:szCs w:val="21"/>
                <w:highlight w:val="none"/>
              </w:rPr>
            </w:pPr>
          </w:p>
        </w:tc>
        <w:tc>
          <w:tcPr>
            <w:tcW w:w="993" w:type="dxa"/>
            <w:tcBorders>
              <w:top w:val="single" w:color="auto" w:sz="6" w:space="0"/>
              <w:left w:val="single" w:color="auto" w:sz="6" w:space="0"/>
              <w:bottom w:val="single" w:color="auto" w:sz="4" w:space="0"/>
              <w:right w:val="single" w:color="auto" w:sz="6" w:space="0"/>
            </w:tcBorders>
            <w:vAlign w:val="center"/>
          </w:tcPr>
          <w:p w14:paraId="7347B973">
            <w:pPr>
              <w:spacing w:line="360" w:lineRule="auto"/>
              <w:jc w:val="center"/>
              <w:rPr>
                <w:rFonts w:asciiTheme="minorEastAsia" w:hAnsiTheme="minorEastAsia"/>
                <w:color w:val="auto"/>
                <w:szCs w:val="21"/>
                <w:highlight w:val="none"/>
              </w:rPr>
            </w:pPr>
          </w:p>
        </w:tc>
      </w:tr>
      <w:tr w14:paraId="52F12A3A">
        <w:tblPrEx>
          <w:tblCellMar>
            <w:top w:w="57" w:type="dxa"/>
            <w:left w:w="57" w:type="dxa"/>
            <w:bottom w:w="57" w:type="dxa"/>
            <w:right w:w="57" w:type="dxa"/>
          </w:tblCellMar>
        </w:tblPrEx>
        <w:trPr>
          <w:cantSplit/>
          <w:trHeight w:val="624" w:hRule="atLeast"/>
        </w:trPr>
        <w:tc>
          <w:tcPr>
            <w:tcW w:w="589" w:type="dxa"/>
            <w:tcBorders>
              <w:top w:val="single" w:color="auto" w:sz="6" w:space="0"/>
              <w:left w:val="single" w:color="auto" w:sz="6" w:space="0"/>
              <w:bottom w:val="single" w:color="auto" w:sz="4" w:space="0"/>
              <w:right w:val="single" w:color="auto" w:sz="6" w:space="0"/>
            </w:tcBorders>
            <w:vAlign w:val="center"/>
          </w:tcPr>
          <w:p w14:paraId="0B4D665E">
            <w:pPr>
              <w:spacing w:line="360" w:lineRule="auto"/>
              <w:jc w:val="center"/>
              <w:rPr>
                <w:rFonts w:asciiTheme="minorEastAsia" w:hAnsiTheme="minorEastAsia"/>
                <w:color w:val="auto"/>
                <w:szCs w:val="21"/>
                <w:highlight w:val="none"/>
              </w:rPr>
            </w:pPr>
          </w:p>
        </w:tc>
        <w:tc>
          <w:tcPr>
            <w:tcW w:w="1303" w:type="dxa"/>
            <w:tcBorders>
              <w:top w:val="single" w:color="auto" w:sz="6" w:space="0"/>
              <w:left w:val="single" w:color="auto" w:sz="6" w:space="0"/>
              <w:bottom w:val="single" w:color="auto" w:sz="4" w:space="0"/>
              <w:right w:val="single" w:color="auto" w:sz="6" w:space="0"/>
            </w:tcBorders>
            <w:vAlign w:val="center"/>
          </w:tcPr>
          <w:p w14:paraId="03B0FD5B">
            <w:pPr>
              <w:spacing w:line="360" w:lineRule="auto"/>
              <w:jc w:val="center"/>
              <w:rPr>
                <w:rFonts w:asciiTheme="minorEastAsia" w:hAnsiTheme="minorEastAsia"/>
                <w:color w:val="auto"/>
                <w:szCs w:val="21"/>
                <w:highlight w:val="none"/>
              </w:rPr>
            </w:pPr>
          </w:p>
        </w:tc>
        <w:tc>
          <w:tcPr>
            <w:tcW w:w="709" w:type="dxa"/>
            <w:tcBorders>
              <w:top w:val="single" w:color="auto" w:sz="6" w:space="0"/>
              <w:left w:val="single" w:color="auto" w:sz="6" w:space="0"/>
              <w:bottom w:val="single" w:color="auto" w:sz="4" w:space="0"/>
              <w:right w:val="single" w:color="auto" w:sz="6" w:space="0"/>
            </w:tcBorders>
            <w:vAlign w:val="center"/>
          </w:tcPr>
          <w:p w14:paraId="3D247FB0">
            <w:pPr>
              <w:spacing w:line="360" w:lineRule="auto"/>
              <w:jc w:val="center"/>
              <w:rPr>
                <w:rFonts w:asciiTheme="minorEastAsia" w:hAnsiTheme="minorEastAsia"/>
                <w:color w:val="auto"/>
                <w:szCs w:val="21"/>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14:paraId="72B7E681">
            <w:pPr>
              <w:spacing w:line="360" w:lineRule="auto"/>
              <w:jc w:val="center"/>
              <w:rPr>
                <w:rFonts w:asciiTheme="minorEastAsia" w:hAnsiTheme="minorEastAsia"/>
                <w:color w:val="auto"/>
                <w:szCs w:val="21"/>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14:paraId="0303B168">
            <w:pPr>
              <w:spacing w:line="360" w:lineRule="auto"/>
              <w:jc w:val="center"/>
              <w:rPr>
                <w:rFonts w:asciiTheme="minorEastAsia" w:hAnsiTheme="minorEastAsia"/>
                <w:color w:val="auto"/>
                <w:szCs w:val="21"/>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14:paraId="5749B9DB">
            <w:pPr>
              <w:spacing w:line="360" w:lineRule="auto"/>
              <w:jc w:val="center"/>
              <w:rPr>
                <w:rFonts w:asciiTheme="minorEastAsia" w:hAnsiTheme="minorEastAsia"/>
                <w:color w:val="auto"/>
                <w:szCs w:val="21"/>
                <w:highlight w:val="none"/>
              </w:rPr>
            </w:pPr>
          </w:p>
        </w:tc>
        <w:tc>
          <w:tcPr>
            <w:tcW w:w="1134" w:type="dxa"/>
            <w:tcBorders>
              <w:top w:val="single" w:color="auto" w:sz="6" w:space="0"/>
              <w:left w:val="single" w:color="auto" w:sz="6" w:space="0"/>
              <w:bottom w:val="single" w:color="auto" w:sz="4" w:space="0"/>
              <w:right w:val="single" w:color="auto" w:sz="4" w:space="0"/>
            </w:tcBorders>
            <w:vAlign w:val="center"/>
          </w:tcPr>
          <w:p w14:paraId="769E5708">
            <w:pPr>
              <w:spacing w:line="360" w:lineRule="auto"/>
              <w:jc w:val="center"/>
              <w:rPr>
                <w:rFonts w:asciiTheme="minorEastAsia" w:hAnsiTheme="minorEastAsia"/>
                <w:color w:val="auto"/>
                <w:szCs w:val="21"/>
                <w:highlight w:val="none"/>
              </w:rPr>
            </w:pPr>
          </w:p>
        </w:tc>
        <w:tc>
          <w:tcPr>
            <w:tcW w:w="1842" w:type="dxa"/>
            <w:tcBorders>
              <w:top w:val="single" w:color="auto" w:sz="6" w:space="0"/>
              <w:left w:val="single" w:color="auto" w:sz="6" w:space="0"/>
              <w:bottom w:val="single" w:color="auto" w:sz="4" w:space="0"/>
              <w:right w:val="single" w:color="auto" w:sz="6" w:space="0"/>
            </w:tcBorders>
            <w:vAlign w:val="center"/>
          </w:tcPr>
          <w:p w14:paraId="42E8D876">
            <w:pPr>
              <w:spacing w:line="360" w:lineRule="auto"/>
              <w:jc w:val="center"/>
              <w:rPr>
                <w:rFonts w:asciiTheme="minorEastAsia" w:hAnsiTheme="minorEastAsia"/>
                <w:color w:val="auto"/>
                <w:szCs w:val="21"/>
                <w:highlight w:val="none"/>
              </w:rPr>
            </w:pPr>
          </w:p>
        </w:tc>
        <w:tc>
          <w:tcPr>
            <w:tcW w:w="993" w:type="dxa"/>
            <w:tcBorders>
              <w:top w:val="single" w:color="auto" w:sz="6" w:space="0"/>
              <w:left w:val="single" w:color="auto" w:sz="6" w:space="0"/>
              <w:bottom w:val="single" w:color="auto" w:sz="4" w:space="0"/>
              <w:right w:val="single" w:color="auto" w:sz="6" w:space="0"/>
            </w:tcBorders>
            <w:vAlign w:val="center"/>
          </w:tcPr>
          <w:p w14:paraId="25451154">
            <w:pPr>
              <w:spacing w:line="360" w:lineRule="auto"/>
              <w:jc w:val="center"/>
              <w:rPr>
                <w:rFonts w:asciiTheme="minorEastAsia" w:hAnsiTheme="minorEastAsia"/>
                <w:color w:val="auto"/>
                <w:szCs w:val="21"/>
                <w:highlight w:val="none"/>
              </w:rPr>
            </w:pPr>
          </w:p>
        </w:tc>
      </w:tr>
      <w:tr w14:paraId="19308740">
        <w:tblPrEx>
          <w:tblCellMar>
            <w:top w:w="57" w:type="dxa"/>
            <w:left w:w="57" w:type="dxa"/>
            <w:bottom w:w="57" w:type="dxa"/>
            <w:right w:w="57" w:type="dxa"/>
          </w:tblCellMar>
        </w:tblPrEx>
        <w:trPr>
          <w:cantSplit/>
          <w:trHeight w:val="624" w:hRule="atLeast"/>
        </w:trPr>
        <w:tc>
          <w:tcPr>
            <w:tcW w:w="589" w:type="dxa"/>
            <w:tcBorders>
              <w:top w:val="single" w:color="auto" w:sz="4" w:space="0"/>
              <w:left w:val="single" w:color="auto" w:sz="6" w:space="0"/>
              <w:bottom w:val="single" w:color="auto" w:sz="4" w:space="0"/>
              <w:right w:val="single" w:color="auto" w:sz="6" w:space="0"/>
            </w:tcBorders>
            <w:vAlign w:val="center"/>
          </w:tcPr>
          <w:p w14:paraId="3A418A48">
            <w:pPr>
              <w:spacing w:line="360" w:lineRule="auto"/>
              <w:jc w:val="center"/>
              <w:rPr>
                <w:rFonts w:asciiTheme="minorEastAsia" w:hAnsiTheme="minorEastAsia"/>
                <w:color w:val="auto"/>
                <w:szCs w:val="21"/>
                <w:highlight w:val="none"/>
              </w:rPr>
            </w:pPr>
          </w:p>
        </w:tc>
        <w:tc>
          <w:tcPr>
            <w:tcW w:w="1303" w:type="dxa"/>
            <w:tcBorders>
              <w:top w:val="single" w:color="auto" w:sz="4" w:space="0"/>
              <w:left w:val="single" w:color="auto" w:sz="6" w:space="0"/>
              <w:bottom w:val="single" w:color="auto" w:sz="4" w:space="0"/>
              <w:right w:val="single" w:color="auto" w:sz="6" w:space="0"/>
            </w:tcBorders>
            <w:vAlign w:val="center"/>
          </w:tcPr>
          <w:p w14:paraId="171A734D">
            <w:pPr>
              <w:spacing w:line="360" w:lineRule="auto"/>
              <w:jc w:val="center"/>
              <w:rPr>
                <w:rFonts w:asciiTheme="minorEastAsia" w:hAnsiTheme="minorEastAsia"/>
                <w:color w:val="auto"/>
                <w:szCs w:val="21"/>
                <w:highlight w:val="none"/>
              </w:rPr>
            </w:pPr>
          </w:p>
        </w:tc>
        <w:tc>
          <w:tcPr>
            <w:tcW w:w="709" w:type="dxa"/>
            <w:tcBorders>
              <w:top w:val="single" w:color="auto" w:sz="4" w:space="0"/>
              <w:left w:val="single" w:color="auto" w:sz="6" w:space="0"/>
              <w:bottom w:val="single" w:color="auto" w:sz="4" w:space="0"/>
              <w:right w:val="single" w:color="auto" w:sz="6" w:space="0"/>
            </w:tcBorders>
            <w:vAlign w:val="center"/>
          </w:tcPr>
          <w:p w14:paraId="66FDA4EE">
            <w:pPr>
              <w:spacing w:line="360" w:lineRule="auto"/>
              <w:jc w:val="center"/>
              <w:rPr>
                <w:rFonts w:asciiTheme="minorEastAsia" w:hAnsiTheme="minorEastAsia"/>
                <w:color w:val="auto"/>
                <w:szCs w:val="21"/>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14:paraId="078C9557">
            <w:pPr>
              <w:spacing w:line="360" w:lineRule="auto"/>
              <w:jc w:val="center"/>
              <w:rPr>
                <w:rFonts w:asciiTheme="minorEastAsia" w:hAnsiTheme="minorEastAsia"/>
                <w:color w:val="auto"/>
                <w:szCs w:val="21"/>
                <w:highlight w:val="none"/>
              </w:rPr>
            </w:pPr>
          </w:p>
        </w:tc>
        <w:tc>
          <w:tcPr>
            <w:tcW w:w="851" w:type="dxa"/>
            <w:tcBorders>
              <w:top w:val="single" w:color="auto" w:sz="4" w:space="0"/>
              <w:left w:val="single" w:color="auto" w:sz="6" w:space="0"/>
              <w:bottom w:val="single" w:color="auto" w:sz="4" w:space="0"/>
              <w:right w:val="single" w:color="auto" w:sz="6" w:space="0"/>
            </w:tcBorders>
            <w:vAlign w:val="center"/>
          </w:tcPr>
          <w:p w14:paraId="4116D822">
            <w:pPr>
              <w:spacing w:line="360" w:lineRule="auto"/>
              <w:jc w:val="center"/>
              <w:rPr>
                <w:rFonts w:asciiTheme="minorEastAsia" w:hAnsiTheme="minorEastAsia"/>
                <w:color w:val="auto"/>
                <w:szCs w:val="21"/>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14:paraId="4F7071CE">
            <w:pPr>
              <w:spacing w:line="360" w:lineRule="auto"/>
              <w:jc w:val="center"/>
              <w:rPr>
                <w:rFonts w:asciiTheme="minorEastAsia" w:hAnsiTheme="minorEastAsia"/>
                <w:color w:val="auto"/>
                <w:szCs w:val="21"/>
                <w:highlight w:val="none"/>
              </w:rPr>
            </w:pPr>
          </w:p>
        </w:tc>
        <w:tc>
          <w:tcPr>
            <w:tcW w:w="1134" w:type="dxa"/>
            <w:tcBorders>
              <w:top w:val="single" w:color="auto" w:sz="4" w:space="0"/>
              <w:left w:val="single" w:color="auto" w:sz="6" w:space="0"/>
              <w:bottom w:val="single" w:color="auto" w:sz="4" w:space="0"/>
              <w:right w:val="single" w:color="auto" w:sz="4" w:space="0"/>
            </w:tcBorders>
            <w:vAlign w:val="center"/>
          </w:tcPr>
          <w:p w14:paraId="6F985DB1">
            <w:pPr>
              <w:spacing w:line="360" w:lineRule="auto"/>
              <w:jc w:val="center"/>
              <w:rPr>
                <w:rFonts w:asciiTheme="minorEastAsia" w:hAnsiTheme="minorEastAsia"/>
                <w:color w:val="auto"/>
                <w:szCs w:val="21"/>
                <w:highlight w:val="none"/>
              </w:rPr>
            </w:pPr>
          </w:p>
        </w:tc>
        <w:tc>
          <w:tcPr>
            <w:tcW w:w="1842" w:type="dxa"/>
            <w:tcBorders>
              <w:top w:val="single" w:color="auto" w:sz="4" w:space="0"/>
              <w:left w:val="single" w:color="auto" w:sz="6" w:space="0"/>
              <w:bottom w:val="single" w:color="auto" w:sz="4" w:space="0"/>
              <w:right w:val="single" w:color="auto" w:sz="6" w:space="0"/>
            </w:tcBorders>
            <w:vAlign w:val="center"/>
          </w:tcPr>
          <w:p w14:paraId="5965D443">
            <w:pPr>
              <w:spacing w:line="360" w:lineRule="auto"/>
              <w:jc w:val="center"/>
              <w:rPr>
                <w:rFonts w:asciiTheme="minorEastAsia" w:hAnsiTheme="minorEastAsia"/>
                <w:color w:val="auto"/>
                <w:szCs w:val="21"/>
                <w:highlight w:val="none"/>
              </w:rPr>
            </w:pPr>
          </w:p>
        </w:tc>
        <w:tc>
          <w:tcPr>
            <w:tcW w:w="993" w:type="dxa"/>
            <w:tcBorders>
              <w:top w:val="single" w:color="auto" w:sz="4" w:space="0"/>
              <w:left w:val="single" w:color="auto" w:sz="6" w:space="0"/>
              <w:bottom w:val="single" w:color="auto" w:sz="4" w:space="0"/>
              <w:right w:val="single" w:color="auto" w:sz="6" w:space="0"/>
            </w:tcBorders>
            <w:vAlign w:val="center"/>
          </w:tcPr>
          <w:p w14:paraId="73EB0DDD">
            <w:pPr>
              <w:spacing w:line="360" w:lineRule="auto"/>
              <w:jc w:val="center"/>
              <w:rPr>
                <w:rFonts w:asciiTheme="minorEastAsia" w:hAnsiTheme="minorEastAsia"/>
                <w:color w:val="auto"/>
                <w:szCs w:val="21"/>
                <w:highlight w:val="none"/>
              </w:rPr>
            </w:pPr>
          </w:p>
        </w:tc>
      </w:tr>
      <w:tr w14:paraId="55492202">
        <w:tblPrEx>
          <w:tblCellMar>
            <w:top w:w="57" w:type="dxa"/>
            <w:left w:w="57" w:type="dxa"/>
            <w:bottom w:w="57" w:type="dxa"/>
            <w:right w:w="57" w:type="dxa"/>
          </w:tblCellMar>
        </w:tblPrEx>
        <w:trPr>
          <w:cantSplit/>
          <w:trHeight w:val="624" w:hRule="atLeast"/>
        </w:trPr>
        <w:tc>
          <w:tcPr>
            <w:tcW w:w="589" w:type="dxa"/>
            <w:tcBorders>
              <w:top w:val="single" w:color="auto" w:sz="4" w:space="0"/>
              <w:left w:val="single" w:color="auto" w:sz="6" w:space="0"/>
              <w:bottom w:val="single" w:color="auto" w:sz="4" w:space="0"/>
              <w:right w:val="single" w:color="auto" w:sz="6" w:space="0"/>
            </w:tcBorders>
            <w:vAlign w:val="center"/>
          </w:tcPr>
          <w:p w14:paraId="73D28D62">
            <w:pPr>
              <w:spacing w:line="360" w:lineRule="auto"/>
              <w:jc w:val="center"/>
              <w:rPr>
                <w:rFonts w:asciiTheme="minorEastAsia" w:hAnsiTheme="minorEastAsia"/>
                <w:color w:val="auto"/>
                <w:szCs w:val="21"/>
                <w:highlight w:val="none"/>
              </w:rPr>
            </w:pPr>
          </w:p>
        </w:tc>
        <w:tc>
          <w:tcPr>
            <w:tcW w:w="1303" w:type="dxa"/>
            <w:tcBorders>
              <w:top w:val="single" w:color="auto" w:sz="4" w:space="0"/>
              <w:left w:val="single" w:color="auto" w:sz="6" w:space="0"/>
              <w:bottom w:val="single" w:color="auto" w:sz="4" w:space="0"/>
              <w:right w:val="single" w:color="auto" w:sz="6" w:space="0"/>
            </w:tcBorders>
            <w:vAlign w:val="center"/>
          </w:tcPr>
          <w:p w14:paraId="3AA13A0A">
            <w:pPr>
              <w:spacing w:line="360" w:lineRule="auto"/>
              <w:jc w:val="center"/>
              <w:rPr>
                <w:rFonts w:asciiTheme="minorEastAsia" w:hAnsiTheme="minorEastAsia"/>
                <w:color w:val="auto"/>
                <w:szCs w:val="21"/>
                <w:highlight w:val="none"/>
              </w:rPr>
            </w:pPr>
          </w:p>
        </w:tc>
        <w:tc>
          <w:tcPr>
            <w:tcW w:w="709" w:type="dxa"/>
            <w:tcBorders>
              <w:top w:val="single" w:color="auto" w:sz="4" w:space="0"/>
              <w:left w:val="single" w:color="auto" w:sz="6" w:space="0"/>
              <w:bottom w:val="single" w:color="auto" w:sz="4" w:space="0"/>
              <w:right w:val="single" w:color="auto" w:sz="6" w:space="0"/>
            </w:tcBorders>
            <w:vAlign w:val="center"/>
          </w:tcPr>
          <w:p w14:paraId="0C69D103">
            <w:pPr>
              <w:spacing w:line="360" w:lineRule="auto"/>
              <w:jc w:val="center"/>
              <w:rPr>
                <w:rFonts w:asciiTheme="minorEastAsia" w:hAnsiTheme="minorEastAsia"/>
                <w:color w:val="auto"/>
                <w:szCs w:val="21"/>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14:paraId="5A1E107B">
            <w:pPr>
              <w:spacing w:line="360" w:lineRule="auto"/>
              <w:jc w:val="center"/>
              <w:rPr>
                <w:rFonts w:asciiTheme="minorEastAsia" w:hAnsiTheme="minorEastAsia"/>
                <w:color w:val="auto"/>
                <w:szCs w:val="21"/>
                <w:highlight w:val="none"/>
              </w:rPr>
            </w:pPr>
          </w:p>
        </w:tc>
        <w:tc>
          <w:tcPr>
            <w:tcW w:w="851" w:type="dxa"/>
            <w:tcBorders>
              <w:top w:val="single" w:color="auto" w:sz="4" w:space="0"/>
              <w:left w:val="single" w:color="auto" w:sz="6" w:space="0"/>
              <w:bottom w:val="single" w:color="auto" w:sz="4" w:space="0"/>
              <w:right w:val="single" w:color="auto" w:sz="6" w:space="0"/>
            </w:tcBorders>
            <w:vAlign w:val="center"/>
          </w:tcPr>
          <w:p w14:paraId="26937C36">
            <w:pPr>
              <w:spacing w:line="360" w:lineRule="auto"/>
              <w:jc w:val="center"/>
              <w:rPr>
                <w:rFonts w:asciiTheme="minorEastAsia" w:hAnsiTheme="minorEastAsia"/>
                <w:color w:val="auto"/>
                <w:szCs w:val="21"/>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14:paraId="37E9556B">
            <w:pPr>
              <w:spacing w:line="360" w:lineRule="auto"/>
              <w:jc w:val="center"/>
              <w:rPr>
                <w:rFonts w:asciiTheme="minorEastAsia" w:hAnsiTheme="minorEastAsia"/>
                <w:color w:val="auto"/>
                <w:szCs w:val="21"/>
                <w:highlight w:val="none"/>
              </w:rPr>
            </w:pPr>
          </w:p>
        </w:tc>
        <w:tc>
          <w:tcPr>
            <w:tcW w:w="1134" w:type="dxa"/>
            <w:tcBorders>
              <w:top w:val="single" w:color="auto" w:sz="4" w:space="0"/>
              <w:left w:val="single" w:color="auto" w:sz="6" w:space="0"/>
              <w:bottom w:val="single" w:color="auto" w:sz="4" w:space="0"/>
              <w:right w:val="single" w:color="auto" w:sz="4" w:space="0"/>
            </w:tcBorders>
            <w:vAlign w:val="center"/>
          </w:tcPr>
          <w:p w14:paraId="740F2CC3">
            <w:pPr>
              <w:spacing w:line="360" w:lineRule="auto"/>
              <w:jc w:val="center"/>
              <w:rPr>
                <w:rFonts w:asciiTheme="minorEastAsia" w:hAnsiTheme="minorEastAsia"/>
                <w:color w:val="auto"/>
                <w:szCs w:val="21"/>
                <w:highlight w:val="none"/>
              </w:rPr>
            </w:pPr>
          </w:p>
        </w:tc>
        <w:tc>
          <w:tcPr>
            <w:tcW w:w="1842" w:type="dxa"/>
            <w:tcBorders>
              <w:top w:val="single" w:color="auto" w:sz="4" w:space="0"/>
              <w:left w:val="single" w:color="auto" w:sz="6" w:space="0"/>
              <w:bottom w:val="single" w:color="auto" w:sz="4" w:space="0"/>
              <w:right w:val="single" w:color="auto" w:sz="6" w:space="0"/>
            </w:tcBorders>
            <w:vAlign w:val="center"/>
          </w:tcPr>
          <w:p w14:paraId="727F67E2">
            <w:pPr>
              <w:spacing w:line="360" w:lineRule="auto"/>
              <w:jc w:val="center"/>
              <w:rPr>
                <w:rFonts w:asciiTheme="minorEastAsia" w:hAnsiTheme="minorEastAsia"/>
                <w:color w:val="auto"/>
                <w:szCs w:val="21"/>
                <w:highlight w:val="none"/>
              </w:rPr>
            </w:pPr>
          </w:p>
        </w:tc>
        <w:tc>
          <w:tcPr>
            <w:tcW w:w="993" w:type="dxa"/>
            <w:tcBorders>
              <w:top w:val="single" w:color="auto" w:sz="4" w:space="0"/>
              <w:left w:val="single" w:color="auto" w:sz="6" w:space="0"/>
              <w:bottom w:val="single" w:color="auto" w:sz="4" w:space="0"/>
              <w:right w:val="single" w:color="auto" w:sz="6" w:space="0"/>
            </w:tcBorders>
            <w:vAlign w:val="center"/>
          </w:tcPr>
          <w:p w14:paraId="7437C9A0">
            <w:pPr>
              <w:spacing w:line="360" w:lineRule="auto"/>
              <w:jc w:val="center"/>
              <w:rPr>
                <w:rFonts w:asciiTheme="minorEastAsia" w:hAnsiTheme="minorEastAsia"/>
                <w:color w:val="auto"/>
                <w:szCs w:val="21"/>
                <w:highlight w:val="none"/>
              </w:rPr>
            </w:pPr>
          </w:p>
        </w:tc>
      </w:tr>
      <w:tr w14:paraId="7BE52829">
        <w:tblPrEx>
          <w:tblCellMar>
            <w:top w:w="57" w:type="dxa"/>
            <w:left w:w="57" w:type="dxa"/>
            <w:bottom w:w="57" w:type="dxa"/>
            <w:right w:w="57" w:type="dxa"/>
          </w:tblCellMar>
        </w:tblPrEx>
        <w:trPr>
          <w:cantSplit/>
          <w:trHeight w:val="624" w:hRule="atLeast"/>
        </w:trPr>
        <w:tc>
          <w:tcPr>
            <w:tcW w:w="589" w:type="dxa"/>
            <w:tcBorders>
              <w:top w:val="single" w:color="auto" w:sz="4" w:space="0"/>
              <w:left w:val="single" w:color="auto" w:sz="6" w:space="0"/>
              <w:bottom w:val="single" w:color="auto" w:sz="6" w:space="0"/>
              <w:right w:val="single" w:color="auto" w:sz="6" w:space="0"/>
            </w:tcBorders>
            <w:vAlign w:val="center"/>
          </w:tcPr>
          <w:p w14:paraId="01A36295">
            <w:pPr>
              <w:spacing w:line="360" w:lineRule="auto"/>
              <w:jc w:val="center"/>
              <w:rPr>
                <w:rFonts w:asciiTheme="minorEastAsia" w:hAnsiTheme="minorEastAsia"/>
                <w:color w:val="auto"/>
                <w:szCs w:val="21"/>
                <w:highlight w:val="none"/>
              </w:rPr>
            </w:pPr>
          </w:p>
        </w:tc>
        <w:tc>
          <w:tcPr>
            <w:tcW w:w="1303" w:type="dxa"/>
            <w:tcBorders>
              <w:top w:val="single" w:color="auto" w:sz="4" w:space="0"/>
              <w:left w:val="single" w:color="auto" w:sz="6" w:space="0"/>
              <w:bottom w:val="single" w:color="auto" w:sz="6" w:space="0"/>
              <w:right w:val="single" w:color="auto" w:sz="6" w:space="0"/>
            </w:tcBorders>
            <w:vAlign w:val="center"/>
          </w:tcPr>
          <w:p w14:paraId="6C5C6C48">
            <w:pPr>
              <w:spacing w:line="360" w:lineRule="auto"/>
              <w:jc w:val="center"/>
              <w:rPr>
                <w:rFonts w:asciiTheme="minorEastAsia" w:hAnsiTheme="minorEastAsia"/>
                <w:color w:val="auto"/>
                <w:szCs w:val="21"/>
                <w:highlight w:val="none"/>
              </w:rPr>
            </w:pPr>
          </w:p>
        </w:tc>
        <w:tc>
          <w:tcPr>
            <w:tcW w:w="709" w:type="dxa"/>
            <w:tcBorders>
              <w:top w:val="single" w:color="auto" w:sz="4" w:space="0"/>
              <w:left w:val="single" w:color="auto" w:sz="6" w:space="0"/>
              <w:bottom w:val="single" w:color="auto" w:sz="6" w:space="0"/>
              <w:right w:val="single" w:color="auto" w:sz="6" w:space="0"/>
            </w:tcBorders>
            <w:vAlign w:val="center"/>
          </w:tcPr>
          <w:p w14:paraId="07F9C061">
            <w:pPr>
              <w:spacing w:line="360" w:lineRule="auto"/>
              <w:jc w:val="center"/>
              <w:rPr>
                <w:rFonts w:asciiTheme="minorEastAsia" w:hAnsiTheme="minorEastAsia"/>
                <w:color w:val="auto"/>
                <w:szCs w:val="21"/>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14:paraId="32136D91">
            <w:pPr>
              <w:spacing w:line="360" w:lineRule="auto"/>
              <w:jc w:val="center"/>
              <w:rPr>
                <w:rFonts w:asciiTheme="minorEastAsia" w:hAnsiTheme="minorEastAsia"/>
                <w:color w:val="auto"/>
                <w:szCs w:val="21"/>
                <w:highlight w:val="none"/>
              </w:rPr>
            </w:pPr>
          </w:p>
        </w:tc>
        <w:tc>
          <w:tcPr>
            <w:tcW w:w="851" w:type="dxa"/>
            <w:tcBorders>
              <w:top w:val="single" w:color="auto" w:sz="4" w:space="0"/>
              <w:left w:val="single" w:color="auto" w:sz="6" w:space="0"/>
              <w:bottom w:val="single" w:color="auto" w:sz="6" w:space="0"/>
              <w:right w:val="single" w:color="auto" w:sz="6" w:space="0"/>
            </w:tcBorders>
            <w:vAlign w:val="center"/>
          </w:tcPr>
          <w:p w14:paraId="02F902B5">
            <w:pPr>
              <w:spacing w:line="360" w:lineRule="auto"/>
              <w:jc w:val="center"/>
              <w:rPr>
                <w:rFonts w:asciiTheme="minorEastAsia" w:hAnsiTheme="minorEastAsia"/>
                <w:color w:val="auto"/>
                <w:szCs w:val="21"/>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14:paraId="7E97CC72">
            <w:pPr>
              <w:spacing w:line="360" w:lineRule="auto"/>
              <w:jc w:val="center"/>
              <w:rPr>
                <w:rFonts w:asciiTheme="minorEastAsia" w:hAnsiTheme="minorEastAsia"/>
                <w:color w:val="auto"/>
                <w:szCs w:val="21"/>
                <w:highlight w:val="none"/>
              </w:rPr>
            </w:pPr>
          </w:p>
        </w:tc>
        <w:tc>
          <w:tcPr>
            <w:tcW w:w="1134" w:type="dxa"/>
            <w:tcBorders>
              <w:top w:val="single" w:color="auto" w:sz="4" w:space="0"/>
              <w:left w:val="single" w:color="auto" w:sz="6" w:space="0"/>
              <w:bottom w:val="single" w:color="auto" w:sz="6" w:space="0"/>
              <w:right w:val="single" w:color="auto" w:sz="4" w:space="0"/>
            </w:tcBorders>
            <w:vAlign w:val="center"/>
          </w:tcPr>
          <w:p w14:paraId="43E3E34A">
            <w:pPr>
              <w:spacing w:line="360" w:lineRule="auto"/>
              <w:jc w:val="center"/>
              <w:rPr>
                <w:rFonts w:asciiTheme="minorEastAsia" w:hAnsiTheme="minorEastAsia"/>
                <w:color w:val="auto"/>
                <w:szCs w:val="21"/>
                <w:highlight w:val="none"/>
              </w:rPr>
            </w:pPr>
          </w:p>
        </w:tc>
        <w:tc>
          <w:tcPr>
            <w:tcW w:w="1842" w:type="dxa"/>
            <w:tcBorders>
              <w:top w:val="single" w:color="auto" w:sz="4" w:space="0"/>
              <w:left w:val="single" w:color="auto" w:sz="6" w:space="0"/>
              <w:bottom w:val="single" w:color="auto" w:sz="6" w:space="0"/>
              <w:right w:val="single" w:color="auto" w:sz="6" w:space="0"/>
            </w:tcBorders>
            <w:vAlign w:val="center"/>
          </w:tcPr>
          <w:p w14:paraId="3A93D389">
            <w:pPr>
              <w:spacing w:line="360" w:lineRule="auto"/>
              <w:jc w:val="center"/>
              <w:rPr>
                <w:rFonts w:asciiTheme="minorEastAsia" w:hAnsiTheme="minorEastAsia"/>
                <w:color w:val="auto"/>
                <w:szCs w:val="21"/>
                <w:highlight w:val="none"/>
              </w:rPr>
            </w:pPr>
          </w:p>
        </w:tc>
        <w:tc>
          <w:tcPr>
            <w:tcW w:w="993" w:type="dxa"/>
            <w:tcBorders>
              <w:top w:val="single" w:color="auto" w:sz="4" w:space="0"/>
              <w:left w:val="single" w:color="auto" w:sz="6" w:space="0"/>
              <w:bottom w:val="single" w:color="auto" w:sz="6" w:space="0"/>
              <w:right w:val="single" w:color="auto" w:sz="6" w:space="0"/>
            </w:tcBorders>
            <w:vAlign w:val="center"/>
          </w:tcPr>
          <w:p w14:paraId="42CBC2C8">
            <w:pPr>
              <w:spacing w:line="360" w:lineRule="auto"/>
              <w:jc w:val="center"/>
              <w:rPr>
                <w:rFonts w:asciiTheme="minorEastAsia" w:hAnsiTheme="minorEastAsia"/>
                <w:color w:val="auto"/>
                <w:szCs w:val="21"/>
                <w:highlight w:val="none"/>
              </w:rPr>
            </w:pPr>
          </w:p>
        </w:tc>
      </w:tr>
    </w:tbl>
    <w:p w14:paraId="3B4957A7">
      <w:pPr>
        <w:spacing w:before="100" w:beforeAutospacing="1" w:line="360" w:lineRule="auto"/>
        <w:jc w:val="left"/>
        <w:rPr>
          <w:rFonts w:asciiTheme="minorEastAsia" w:hAnsiTheme="minorEastAsia"/>
          <w:b/>
          <w:color w:val="auto"/>
          <w:szCs w:val="21"/>
          <w:highlight w:val="none"/>
        </w:rPr>
      </w:pPr>
      <w:r>
        <w:rPr>
          <w:rFonts w:hint="eastAsia" w:asciiTheme="minorEastAsia" w:hAnsiTheme="minorEastAsia"/>
          <w:b/>
          <w:color w:val="auto"/>
          <w:szCs w:val="21"/>
          <w:highlight w:val="none"/>
        </w:rPr>
        <w:t>要求：</w:t>
      </w:r>
    </w:p>
    <w:p w14:paraId="7BBB4AF7">
      <w:pPr>
        <w:spacing w:line="360" w:lineRule="auto"/>
        <w:ind w:firstLine="420" w:firstLineChars="200"/>
        <w:jc w:val="left"/>
        <w:rPr>
          <w:rFonts w:asciiTheme="minorEastAsia" w:hAnsiTheme="minorEastAsia"/>
          <w:color w:val="auto"/>
          <w:szCs w:val="21"/>
          <w:highlight w:val="none"/>
        </w:rPr>
      </w:pPr>
      <w:r>
        <w:rPr>
          <w:rFonts w:hint="eastAsia" w:asciiTheme="minorEastAsia" w:hAnsiTheme="minorEastAsia"/>
          <w:color w:val="auto"/>
          <w:szCs w:val="21"/>
          <w:highlight w:val="none"/>
        </w:rPr>
        <w:t>1.在填写时，如本表格不适合投标单位的实际情况，可根据本表格式自行划表填写。</w:t>
      </w:r>
    </w:p>
    <w:p w14:paraId="25CF2CDF">
      <w:pPr>
        <w:spacing w:line="360" w:lineRule="auto"/>
        <w:ind w:firstLine="420" w:firstLineChars="200"/>
        <w:jc w:val="left"/>
        <w:rPr>
          <w:rFonts w:asciiTheme="minorEastAsia" w:hAnsiTheme="minorEastAsia"/>
          <w:color w:val="auto"/>
          <w:szCs w:val="21"/>
          <w:highlight w:val="none"/>
        </w:rPr>
      </w:pPr>
      <w:r>
        <w:rPr>
          <w:rFonts w:hint="eastAsia" w:asciiTheme="minorEastAsia" w:hAnsiTheme="minorEastAsia"/>
          <w:color w:val="auto"/>
          <w:szCs w:val="21"/>
          <w:highlight w:val="none"/>
        </w:rPr>
        <w:t>2.</w:t>
      </w:r>
      <w:r>
        <w:rPr>
          <w:rFonts w:asciiTheme="minorEastAsia" w:hAnsiTheme="minorEastAsia"/>
          <w:color w:val="auto"/>
          <w:szCs w:val="21"/>
          <w:highlight w:val="none"/>
        </w:rPr>
        <w:t>需</w:t>
      </w:r>
      <w:r>
        <w:rPr>
          <w:rFonts w:hint="eastAsia" w:asciiTheme="minorEastAsia" w:hAnsiTheme="minorEastAsia"/>
          <w:color w:val="auto"/>
          <w:szCs w:val="21"/>
          <w:highlight w:val="none"/>
        </w:rPr>
        <w:t>按采购文件需求、评分标准要求提供证书</w:t>
      </w:r>
      <w:r>
        <w:rPr>
          <w:rFonts w:asciiTheme="minorEastAsia" w:hAnsiTheme="minorEastAsia"/>
          <w:color w:val="auto"/>
          <w:szCs w:val="21"/>
          <w:highlight w:val="none"/>
        </w:rPr>
        <w:t>材料</w:t>
      </w:r>
      <w:r>
        <w:rPr>
          <w:rFonts w:hint="eastAsia" w:asciiTheme="minorEastAsia" w:hAnsiTheme="minorEastAsia"/>
          <w:color w:val="auto"/>
          <w:szCs w:val="21"/>
          <w:highlight w:val="none"/>
        </w:rPr>
        <w:t>扫描件及其他相关证明材料</w:t>
      </w:r>
      <w:r>
        <w:rPr>
          <w:rFonts w:asciiTheme="minorEastAsia" w:hAnsiTheme="minorEastAsia"/>
          <w:color w:val="auto"/>
          <w:szCs w:val="21"/>
          <w:highlight w:val="none"/>
        </w:rPr>
        <w:t>。</w:t>
      </w:r>
    </w:p>
    <w:p w14:paraId="3CAF504A">
      <w:pPr>
        <w:spacing w:line="360" w:lineRule="auto"/>
        <w:jc w:val="left"/>
        <w:rPr>
          <w:rFonts w:asciiTheme="minorEastAsia" w:hAnsiTheme="minorEastAsia"/>
          <w:color w:val="auto"/>
          <w:szCs w:val="21"/>
          <w:highlight w:val="none"/>
        </w:rPr>
      </w:pPr>
    </w:p>
    <w:p w14:paraId="3788A7FB">
      <w:pPr>
        <w:tabs>
          <w:tab w:val="left" w:pos="312"/>
        </w:tabs>
        <w:spacing w:line="480" w:lineRule="auto"/>
        <w:ind w:firstLine="420" w:firstLineChars="200"/>
        <w:jc w:val="right"/>
        <w:rPr>
          <w:rFonts w:asciiTheme="minorEastAsia" w:hAnsiTheme="minorEastAsia"/>
          <w:color w:val="auto"/>
          <w:szCs w:val="21"/>
          <w:highlight w:val="none"/>
        </w:rPr>
      </w:pPr>
      <w:r>
        <w:rPr>
          <w:rFonts w:hint="eastAsia" w:cs="宋体" w:asciiTheme="minorEastAsia" w:hAnsiTheme="minorEastAsia"/>
          <w:color w:val="auto"/>
          <w:szCs w:val="21"/>
          <w:highlight w:val="none"/>
        </w:rPr>
        <w:t>投标人名称（盖公章）：</w:t>
      </w:r>
    </w:p>
    <w:p w14:paraId="2B630F74">
      <w:pPr>
        <w:spacing w:line="480" w:lineRule="auto"/>
        <w:ind w:firstLine="371" w:firstLineChars="177"/>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4CC43833">
      <w:pPr>
        <w:spacing w:line="480" w:lineRule="auto"/>
        <w:ind w:firstLine="435"/>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313129A7">
      <w:pPr>
        <w:pStyle w:val="7"/>
        <w:rPr>
          <w:rFonts w:asciiTheme="minorEastAsia" w:hAnsiTheme="minorEastAsia" w:eastAsiaTheme="minorEastAsia"/>
          <w:color w:val="auto"/>
          <w:highlight w:val="none"/>
        </w:rPr>
      </w:pPr>
    </w:p>
    <w:p w14:paraId="48C56423">
      <w:pPr>
        <w:spacing w:line="360" w:lineRule="auto"/>
        <w:jc w:val="center"/>
        <w:outlineLvl w:val="0"/>
        <w:rPr>
          <w:rFonts w:asciiTheme="minorEastAsia" w:hAnsiTheme="minorEastAsia"/>
          <w:b/>
          <w:color w:val="auto"/>
          <w:sz w:val="32"/>
          <w:szCs w:val="32"/>
          <w:highlight w:val="none"/>
        </w:rPr>
      </w:pPr>
    </w:p>
    <w:p w14:paraId="2F3AC478">
      <w:pPr>
        <w:spacing w:line="360" w:lineRule="auto"/>
        <w:jc w:val="center"/>
        <w:outlineLvl w:val="0"/>
        <w:rPr>
          <w:rFonts w:asciiTheme="minorEastAsia" w:hAnsiTheme="minorEastAsia"/>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215" w:name="_Toc31566"/>
      <w:bookmarkStart w:id="216" w:name="_Toc19019"/>
      <w:bookmarkStart w:id="217" w:name="_Toc19473"/>
      <w:bookmarkStart w:id="218" w:name="_Toc21753"/>
      <w:bookmarkStart w:id="219" w:name="_Toc2665"/>
    </w:p>
    <w:p w14:paraId="2598A797">
      <w:pPr>
        <w:spacing w:line="360" w:lineRule="auto"/>
        <w:jc w:val="center"/>
        <w:outlineLvl w:val="0"/>
        <w:rPr>
          <w:rFonts w:asciiTheme="minorEastAsia" w:hAnsiTheme="minorEastAsia"/>
          <w:b/>
          <w:color w:val="auto"/>
          <w:sz w:val="32"/>
          <w:szCs w:val="32"/>
          <w:highlight w:val="none"/>
        </w:rPr>
      </w:pPr>
      <w:bookmarkStart w:id="220" w:name="_Toc15797"/>
      <w:r>
        <w:rPr>
          <w:rFonts w:hint="eastAsia" w:asciiTheme="minorEastAsia" w:hAnsiTheme="minorEastAsia"/>
          <w:b/>
          <w:color w:val="auto"/>
          <w:sz w:val="32"/>
          <w:szCs w:val="32"/>
          <w:highlight w:val="none"/>
          <w:lang w:eastAsia="zh-CN"/>
        </w:rPr>
        <w:t>八</w:t>
      </w:r>
      <w:r>
        <w:rPr>
          <w:rFonts w:hint="eastAsia" w:asciiTheme="minorEastAsia" w:hAnsiTheme="minorEastAsia"/>
          <w:b/>
          <w:color w:val="auto"/>
          <w:sz w:val="32"/>
          <w:szCs w:val="32"/>
          <w:highlight w:val="none"/>
        </w:rPr>
        <w:t>、 车辆配置表</w:t>
      </w:r>
    </w:p>
    <w:p w14:paraId="67F4E191">
      <w:pPr>
        <w:tabs>
          <w:tab w:val="left" w:pos="8280"/>
        </w:tabs>
        <w:autoSpaceDE w:val="0"/>
        <w:autoSpaceDN w:val="0"/>
        <w:adjustRightInd w:val="0"/>
        <w:spacing w:line="300" w:lineRule="exact"/>
        <w:jc w:val="left"/>
        <w:rPr>
          <w:rFonts w:ascii="宋体" w:hAnsi="宋体" w:cs="宋体"/>
          <w:color w:val="auto"/>
          <w:szCs w:val="21"/>
          <w:highlight w:val="none"/>
        </w:rPr>
      </w:pPr>
      <w:r>
        <w:rPr>
          <w:rFonts w:hint="eastAsia" w:ascii="宋体" w:hAnsi="宋体" w:cs="宋体"/>
          <w:color w:val="auto"/>
          <w:szCs w:val="21"/>
          <w:highlight w:val="none"/>
        </w:rPr>
        <w:t>项目编号：                                                项目名称：</w:t>
      </w:r>
    </w:p>
    <w:tbl>
      <w:tblPr>
        <w:tblStyle w:val="22"/>
        <w:tblpPr w:leftFromText="180" w:rightFromText="180" w:vertAnchor="text" w:horzAnchor="page" w:tblpX="1206" w:tblpY="28"/>
        <w:tblOverlap w:val="never"/>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04"/>
        <w:gridCol w:w="1513"/>
        <w:gridCol w:w="984"/>
        <w:gridCol w:w="1248"/>
        <w:gridCol w:w="1121"/>
        <w:gridCol w:w="1600"/>
        <w:gridCol w:w="917"/>
      </w:tblGrid>
      <w:tr w14:paraId="6CA4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91" w:type="dxa"/>
            <w:vAlign w:val="center"/>
          </w:tcPr>
          <w:p w14:paraId="7302899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04" w:type="dxa"/>
            <w:vAlign w:val="center"/>
          </w:tcPr>
          <w:p w14:paraId="3C90717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车辆类型</w:t>
            </w:r>
          </w:p>
        </w:tc>
        <w:tc>
          <w:tcPr>
            <w:tcW w:w="1513" w:type="dxa"/>
            <w:vAlign w:val="center"/>
          </w:tcPr>
          <w:p w14:paraId="6623ECD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车辆品牌型号</w:t>
            </w:r>
          </w:p>
        </w:tc>
        <w:tc>
          <w:tcPr>
            <w:tcW w:w="984" w:type="dxa"/>
            <w:vAlign w:val="center"/>
          </w:tcPr>
          <w:p w14:paraId="61FB57B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48" w:type="dxa"/>
            <w:vAlign w:val="center"/>
          </w:tcPr>
          <w:p w14:paraId="3894A6E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车牌号码</w:t>
            </w:r>
          </w:p>
        </w:tc>
        <w:tc>
          <w:tcPr>
            <w:tcW w:w="1121" w:type="dxa"/>
            <w:vAlign w:val="center"/>
          </w:tcPr>
          <w:p w14:paraId="71AB08B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核载质量</w:t>
            </w:r>
          </w:p>
        </w:tc>
        <w:tc>
          <w:tcPr>
            <w:tcW w:w="1600" w:type="dxa"/>
            <w:vAlign w:val="center"/>
          </w:tcPr>
          <w:p w14:paraId="63F3969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注册登记日期</w:t>
            </w:r>
          </w:p>
        </w:tc>
        <w:tc>
          <w:tcPr>
            <w:tcW w:w="917" w:type="dxa"/>
            <w:vAlign w:val="center"/>
          </w:tcPr>
          <w:p w14:paraId="5DD2AD0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6140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91" w:type="dxa"/>
            <w:vAlign w:val="center"/>
          </w:tcPr>
          <w:p w14:paraId="1D91409A">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704" w:type="dxa"/>
            <w:vAlign w:val="center"/>
          </w:tcPr>
          <w:p w14:paraId="59E3501C">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中型专项作业车（平板车）</w:t>
            </w:r>
          </w:p>
        </w:tc>
        <w:tc>
          <w:tcPr>
            <w:tcW w:w="1513" w:type="dxa"/>
            <w:vAlign w:val="center"/>
          </w:tcPr>
          <w:p w14:paraId="4C65D5DF">
            <w:pPr>
              <w:spacing w:line="460" w:lineRule="exact"/>
              <w:jc w:val="center"/>
              <w:rPr>
                <w:rFonts w:ascii="宋体" w:hAnsi="宋体" w:cs="宋体"/>
                <w:color w:val="auto"/>
                <w:szCs w:val="21"/>
                <w:highlight w:val="none"/>
              </w:rPr>
            </w:pPr>
          </w:p>
        </w:tc>
        <w:tc>
          <w:tcPr>
            <w:tcW w:w="984" w:type="dxa"/>
            <w:vAlign w:val="center"/>
          </w:tcPr>
          <w:p w14:paraId="1B14A6A5">
            <w:pPr>
              <w:spacing w:line="460" w:lineRule="exact"/>
              <w:jc w:val="center"/>
              <w:rPr>
                <w:rFonts w:ascii="宋体" w:hAnsi="宋体" w:cs="宋体"/>
                <w:color w:val="auto"/>
                <w:szCs w:val="21"/>
                <w:highlight w:val="none"/>
              </w:rPr>
            </w:pPr>
          </w:p>
        </w:tc>
        <w:tc>
          <w:tcPr>
            <w:tcW w:w="1248" w:type="dxa"/>
            <w:vAlign w:val="center"/>
          </w:tcPr>
          <w:p w14:paraId="74B049E9">
            <w:pPr>
              <w:spacing w:line="460" w:lineRule="exact"/>
              <w:jc w:val="center"/>
              <w:rPr>
                <w:rFonts w:ascii="宋体" w:hAnsi="宋体" w:cs="宋体"/>
                <w:color w:val="auto"/>
                <w:szCs w:val="21"/>
                <w:highlight w:val="none"/>
              </w:rPr>
            </w:pPr>
          </w:p>
        </w:tc>
        <w:tc>
          <w:tcPr>
            <w:tcW w:w="1121" w:type="dxa"/>
            <w:vAlign w:val="center"/>
          </w:tcPr>
          <w:p w14:paraId="4EF3A561">
            <w:pPr>
              <w:spacing w:line="460" w:lineRule="exact"/>
              <w:jc w:val="center"/>
              <w:rPr>
                <w:rFonts w:ascii="宋体" w:hAnsi="宋体" w:cs="宋体"/>
                <w:color w:val="auto"/>
                <w:szCs w:val="21"/>
                <w:highlight w:val="none"/>
              </w:rPr>
            </w:pPr>
          </w:p>
        </w:tc>
        <w:tc>
          <w:tcPr>
            <w:tcW w:w="1600" w:type="dxa"/>
            <w:vAlign w:val="center"/>
          </w:tcPr>
          <w:p w14:paraId="5EC21C27">
            <w:pPr>
              <w:spacing w:line="460" w:lineRule="exact"/>
              <w:jc w:val="center"/>
              <w:rPr>
                <w:rFonts w:ascii="宋体" w:hAnsi="宋体" w:cs="宋体"/>
                <w:color w:val="auto"/>
                <w:szCs w:val="21"/>
                <w:highlight w:val="none"/>
              </w:rPr>
            </w:pPr>
          </w:p>
        </w:tc>
        <w:tc>
          <w:tcPr>
            <w:tcW w:w="917" w:type="dxa"/>
            <w:vAlign w:val="center"/>
          </w:tcPr>
          <w:p w14:paraId="0869E3B1">
            <w:pPr>
              <w:spacing w:line="460" w:lineRule="exact"/>
              <w:jc w:val="center"/>
              <w:rPr>
                <w:rFonts w:ascii="宋体" w:hAnsi="宋体" w:cs="宋体"/>
                <w:color w:val="auto"/>
                <w:szCs w:val="21"/>
                <w:highlight w:val="none"/>
              </w:rPr>
            </w:pPr>
          </w:p>
        </w:tc>
      </w:tr>
      <w:tr w14:paraId="231F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1" w:type="dxa"/>
            <w:vAlign w:val="center"/>
          </w:tcPr>
          <w:p w14:paraId="35B28EE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704" w:type="dxa"/>
            <w:vAlign w:val="center"/>
          </w:tcPr>
          <w:p w14:paraId="597373D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轻型普通拖车</w:t>
            </w:r>
          </w:p>
        </w:tc>
        <w:tc>
          <w:tcPr>
            <w:tcW w:w="1513" w:type="dxa"/>
            <w:vAlign w:val="center"/>
          </w:tcPr>
          <w:p w14:paraId="34686FA5">
            <w:pPr>
              <w:spacing w:line="460" w:lineRule="exact"/>
              <w:jc w:val="center"/>
              <w:rPr>
                <w:rFonts w:ascii="宋体" w:hAnsi="宋体" w:cs="宋体"/>
                <w:color w:val="auto"/>
                <w:szCs w:val="21"/>
                <w:highlight w:val="none"/>
              </w:rPr>
            </w:pPr>
          </w:p>
        </w:tc>
        <w:tc>
          <w:tcPr>
            <w:tcW w:w="984" w:type="dxa"/>
            <w:vAlign w:val="center"/>
          </w:tcPr>
          <w:p w14:paraId="5A2500E1">
            <w:pPr>
              <w:spacing w:line="460" w:lineRule="exact"/>
              <w:jc w:val="center"/>
              <w:rPr>
                <w:rFonts w:ascii="宋体" w:hAnsi="宋体" w:cs="宋体"/>
                <w:color w:val="auto"/>
                <w:szCs w:val="21"/>
                <w:highlight w:val="none"/>
              </w:rPr>
            </w:pPr>
          </w:p>
        </w:tc>
        <w:tc>
          <w:tcPr>
            <w:tcW w:w="1248" w:type="dxa"/>
            <w:vAlign w:val="center"/>
          </w:tcPr>
          <w:p w14:paraId="23C883F6">
            <w:pPr>
              <w:spacing w:line="460" w:lineRule="exact"/>
              <w:jc w:val="center"/>
              <w:rPr>
                <w:rFonts w:ascii="宋体" w:hAnsi="宋体" w:cs="宋体"/>
                <w:color w:val="auto"/>
                <w:szCs w:val="21"/>
                <w:highlight w:val="none"/>
              </w:rPr>
            </w:pPr>
          </w:p>
        </w:tc>
        <w:tc>
          <w:tcPr>
            <w:tcW w:w="1121" w:type="dxa"/>
            <w:vAlign w:val="center"/>
          </w:tcPr>
          <w:p w14:paraId="67A26775">
            <w:pPr>
              <w:spacing w:line="460" w:lineRule="exact"/>
              <w:jc w:val="center"/>
              <w:rPr>
                <w:rFonts w:ascii="宋体" w:hAnsi="宋体" w:cs="宋体"/>
                <w:color w:val="auto"/>
                <w:szCs w:val="21"/>
                <w:highlight w:val="none"/>
              </w:rPr>
            </w:pPr>
          </w:p>
        </w:tc>
        <w:tc>
          <w:tcPr>
            <w:tcW w:w="1600" w:type="dxa"/>
            <w:vAlign w:val="center"/>
          </w:tcPr>
          <w:p w14:paraId="61FE2AD4">
            <w:pPr>
              <w:spacing w:line="460" w:lineRule="exact"/>
              <w:jc w:val="center"/>
              <w:rPr>
                <w:rFonts w:ascii="宋体" w:hAnsi="宋体" w:cs="宋体"/>
                <w:color w:val="auto"/>
                <w:szCs w:val="21"/>
                <w:highlight w:val="none"/>
              </w:rPr>
            </w:pPr>
          </w:p>
        </w:tc>
        <w:tc>
          <w:tcPr>
            <w:tcW w:w="917" w:type="dxa"/>
            <w:vAlign w:val="center"/>
          </w:tcPr>
          <w:p w14:paraId="2DAD3C77">
            <w:pPr>
              <w:spacing w:line="460" w:lineRule="exact"/>
              <w:jc w:val="center"/>
              <w:rPr>
                <w:rFonts w:ascii="宋体" w:hAnsi="宋体" w:cs="宋体"/>
                <w:color w:val="auto"/>
                <w:szCs w:val="21"/>
                <w:highlight w:val="none"/>
              </w:rPr>
            </w:pPr>
          </w:p>
        </w:tc>
      </w:tr>
      <w:tr w14:paraId="2DDC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1" w:type="dxa"/>
            <w:vAlign w:val="center"/>
          </w:tcPr>
          <w:p w14:paraId="0C027B8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704" w:type="dxa"/>
            <w:vAlign w:val="center"/>
          </w:tcPr>
          <w:p w14:paraId="275899B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25吨以上吊车</w:t>
            </w:r>
          </w:p>
        </w:tc>
        <w:tc>
          <w:tcPr>
            <w:tcW w:w="1513" w:type="dxa"/>
            <w:vAlign w:val="center"/>
          </w:tcPr>
          <w:p w14:paraId="356062F2">
            <w:pPr>
              <w:spacing w:line="460" w:lineRule="exact"/>
              <w:jc w:val="center"/>
              <w:rPr>
                <w:rFonts w:ascii="宋体" w:hAnsi="宋体" w:cs="宋体"/>
                <w:color w:val="auto"/>
                <w:szCs w:val="21"/>
                <w:highlight w:val="none"/>
              </w:rPr>
            </w:pPr>
          </w:p>
        </w:tc>
        <w:tc>
          <w:tcPr>
            <w:tcW w:w="984" w:type="dxa"/>
            <w:vAlign w:val="center"/>
          </w:tcPr>
          <w:p w14:paraId="5FD62236">
            <w:pPr>
              <w:spacing w:line="460" w:lineRule="exact"/>
              <w:jc w:val="center"/>
              <w:rPr>
                <w:rFonts w:ascii="宋体" w:hAnsi="宋体" w:cs="宋体"/>
                <w:color w:val="auto"/>
                <w:szCs w:val="21"/>
                <w:highlight w:val="none"/>
              </w:rPr>
            </w:pPr>
          </w:p>
        </w:tc>
        <w:tc>
          <w:tcPr>
            <w:tcW w:w="1248" w:type="dxa"/>
            <w:vAlign w:val="center"/>
          </w:tcPr>
          <w:p w14:paraId="18F383C9">
            <w:pPr>
              <w:spacing w:line="460" w:lineRule="exact"/>
              <w:jc w:val="center"/>
              <w:rPr>
                <w:rFonts w:ascii="宋体" w:hAnsi="宋体" w:cs="宋体"/>
                <w:color w:val="auto"/>
                <w:szCs w:val="21"/>
                <w:highlight w:val="none"/>
              </w:rPr>
            </w:pPr>
          </w:p>
        </w:tc>
        <w:tc>
          <w:tcPr>
            <w:tcW w:w="1121" w:type="dxa"/>
            <w:vAlign w:val="center"/>
          </w:tcPr>
          <w:p w14:paraId="005A2933">
            <w:pPr>
              <w:spacing w:line="460" w:lineRule="exact"/>
              <w:jc w:val="center"/>
              <w:rPr>
                <w:rFonts w:ascii="宋体" w:hAnsi="宋体" w:cs="宋体"/>
                <w:color w:val="auto"/>
                <w:szCs w:val="21"/>
                <w:highlight w:val="none"/>
              </w:rPr>
            </w:pPr>
          </w:p>
        </w:tc>
        <w:tc>
          <w:tcPr>
            <w:tcW w:w="1600" w:type="dxa"/>
            <w:vAlign w:val="center"/>
          </w:tcPr>
          <w:p w14:paraId="722D14E4">
            <w:pPr>
              <w:spacing w:line="460" w:lineRule="exact"/>
              <w:jc w:val="center"/>
              <w:rPr>
                <w:rFonts w:ascii="宋体" w:hAnsi="宋体" w:cs="宋体"/>
                <w:color w:val="auto"/>
                <w:szCs w:val="21"/>
                <w:highlight w:val="none"/>
              </w:rPr>
            </w:pPr>
          </w:p>
        </w:tc>
        <w:tc>
          <w:tcPr>
            <w:tcW w:w="917" w:type="dxa"/>
            <w:vAlign w:val="center"/>
          </w:tcPr>
          <w:p w14:paraId="77B02C33">
            <w:pPr>
              <w:spacing w:line="460" w:lineRule="exact"/>
              <w:jc w:val="center"/>
              <w:rPr>
                <w:rFonts w:ascii="宋体" w:hAnsi="宋体" w:cs="宋体"/>
                <w:color w:val="auto"/>
                <w:szCs w:val="21"/>
                <w:highlight w:val="none"/>
              </w:rPr>
            </w:pPr>
          </w:p>
        </w:tc>
      </w:tr>
      <w:tr w14:paraId="54F1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1" w:type="dxa"/>
            <w:vAlign w:val="center"/>
          </w:tcPr>
          <w:p w14:paraId="3C9870C4">
            <w:pPr>
              <w:spacing w:line="460" w:lineRule="exact"/>
              <w:jc w:val="center"/>
              <w:rPr>
                <w:rFonts w:hint="eastAsia" w:ascii="宋体" w:hAnsi="宋体" w:cs="宋体"/>
                <w:color w:val="auto"/>
                <w:szCs w:val="21"/>
                <w:highlight w:val="none"/>
              </w:rPr>
            </w:pPr>
          </w:p>
        </w:tc>
        <w:tc>
          <w:tcPr>
            <w:tcW w:w="1704" w:type="dxa"/>
            <w:vAlign w:val="center"/>
          </w:tcPr>
          <w:p w14:paraId="084ACA8E">
            <w:pPr>
              <w:spacing w:line="460" w:lineRule="exact"/>
              <w:jc w:val="center"/>
              <w:rPr>
                <w:rFonts w:hint="eastAsia" w:ascii="宋体" w:hAnsi="宋体" w:cs="宋体" w:eastAsiaTheme="minorEastAsia"/>
                <w:color w:val="auto"/>
                <w:szCs w:val="21"/>
                <w:highlight w:val="none"/>
                <w:lang w:eastAsia="zh-CN"/>
              </w:rPr>
            </w:pPr>
            <w:r>
              <w:rPr>
                <w:rFonts w:hint="eastAsia" w:ascii="微软雅黑" w:hAnsi="微软雅黑" w:eastAsia="微软雅黑" w:cs="微软雅黑"/>
                <w:color w:val="auto"/>
                <w:szCs w:val="21"/>
                <w:highlight w:val="none"/>
                <w:lang w:eastAsia="zh-CN"/>
              </w:rPr>
              <w:t>……</w:t>
            </w:r>
          </w:p>
        </w:tc>
        <w:tc>
          <w:tcPr>
            <w:tcW w:w="1513" w:type="dxa"/>
            <w:vAlign w:val="center"/>
          </w:tcPr>
          <w:p w14:paraId="35AF0441">
            <w:pPr>
              <w:spacing w:line="460" w:lineRule="exact"/>
              <w:jc w:val="center"/>
              <w:rPr>
                <w:rFonts w:ascii="宋体" w:hAnsi="宋体" w:cs="宋体"/>
                <w:color w:val="auto"/>
                <w:szCs w:val="21"/>
                <w:highlight w:val="none"/>
              </w:rPr>
            </w:pPr>
          </w:p>
        </w:tc>
        <w:tc>
          <w:tcPr>
            <w:tcW w:w="984" w:type="dxa"/>
            <w:vAlign w:val="center"/>
          </w:tcPr>
          <w:p w14:paraId="6586E4D3">
            <w:pPr>
              <w:spacing w:line="460" w:lineRule="exact"/>
              <w:jc w:val="center"/>
              <w:rPr>
                <w:rFonts w:ascii="宋体" w:hAnsi="宋体" w:cs="宋体"/>
                <w:color w:val="auto"/>
                <w:szCs w:val="21"/>
                <w:highlight w:val="none"/>
              </w:rPr>
            </w:pPr>
          </w:p>
        </w:tc>
        <w:tc>
          <w:tcPr>
            <w:tcW w:w="1248" w:type="dxa"/>
            <w:vAlign w:val="center"/>
          </w:tcPr>
          <w:p w14:paraId="3BD5E5E5">
            <w:pPr>
              <w:spacing w:line="460" w:lineRule="exact"/>
              <w:jc w:val="center"/>
              <w:rPr>
                <w:rFonts w:ascii="宋体" w:hAnsi="宋体" w:cs="宋体"/>
                <w:color w:val="auto"/>
                <w:szCs w:val="21"/>
                <w:highlight w:val="none"/>
              </w:rPr>
            </w:pPr>
          </w:p>
        </w:tc>
        <w:tc>
          <w:tcPr>
            <w:tcW w:w="1121" w:type="dxa"/>
            <w:vAlign w:val="center"/>
          </w:tcPr>
          <w:p w14:paraId="53494381">
            <w:pPr>
              <w:spacing w:line="460" w:lineRule="exact"/>
              <w:jc w:val="center"/>
              <w:rPr>
                <w:rFonts w:ascii="宋体" w:hAnsi="宋体" w:cs="宋体"/>
                <w:color w:val="auto"/>
                <w:szCs w:val="21"/>
                <w:highlight w:val="none"/>
              </w:rPr>
            </w:pPr>
          </w:p>
        </w:tc>
        <w:tc>
          <w:tcPr>
            <w:tcW w:w="1600" w:type="dxa"/>
            <w:vAlign w:val="center"/>
          </w:tcPr>
          <w:p w14:paraId="558798F2">
            <w:pPr>
              <w:spacing w:line="460" w:lineRule="exact"/>
              <w:jc w:val="center"/>
              <w:rPr>
                <w:rFonts w:ascii="宋体" w:hAnsi="宋体" w:cs="宋体"/>
                <w:color w:val="auto"/>
                <w:szCs w:val="21"/>
                <w:highlight w:val="none"/>
              </w:rPr>
            </w:pPr>
          </w:p>
        </w:tc>
        <w:tc>
          <w:tcPr>
            <w:tcW w:w="917" w:type="dxa"/>
            <w:vAlign w:val="center"/>
          </w:tcPr>
          <w:p w14:paraId="2D79D8C6">
            <w:pPr>
              <w:spacing w:line="460" w:lineRule="exact"/>
              <w:jc w:val="center"/>
              <w:rPr>
                <w:rFonts w:ascii="宋体" w:hAnsi="宋体" w:cs="宋体"/>
                <w:color w:val="auto"/>
                <w:szCs w:val="21"/>
                <w:highlight w:val="none"/>
              </w:rPr>
            </w:pPr>
          </w:p>
        </w:tc>
      </w:tr>
      <w:tr w14:paraId="166F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1" w:type="dxa"/>
            <w:vAlign w:val="center"/>
          </w:tcPr>
          <w:p w14:paraId="50F55CAA">
            <w:pPr>
              <w:spacing w:line="460" w:lineRule="exact"/>
              <w:jc w:val="center"/>
              <w:rPr>
                <w:rFonts w:hint="eastAsia" w:ascii="宋体" w:hAnsi="宋体" w:cs="宋体"/>
                <w:color w:val="auto"/>
                <w:szCs w:val="21"/>
                <w:highlight w:val="none"/>
              </w:rPr>
            </w:pPr>
          </w:p>
        </w:tc>
        <w:tc>
          <w:tcPr>
            <w:tcW w:w="1704" w:type="dxa"/>
            <w:vAlign w:val="center"/>
          </w:tcPr>
          <w:p w14:paraId="29EA1BAA">
            <w:pPr>
              <w:spacing w:line="460" w:lineRule="exact"/>
              <w:jc w:val="center"/>
              <w:rPr>
                <w:rFonts w:hint="eastAsia" w:ascii="宋体" w:hAnsi="宋体" w:cs="宋体"/>
                <w:color w:val="auto"/>
                <w:szCs w:val="21"/>
                <w:highlight w:val="none"/>
              </w:rPr>
            </w:pPr>
            <w:r>
              <w:rPr>
                <w:rFonts w:hint="eastAsia" w:ascii="微软雅黑" w:hAnsi="微软雅黑" w:eastAsia="微软雅黑" w:cs="微软雅黑"/>
                <w:color w:val="auto"/>
                <w:szCs w:val="21"/>
                <w:highlight w:val="none"/>
                <w:lang w:eastAsia="zh-CN"/>
              </w:rPr>
              <w:t>……</w:t>
            </w:r>
          </w:p>
        </w:tc>
        <w:tc>
          <w:tcPr>
            <w:tcW w:w="1513" w:type="dxa"/>
            <w:vAlign w:val="center"/>
          </w:tcPr>
          <w:p w14:paraId="3624AAE4">
            <w:pPr>
              <w:spacing w:line="460" w:lineRule="exact"/>
              <w:jc w:val="center"/>
              <w:rPr>
                <w:rFonts w:ascii="宋体" w:hAnsi="宋体" w:cs="宋体"/>
                <w:color w:val="auto"/>
                <w:szCs w:val="21"/>
                <w:highlight w:val="none"/>
              </w:rPr>
            </w:pPr>
          </w:p>
        </w:tc>
        <w:tc>
          <w:tcPr>
            <w:tcW w:w="984" w:type="dxa"/>
            <w:vAlign w:val="center"/>
          </w:tcPr>
          <w:p w14:paraId="60884AD1">
            <w:pPr>
              <w:spacing w:line="460" w:lineRule="exact"/>
              <w:jc w:val="center"/>
              <w:rPr>
                <w:rFonts w:ascii="宋体" w:hAnsi="宋体" w:cs="宋体"/>
                <w:color w:val="auto"/>
                <w:szCs w:val="21"/>
                <w:highlight w:val="none"/>
              </w:rPr>
            </w:pPr>
          </w:p>
        </w:tc>
        <w:tc>
          <w:tcPr>
            <w:tcW w:w="1248" w:type="dxa"/>
            <w:vAlign w:val="center"/>
          </w:tcPr>
          <w:p w14:paraId="145BAA52">
            <w:pPr>
              <w:spacing w:line="460" w:lineRule="exact"/>
              <w:jc w:val="center"/>
              <w:rPr>
                <w:rFonts w:ascii="宋体" w:hAnsi="宋体" w:cs="宋体"/>
                <w:color w:val="auto"/>
                <w:szCs w:val="21"/>
                <w:highlight w:val="none"/>
              </w:rPr>
            </w:pPr>
          </w:p>
        </w:tc>
        <w:tc>
          <w:tcPr>
            <w:tcW w:w="1121" w:type="dxa"/>
            <w:vAlign w:val="center"/>
          </w:tcPr>
          <w:p w14:paraId="73E56F81">
            <w:pPr>
              <w:spacing w:line="460" w:lineRule="exact"/>
              <w:jc w:val="center"/>
              <w:rPr>
                <w:rFonts w:ascii="宋体" w:hAnsi="宋体" w:cs="宋体"/>
                <w:color w:val="auto"/>
                <w:szCs w:val="21"/>
                <w:highlight w:val="none"/>
              </w:rPr>
            </w:pPr>
          </w:p>
        </w:tc>
        <w:tc>
          <w:tcPr>
            <w:tcW w:w="1600" w:type="dxa"/>
            <w:vAlign w:val="center"/>
          </w:tcPr>
          <w:p w14:paraId="2EADBA26">
            <w:pPr>
              <w:spacing w:line="460" w:lineRule="exact"/>
              <w:jc w:val="center"/>
              <w:rPr>
                <w:rFonts w:ascii="宋体" w:hAnsi="宋体" w:cs="宋体"/>
                <w:color w:val="auto"/>
                <w:szCs w:val="21"/>
                <w:highlight w:val="none"/>
              </w:rPr>
            </w:pPr>
          </w:p>
        </w:tc>
        <w:tc>
          <w:tcPr>
            <w:tcW w:w="917" w:type="dxa"/>
            <w:vAlign w:val="center"/>
          </w:tcPr>
          <w:p w14:paraId="710DDC3E">
            <w:pPr>
              <w:spacing w:line="460" w:lineRule="exact"/>
              <w:jc w:val="center"/>
              <w:rPr>
                <w:rFonts w:ascii="宋体" w:hAnsi="宋体" w:cs="宋体"/>
                <w:color w:val="auto"/>
                <w:szCs w:val="21"/>
                <w:highlight w:val="none"/>
              </w:rPr>
            </w:pPr>
          </w:p>
        </w:tc>
      </w:tr>
      <w:tr w14:paraId="49C2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1" w:type="dxa"/>
            <w:vAlign w:val="center"/>
          </w:tcPr>
          <w:p w14:paraId="531C49BF">
            <w:pPr>
              <w:spacing w:line="460" w:lineRule="exact"/>
              <w:jc w:val="center"/>
              <w:rPr>
                <w:rFonts w:hint="eastAsia" w:ascii="宋体" w:hAnsi="宋体" w:cs="宋体"/>
                <w:color w:val="auto"/>
                <w:szCs w:val="21"/>
                <w:highlight w:val="none"/>
              </w:rPr>
            </w:pPr>
          </w:p>
        </w:tc>
        <w:tc>
          <w:tcPr>
            <w:tcW w:w="1704" w:type="dxa"/>
            <w:vAlign w:val="center"/>
          </w:tcPr>
          <w:p w14:paraId="37C85754">
            <w:pPr>
              <w:spacing w:line="460" w:lineRule="exact"/>
              <w:jc w:val="center"/>
              <w:rPr>
                <w:rFonts w:hint="eastAsia" w:ascii="宋体" w:hAnsi="宋体" w:cs="宋体"/>
                <w:color w:val="auto"/>
                <w:szCs w:val="21"/>
                <w:highlight w:val="none"/>
              </w:rPr>
            </w:pPr>
            <w:r>
              <w:rPr>
                <w:rFonts w:hint="eastAsia" w:ascii="微软雅黑" w:hAnsi="微软雅黑" w:eastAsia="微软雅黑" w:cs="微软雅黑"/>
                <w:color w:val="auto"/>
                <w:szCs w:val="21"/>
                <w:highlight w:val="none"/>
                <w:lang w:eastAsia="zh-CN"/>
              </w:rPr>
              <w:t>……</w:t>
            </w:r>
          </w:p>
        </w:tc>
        <w:tc>
          <w:tcPr>
            <w:tcW w:w="1513" w:type="dxa"/>
            <w:vAlign w:val="center"/>
          </w:tcPr>
          <w:p w14:paraId="4FE108C2">
            <w:pPr>
              <w:spacing w:line="460" w:lineRule="exact"/>
              <w:jc w:val="center"/>
              <w:rPr>
                <w:rFonts w:ascii="宋体" w:hAnsi="宋体" w:cs="宋体"/>
                <w:color w:val="auto"/>
                <w:szCs w:val="21"/>
                <w:highlight w:val="none"/>
              </w:rPr>
            </w:pPr>
          </w:p>
        </w:tc>
        <w:tc>
          <w:tcPr>
            <w:tcW w:w="984" w:type="dxa"/>
            <w:vAlign w:val="center"/>
          </w:tcPr>
          <w:p w14:paraId="50276404">
            <w:pPr>
              <w:spacing w:line="460" w:lineRule="exact"/>
              <w:jc w:val="center"/>
              <w:rPr>
                <w:rFonts w:ascii="宋体" w:hAnsi="宋体" w:cs="宋体"/>
                <w:color w:val="auto"/>
                <w:szCs w:val="21"/>
                <w:highlight w:val="none"/>
              </w:rPr>
            </w:pPr>
          </w:p>
        </w:tc>
        <w:tc>
          <w:tcPr>
            <w:tcW w:w="1248" w:type="dxa"/>
            <w:vAlign w:val="center"/>
          </w:tcPr>
          <w:p w14:paraId="07F62186">
            <w:pPr>
              <w:spacing w:line="460" w:lineRule="exact"/>
              <w:jc w:val="center"/>
              <w:rPr>
                <w:rFonts w:ascii="宋体" w:hAnsi="宋体" w:cs="宋体"/>
                <w:color w:val="auto"/>
                <w:szCs w:val="21"/>
                <w:highlight w:val="none"/>
              </w:rPr>
            </w:pPr>
          </w:p>
        </w:tc>
        <w:tc>
          <w:tcPr>
            <w:tcW w:w="1121" w:type="dxa"/>
            <w:vAlign w:val="center"/>
          </w:tcPr>
          <w:p w14:paraId="03993826">
            <w:pPr>
              <w:spacing w:line="460" w:lineRule="exact"/>
              <w:jc w:val="center"/>
              <w:rPr>
                <w:rFonts w:ascii="宋体" w:hAnsi="宋体" w:cs="宋体"/>
                <w:color w:val="auto"/>
                <w:szCs w:val="21"/>
                <w:highlight w:val="none"/>
              </w:rPr>
            </w:pPr>
          </w:p>
        </w:tc>
        <w:tc>
          <w:tcPr>
            <w:tcW w:w="1600" w:type="dxa"/>
            <w:vAlign w:val="center"/>
          </w:tcPr>
          <w:p w14:paraId="4C385101">
            <w:pPr>
              <w:spacing w:line="460" w:lineRule="exact"/>
              <w:jc w:val="center"/>
              <w:rPr>
                <w:rFonts w:ascii="宋体" w:hAnsi="宋体" w:cs="宋体"/>
                <w:color w:val="auto"/>
                <w:szCs w:val="21"/>
                <w:highlight w:val="none"/>
              </w:rPr>
            </w:pPr>
          </w:p>
        </w:tc>
        <w:tc>
          <w:tcPr>
            <w:tcW w:w="917" w:type="dxa"/>
            <w:vAlign w:val="center"/>
          </w:tcPr>
          <w:p w14:paraId="5AE15D32">
            <w:pPr>
              <w:spacing w:line="460" w:lineRule="exact"/>
              <w:jc w:val="center"/>
              <w:rPr>
                <w:rFonts w:ascii="宋体" w:hAnsi="宋体" w:cs="宋体"/>
                <w:color w:val="auto"/>
                <w:szCs w:val="21"/>
                <w:highlight w:val="none"/>
              </w:rPr>
            </w:pPr>
          </w:p>
        </w:tc>
      </w:tr>
      <w:tr w14:paraId="3F83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1" w:type="dxa"/>
            <w:vAlign w:val="center"/>
          </w:tcPr>
          <w:p w14:paraId="60F76B58">
            <w:pPr>
              <w:spacing w:line="460" w:lineRule="exact"/>
              <w:jc w:val="center"/>
              <w:rPr>
                <w:rFonts w:hint="eastAsia" w:ascii="宋体" w:hAnsi="宋体" w:cs="宋体"/>
                <w:color w:val="auto"/>
                <w:szCs w:val="21"/>
                <w:highlight w:val="none"/>
              </w:rPr>
            </w:pPr>
          </w:p>
        </w:tc>
        <w:tc>
          <w:tcPr>
            <w:tcW w:w="1704" w:type="dxa"/>
            <w:vAlign w:val="center"/>
          </w:tcPr>
          <w:p w14:paraId="668A49C2">
            <w:pPr>
              <w:spacing w:line="460" w:lineRule="exact"/>
              <w:jc w:val="center"/>
              <w:rPr>
                <w:rFonts w:hint="eastAsia" w:ascii="宋体" w:hAnsi="宋体" w:cs="宋体"/>
                <w:color w:val="auto"/>
                <w:szCs w:val="21"/>
                <w:highlight w:val="none"/>
              </w:rPr>
            </w:pPr>
            <w:r>
              <w:rPr>
                <w:rFonts w:hint="eastAsia" w:ascii="微软雅黑" w:hAnsi="微软雅黑" w:eastAsia="微软雅黑" w:cs="微软雅黑"/>
                <w:color w:val="auto"/>
                <w:szCs w:val="21"/>
                <w:highlight w:val="none"/>
                <w:lang w:eastAsia="zh-CN"/>
              </w:rPr>
              <w:t>……</w:t>
            </w:r>
          </w:p>
        </w:tc>
        <w:tc>
          <w:tcPr>
            <w:tcW w:w="1513" w:type="dxa"/>
            <w:vAlign w:val="center"/>
          </w:tcPr>
          <w:p w14:paraId="157B80DF">
            <w:pPr>
              <w:spacing w:line="460" w:lineRule="exact"/>
              <w:jc w:val="center"/>
              <w:rPr>
                <w:rFonts w:ascii="宋体" w:hAnsi="宋体" w:cs="宋体"/>
                <w:color w:val="auto"/>
                <w:szCs w:val="21"/>
                <w:highlight w:val="none"/>
              </w:rPr>
            </w:pPr>
          </w:p>
        </w:tc>
        <w:tc>
          <w:tcPr>
            <w:tcW w:w="984" w:type="dxa"/>
            <w:vAlign w:val="center"/>
          </w:tcPr>
          <w:p w14:paraId="693CB6BD">
            <w:pPr>
              <w:spacing w:line="460" w:lineRule="exact"/>
              <w:jc w:val="center"/>
              <w:rPr>
                <w:rFonts w:ascii="宋体" w:hAnsi="宋体" w:cs="宋体"/>
                <w:color w:val="auto"/>
                <w:szCs w:val="21"/>
                <w:highlight w:val="none"/>
              </w:rPr>
            </w:pPr>
          </w:p>
        </w:tc>
        <w:tc>
          <w:tcPr>
            <w:tcW w:w="1248" w:type="dxa"/>
            <w:vAlign w:val="center"/>
          </w:tcPr>
          <w:p w14:paraId="0C30F618">
            <w:pPr>
              <w:spacing w:line="460" w:lineRule="exact"/>
              <w:jc w:val="center"/>
              <w:rPr>
                <w:rFonts w:ascii="宋体" w:hAnsi="宋体" w:cs="宋体"/>
                <w:color w:val="auto"/>
                <w:szCs w:val="21"/>
                <w:highlight w:val="none"/>
              </w:rPr>
            </w:pPr>
          </w:p>
        </w:tc>
        <w:tc>
          <w:tcPr>
            <w:tcW w:w="1121" w:type="dxa"/>
            <w:vAlign w:val="center"/>
          </w:tcPr>
          <w:p w14:paraId="452E398D">
            <w:pPr>
              <w:spacing w:line="460" w:lineRule="exact"/>
              <w:jc w:val="center"/>
              <w:rPr>
                <w:rFonts w:ascii="宋体" w:hAnsi="宋体" w:cs="宋体"/>
                <w:color w:val="auto"/>
                <w:szCs w:val="21"/>
                <w:highlight w:val="none"/>
              </w:rPr>
            </w:pPr>
          </w:p>
        </w:tc>
        <w:tc>
          <w:tcPr>
            <w:tcW w:w="1600" w:type="dxa"/>
            <w:vAlign w:val="center"/>
          </w:tcPr>
          <w:p w14:paraId="63FDA0E2">
            <w:pPr>
              <w:spacing w:line="460" w:lineRule="exact"/>
              <w:jc w:val="center"/>
              <w:rPr>
                <w:rFonts w:ascii="宋体" w:hAnsi="宋体" w:cs="宋体"/>
                <w:color w:val="auto"/>
                <w:szCs w:val="21"/>
                <w:highlight w:val="none"/>
              </w:rPr>
            </w:pPr>
          </w:p>
        </w:tc>
        <w:tc>
          <w:tcPr>
            <w:tcW w:w="917" w:type="dxa"/>
            <w:vAlign w:val="center"/>
          </w:tcPr>
          <w:p w14:paraId="6D40E743">
            <w:pPr>
              <w:spacing w:line="460" w:lineRule="exact"/>
              <w:jc w:val="center"/>
              <w:rPr>
                <w:rFonts w:ascii="宋体" w:hAnsi="宋体" w:cs="宋体"/>
                <w:color w:val="auto"/>
                <w:szCs w:val="21"/>
                <w:highlight w:val="none"/>
              </w:rPr>
            </w:pPr>
          </w:p>
        </w:tc>
      </w:tr>
    </w:tbl>
    <w:p w14:paraId="42F07C39">
      <w:pPr>
        <w:tabs>
          <w:tab w:val="left" w:pos="5792"/>
        </w:tabs>
        <w:spacing w:line="600" w:lineRule="exact"/>
        <w:rPr>
          <w:rFonts w:ascii="宋体" w:hAnsi="宋体" w:cs="宋体"/>
          <w:color w:val="auto"/>
          <w:szCs w:val="21"/>
          <w:highlight w:val="none"/>
        </w:rPr>
      </w:pPr>
      <w:r>
        <w:rPr>
          <w:rFonts w:hint="eastAsia" w:ascii="宋体" w:hAnsi="宋体" w:cs="宋体"/>
          <w:color w:val="auto"/>
          <w:kern w:val="0"/>
          <w:szCs w:val="21"/>
          <w:highlight w:val="none"/>
        </w:rPr>
        <w:t>注：投</w:t>
      </w:r>
      <w:r>
        <w:rPr>
          <w:rFonts w:hint="eastAsia" w:ascii="宋体" w:hAnsi="宋体" w:cs="宋体"/>
          <w:color w:val="auto"/>
          <w:szCs w:val="21"/>
          <w:highlight w:val="none"/>
        </w:rPr>
        <w:t>须在该表格后至少附上对应车辆的行驶证复印件，无行驶证复印件或车辆年检未在有效期内的均不计算在内，投入有效车辆数量未达到至少包含中型专项作业车（平板车）16辆、轻型普通拖车12辆、25吨以上吊/3辆的做无效投标处理。</w:t>
      </w:r>
    </w:p>
    <w:p w14:paraId="70544B36">
      <w:pPr>
        <w:spacing w:line="360" w:lineRule="auto"/>
        <w:ind w:left="420"/>
        <w:rPr>
          <w:rFonts w:hint="eastAsia" w:ascii="宋体" w:hAnsi="宋体" w:cs="微软雅黑"/>
          <w:color w:val="auto"/>
          <w:szCs w:val="21"/>
          <w:highlight w:val="none"/>
        </w:rPr>
      </w:pPr>
    </w:p>
    <w:p w14:paraId="037A420B">
      <w:pPr>
        <w:spacing w:line="360" w:lineRule="auto"/>
        <w:ind w:left="420"/>
        <w:rPr>
          <w:rFonts w:hint="eastAsia" w:ascii="宋体" w:hAnsi="宋体" w:cs="微软雅黑"/>
          <w:color w:val="auto"/>
          <w:szCs w:val="21"/>
          <w:highlight w:val="none"/>
        </w:rPr>
      </w:pPr>
    </w:p>
    <w:p w14:paraId="0F5F6B85">
      <w:pPr>
        <w:spacing w:line="360" w:lineRule="auto"/>
        <w:ind w:left="420"/>
        <w:jc w:val="right"/>
        <w:rPr>
          <w:rFonts w:hint="eastAsia" w:ascii="宋体" w:hAnsi="宋体" w:cs="微软雅黑"/>
          <w:color w:val="auto"/>
          <w:szCs w:val="21"/>
          <w:highlight w:val="none"/>
        </w:rPr>
      </w:pPr>
    </w:p>
    <w:p w14:paraId="054C65C4">
      <w:pPr>
        <w:spacing w:line="360" w:lineRule="auto"/>
        <w:ind w:left="420"/>
        <w:jc w:val="right"/>
        <w:rPr>
          <w:rFonts w:ascii="宋体" w:hAnsi="宋体" w:cs="微软雅黑"/>
          <w:color w:val="auto"/>
          <w:szCs w:val="21"/>
          <w:highlight w:val="none"/>
          <w:u w:val="single"/>
        </w:rPr>
      </w:pPr>
      <w:r>
        <w:rPr>
          <w:rFonts w:hint="eastAsia" w:ascii="宋体" w:hAnsi="宋体" w:cs="微软雅黑"/>
          <w:color w:val="auto"/>
          <w:szCs w:val="21"/>
          <w:highlight w:val="none"/>
        </w:rPr>
        <w:t>投标人名称（盖公章）：</w:t>
      </w:r>
    </w:p>
    <w:p w14:paraId="3D10A359">
      <w:pPr>
        <w:spacing w:line="360" w:lineRule="auto"/>
        <w:ind w:firstLine="371" w:firstLineChars="177"/>
        <w:jc w:val="right"/>
        <w:rPr>
          <w:rFonts w:ascii="宋体" w:hAnsi="宋体" w:cs="微软雅黑"/>
          <w:color w:val="auto"/>
          <w:szCs w:val="21"/>
          <w:highlight w:val="none"/>
        </w:rPr>
      </w:pPr>
      <w:r>
        <w:rPr>
          <w:rFonts w:hint="eastAsia" w:ascii="宋体" w:hAnsi="宋体" w:cs="微软雅黑"/>
          <w:color w:val="auto"/>
          <w:szCs w:val="21"/>
          <w:highlight w:val="none"/>
        </w:rPr>
        <w:t>法定代表人或授权委托代理人（签字或盖章）：</w:t>
      </w:r>
    </w:p>
    <w:p w14:paraId="6F66E505">
      <w:pPr>
        <w:spacing w:line="360" w:lineRule="auto"/>
        <w:ind w:firstLine="435"/>
        <w:jc w:val="right"/>
        <w:rPr>
          <w:rFonts w:ascii="宋体" w:hAnsi="宋体" w:cs="微软雅黑"/>
          <w:color w:val="auto"/>
          <w:szCs w:val="21"/>
          <w:highlight w:val="none"/>
        </w:rPr>
      </w:pPr>
      <w:r>
        <w:rPr>
          <w:rFonts w:hint="eastAsia" w:ascii="宋体" w:hAnsi="宋体" w:cs="微软雅黑"/>
          <w:color w:val="auto"/>
          <w:szCs w:val="21"/>
          <w:highlight w:val="none"/>
        </w:rPr>
        <w:t>日        期：</w:t>
      </w:r>
    </w:p>
    <w:p w14:paraId="75C9B6F6">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asciiTheme="minorEastAsia" w:hAnsiTheme="minorEastAsia"/>
          <w:color w:val="auto"/>
          <w:sz w:val="32"/>
          <w:szCs w:val="32"/>
          <w:highlight w:val="none"/>
        </w:rPr>
      </w:pPr>
      <w:r>
        <w:rPr>
          <w:rFonts w:hint="eastAsia" w:asciiTheme="minorEastAsia" w:hAnsiTheme="minorEastAsia"/>
          <w:b/>
          <w:color w:val="auto"/>
          <w:sz w:val="32"/>
          <w:szCs w:val="32"/>
          <w:highlight w:val="none"/>
          <w:lang w:eastAsia="zh-CN"/>
        </w:rPr>
        <w:t>九</w:t>
      </w:r>
      <w:r>
        <w:rPr>
          <w:rFonts w:hint="eastAsia" w:asciiTheme="minorEastAsia" w:hAnsiTheme="minorEastAsia"/>
          <w:b/>
          <w:color w:val="auto"/>
          <w:sz w:val="32"/>
          <w:szCs w:val="32"/>
          <w:highlight w:val="none"/>
        </w:rPr>
        <w:t>、</w:t>
      </w:r>
      <w:r>
        <w:rPr>
          <w:rFonts w:asciiTheme="minorEastAsia" w:hAnsiTheme="minorEastAsia"/>
          <w:b/>
          <w:color w:val="auto"/>
          <w:sz w:val="32"/>
          <w:szCs w:val="32"/>
          <w:highlight w:val="none"/>
        </w:rPr>
        <w:t>相关项目实施业绩一览表</w:t>
      </w:r>
      <w:bookmarkEnd w:id="215"/>
      <w:bookmarkEnd w:id="216"/>
      <w:bookmarkEnd w:id="217"/>
      <w:bookmarkEnd w:id="218"/>
      <w:bookmarkEnd w:id="219"/>
      <w:bookmarkEnd w:id="220"/>
    </w:p>
    <w:tbl>
      <w:tblPr>
        <w:tblStyle w:val="22"/>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2306"/>
        <w:gridCol w:w="1774"/>
        <w:gridCol w:w="1242"/>
        <w:gridCol w:w="1643"/>
      </w:tblGrid>
      <w:tr w14:paraId="71AF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14:paraId="711767BE">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1783" w:type="dxa"/>
            <w:vAlign w:val="center"/>
          </w:tcPr>
          <w:p w14:paraId="68DB2F7A">
            <w:pPr>
              <w:spacing w:line="0" w:lineRule="atLeast"/>
              <w:jc w:val="center"/>
              <w:rPr>
                <w:rFonts w:ascii="Times New Roman" w:hAnsi="Times New Roman"/>
                <w:color w:val="auto"/>
                <w:szCs w:val="21"/>
                <w:highlight w:val="none"/>
              </w:rPr>
            </w:pPr>
            <w:r>
              <w:rPr>
                <w:rFonts w:hint="eastAsia" w:ascii="Times New Roman" w:hAnsi="Times New Roman"/>
                <w:color w:val="auto"/>
                <w:szCs w:val="21"/>
                <w:highlight w:val="none"/>
              </w:rPr>
              <w:t>项目名称</w:t>
            </w:r>
          </w:p>
        </w:tc>
        <w:tc>
          <w:tcPr>
            <w:tcW w:w="2306" w:type="dxa"/>
            <w:vAlign w:val="center"/>
          </w:tcPr>
          <w:p w14:paraId="0A03E912">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采购单位名称</w:t>
            </w:r>
          </w:p>
        </w:tc>
        <w:tc>
          <w:tcPr>
            <w:tcW w:w="1774" w:type="dxa"/>
            <w:vAlign w:val="center"/>
          </w:tcPr>
          <w:p w14:paraId="17CB5C79">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合同金额</w:t>
            </w:r>
          </w:p>
        </w:tc>
        <w:tc>
          <w:tcPr>
            <w:tcW w:w="1242" w:type="dxa"/>
            <w:vAlign w:val="center"/>
          </w:tcPr>
          <w:p w14:paraId="750F342A">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合同签订</w:t>
            </w:r>
          </w:p>
          <w:p w14:paraId="78C6BC10">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时间</w:t>
            </w:r>
          </w:p>
        </w:tc>
        <w:tc>
          <w:tcPr>
            <w:tcW w:w="1643" w:type="dxa"/>
            <w:vAlign w:val="center"/>
          </w:tcPr>
          <w:p w14:paraId="71E11C37">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联系人/电话</w:t>
            </w:r>
          </w:p>
        </w:tc>
      </w:tr>
      <w:tr w14:paraId="76B1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6A0C45AC">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c>
          <w:tcPr>
            <w:tcW w:w="1783" w:type="dxa"/>
            <w:vAlign w:val="center"/>
          </w:tcPr>
          <w:p w14:paraId="29605A72">
            <w:pPr>
              <w:spacing w:line="360" w:lineRule="auto"/>
              <w:jc w:val="center"/>
              <w:rPr>
                <w:rFonts w:asciiTheme="minorEastAsia" w:hAnsiTheme="minorEastAsia"/>
                <w:color w:val="auto"/>
                <w:szCs w:val="21"/>
                <w:highlight w:val="none"/>
              </w:rPr>
            </w:pPr>
          </w:p>
        </w:tc>
        <w:tc>
          <w:tcPr>
            <w:tcW w:w="2306" w:type="dxa"/>
            <w:vAlign w:val="center"/>
          </w:tcPr>
          <w:p w14:paraId="418BD14A">
            <w:pPr>
              <w:spacing w:line="360" w:lineRule="auto"/>
              <w:jc w:val="center"/>
              <w:rPr>
                <w:rFonts w:asciiTheme="minorEastAsia" w:hAnsiTheme="minorEastAsia"/>
                <w:color w:val="auto"/>
                <w:szCs w:val="21"/>
                <w:highlight w:val="none"/>
              </w:rPr>
            </w:pPr>
          </w:p>
        </w:tc>
        <w:tc>
          <w:tcPr>
            <w:tcW w:w="1774" w:type="dxa"/>
            <w:vAlign w:val="center"/>
          </w:tcPr>
          <w:p w14:paraId="722ADFFB">
            <w:pPr>
              <w:spacing w:line="360" w:lineRule="auto"/>
              <w:jc w:val="center"/>
              <w:rPr>
                <w:rFonts w:asciiTheme="minorEastAsia" w:hAnsiTheme="minorEastAsia"/>
                <w:color w:val="auto"/>
                <w:szCs w:val="21"/>
                <w:highlight w:val="none"/>
              </w:rPr>
            </w:pPr>
          </w:p>
        </w:tc>
        <w:tc>
          <w:tcPr>
            <w:tcW w:w="1242" w:type="dxa"/>
            <w:vAlign w:val="center"/>
          </w:tcPr>
          <w:p w14:paraId="5825C0AF">
            <w:pPr>
              <w:spacing w:line="360" w:lineRule="auto"/>
              <w:jc w:val="center"/>
              <w:rPr>
                <w:rFonts w:asciiTheme="minorEastAsia" w:hAnsiTheme="minorEastAsia"/>
                <w:color w:val="auto"/>
                <w:szCs w:val="21"/>
                <w:highlight w:val="none"/>
              </w:rPr>
            </w:pPr>
          </w:p>
        </w:tc>
        <w:tc>
          <w:tcPr>
            <w:tcW w:w="1643" w:type="dxa"/>
            <w:vAlign w:val="center"/>
          </w:tcPr>
          <w:p w14:paraId="332D802F">
            <w:pPr>
              <w:spacing w:line="360" w:lineRule="auto"/>
              <w:jc w:val="center"/>
              <w:rPr>
                <w:rFonts w:asciiTheme="minorEastAsia" w:hAnsiTheme="minorEastAsia"/>
                <w:color w:val="auto"/>
                <w:szCs w:val="21"/>
                <w:highlight w:val="none"/>
              </w:rPr>
            </w:pPr>
          </w:p>
        </w:tc>
      </w:tr>
      <w:tr w14:paraId="674B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5D7BE0E7">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2</w:t>
            </w:r>
          </w:p>
        </w:tc>
        <w:tc>
          <w:tcPr>
            <w:tcW w:w="1783" w:type="dxa"/>
            <w:vAlign w:val="center"/>
          </w:tcPr>
          <w:p w14:paraId="4FC58B9C">
            <w:pPr>
              <w:spacing w:line="360" w:lineRule="auto"/>
              <w:jc w:val="center"/>
              <w:rPr>
                <w:rFonts w:asciiTheme="minorEastAsia" w:hAnsiTheme="minorEastAsia"/>
                <w:color w:val="auto"/>
                <w:szCs w:val="21"/>
                <w:highlight w:val="none"/>
              </w:rPr>
            </w:pPr>
          </w:p>
        </w:tc>
        <w:tc>
          <w:tcPr>
            <w:tcW w:w="2306" w:type="dxa"/>
            <w:vAlign w:val="center"/>
          </w:tcPr>
          <w:p w14:paraId="43BD0708">
            <w:pPr>
              <w:spacing w:line="360" w:lineRule="auto"/>
              <w:jc w:val="center"/>
              <w:rPr>
                <w:rFonts w:asciiTheme="minorEastAsia" w:hAnsiTheme="minorEastAsia"/>
                <w:color w:val="auto"/>
                <w:szCs w:val="21"/>
                <w:highlight w:val="none"/>
              </w:rPr>
            </w:pPr>
          </w:p>
        </w:tc>
        <w:tc>
          <w:tcPr>
            <w:tcW w:w="1774" w:type="dxa"/>
            <w:vAlign w:val="center"/>
          </w:tcPr>
          <w:p w14:paraId="791287E7">
            <w:pPr>
              <w:spacing w:line="360" w:lineRule="auto"/>
              <w:jc w:val="center"/>
              <w:rPr>
                <w:rFonts w:asciiTheme="minorEastAsia" w:hAnsiTheme="minorEastAsia"/>
                <w:color w:val="auto"/>
                <w:szCs w:val="21"/>
                <w:highlight w:val="none"/>
              </w:rPr>
            </w:pPr>
          </w:p>
        </w:tc>
        <w:tc>
          <w:tcPr>
            <w:tcW w:w="1242" w:type="dxa"/>
            <w:vAlign w:val="center"/>
          </w:tcPr>
          <w:p w14:paraId="0324E80E">
            <w:pPr>
              <w:spacing w:line="360" w:lineRule="auto"/>
              <w:jc w:val="center"/>
              <w:rPr>
                <w:rFonts w:asciiTheme="minorEastAsia" w:hAnsiTheme="minorEastAsia"/>
                <w:color w:val="auto"/>
                <w:szCs w:val="21"/>
                <w:highlight w:val="none"/>
              </w:rPr>
            </w:pPr>
          </w:p>
        </w:tc>
        <w:tc>
          <w:tcPr>
            <w:tcW w:w="1643" w:type="dxa"/>
            <w:vAlign w:val="center"/>
          </w:tcPr>
          <w:p w14:paraId="5F511013">
            <w:pPr>
              <w:spacing w:line="360" w:lineRule="auto"/>
              <w:jc w:val="center"/>
              <w:rPr>
                <w:rFonts w:asciiTheme="minorEastAsia" w:hAnsiTheme="minorEastAsia"/>
                <w:color w:val="auto"/>
                <w:szCs w:val="21"/>
                <w:highlight w:val="none"/>
              </w:rPr>
            </w:pPr>
          </w:p>
        </w:tc>
      </w:tr>
      <w:tr w14:paraId="66F1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173749EF">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3</w:t>
            </w:r>
          </w:p>
        </w:tc>
        <w:tc>
          <w:tcPr>
            <w:tcW w:w="1783" w:type="dxa"/>
            <w:vAlign w:val="center"/>
          </w:tcPr>
          <w:p w14:paraId="70B4EB1A">
            <w:pPr>
              <w:spacing w:line="360" w:lineRule="auto"/>
              <w:jc w:val="center"/>
              <w:rPr>
                <w:rFonts w:asciiTheme="minorEastAsia" w:hAnsiTheme="minorEastAsia"/>
                <w:color w:val="auto"/>
                <w:szCs w:val="21"/>
                <w:highlight w:val="none"/>
              </w:rPr>
            </w:pPr>
          </w:p>
        </w:tc>
        <w:tc>
          <w:tcPr>
            <w:tcW w:w="2306" w:type="dxa"/>
            <w:vAlign w:val="center"/>
          </w:tcPr>
          <w:p w14:paraId="5D93E6DB">
            <w:pPr>
              <w:spacing w:line="360" w:lineRule="auto"/>
              <w:jc w:val="center"/>
              <w:rPr>
                <w:rFonts w:asciiTheme="minorEastAsia" w:hAnsiTheme="minorEastAsia"/>
                <w:color w:val="auto"/>
                <w:szCs w:val="21"/>
                <w:highlight w:val="none"/>
              </w:rPr>
            </w:pPr>
          </w:p>
        </w:tc>
        <w:tc>
          <w:tcPr>
            <w:tcW w:w="1774" w:type="dxa"/>
            <w:vAlign w:val="center"/>
          </w:tcPr>
          <w:p w14:paraId="7E05C7A4">
            <w:pPr>
              <w:spacing w:line="360" w:lineRule="auto"/>
              <w:jc w:val="center"/>
              <w:rPr>
                <w:rFonts w:asciiTheme="minorEastAsia" w:hAnsiTheme="minorEastAsia"/>
                <w:color w:val="auto"/>
                <w:szCs w:val="21"/>
                <w:highlight w:val="none"/>
              </w:rPr>
            </w:pPr>
          </w:p>
        </w:tc>
        <w:tc>
          <w:tcPr>
            <w:tcW w:w="1242" w:type="dxa"/>
            <w:vAlign w:val="center"/>
          </w:tcPr>
          <w:p w14:paraId="12B9FF1E">
            <w:pPr>
              <w:spacing w:line="360" w:lineRule="auto"/>
              <w:jc w:val="center"/>
              <w:rPr>
                <w:rFonts w:asciiTheme="minorEastAsia" w:hAnsiTheme="minorEastAsia"/>
                <w:color w:val="auto"/>
                <w:szCs w:val="21"/>
                <w:highlight w:val="none"/>
              </w:rPr>
            </w:pPr>
          </w:p>
        </w:tc>
        <w:tc>
          <w:tcPr>
            <w:tcW w:w="1643" w:type="dxa"/>
            <w:vAlign w:val="center"/>
          </w:tcPr>
          <w:p w14:paraId="02349B94">
            <w:pPr>
              <w:spacing w:line="360" w:lineRule="auto"/>
              <w:jc w:val="center"/>
              <w:rPr>
                <w:rFonts w:asciiTheme="minorEastAsia" w:hAnsiTheme="minorEastAsia"/>
                <w:color w:val="auto"/>
                <w:szCs w:val="21"/>
                <w:highlight w:val="none"/>
              </w:rPr>
            </w:pPr>
          </w:p>
        </w:tc>
      </w:tr>
      <w:tr w14:paraId="119E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3DA81CD6">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w:t>
            </w:r>
          </w:p>
        </w:tc>
        <w:tc>
          <w:tcPr>
            <w:tcW w:w="1783" w:type="dxa"/>
            <w:vAlign w:val="center"/>
          </w:tcPr>
          <w:p w14:paraId="0882BBD2">
            <w:pPr>
              <w:spacing w:line="360" w:lineRule="auto"/>
              <w:jc w:val="center"/>
              <w:rPr>
                <w:rFonts w:asciiTheme="minorEastAsia" w:hAnsiTheme="minorEastAsia"/>
                <w:color w:val="auto"/>
                <w:szCs w:val="21"/>
                <w:highlight w:val="none"/>
              </w:rPr>
            </w:pPr>
          </w:p>
        </w:tc>
        <w:tc>
          <w:tcPr>
            <w:tcW w:w="2306" w:type="dxa"/>
            <w:vAlign w:val="center"/>
          </w:tcPr>
          <w:p w14:paraId="0254484A">
            <w:pPr>
              <w:spacing w:line="360" w:lineRule="auto"/>
              <w:jc w:val="center"/>
              <w:rPr>
                <w:rFonts w:asciiTheme="minorEastAsia" w:hAnsiTheme="minorEastAsia"/>
                <w:color w:val="auto"/>
                <w:szCs w:val="21"/>
                <w:highlight w:val="none"/>
              </w:rPr>
            </w:pPr>
          </w:p>
        </w:tc>
        <w:tc>
          <w:tcPr>
            <w:tcW w:w="1774" w:type="dxa"/>
            <w:vAlign w:val="center"/>
          </w:tcPr>
          <w:p w14:paraId="62B7E4AD">
            <w:pPr>
              <w:spacing w:line="360" w:lineRule="auto"/>
              <w:jc w:val="center"/>
              <w:rPr>
                <w:rFonts w:asciiTheme="minorEastAsia" w:hAnsiTheme="minorEastAsia"/>
                <w:color w:val="auto"/>
                <w:szCs w:val="21"/>
                <w:highlight w:val="none"/>
              </w:rPr>
            </w:pPr>
          </w:p>
        </w:tc>
        <w:tc>
          <w:tcPr>
            <w:tcW w:w="1242" w:type="dxa"/>
            <w:vAlign w:val="center"/>
          </w:tcPr>
          <w:p w14:paraId="1D581995">
            <w:pPr>
              <w:spacing w:line="360" w:lineRule="auto"/>
              <w:jc w:val="center"/>
              <w:rPr>
                <w:rFonts w:asciiTheme="minorEastAsia" w:hAnsiTheme="minorEastAsia"/>
                <w:color w:val="auto"/>
                <w:szCs w:val="21"/>
                <w:highlight w:val="none"/>
              </w:rPr>
            </w:pPr>
          </w:p>
        </w:tc>
        <w:tc>
          <w:tcPr>
            <w:tcW w:w="1643" w:type="dxa"/>
            <w:vAlign w:val="center"/>
          </w:tcPr>
          <w:p w14:paraId="1282D598">
            <w:pPr>
              <w:spacing w:line="360" w:lineRule="auto"/>
              <w:jc w:val="center"/>
              <w:rPr>
                <w:rFonts w:asciiTheme="minorEastAsia" w:hAnsiTheme="minorEastAsia"/>
                <w:color w:val="auto"/>
                <w:szCs w:val="21"/>
                <w:highlight w:val="none"/>
              </w:rPr>
            </w:pPr>
          </w:p>
        </w:tc>
      </w:tr>
      <w:tr w14:paraId="4363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2C4BD68F">
            <w:pPr>
              <w:spacing w:line="360" w:lineRule="auto"/>
              <w:jc w:val="center"/>
              <w:rPr>
                <w:rFonts w:asciiTheme="minorEastAsia" w:hAnsiTheme="minorEastAsia"/>
                <w:color w:val="auto"/>
                <w:szCs w:val="21"/>
                <w:highlight w:val="none"/>
              </w:rPr>
            </w:pPr>
          </w:p>
        </w:tc>
        <w:tc>
          <w:tcPr>
            <w:tcW w:w="1783" w:type="dxa"/>
            <w:vAlign w:val="center"/>
          </w:tcPr>
          <w:p w14:paraId="4270B18A">
            <w:pPr>
              <w:spacing w:line="360" w:lineRule="auto"/>
              <w:jc w:val="center"/>
              <w:rPr>
                <w:rFonts w:asciiTheme="minorEastAsia" w:hAnsiTheme="minorEastAsia"/>
                <w:color w:val="auto"/>
                <w:szCs w:val="21"/>
                <w:highlight w:val="none"/>
              </w:rPr>
            </w:pPr>
          </w:p>
        </w:tc>
        <w:tc>
          <w:tcPr>
            <w:tcW w:w="2306" w:type="dxa"/>
            <w:vAlign w:val="center"/>
          </w:tcPr>
          <w:p w14:paraId="0E8004BD">
            <w:pPr>
              <w:spacing w:line="360" w:lineRule="auto"/>
              <w:jc w:val="center"/>
              <w:rPr>
                <w:rFonts w:asciiTheme="minorEastAsia" w:hAnsiTheme="minorEastAsia"/>
                <w:color w:val="auto"/>
                <w:szCs w:val="21"/>
                <w:highlight w:val="none"/>
              </w:rPr>
            </w:pPr>
          </w:p>
        </w:tc>
        <w:tc>
          <w:tcPr>
            <w:tcW w:w="1774" w:type="dxa"/>
            <w:vAlign w:val="center"/>
          </w:tcPr>
          <w:p w14:paraId="432CCD94">
            <w:pPr>
              <w:spacing w:line="360" w:lineRule="auto"/>
              <w:jc w:val="center"/>
              <w:rPr>
                <w:rFonts w:asciiTheme="minorEastAsia" w:hAnsiTheme="minorEastAsia"/>
                <w:color w:val="auto"/>
                <w:szCs w:val="21"/>
                <w:highlight w:val="none"/>
              </w:rPr>
            </w:pPr>
          </w:p>
        </w:tc>
        <w:tc>
          <w:tcPr>
            <w:tcW w:w="1242" w:type="dxa"/>
            <w:vAlign w:val="center"/>
          </w:tcPr>
          <w:p w14:paraId="4D7526C1">
            <w:pPr>
              <w:spacing w:line="360" w:lineRule="auto"/>
              <w:jc w:val="center"/>
              <w:rPr>
                <w:rFonts w:asciiTheme="minorEastAsia" w:hAnsiTheme="minorEastAsia"/>
                <w:color w:val="auto"/>
                <w:szCs w:val="21"/>
                <w:highlight w:val="none"/>
              </w:rPr>
            </w:pPr>
          </w:p>
        </w:tc>
        <w:tc>
          <w:tcPr>
            <w:tcW w:w="1643" w:type="dxa"/>
            <w:vAlign w:val="center"/>
          </w:tcPr>
          <w:p w14:paraId="5F9A3BC0">
            <w:pPr>
              <w:spacing w:line="360" w:lineRule="auto"/>
              <w:jc w:val="center"/>
              <w:rPr>
                <w:rFonts w:asciiTheme="minorEastAsia" w:hAnsiTheme="minorEastAsia"/>
                <w:color w:val="auto"/>
                <w:szCs w:val="21"/>
                <w:highlight w:val="none"/>
              </w:rPr>
            </w:pPr>
          </w:p>
        </w:tc>
      </w:tr>
      <w:tr w14:paraId="209A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3AD792FD">
            <w:pPr>
              <w:spacing w:line="360" w:lineRule="auto"/>
              <w:jc w:val="center"/>
              <w:rPr>
                <w:rFonts w:asciiTheme="minorEastAsia" w:hAnsiTheme="minorEastAsia"/>
                <w:color w:val="auto"/>
                <w:szCs w:val="21"/>
                <w:highlight w:val="none"/>
              </w:rPr>
            </w:pPr>
          </w:p>
        </w:tc>
        <w:tc>
          <w:tcPr>
            <w:tcW w:w="1783" w:type="dxa"/>
            <w:vAlign w:val="center"/>
          </w:tcPr>
          <w:p w14:paraId="2BF08D30">
            <w:pPr>
              <w:spacing w:line="360" w:lineRule="auto"/>
              <w:jc w:val="center"/>
              <w:rPr>
                <w:rFonts w:asciiTheme="minorEastAsia" w:hAnsiTheme="minorEastAsia"/>
                <w:color w:val="auto"/>
                <w:szCs w:val="21"/>
                <w:highlight w:val="none"/>
              </w:rPr>
            </w:pPr>
          </w:p>
        </w:tc>
        <w:tc>
          <w:tcPr>
            <w:tcW w:w="2306" w:type="dxa"/>
            <w:vAlign w:val="center"/>
          </w:tcPr>
          <w:p w14:paraId="1F357311">
            <w:pPr>
              <w:spacing w:line="360" w:lineRule="auto"/>
              <w:jc w:val="center"/>
              <w:rPr>
                <w:rFonts w:asciiTheme="minorEastAsia" w:hAnsiTheme="minorEastAsia"/>
                <w:color w:val="auto"/>
                <w:szCs w:val="21"/>
                <w:highlight w:val="none"/>
              </w:rPr>
            </w:pPr>
          </w:p>
        </w:tc>
        <w:tc>
          <w:tcPr>
            <w:tcW w:w="1774" w:type="dxa"/>
            <w:vAlign w:val="center"/>
          </w:tcPr>
          <w:p w14:paraId="17B110A4">
            <w:pPr>
              <w:spacing w:line="360" w:lineRule="auto"/>
              <w:jc w:val="center"/>
              <w:rPr>
                <w:rFonts w:asciiTheme="minorEastAsia" w:hAnsiTheme="minorEastAsia"/>
                <w:color w:val="auto"/>
                <w:szCs w:val="21"/>
                <w:highlight w:val="none"/>
              </w:rPr>
            </w:pPr>
          </w:p>
        </w:tc>
        <w:tc>
          <w:tcPr>
            <w:tcW w:w="1242" w:type="dxa"/>
            <w:vAlign w:val="center"/>
          </w:tcPr>
          <w:p w14:paraId="2473A45F">
            <w:pPr>
              <w:spacing w:line="360" w:lineRule="auto"/>
              <w:jc w:val="center"/>
              <w:rPr>
                <w:rFonts w:asciiTheme="minorEastAsia" w:hAnsiTheme="minorEastAsia"/>
                <w:color w:val="auto"/>
                <w:szCs w:val="21"/>
                <w:highlight w:val="none"/>
              </w:rPr>
            </w:pPr>
          </w:p>
        </w:tc>
        <w:tc>
          <w:tcPr>
            <w:tcW w:w="1643" w:type="dxa"/>
            <w:vAlign w:val="center"/>
          </w:tcPr>
          <w:p w14:paraId="3D4C5710">
            <w:pPr>
              <w:spacing w:line="360" w:lineRule="auto"/>
              <w:jc w:val="center"/>
              <w:rPr>
                <w:rFonts w:asciiTheme="minorEastAsia" w:hAnsiTheme="minorEastAsia"/>
                <w:color w:val="auto"/>
                <w:szCs w:val="21"/>
                <w:highlight w:val="none"/>
              </w:rPr>
            </w:pPr>
          </w:p>
        </w:tc>
      </w:tr>
    </w:tbl>
    <w:p w14:paraId="3D0B3E99">
      <w:pPr>
        <w:spacing w:before="77" w:line="360" w:lineRule="auto"/>
        <w:ind w:right="6"/>
        <w:rPr>
          <w:rFonts w:asciiTheme="minorEastAsia" w:hAnsiTheme="minorEastAsia"/>
          <w:b/>
          <w:color w:val="auto"/>
          <w:szCs w:val="21"/>
          <w:highlight w:val="none"/>
        </w:rPr>
      </w:pPr>
      <w:r>
        <w:rPr>
          <w:rFonts w:asciiTheme="minorEastAsia" w:hAnsiTheme="minorEastAsia"/>
          <w:b/>
          <w:color w:val="auto"/>
          <w:szCs w:val="21"/>
          <w:highlight w:val="none"/>
        </w:rPr>
        <w:t>注：需</w:t>
      </w:r>
      <w:r>
        <w:rPr>
          <w:rFonts w:hint="eastAsia" w:asciiTheme="minorEastAsia" w:hAnsiTheme="minorEastAsia"/>
          <w:b/>
          <w:color w:val="auto"/>
          <w:szCs w:val="21"/>
          <w:highlight w:val="none"/>
        </w:rPr>
        <w:t>按评分标准要求附项目证明材料。</w:t>
      </w:r>
    </w:p>
    <w:p w14:paraId="096A0A6E">
      <w:pPr>
        <w:spacing w:line="360" w:lineRule="auto"/>
        <w:ind w:firstLine="3885" w:firstLineChars="1850"/>
        <w:rPr>
          <w:rFonts w:asciiTheme="minorEastAsia" w:hAnsiTheme="minorEastAsia"/>
          <w:color w:val="auto"/>
          <w:szCs w:val="21"/>
          <w:highlight w:val="none"/>
        </w:rPr>
      </w:pPr>
    </w:p>
    <w:p w14:paraId="00F1F7A6">
      <w:pPr>
        <w:tabs>
          <w:tab w:val="left" w:pos="312"/>
        </w:tabs>
        <w:spacing w:line="480" w:lineRule="auto"/>
        <w:ind w:firstLine="420" w:firstLineChars="200"/>
        <w:jc w:val="right"/>
        <w:rPr>
          <w:rFonts w:asciiTheme="minorEastAsia" w:hAnsiTheme="minorEastAsia"/>
          <w:color w:val="auto"/>
          <w:szCs w:val="21"/>
          <w:highlight w:val="none"/>
        </w:rPr>
      </w:pPr>
      <w:r>
        <w:rPr>
          <w:rFonts w:hint="eastAsia" w:cs="宋体" w:asciiTheme="minorEastAsia" w:hAnsiTheme="minorEastAsia"/>
          <w:color w:val="auto"/>
          <w:szCs w:val="21"/>
          <w:highlight w:val="none"/>
        </w:rPr>
        <w:t>投标人名称（盖公章）：</w:t>
      </w:r>
    </w:p>
    <w:p w14:paraId="161B29FB">
      <w:pPr>
        <w:spacing w:line="480" w:lineRule="auto"/>
        <w:ind w:firstLine="371" w:firstLineChars="177"/>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7AE44D51">
      <w:pPr>
        <w:spacing w:line="480" w:lineRule="auto"/>
        <w:ind w:firstLine="435"/>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019A5F72">
      <w:pPr>
        <w:pStyle w:val="12"/>
        <w:rPr>
          <w:rFonts w:asciiTheme="minorEastAsia" w:hAnsiTheme="minorEastAsia" w:eastAsiaTheme="minorEastAsia"/>
          <w:color w:val="auto"/>
          <w:sz w:val="24"/>
          <w:highlight w:val="none"/>
        </w:rPr>
      </w:pPr>
    </w:p>
    <w:p w14:paraId="0E71AB97">
      <w:pPr>
        <w:rPr>
          <w:rFonts w:asciiTheme="minorEastAsia" w:hAnsiTheme="minorEastAsia"/>
          <w:color w:val="auto"/>
          <w:highlight w:val="none"/>
        </w:rPr>
      </w:pPr>
    </w:p>
    <w:p w14:paraId="5D2E7C6D">
      <w:pPr>
        <w:pStyle w:val="7"/>
        <w:rPr>
          <w:rFonts w:asciiTheme="minorEastAsia" w:hAnsiTheme="minorEastAsia" w:eastAsiaTheme="minorEastAsia"/>
          <w:color w:val="auto"/>
          <w:highlight w:val="none"/>
        </w:rPr>
      </w:pPr>
    </w:p>
    <w:p w14:paraId="37DAF4D0">
      <w:pPr>
        <w:pStyle w:val="12"/>
        <w:rPr>
          <w:rFonts w:asciiTheme="minorEastAsia" w:hAnsiTheme="minorEastAsia" w:eastAsiaTheme="minorEastAsia"/>
          <w:color w:val="auto"/>
          <w:highlight w:val="none"/>
        </w:rPr>
      </w:pPr>
    </w:p>
    <w:p w14:paraId="6F0ECDD7">
      <w:pPr>
        <w:rPr>
          <w:rFonts w:asciiTheme="minorEastAsia" w:hAnsiTheme="minorEastAsia"/>
          <w:color w:val="auto"/>
          <w:highlight w:val="none"/>
        </w:rPr>
      </w:pPr>
    </w:p>
    <w:p w14:paraId="39146CCD">
      <w:pPr>
        <w:pStyle w:val="8"/>
        <w:pageBreakBefore/>
        <w:ind w:firstLine="210"/>
        <w:rPr>
          <w:rFonts w:asciiTheme="minorEastAsia" w:hAnsiTheme="minorEastAsia" w:eastAsiaTheme="minorEastAsia"/>
          <w:color w:val="auto"/>
          <w:highlight w:val="none"/>
        </w:rPr>
      </w:pPr>
    </w:p>
    <w:p w14:paraId="63E0E68D">
      <w:pPr>
        <w:pStyle w:val="39"/>
        <w:widowControl w:val="0"/>
        <w:snapToGrid w:val="0"/>
        <w:spacing w:after="156" w:line="480" w:lineRule="exact"/>
        <w:ind w:firstLine="422" w:firstLineChars="200"/>
        <w:rPr>
          <w:rFonts w:hint="eastAsia" w:ascii="宋体" w:hAnsi="宋体" w:eastAsia="宋体" w:cs="宋体"/>
          <w:b/>
          <w:color w:val="auto"/>
          <w:szCs w:val="24"/>
          <w:highlight w:val="none"/>
          <w:lang w:val="en-GB" w:eastAsia="zh-CN"/>
        </w:rPr>
      </w:pPr>
      <w:r>
        <w:rPr>
          <w:rFonts w:ascii="宋体" w:hAnsi="宋体" w:eastAsia="宋体" w:cs="宋体"/>
          <w:b/>
          <w:color w:val="auto"/>
          <w:szCs w:val="24"/>
          <w:highlight w:val="none"/>
        </w:rPr>
        <w:t>参加本项目采购活动的供应商须填写“政府采购活动现场确认声明书”，并在开标后30分钟内将扫描件发送至代理机构邮箱</w:t>
      </w:r>
      <w:r>
        <w:rPr>
          <w:rFonts w:ascii="宋体" w:hAnsi="宋体" w:eastAsia="宋体" w:cs="宋体"/>
          <w:b/>
          <w:color w:val="auto"/>
          <w:szCs w:val="24"/>
          <w:highlight w:val="none"/>
        </w:rPr>
        <w:fldChar w:fldCharType="begin"/>
      </w:r>
      <w:r>
        <w:rPr>
          <w:rFonts w:ascii="宋体" w:hAnsi="宋体" w:eastAsia="宋体" w:cs="宋体"/>
          <w:b/>
          <w:color w:val="auto"/>
          <w:szCs w:val="24"/>
          <w:highlight w:val="none"/>
        </w:rPr>
        <w:instrText xml:space="preserve"> HYPERLINK "mailto:zgtzfgs@163.com" </w:instrText>
      </w:r>
      <w:r>
        <w:rPr>
          <w:rFonts w:ascii="宋体" w:hAnsi="宋体" w:eastAsia="宋体" w:cs="宋体"/>
          <w:b/>
          <w:color w:val="auto"/>
          <w:szCs w:val="24"/>
          <w:highlight w:val="none"/>
        </w:rPr>
        <w:fldChar w:fldCharType="separate"/>
      </w:r>
      <w:r>
        <w:rPr>
          <w:rFonts w:ascii="宋体" w:hAnsi="宋体" w:eastAsia="宋体" w:cs="宋体"/>
          <w:b/>
          <w:color w:val="auto"/>
          <w:szCs w:val="24"/>
          <w:highlight w:val="none"/>
        </w:rPr>
        <w:t>zgtzfgs@163.com</w:t>
      </w:r>
      <w:r>
        <w:rPr>
          <w:rFonts w:ascii="宋体" w:hAnsi="宋体" w:eastAsia="宋体" w:cs="宋体"/>
          <w:b/>
          <w:color w:val="auto"/>
          <w:szCs w:val="24"/>
          <w:highlight w:val="none"/>
        </w:rPr>
        <w:fldChar w:fldCharType="end"/>
      </w:r>
      <w:r>
        <w:rPr>
          <w:rFonts w:hint="eastAsia" w:ascii="宋体" w:hAnsi="宋体" w:eastAsia="宋体" w:cs="宋体"/>
          <w:b/>
          <w:color w:val="auto"/>
          <w:szCs w:val="24"/>
          <w:highlight w:val="none"/>
          <w:lang w:eastAsia="zh-CN"/>
        </w:rPr>
        <w:t>。不填写或未按规定发出邮件的，视同默认不存在确认声明书中的相关违规情形。</w:t>
      </w:r>
    </w:p>
    <w:p w14:paraId="2B20A591">
      <w:pPr>
        <w:pStyle w:val="39"/>
        <w:widowControl w:val="0"/>
        <w:snapToGrid w:val="0"/>
        <w:spacing w:line="500" w:lineRule="exact"/>
        <w:ind w:firstLine="720"/>
        <w:jc w:val="center"/>
        <w:rPr>
          <w:rFonts w:hint="default"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t>政府采购活动现场确认声明书</w:t>
      </w:r>
    </w:p>
    <w:p w14:paraId="0DAE400E">
      <w:pPr>
        <w:pStyle w:val="39"/>
        <w:widowControl w:val="0"/>
        <w:snapToGrid w:val="0"/>
        <w:spacing w:line="500" w:lineRule="exact"/>
        <w:jc w:val="both"/>
        <w:rPr>
          <w:rFonts w:hint="default" w:asciiTheme="minorEastAsia" w:hAnsiTheme="minorEastAsia" w:eastAsiaTheme="minorEastAsia"/>
          <w:color w:val="auto"/>
          <w:kern w:val="0"/>
          <w:sz w:val="28"/>
          <w:highlight w:val="none"/>
        </w:rPr>
      </w:pPr>
    </w:p>
    <w:p w14:paraId="7B4FE615">
      <w:pPr>
        <w:pStyle w:val="39"/>
        <w:widowControl w:val="0"/>
        <w:snapToGrid w:val="0"/>
        <w:spacing w:line="440" w:lineRule="exact"/>
        <w:jc w:val="both"/>
        <w:rPr>
          <w:rFonts w:hint="default" w:asciiTheme="minorEastAsia" w:hAnsiTheme="minorEastAsia" w:eastAsiaTheme="minorEastAsia"/>
          <w:b/>
          <w:color w:val="auto"/>
          <w:szCs w:val="21"/>
          <w:highlight w:val="none"/>
        </w:rPr>
      </w:pPr>
      <w:r>
        <w:rPr>
          <w:rFonts w:asciiTheme="minorEastAsia" w:hAnsiTheme="minorEastAsia" w:eastAsiaTheme="minorEastAsia"/>
          <w:color w:val="auto"/>
          <w:kern w:val="0"/>
          <w:szCs w:val="21"/>
          <w:highlight w:val="none"/>
          <w:u w:val="single"/>
        </w:rPr>
        <w:t>中冠工程管理咨询有限公司</w:t>
      </w:r>
      <w:r>
        <w:rPr>
          <w:rFonts w:asciiTheme="minorEastAsia" w:hAnsiTheme="minorEastAsia" w:eastAsiaTheme="minorEastAsia"/>
          <w:color w:val="auto"/>
          <w:kern w:val="0"/>
          <w:szCs w:val="21"/>
          <w:highlight w:val="none"/>
        </w:rPr>
        <w:t>：</w:t>
      </w:r>
    </w:p>
    <w:p w14:paraId="143065E3">
      <w:pPr>
        <w:pStyle w:val="39"/>
        <w:widowControl w:val="0"/>
        <w:snapToGrid w:val="0"/>
        <w:spacing w:line="440" w:lineRule="exact"/>
        <w:ind w:firstLine="444" w:firstLineChars="200"/>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spacing w:val="6"/>
          <w:szCs w:val="21"/>
          <w:highlight w:val="none"/>
        </w:rPr>
        <w:t>本人经由</w:t>
      </w:r>
      <w:r>
        <w:rPr>
          <w:rFonts w:asciiTheme="minorEastAsia" w:hAnsiTheme="minorEastAsia" w:eastAsiaTheme="minorEastAsia"/>
          <w:color w:val="auto"/>
          <w:spacing w:val="6"/>
          <w:szCs w:val="21"/>
          <w:highlight w:val="none"/>
          <w:u w:val="single"/>
        </w:rPr>
        <w:t>（单位）</w:t>
      </w:r>
      <w:r>
        <w:rPr>
          <w:rFonts w:asciiTheme="minorEastAsia" w:hAnsiTheme="minorEastAsia" w:eastAsiaTheme="minorEastAsia"/>
          <w:color w:val="auto"/>
          <w:spacing w:val="6"/>
          <w:szCs w:val="21"/>
          <w:highlight w:val="none"/>
        </w:rPr>
        <w:t>法人代表（负责人）</w:t>
      </w:r>
      <w:r>
        <w:rPr>
          <w:rFonts w:asciiTheme="minorEastAsia" w:hAnsiTheme="minorEastAsia" w:eastAsiaTheme="minorEastAsia"/>
          <w:color w:val="auto"/>
          <w:spacing w:val="6"/>
          <w:szCs w:val="21"/>
          <w:highlight w:val="none"/>
          <w:u w:val="single"/>
        </w:rPr>
        <w:t>（姓名）</w:t>
      </w:r>
      <w:r>
        <w:rPr>
          <w:rFonts w:asciiTheme="minorEastAsia" w:hAnsiTheme="minorEastAsia" w:eastAsiaTheme="minorEastAsia"/>
          <w:color w:val="auto"/>
          <w:spacing w:val="6"/>
          <w:szCs w:val="21"/>
          <w:highlight w:val="none"/>
        </w:rPr>
        <w:t>合法授权参加</w:t>
      </w:r>
      <w:r>
        <w:rPr>
          <w:rFonts w:asciiTheme="minorEastAsia" w:hAnsiTheme="minorEastAsia" w:eastAsiaTheme="minorEastAsia"/>
          <w:color w:val="auto"/>
          <w:spacing w:val="6"/>
          <w:szCs w:val="21"/>
          <w:highlight w:val="none"/>
          <w:u w:val="single"/>
        </w:rPr>
        <w:t xml:space="preserve">            项目（编号：）       </w:t>
      </w:r>
      <w:r>
        <w:rPr>
          <w:rFonts w:asciiTheme="minorEastAsia" w:hAnsiTheme="minorEastAsia" w:eastAsiaTheme="minorEastAsia"/>
          <w:color w:val="auto"/>
          <w:spacing w:val="6"/>
          <w:szCs w:val="21"/>
          <w:highlight w:val="none"/>
        </w:rPr>
        <w:t>政府采购活动，经与本单位法人代表（负责人）联系确认，现就有关公平竞争事项郑重声明如下：</w:t>
      </w:r>
    </w:p>
    <w:p w14:paraId="30F7A184">
      <w:pPr>
        <w:pStyle w:val="40"/>
        <w:widowControl/>
        <w:numPr>
          <w:ilvl w:val="0"/>
          <w:numId w:val="5"/>
        </w:numPr>
        <w:snapToGrid w:val="0"/>
        <w:spacing w:line="440" w:lineRule="exact"/>
        <w:ind w:firstLine="396" w:firstLineChars="189"/>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本单位与采购人之间</w:t>
      </w:r>
      <w:r>
        <w:rPr>
          <w:rFonts w:cs="宋体"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不存在利害关系</w:t>
      </w:r>
      <w:r>
        <w:rPr>
          <w:rFonts w:cs="宋体"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存在下列利害关系：</w:t>
      </w:r>
    </w:p>
    <w:p w14:paraId="7622C3CA">
      <w:pPr>
        <w:pStyle w:val="40"/>
        <w:widowControl/>
        <w:snapToGrid w:val="0"/>
        <w:spacing w:line="440" w:lineRule="exac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A.投资关系    B.行政隶属关系    C.业务指导关系</w:t>
      </w:r>
    </w:p>
    <w:p w14:paraId="7FC5A4B1">
      <w:pPr>
        <w:pStyle w:val="40"/>
        <w:widowControl/>
        <w:snapToGrid w:val="0"/>
        <w:spacing w:line="440" w:lineRule="exac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D.其他可能</w:t>
      </w:r>
      <w:r>
        <w:rPr>
          <w:rFonts w:asciiTheme="minorEastAsia" w:hAnsiTheme="minorEastAsia" w:eastAsiaTheme="minorEastAsia"/>
          <w:color w:val="auto"/>
          <w:szCs w:val="21"/>
          <w:highlight w:val="none"/>
        </w:rPr>
        <w:t>影响采购公正的</w:t>
      </w:r>
      <w:r>
        <w:rPr>
          <w:rFonts w:asciiTheme="minorEastAsia" w:hAnsiTheme="minorEastAsia" w:eastAsiaTheme="minorEastAsia"/>
          <w:color w:val="auto"/>
          <w:kern w:val="0"/>
          <w:szCs w:val="21"/>
          <w:highlight w:val="none"/>
        </w:rPr>
        <w:t>利害关系</w:t>
      </w:r>
      <w:r>
        <w:rPr>
          <w:rFonts w:asciiTheme="minorEastAsia" w:hAnsiTheme="minorEastAsia" w:eastAsiaTheme="minorEastAsia"/>
          <w:color w:val="auto"/>
          <w:kern w:val="0"/>
          <w:szCs w:val="21"/>
          <w:highlight w:val="none"/>
          <w:u w:val="single"/>
        </w:rPr>
        <w:t>（如有，请如实说明）</w:t>
      </w:r>
      <w:r>
        <w:rPr>
          <w:rFonts w:asciiTheme="minorEastAsia" w:hAnsiTheme="minorEastAsia" w:eastAsiaTheme="minorEastAsia"/>
          <w:color w:val="auto"/>
          <w:kern w:val="0"/>
          <w:szCs w:val="21"/>
          <w:highlight w:val="none"/>
        </w:rPr>
        <w:t>。</w:t>
      </w:r>
    </w:p>
    <w:p w14:paraId="01634F7F">
      <w:pPr>
        <w:pStyle w:val="40"/>
        <w:widowControl/>
        <w:snapToGrid w:val="0"/>
        <w:spacing w:line="440" w:lineRule="exac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spacing w:val="6"/>
          <w:szCs w:val="21"/>
          <w:highlight w:val="none"/>
        </w:rPr>
        <w:t>二、</w:t>
      </w:r>
      <w:r>
        <w:rPr>
          <w:rFonts w:asciiTheme="minorEastAsia" w:hAnsiTheme="minorEastAsia" w:eastAsiaTheme="minorEastAsia"/>
          <w:color w:val="auto"/>
          <w:kern w:val="0"/>
          <w:szCs w:val="21"/>
          <w:highlight w:val="none"/>
        </w:rPr>
        <w:t>现已清楚知道参加本项目采购活动的其他所有供应商名称，本单位</w:t>
      </w:r>
      <w:r>
        <w:rPr>
          <w:rFonts w:cs="宋体" w:asciiTheme="minorEastAsia" w:hAnsiTheme="minorEastAsia" w:eastAsiaTheme="minorEastAsia"/>
          <w:color w:val="auto"/>
          <w:kern w:val="0"/>
          <w:szCs w:val="21"/>
          <w:highlight w:val="none"/>
        </w:rPr>
        <w:t>□与其他所有供应商之间均</w:t>
      </w:r>
      <w:r>
        <w:rPr>
          <w:rFonts w:asciiTheme="minorEastAsia" w:hAnsiTheme="minorEastAsia" w:eastAsiaTheme="minorEastAsia"/>
          <w:color w:val="auto"/>
          <w:kern w:val="0"/>
          <w:szCs w:val="21"/>
          <w:highlight w:val="none"/>
        </w:rPr>
        <w:t>不存在利害关系</w:t>
      </w:r>
      <w:r>
        <w:rPr>
          <w:rFonts w:cs="宋体" w:asciiTheme="minorEastAsia" w:hAnsiTheme="minorEastAsia" w:eastAsiaTheme="minorEastAsia"/>
          <w:color w:val="auto"/>
          <w:kern w:val="0"/>
          <w:szCs w:val="21"/>
          <w:highlight w:val="none"/>
        </w:rPr>
        <w:t>□与</w:t>
      </w:r>
      <w:r>
        <w:rPr>
          <w:rFonts w:cs="宋体" w:asciiTheme="minorEastAsia" w:hAnsiTheme="minorEastAsia" w:eastAsiaTheme="minorEastAsia"/>
          <w:color w:val="auto"/>
          <w:kern w:val="0"/>
          <w:szCs w:val="21"/>
          <w:highlight w:val="none"/>
          <w:u w:val="single"/>
        </w:rPr>
        <w:t xml:space="preserve">           （供应商名称）</w:t>
      </w:r>
      <w:r>
        <w:rPr>
          <w:rFonts w:cs="宋体" w:asciiTheme="minorEastAsia" w:hAnsiTheme="minorEastAsia" w:eastAsiaTheme="minorEastAsia"/>
          <w:color w:val="auto"/>
          <w:kern w:val="0"/>
          <w:szCs w:val="21"/>
          <w:highlight w:val="none"/>
        </w:rPr>
        <w:t>之间</w:t>
      </w:r>
      <w:r>
        <w:rPr>
          <w:rFonts w:asciiTheme="minorEastAsia" w:hAnsiTheme="minorEastAsia" w:eastAsiaTheme="minorEastAsia"/>
          <w:color w:val="auto"/>
          <w:kern w:val="0"/>
          <w:szCs w:val="21"/>
          <w:highlight w:val="none"/>
        </w:rPr>
        <w:t>存在下列利害关系：</w:t>
      </w:r>
    </w:p>
    <w:p w14:paraId="6673CB52">
      <w:pPr>
        <w:pStyle w:val="39"/>
        <w:widowControl w:val="0"/>
        <w:snapToGrid w:val="0"/>
        <w:spacing w:line="440" w:lineRule="exact"/>
        <w:jc w:val="both"/>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A.法定代表人或负责人或实际控制人是同一人；</w:t>
      </w:r>
    </w:p>
    <w:p w14:paraId="2926E296">
      <w:pPr>
        <w:pStyle w:val="39"/>
        <w:widowControl w:val="0"/>
        <w:snapToGrid w:val="0"/>
        <w:spacing w:line="440" w:lineRule="exact"/>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kern w:val="0"/>
          <w:szCs w:val="21"/>
          <w:highlight w:val="none"/>
        </w:rPr>
        <w:t xml:space="preserve">  B.法定代表人或负责人或实际控制人是夫妻关系；</w:t>
      </w:r>
    </w:p>
    <w:p w14:paraId="3B966ECB">
      <w:pPr>
        <w:pStyle w:val="39"/>
        <w:widowControl w:val="0"/>
        <w:snapToGrid w:val="0"/>
        <w:spacing w:line="440" w:lineRule="exact"/>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kern w:val="0"/>
          <w:szCs w:val="21"/>
          <w:highlight w:val="none"/>
        </w:rPr>
        <w:t xml:space="preserve">  C.法定代表人或负责人或实际控制人是直系血亲关系；</w:t>
      </w:r>
    </w:p>
    <w:p w14:paraId="5656363E">
      <w:pPr>
        <w:pStyle w:val="39"/>
        <w:widowControl w:val="0"/>
        <w:snapToGrid w:val="0"/>
        <w:spacing w:line="440" w:lineRule="exact"/>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kern w:val="0"/>
          <w:szCs w:val="21"/>
          <w:highlight w:val="none"/>
        </w:rPr>
        <w:t xml:space="preserve">  D.法定代表人或负责人或实际控制人存在三代以内旁系血亲关系；</w:t>
      </w:r>
    </w:p>
    <w:p w14:paraId="1714BA11">
      <w:pPr>
        <w:pStyle w:val="39"/>
        <w:widowControl w:val="0"/>
        <w:snapToGrid w:val="0"/>
        <w:spacing w:line="440" w:lineRule="exact"/>
        <w:jc w:val="both"/>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E.法定代表人或负责人或实际控制人存在近姻亲关系；</w:t>
      </w:r>
    </w:p>
    <w:p w14:paraId="4B41590A">
      <w:pPr>
        <w:pStyle w:val="39"/>
        <w:widowControl w:val="0"/>
        <w:snapToGrid w:val="0"/>
        <w:spacing w:line="440" w:lineRule="exact"/>
        <w:jc w:val="both"/>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F.法定代表人或负责人或实际控制人存在股份控制或实际控制关系；</w:t>
      </w:r>
    </w:p>
    <w:p w14:paraId="5FDEE5E8">
      <w:pPr>
        <w:pStyle w:val="39"/>
        <w:widowControl w:val="0"/>
        <w:snapToGrid w:val="0"/>
        <w:spacing w:line="440" w:lineRule="exact"/>
        <w:jc w:val="both"/>
        <w:outlineLvl w:val="0"/>
        <w:rPr>
          <w:rFonts w:hint="default" w:asciiTheme="minorEastAsia" w:hAnsiTheme="minorEastAsia" w:eastAsiaTheme="minorEastAsia"/>
          <w:color w:val="auto"/>
          <w:kern w:val="0"/>
          <w:szCs w:val="21"/>
          <w:highlight w:val="none"/>
        </w:rPr>
      </w:pPr>
      <w:bookmarkStart w:id="221" w:name="_Toc24072"/>
      <w:bookmarkStart w:id="222" w:name="_Toc15030"/>
      <w:bookmarkStart w:id="223" w:name="_Toc21795"/>
      <w:bookmarkStart w:id="224" w:name="_Toc20365"/>
      <w:bookmarkStart w:id="225" w:name="_Toc2857"/>
      <w:bookmarkStart w:id="226" w:name="_Toc9367"/>
      <w:r>
        <w:rPr>
          <w:rFonts w:asciiTheme="minorEastAsia" w:hAnsiTheme="minorEastAsia" w:eastAsiaTheme="minorEastAsia"/>
          <w:color w:val="auto"/>
          <w:kern w:val="0"/>
          <w:szCs w:val="21"/>
          <w:highlight w:val="none"/>
        </w:rPr>
        <w:t>G.存在共同直接或间接投资设立子公司、联营企业和合营企业情况；</w:t>
      </w:r>
      <w:bookmarkEnd w:id="221"/>
      <w:bookmarkEnd w:id="222"/>
      <w:bookmarkEnd w:id="223"/>
      <w:bookmarkEnd w:id="224"/>
      <w:bookmarkEnd w:id="225"/>
      <w:bookmarkEnd w:id="226"/>
    </w:p>
    <w:p w14:paraId="76D5EC45">
      <w:pPr>
        <w:pStyle w:val="39"/>
        <w:widowControl w:val="0"/>
        <w:snapToGrid w:val="0"/>
        <w:spacing w:line="440" w:lineRule="exact"/>
        <w:jc w:val="both"/>
        <w:rPr>
          <w:rFonts w:hint="default" w:asciiTheme="minorEastAsia" w:hAnsiTheme="minorEastAsia" w:eastAsiaTheme="minorEastAsia"/>
          <w:color w:val="auto"/>
          <w:szCs w:val="21"/>
          <w:highlight w:val="none"/>
        </w:rPr>
      </w:pPr>
      <w:r>
        <w:rPr>
          <w:rFonts w:asciiTheme="minorEastAsia" w:hAnsiTheme="minorEastAsia" w:eastAsiaTheme="minorEastAsia"/>
          <w:color w:val="auto"/>
          <w:kern w:val="0"/>
          <w:szCs w:val="21"/>
          <w:highlight w:val="none"/>
        </w:rPr>
        <w:t xml:space="preserve">  H.存在分级代理或代销关系、同一生产制造商关系、</w:t>
      </w:r>
      <w:r>
        <w:rPr>
          <w:rFonts w:asciiTheme="minorEastAsia" w:hAnsiTheme="minorEastAsia" w:eastAsiaTheme="minorEastAsia"/>
          <w:color w:val="auto"/>
          <w:szCs w:val="21"/>
          <w:highlight w:val="none"/>
        </w:rPr>
        <w:t>管理关系、重要业务（占主营业务收入50%以上）或重要财务往来关系（如融资）等其他实质性控制关系；</w:t>
      </w:r>
    </w:p>
    <w:p w14:paraId="77A16B00">
      <w:pPr>
        <w:pStyle w:val="39"/>
        <w:widowControl w:val="0"/>
        <w:snapToGrid w:val="0"/>
        <w:spacing w:line="440" w:lineRule="exact"/>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szCs w:val="21"/>
          <w:highlight w:val="none"/>
        </w:rPr>
        <w:t xml:space="preserve">  I</w:t>
      </w:r>
      <w:r>
        <w:rPr>
          <w:rFonts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其他利害关系情况</w:t>
      </w:r>
      <w:r>
        <w:rPr>
          <w:rFonts w:asciiTheme="minorEastAsia" w:hAnsiTheme="minorEastAsia" w:eastAsiaTheme="minorEastAsia"/>
          <w:color w:val="auto"/>
          <w:kern w:val="0"/>
          <w:szCs w:val="21"/>
          <w:highlight w:val="none"/>
        </w:rPr>
        <w:t>。</w:t>
      </w:r>
    </w:p>
    <w:p w14:paraId="0A8C1D17">
      <w:pPr>
        <w:pStyle w:val="40"/>
        <w:widowControl/>
        <w:numPr>
          <w:ilvl w:val="0"/>
          <w:numId w:val="6"/>
        </w:numPr>
        <w:snapToGrid w:val="0"/>
        <w:spacing w:line="440" w:lineRule="exact"/>
        <w:ind w:firstLine="396" w:firstLineChars="189"/>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rPr>
        <w:t>现已清楚知道并</w:t>
      </w:r>
      <w:r>
        <w:rPr>
          <w:rFonts w:asciiTheme="minorEastAsia" w:hAnsiTheme="minorEastAsia" w:eastAsiaTheme="minorEastAsia"/>
          <w:color w:val="auto"/>
          <w:kern w:val="0"/>
          <w:szCs w:val="21"/>
          <w:highlight w:val="none"/>
        </w:rPr>
        <w:t>严格遵守政府采购法律法规和现场纪律。</w:t>
      </w:r>
    </w:p>
    <w:p w14:paraId="381FF826">
      <w:pPr>
        <w:pStyle w:val="40"/>
        <w:widowControl/>
        <w:numPr>
          <w:ilvl w:val="0"/>
          <w:numId w:val="6"/>
        </w:numPr>
        <w:snapToGrid w:val="0"/>
        <w:spacing w:line="440" w:lineRule="exact"/>
        <w:ind w:firstLine="396" w:firstLineChars="189"/>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我发现供应商</w:t>
      </w:r>
      <w:r>
        <w:rPr>
          <w:rFonts w:asciiTheme="minorEastAsia" w:hAnsiTheme="minorEastAsia" w:eastAsiaTheme="minorEastAsia"/>
          <w:color w:val="auto"/>
          <w:kern w:val="0"/>
          <w:szCs w:val="21"/>
          <w:highlight w:val="none"/>
          <w:u w:val="single"/>
        </w:rPr>
        <w:t xml:space="preserve">                     之间</w:t>
      </w:r>
      <w:r>
        <w:rPr>
          <w:rFonts w:asciiTheme="minorEastAsia" w:hAnsiTheme="minorEastAsia" w:eastAsiaTheme="minorEastAsia"/>
          <w:color w:val="auto"/>
          <w:kern w:val="0"/>
          <w:szCs w:val="21"/>
          <w:highlight w:val="none"/>
        </w:rPr>
        <w:t>存在或可能存在上述第二条第项利害关系。</w:t>
      </w:r>
    </w:p>
    <w:p w14:paraId="278D2FF6">
      <w:pPr>
        <w:pStyle w:val="7"/>
        <w:spacing w:line="440" w:lineRule="exact"/>
        <w:jc w:val="right"/>
        <w:rPr>
          <w:rFonts w:asciiTheme="minorEastAsia" w:hAnsiTheme="minorEastAsia" w:eastAsiaTheme="minorEastAsia"/>
          <w:color w:val="auto"/>
          <w:szCs w:val="21"/>
          <w:highlight w:val="none"/>
        </w:rPr>
      </w:pPr>
    </w:p>
    <w:p w14:paraId="4AA0DAF9">
      <w:pPr>
        <w:pStyle w:val="39"/>
        <w:widowControl w:val="0"/>
        <w:snapToGrid w:val="0"/>
        <w:spacing w:line="440" w:lineRule="exact"/>
        <w:ind w:firstLine="420" w:firstLineChars="200"/>
        <w:jc w:val="right"/>
        <w:rPr>
          <w:rFonts w:hint="default" w:asciiTheme="minorEastAsia" w:hAnsiTheme="minorEastAsia" w:eastAsiaTheme="minorEastAsia"/>
          <w:color w:val="auto"/>
          <w:szCs w:val="21"/>
          <w:highlight w:val="none"/>
        </w:rPr>
      </w:pPr>
    </w:p>
    <w:p w14:paraId="5731B8EE">
      <w:pPr>
        <w:pStyle w:val="39"/>
        <w:widowControl w:val="0"/>
        <w:snapToGrid w:val="0"/>
        <w:spacing w:line="440" w:lineRule="exact"/>
        <w:ind w:firstLine="420" w:firstLineChars="200"/>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（供应商代表签名）：</w:t>
      </w:r>
    </w:p>
    <w:p w14:paraId="57FFBDCD">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14:paraId="280DA2C4">
      <w:pPr>
        <w:pStyle w:val="39"/>
        <w:widowControl w:val="0"/>
        <w:snapToGrid w:val="0"/>
        <w:spacing w:line="440" w:lineRule="exact"/>
        <w:ind w:firstLine="420" w:firstLineChars="200"/>
        <w:jc w:val="right"/>
        <w:rPr>
          <w:rFonts w:hint="default" w:asciiTheme="minorEastAsia" w:hAnsiTheme="minorEastAsia" w:eastAsiaTheme="minorEastAsia"/>
          <w:color w:val="auto"/>
          <w:szCs w:val="21"/>
          <w:highlight w:val="none"/>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2"/>
        <w:tblpPr w:leftFromText="180" w:rightFromText="180" w:vertAnchor="page" w:horzAnchor="margin" w:tblpY="1291"/>
        <w:tblW w:w="0" w:type="auto"/>
        <w:tblInd w:w="0" w:type="dxa"/>
        <w:tblLayout w:type="fixed"/>
        <w:tblCellMar>
          <w:top w:w="0" w:type="dxa"/>
          <w:left w:w="108" w:type="dxa"/>
          <w:bottom w:w="0" w:type="dxa"/>
          <w:right w:w="108" w:type="dxa"/>
        </w:tblCellMar>
      </w:tblPr>
      <w:tblGrid>
        <w:gridCol w:w="2179"/>
        <w:gridCol w:w="1430"/>
        <w:gridCol w:w="1681"/>
        <w:gridCol w:w="1586"/>
        <w:gridCol w:w="1183"/>
        <w:gridCol w:w="1412"/>
        <w:gridCol w:w="1452"/>
        <w:gridCol w:w="1226"/>
        <w:gridCol w:w="1216"/>
        <w:gridCol w:w="1170"/>
      </w:tblGrid>
      <w:tr w14:paraId="36ED905D">
        <w:tblPrEx>
          <w:tblCellMar>
            <w:top w:w="0" w:type="dxa"/>
            <w:left w:w="108" w:type="dxa"/>
            <w:bottom w:w="0" w:type="dxa"/>
            <w:right w:w="108" w:type="dxa"/>
          </w:tblCellMar>
        </w:tblPrEx>
        <w:trPr>
          <w:trHeight w:val="454" w:hRule="atLeast"/>
        </w:trPr>
        <w:tc>
          <w:tcPr>
            <w:tcW w:w="14535" w:type="dxa"/>
            <w:gridSpan w:val="10"/>
            <w:tcBorders>
              <w:top w:val="nil"/>
              <w:left w:val="nil"/>
              <w:bottom w:val="nil"/>
              <w:right w:val="nil"/>
            </w:tcBorders>
            <w:noWrap w:val="0"/>
            <w:vAlign w:val="center"/>
          </w:tcPr>
          <w:p w14:paraId="515304E5">
            <w:pPr>
              <w:widowControl/>
              <w:spacing w:line="320" w:lineRule="exact"/>
              <w:jc w:val="center"/>
              <w:rPr>
                <w:rFonts w:ascii="Times New Roman" w:hAnsi="Times New Roman" w:cs="宋体"/>
                <w:b/>
                <w:bCs/>
                <w:color w:val="auto"/>
                <w:kern w:val="0"/>
                <w:sz w:val="24"/>
                <w:szCs w:val="24"/>
                <w:highlight w:val="none"/>
              </w:rPr>
            </w:pPr>
            <w:bookmarkStart w:id="227" w:name="_Hlk76317129"/>
            <w:r>
              <w:rPr>
                <w:rFonts w:hint="eastAsia" w:ascii="Times New Roman" w:hAnsi="Times New Roman" w:cs="宋体"/>
                <w:b/>
                <w:bCs/>
                <w:color w:val="auto"/>
                <w:kern w:val="0"/>
                <w:sz w:val="24"/>
                <w:szCs w:val="24"/>
                <w:highlight w:val="none"/>
              </w:rPr>
              <w:t>中小微行业划型标准规定（根据工信部联企业〔2011〕300号制定）</w:t>
            </w:r>
          </w:p>
        </w:tc>
      </w:tr>
      <w:tr w14:paraId="041E2FBC">
        <w:tblPrEx>
          <w:tblCellMar>
            <w:top w:w="0" w:type="dxa"/>
            <w:left w:w="108" w:type="dxa"/>
            <w:bottom w:w="0" w:type="dxa"/>
            <w:right w:w="108" w:type="dxa"/>
          </w:tblCellMar>
        </w:tblPrEx>
        <w:trPr>
          <w:trHeight w:val="340" w:hRule="atLeast"/>
        </w:trPr>
        <w:tc>
          <w:tcPr>
            <w:tcW w:w="2179" w:type="dxa"/>
            <w:vMerge w:val="restart"/>
            <w:tcBorders>
              <w:top w:val="single" w:color="auto" w:sz="8" w:space="0"/>
              <w:left w:val="single" w:color="auto" w:sz="8" w:space="0"/>
              <w:bottom w:val="single" w:color="000000" w:sz="4" w:space="0"/>
              <w:right w:val="single" w:color="auto" w:sz="8" w:space="0"/>
            </w:tcBorders>
            <w:noWrap w:val="0"/>
            <w:vAlign w:val="center"/>
          </w:tcPr>
          <w:p w14:paraId="491712CB">
            <w:pPr>
              <w:widowControl/>
              <w:spacing w:line="320" w:lineRule="exact"/>
              <w:jc w:val="center"/>
              <w:rPr>
                <w:rFonts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行业</w:t>
            </w:r>
          </w:p>
        </w:tc>
        <w:tc>
          <w:tcPr>
            <w:tcW w:w="4697" w:type="dxa"/>
            <w:gridSpan w:val="3"/>
            <w:tcBorders>
              <w:top w:val="single" w:color="auto" w:sz="8" w:space="0"/>
              <w:left w:val="nil"/>
              <w:bottom w:val="single" w:color="auto" w:sz="4" w:space="0"/>
              <w:right w:val="single" w:color="000000" w:sz="8" w:space="0"/>
            </w:tcBorders>
            <w:noWrap w:val="0"/>
            <w:vAlign w:val="center"/>
          </w:tcPr>
          <w:p w14:paraId="5F4618DF">
            <w:pPr>
              <w:widowControl/>
              <w:spacing w:line="320" w:lineRule="exact"/>
              <w:jc w:val="center"/>
              <w:rPr>
                <w:rFonts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中型企业</w:t>
            </w:r>
          </w:p>
        </w:tc>
        <w:tc>
          <w:tcPr>
            <w:tcW w:w="4047" w:type="dxa"/>
            <w:gridSpan w:val="3"/>
            <w:tcBorders>
              <w:top w:val="single" w:color="auto" w:sz="8" w:space="0"/>
              <w:left w:val="nil"/>
              <w:bottom w:val="single" w:color="auto" w:sz="4" w:space="0"/>
              <w:right w:val="single" w:color="000000" w:sz="8" w:space="0"/>
            </w:tcBorders>
            <w:noWrap w:val="0"/>
            <w:vAlign w:val="center"/>
          </w:tcPr>
          <w:p w14:paraId="1F1AFB4B">
            <w:pPr>
              <w:widowControl/>
              <w:spacing w:line="320" w:lineRule="exact"/>
              <w:jc w:val="center"/>
              <w:rPr>
                <w:rFonts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小型企业</w:t>
            </w:r>
          </w:p>
        </w:tc>
        <w:tc>
          <w:tcPr>
            <w:tcW w:w="3612" w:type="dxa"/>
            <w:gridSpan w:val="3"/>
            <w:tcBorders>
              <w:top w:val="single" w:color="auto" w:sz="8" w:space="0"/>
              <w:left w:val="nil"/>
              <w:bottom w:val="single" w:color="auto" w:sz="4" w:space="0"/>
              <w:right w:val="single" w:color="000000" w:sz="8" w:space="0"/>
            </w:tcBorders>
            <w:noWrap w:val="0"/>
            <w:vAlign w:val="center"/>
          </w:tcPr>
          <w:p w14:paraId="7F8FA423">
            <w:pPr>
              <w:widowControl/>
              <w:spacing w:line="320" w:lineRule="exact"/>
              <w:jc w:val="center"/>
              <w:rPr>
                <w:rFonts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微型企业</w:t>
            </w:r>
          </w:p>
        </w:tc>
      </w:tr>
      <w:tr w14:paraId="7B333704">
        <w:tblPrEx>
          <w:tblCellMar>
            <w:top w:w="0" w:type="dxa"/>
            <w:left w:w="108" w:type="dxa"/>
            <w:bottom w:w="0" w:type="dxa"/>
            <w:right w:w="108" w:type="dxa"/>
          </w:tblCellMar>
        </w:tblPrEx>
        <w:trPr>
          <w:trHeight w:val="340" w:hRule="atLeast"/>
        </w:trPr>
        <w:tc>
          <w:tcPr>
            <w:tcW w:w="2179" w:type="dxa"/>
            <w:vMerge w:val="continue"/>
            <w:tcBorders>
              <w:top w:val="single" w:color="auto" w:sz="8" w:space="0"/>
              <w:left w:val="single" w:color="auto" w:sz="8" w:space="0"/>
              <w:bottom w:val="single" w:color="000000" w:sz="4" w:space="0"/>
              <w:right w:val="single" w:color="auto" w:sz="8" w:space="0"/>
            </w:tcBorders>
            <w:noWrap w:val="0"/>
            <w:vAlign w:val="center"/>
          </w:tcPr>
          <w:p w14:paraId="5C3293E8">
            <w:pPr>
              <w:widowControl/>
              <w:spacing w:line="320" w:lineRule="exact"/>
              <w:jc w:val="center"/>
              <w:rPr>
                <w:rFonts w:ascii="Times New Roman" w:hAnsi="Times New Roman" w:cs="宋体"/>
                <w:b/>
                <w:bCs/>
                <w:color w:val="auto"/>
                <w:kern w:val="0"/>
                <w:sz w:val="18"/>
                <w:szCs w:val="18"/>
                <w:highlight w:val="none"/>
              </w:rPr>
            </w:pPr>
          </w:p>
        </w:tc>
        <w:tc>
          <w:tcPr>
            <w:tcW w:w="1430" w:type="dxa"/>
            <w:tcBorders>
              <w:top w:val="nil"/>
              <w:left w:val="nil"/>
              <w:bottom w:val="single" w:color="auto" w:sz="4" w:space="0"/>
              <w:right w:val="single" w:color="auto" w:sz="4" w:space="0"/>
            </w:tcBorders>
            <w:noWrap w:val="0"/>
            <w:vAlign w:val="center"/>
          </w:tcPr>
          <w:p w14:paraId="522206B4">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从业人员X（人）</w:t>
            </w:r>
          </w:p>
        </w:tc>
        <w:tc>
          <w:tcPr>
            <w:tcW w:w="1681" w:type="dxa"/>
            <w:tcBorders>
              <w:top w:val="nil"/>
              <w:left w:val="nil"/>
              <w:bottom w:val="single" w:color="auto" w:sz="4" w:space="0"/>
              <w:right w:val="single" w:color="auto" w:sz="4" w:space="0"/>
            </w:tcBorders>
            <w:noWrap w:val="0"/>
            <w:vAlign w:val="center"/>
          </w:tcPr>
          <w:p w14:paraId="6D671BE9">
            <w:pPr>
              <w:widowControl/>
              <w:spacing w:line="320" w:lineRule="exact"/>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营业收入Y</w:t>
            </w:r>
          </w:p>
          <w:p w14:paraId="4F5F42CB">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（万元）</w:t>
            </w:r>
          </w:p>
        </w:tc>
        <w:tc>
          <w:tcPr>
            <w:tcW w:w="1586" w:type="dxa"/>
            <w:tcBorders>
              <w:top w:val="nil"/>
              <w:left w:val="nil"/>
              <w:bottom w:val="single" w:color="auto" w:sz="4" w:space="0"/>
              <w:right w:val="single" w:color="auto" w:sz="8" w:space="0"/>
            </w:tcBorders>
            <w:noWrap w:val="0"/>
            <w:vAlign w:val="center"/>
          </w:tcPr>
          <w:p w14:paraId="5CF4B8AC">
            <w:pPr>
              <w:widowControl/>
              <w:spacing w:line="320" w:lineRule="exact"/>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资产总额Z</w:t>
            </w:r>
          </w:p>
          <w:p w14:paraId="27427BE4">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（万元）</w:t>
            </w:r>
          </w:p>
        </w:tc>
        <w:tc>
          <w:tcPr>
            <w:tcW w:w="1183" w:type="dxa"/>
            <w:tcBorders>
              <w:top w:val="nil"/>
              <w:left w:val="nil"/>
              <w:bottom w:val="single" w:color="auto" w:sz="4" w:space="0"/>
              <w:right w:val="single" w:color="auto" w:sz="4" w:space="0"/>
            </w:tcBorders>
            <w:noWrap w:val="0"/>
            <w:vAlign w:val="center"/>
          </w:tcPr>
          <w:p w14:paraId="49C4870F">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从业人员X（人）</w:t>
            </w:r>
          </w:p>
        </w:tc>
        <w:tc>
          <w:tcPr>
            <w:tcW w:w="1412" w:type="dxa"/>
            <w:tcBorders>
              <w:top w:val="nil"/>
              <w:left w:val="nil"/>
              <w:bottom w:val="single" w:color="auto" w:sz="4" w:space="0"/>
              <w:right w:val="single" w:color="auto" w:sz="4" w:space="0"/>
            </w:tcBorders>
            <w:noWrap w:val="0"/>
            <w:vAlign w:val="center"/>
          </w:tcPr>
          <w:p w14:paraId="690D57D4">
            <w:pPr>
              <w:widowControl/>
              <w:spacing w:line="320" w:lineRule="exact"/>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营业收入Y</w:t>
            </w:r>
          </w:p>
          <w:p w14:paraId="6B1FA9BF">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（万元）</w:t>
            </w:r>
          </w:p>
        </w:tc>
        <w:tc>
          <w:tcPr>
            <w:tcW w:w="1452" w:type="dxa"/>
            <w:tcBorders>
              <w:top w:val="nil"/>
              <w:left w:val="nil"/>
              <w:bottom w:val="single" w:color="auto" w:sz="4" w:space="0"/>
              <w:right w:val="single" w:color="auto" w:sz="8" w:space="0"/>
            </w:tcBorders>
            <w:noWrap w:val="0"/>
            <w:vAlign w:val="center"/>
          </w:tcPr>
          <w:p w14:paraId="4FF2C37F">
            <w:pPr>
              <w:widowControl/>
              <w:spacing w:line="320" w:lineRule="exact"/>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资产总额Z</w:t>
            </w:r>
          </w:p>
          <w:p w14:paraId="257CE0F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（万元）</w:t>
            </w:r>
          </w:p>
        </w:tc>
        <w:tc>
          <w:tcPr>
            <w:tcW w:w="1226" w:type="dxa"/>
            <w:tcBorders>
              <w:top w:val="nil"/>
              <w:left w:val="nil"/>
              <w:bottom w:val="single" w:color="auto" w:sz="4" w:space="0"/>
              <w:right w:val="single" w:color="auto" w:sz="4" w:space="0"/>
            </w:tcBorders>
            <w:noWrap w:val="0"/>
            <w:vAlign w:val="center"/>
          </w:tcPr>
          <w:p w14:paraId="3BA1B125">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从业人员X（人）</w:t>
            </w:r>
          </w:p>
        </w:tc>
        <w:tc>
          <w:tcPr>
            <w:tcW w:w="1216" w:type="dxa"/>
            <w:tcBorders>
              <w:top w:val="nil"/>
              <w:left w:val="nil"/>
              <w:bottom w:val="single" w:color="auto" w:sz="4" w:space="0"/>
              <w:right w:val="single" w:color="auto" w:sz="4" w:space="0"/>
            </w:tcBorders>
            <w:noWrap w:val="0"/>
            <w:vAlign w:val="center"/>
          </w:tcPr>
          <w:p w14:paraId="19F31ACE">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营业收入Y（万元）</w:t>
            </w:r>
          </w:p>
        </w:tc>
        <w:tc>
          <w:tcPr>
            <w:tcW w:w="1170" w:type="dxa"/>
            <w:tcBorders>
              <w:top w:val="nil"/>
              <w:left w:val="nil"/>
              <w:bottom w:val="single" w:color="auto" w:sz="4" w:space="0"/>
              <w:right w:val="single" w:color="auto" w:sz="8" w:space="0"/>
            </w:tcBorders>
            <w:noWrap w:val="0"/>
            <w:vAlign w:val="center"/>
          </w:tcPr>
          <w:p w14:paraId="01520E24">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资产总额Z（万元）</w:t>
            </w:r>
          </w:p>
        </w:tc>
      </w:tr>
      <w:tr w14:paraId="3A491188">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1B6727B0">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1、农林牧渔业</w:t>
            </w:r>
          </w:p>
        </w:tc>
        <w:tc>
          <w:tcPr>
            <w:tcW w:w="1430" w:type="dxa"/>
            <w:tcBorders>
              <w:top w:val="nil"/>
              <w:left w:val="nil"/>
              <w:bottom w:val="single" w:color="auto" w:sz="4" w:space="0"/>
              <w:right w:val="single" w:color="auto" w:sz="4" w:space="0"/>
            </w:tcBorders>
            <w:noWrap w:val="0"/>
            <w:vAlign w:val="center"/>
          </w:tcPr>
          <w:p w14:paraId="013B8A08">
            <w:pPr>
              <w:widowControl/>
              <w:spacing w:line="320" w:lineRule="exact"/>
              <w:jc w:val="center"/>
              <w:rPr>
                <w:rFonts w:ascii="Times New Roman" w:hAnsi="Times New Roman" w:cs="宋体"/>
                <w:color w:val="auto"/>
                <w:kern w:val="0"/>
                <w:sz w:val="18"/>
                <w:szCs w:val="18"/>
                <w:highlight w:val="none"/>
              </w:rPr>
            </w:pPr>
          </w:p>
        </w:tc>
        <w:tc>
          <w:tcPr>
            <w:tcW w:w="1681" w:type="dxa"/>
            <w:tcBorders>
              <w:top w:val="nil"/>
              <w:left w:val="nil"/>
              <w:bottom w:val="single" w:color="auto" w:sz="4" w:space="0"/>
              <w:right w:val="single" w:color="auto" w:sz="4" w:space="0"/>
            </w:tcBorders>
            <w:noWrap w:val="0"/>
            <w:vAlign w:val="center"/>
          </w:tcPr>
          <w:p w14:paraId="4CC7FAF2">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500≤Y＜20000</w:t>
            </w:r>
          </w:p>
        </w:tc>
        <w:tc>
          <w:tcPr>
            <w:tcW w:w="1586" w:type="dxa"/>
            <w:tcBorders>
              <w:top w:val="nil"/>
              <w:left w:val="nil"/>
              <w:bottom w:val="single" w:color="auto" w:sz="4" w:space="0"/>
              <w:right w:val="single" w:color="auto" w:sz="8" w:space="0"/>
            </w:tcBorders>
            <w:noWrap w:val="0"/>
            <w:vAlign w:val="center"/>
          </w:tcPr>
          <w:p w14:paraId="36CAA937">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2A90F6B3">
            <w:pPr>
              <w:widowControl/>
              <w:spacing w:line="320" w:lineRule="exact"/>
              <w:jc w:val="center"/>
              <w:rPr>
                <w:rFonts w:ascii="Times New Roman" w:hAnsi="Times New Roman" w:cs="宋体"/>
                <w:color w:val="auto"/>
                <w:kern w:val="0"/>
                <w:sz w:val="18"/>
                <w:szCs w:val="18"/>
                <w:highlight w:val="none"/>
              </w:rPr>
            </w:pPr>
          </w:p>
        </w:tc>
        <w:tc>
          <w:tcPr>
            <w:tcW w:w="1412" w:type="dxa"/>
            <w:tcBorders>
              <w:top w:val="nil"/>
              <w:left w:val="nil"/>
              <w:bottom w:val="single" w:color="auto" w:sz="4" w:space="0"/>
              <w:right w:val="single" w:color="auto" w:sz="4" w:space="0"/>
            </w:tcBorders>
            <w:noWrap w:val="0"/>
            <w:vAlign w:val="center"/>
          </w:tcPr>
          <w:p w14:paraId="7F3EF73B">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50≤Y＜500</w:t>
            </w:r>
          </w:p>
        </w:tc>
        <w:tc>
          <w:tcPr>
            <w:tcW w:w="1452" w:type="dxa"/>
            <w:tcBorders>
              <w:top w:val="nil"/>
              <w:left w:val="nil"/>
              <w:bottom w:val="single" w:color="auto" w:sz="4" w:space="0"/>
              <w:right w:val="single" w:color="auto" w:sz="8" w:space="0"/>
            </w:tcBorders>
            <w:noWrap w:val="0"/>
            <w:vAlign w:val="center"/>
          </w:tcPr>
          <w:p w14:paraId="2F70770C">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63611134">
            <w:pPr>
              <w:widowControl/>
              <w:spacing w:line="320" w:lineRule="exact"/>
              <w:jc w:val="center"/>
              <w:rPr>
                <w:rFonts w:ascii="Times New Roman" w:hAnsi="Times New Roman" w:cs="宋体"/>
                <w:color w:val="auto"/>
                <w:kern w:val="0"/>
                <w:sz w:val="18"/>
                <w:szCs w:val="18"/>
                <w:highlight w:val="none"/>
              </w:rPr>
            </w:pPr>
          </w:p>
        </w:tc>
        <w:tc>
          <w:tcPr>
            <w:tcW w:w="1216" w:type="dxa"/>
            <w:tcBorders>
              <w:top w:val="nil"/>
              <w:left w:val="nil"/>
              <w:bottom w:val="single" w:color="auto" w:sz="4" w:space="0"/>
              <w:right w:val="single" w:color="auto" w:sz="4" w:space="0"/>
            </w:tcBorders>
            <w:noWrap w:val="0"/>
            <w:vAlign w:val="center"/>
          </w:tcPr>
          <w:p w14:paraId="37F66524">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Y＜50</w:t>
            </w:r>
          </w:p>
        </w:tc>
        <w:tc>
          <w:tcPr>
            <w:tcW w:w="1170" w:type="dxa"/>
            <w:tcBorders>
              <w:top w:val="nil"/>
              <w:left w:val="nil"/>
              <w:bottom w:val="single" w:color="auto" w:sz="4" w:space="0"/>
              <w:right w:val="single" w:color="auto" w:sz="8" w:space="0"/>
            </w:tcBorders>
            <w:noWrap w:val="0"/>
            <w:vAlign w:val="center"/>
          </w:tcPr>
          <w:p w14:paraId="6C412D56">
            <w:pPr>
              <w:widowControl/>
              <w:spacing w:line="320" w:lineRule="exact"/>
              <w:jc w:val="center"/>
              <w:rPr>
                <w:rFonts w:ascii="Times New Roman" w:hAnsi="Times New Roman" w:cs="宋体"/>
                <w:color w:val="auto"/>
                <w:kern w:val="0"/>
                <w:sz w:val="18"/>
                <w:szCs w:val="18"/>
                <w:highlight w:val="none"/>
              </w:rPr>
            </w:pPr>
          </w:p>
        </w:tc>
      </w:tr>
      <w:tr w14:paraId="656E39CF">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571110E8">
            <w:pPr>
              <w:widowControl/>
              <w:spacing w:line="320" w:lineRule="exact"/>
              <w:jc w:val="center"/>
              <w:rPr>
                <w:rFonts w:ascii="Times New Roman" w:hAnsi="Times New Roman" w:cs="宋体"/>
                <w:b/>
                <w:color w:val="auto"/>
                <w:kern w:val="0"/>
                <w:sz w:val="18"/>
                <w:szCs w:val="18"/>
                <w:highlight w:val="none"/>
              </w:rPr>
            </w:pPr>
            <w:r>
              <w:rPr>
                <w:rFonts w:hint="eastAsia" w:ascii="Times New Roman" w:hAnsi="Times New Roman" w:cs="宋体"/>
                <w:b/>
                <w:color w:val="auto"/>
                <w:kern w:val="0"/>
                <w:sz w:val="18"/>
                <w:szCs w:val="18"/>
                <w:highlight w:val="none"/>
              </w:rPr>
              <w:t>2、工业</w:t>
            </w:r>
          </w:p>
        </w:tc>
        <w:tc>
          <w:tcPr>
            <w:tcW w:w="1430" w:type="dxa"/>
            <w:tcBorders>
              <w:top w:val="nil"/>
              <w:left w:val="nil"/>
              <w:bottom w:val="single" w:color="auto" w:sz="4" w:space="0"/>
              <w:right w:val="single" w:color="auto" w:sz="4" w:space="0"/>
            </w:tcBorders>
            <w:noWrap w:val="0"/>
            <w:vAlign w:val="center"/>
          </w:tcPr>
          <w:p w14:paraId="236A8612">
            <w:pPr>
              <w:widowControl/>
              <w:spacing w:line="320" w:lineRule="exact"/>
              <w:jc w:val="center"/>
              <w:rPr>
                <w:rFonts w:ascii="Times New Roman" w:hAnsi="Times New Roman" w:cs="宋体"/>
                <w:b/>
                <w:color w:val="auto"/>
                <w:kern w:val="0"/>
                <w:sz w:val="18"/>
                <w:szCs w:val="18"/>
                <w:highlight w:val="none"/>
              </w:rPr>
            </w:pPr>
            <w:r>
              <w:rPr>
                <w:rFonts w:hint="eastAsia" w:ascii="Times New Roman" w:hAnsi="Times New Roman" w:cs="宋体"/>
                <w:b/>
                <w:color w:val="auto"/>
                <w:kern w:val="0"/>
                <w:sz w:val="18"/>
                <w:szCs w:val="18"/>
                <w:highlight w:val="none"/>
              </w:rPr>
              <w:t>300≤X＜1000</w:t>
            </w:r>
          </w:p>
        </w:tc>
        <w:tc>
          <w:tcPr>
            <w:tcW w:w="1681" w:type="dxa"/>
            <w:tcBorders>
              <w:top w:val="nil"/>
              <w:left w:val="nil"/>
              <w:bottom w:val="single" w:color="auto" w:sz="4" w:space="0"/>
              <w:right w:val="single" w:color="auto" w:sz="4" w:space="0"/>
            </w:tcBorders>
            <w:noWrap w:val="0"/>
            <w:vAlign w:val="center"/>
          </w:tcPr>
          <w:p w14:paraId="6CF92C11">
            <w:pPr>
              <w:widowControl/>
              <w:spacing w:line="320" w:lineRule="exact"/>
              <w:jc w:val="center"/>
              <w:rPr>
                <w:rFonts w:ascii="Times New Roman" w:hAnsi="Times New Roman" w:cs="宋体"/>
                <w:b/>
                <w:color w:val="auto"/>
                <w:kern w:val="0"/>
                <w:sz w:val="18"/>
                <w:szCs w:val="18"/>
                <w:highlight w:val="none"/>
              </w:rPr>
            </w:pPr>
            <w:r>
              <w:rPr>
                <w:rFonts w:hint="eastAsia" w:ascii="Times New Roman" w:hAnsi="Times New Roman" w:cs="宋体"/>
                <w:b/>
                <w:color w:val="auto"/>
                <w:kern w:val="0"/>
                <w:sz w:val="18"/>
                <w:szCs w:val="18"/>
                <w:highlight w:val="none"/>
              </w:rPr>
              <w:t>2000≤Y＜40000</w:t>
            </w:r>
          </w:p>
        </w:tc>
        <w:tc>
          <w:tcPr>
            <w:tcW w:w="1586" w:type="dxa"/>
            <w:tcBorders>
              <w:top w:val="nil"/>
              <w:left w:val="nil"/>
              <w:bottom w:val="single" w:color="auto" w:sz="4" w:space="0"/>
              <w:right w:val="single" w:color="auto" w:sz="8" w:space="0"/>
            </w:tcBorders>
            <w:noWrap w:val="0"/>
            <w:vAlign w:val="center"/>
          </w:tcPr>
          <w:p w14:paraId="32A3926C">
            <w:pPr>
              <w:widowControl/>
              <w:spacing w:line="320" w:lineRule="exact"/>
              <w:jc w:val="center"/>
              <w:rPr>
                <w:rFonts w:ascii="Times New Roman" w:hAnsi="Times New Roman" w:cs="宋体"/>
                <w:b/>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58FBB378">
            <w:pPr>
              <w:widowControl/>
              <w:spacing w:line="320" w:lineRule="exact"/>
              <w:jc w:val="center"/>
              <w:rPr>
                <w:rFonts w:ascii="Times New Roman" w:hAnsi="Times New Roman" w:cs="宋体"/>
                <w:b/>
                <w:color w:val="auto"/>
                <w:kern w:val="0"/>
                <w:sz w:val="18"/>
                <w:szCs w:val="18"/>
                <w:highlight w:val="none"/>
              </w:rPr>
            </w:pPr>
            <w:r>
              <w:rPr>
                <w:rFonts w:hint="eastAsia" w:ascii="Times New Roman" w:hAnsi="Times New Roman" w:cs="宋体"/>
                <w:b/>
                <w:color w:val="auto"/>
                <w:kern w:val="0"/>
                <w:sz w:val="18"/>
                <w:szCs w:val="18"/>
                <w:highlight w:val="none"/>
              </w:rPr>
              <w:t>20≤X＜300</w:t>
            </w:r>
          </w:p>
        </w:tc>
        <w:tc>
          <w:tcPr>
            <w:tcW w:w="1412" w:type="dxa"/>
            <w:tcBorders>
              <w:top w:val="nil"/>
              <w:left w:val="nil"/>
              <w:bottom w:val="single" w:color="auto" w:sz="4" w:space="0"/>
              <w:right w:val="single" w:color="auto" w:sz="4" w:space="0"/>
            </w:tcBorders>
            <w:noWrap w:val="0"/>
            <w:vAlign w:val="center"/>
          </w:tcPr>
          <w:p w14:paraId="37BC345F">
            <w:pPr>
              <w:widowControl/>
              <w:spacing w:line="320" w:lineRule="exact"/>
              <w:jc w:val="center"/>
              <w:rPr>
                <w:rFonts w:ascii="Times New Roman" w:hAnsi="Times New Roman" w:cs="宋体"/>
                <w:b/>
                <w:color w:val="auto"/>
                <w:kern w:val="0"/>
                <w:sz w:val="18"/>
                <w:szCs w:val="18"/>
                <w:highlight w:val="none"/>
              </w:rPr>
            </w:pPr>
            <w:r>
              <w:rPr>
                <w:rFonts w:hint="eastAsia" w:ascii="Times New Roman" w:hAnsi="Times New Roman" w:cs="宋体"/>
                <w:b/>
                <w:color w:val="auto"/>
                <w:kern w:val="0"/>
                <w:sz w:val="18"/>
                <w:szCs w:val="18"/>
                <w:highlight w:val="none"/>
              </w:rPr>
              <w:t>300≤Y＜2000</w:t>
            </w:r>
          </w:p>
        </w:tc>
        <w:tc>
          <w:tcPr>
            <w:tcW w:w="1452" w:type="dxa"/>
            <w:tcBorders>
              <w:top w:val="nil"/>
              <w:left w:val="nil"/>
              <w:bottom w:val="single" w:color="auto" w:sz="4" w:space="0"/>
              <w:right w:val="single" w:color="auto" w:sz="8" w:space="0"/>
            </w:tcBorders>
            <w:noWrap w:val="0"/>
            <w:vAlign w:val="center"/>
          </w:tcPr>
          <w:p w14:paraId="7938A587">
            <w:pPr>
              <w:widowControl/>
              <w:spacing w:line="320" w:lineRule="exact"/>
              <w:jc w:val="center"/>
              <w:rPr>
                <w:rFonts w:ascii="Times New Roman" w:hAnsi="Times New Roman" w:cs="宋体"/>
                <w:b/>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73236E4D">
            <w:pPr>
              <w:widowControl/>
              <w:spacing w:line="320" w:lineRule="exact"/>
              <w:jc w:val="center"/>
              <w:rPr>
                <w:rFonts w:ascii="Times New Roman" w:hAnsi="Times New Roman" w:cs="宋体"/>
                <w:b/>
                <w:color w:val="auto"/>
                <w:kern w:val="0"/>
                <w:sz w:val="18"/>
                <w:szCs w:val="18"/>
                <w:highlight w:val="none"/>
              </w:rPr>
            </w:pPr>
            <w:r>
              <w:rPr>
                <w:rFonts w:hint="eastAsia" w:ascii="Times New Roman" w:hAnsi="Times New Roman" w:cs="宋体"/>
                <w:b/>
                <w:color w:val="auto"/>
                <w:kern w:val="0"/>
                <w:sz w:val="18"/>
                <w:szCs w:val="18"/>
                <w:highlight w:val="none"/>
              </w:rPr>
              <w:t>X＜20</w:t>
            </w:r>
          </w:p>
        </w:tc>
        <w:tc>
          <w:tcPr>
            <w:tcW w:w="1216" w:type="dxa"/>
            <w:tcBorders>
              <w:top w:val="nil"/>
              <w:left w:val="nil"/>
              <w:bottom w:val="single" w:color="auto" w:sz="4" w:space="0"/>
              <w:right w:val="single" w:color="auto" w:sz="4" w:space="0"/>
            </w:tcBorders>
            <w:noWrap w:val="0"/>
            <w:vAlign w:val="center"/>
          </w:tcPr>
          <w:p w14:paraId="0D0E7107">
            <w:pPr>
              <w:widowControl/>
              <w:spacing w:line="320" w:lineRule="exact"/>
              <w:jc w:val="center"/>
              <w:rPr>
                <w:rFonts w:ascii="Times New Roman" w:hAnsi="Times New Roman" w:cs="宋体"/>
                <w:b/>
                <w:color w:val="auto"/>
                <w:kern w:val="0"/>
                <w:sz w:val="18"/>
                <w:szCs w:val="18"/>
                <w:highlight w:val="none"/>
              </w:rPr>
            </w:pPr>
            <w:r>
              <w:rPr>
                <w:rFonts w:hint="eastAsia" w:ascii="Times New Roman" w:hAnsi="Times New Roman" w:cs="宋体"/>
                <w:b/>
                <w:color w:val="auto"/>
                <w:kern w:val="0"/>
                <w:sz w:val="18"/>
                <w:szCs w:val="18"/>
                <w:highlight w:val="none"/>
              </w:rPr>
              <w:t>Y＜300</w:t>
            </w:r>
          </w:p>
        </w:tc>
        <w:tc>
          <w:tcPr>
            <w:tcW w:w="1170" w:type="dxa"/>
            <w:tcBorders>
              <w:top w:val="nil"/>
              <w:left w:val="nil"/>
              <w:bottom w:val="single" w:color="auto" w:sz="4" w:space="0"/>
              <w:right w:val="single" w:color="auto" w:sz="8" w:space="0"/>
            </w:tcBorders>
            <w:noWrap w:val="0"/>
            <w:vAlign w:val="center"/>
          </w:tcPr>
          <w:p w14:paraId="1BC0472E">
            <w:pPr>
              <w:widowControl/>
              <w:spacing w:line="320" w:lineRule="exact"/>
              <w:jc w:val="center"/>
              <w:rPr>
                <w:rFonts w:ascii="Times New Roman" w:hAnsi="Times New Roman" w:cs="宋体"/>
                <w:b/>
                <w:color w:val="auto"/>
                <w:kern w:val="0"/>
                <w:sz w:val="18"/>
                <w:szCs w:val="18"/>
                <w:highlight w:val="none"/>
              </w:rPr>
            </w:pPr>
          </w:p>
        </w:tc>
      </w:tr>
      <w:tr w14:paraId="772CAD0F">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56E1DBA0">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3、建筑业</w:t>
            </w:r>
          </w:p>
        </w:tc>
        <w:tc>
          <w:tcPr>
            <w:tcW w:w="1430" w:type="dxa"/>
            <w:tcBorders>
              <w:top w:val="nil"/>
              <w:left w:val="nil"/>
              <w:bottom w:val="single" w:color="auto" w:sz="4" w:space="0"/>
              <w:right w:val="single" w:color="auto" w:sz="4" w:space="0"/>
            </w:tcBorders>
            <w:noWrap w:val="0"/>
            <w:vAlign w:val="center"/>
          </w:tcPr>
          <w:p w14:paraId="0126AB0A">
            <w:pPr>
              <w:widowControl/>
              <w:spacing w:line="320" w:lineRule="exact"/>
              <w:jc w:val="center"/>
              <w:rPr>
                <w:rFonts w:ascii="Times New Roman" w:hAnsi="Times New Roman" w:cs="宋体"/>
                <w:color w:val="auto"/>
                <w:kern w:val="0"/>
                <w:sz w:val="18"/>
                <w:szCs w:val="18"/>
                <w:highlight w:val="none"/>
              </w:rPr>
            </w:pPr>
          </w:p>
        </w:tc>
        <w:tc>
          <w:tcPr>
            <w:tcW w:w="1681" w:type="dxa"/>
            <w:tcBorders>
              <w:top w:val="nil"/>
              <w:left w:val="nil"/>
              <w:bottom w:val="single" w:color="auto" w:sz="4" w:space="0"/>
              <w:right w:val="single" w:color="auto" w:sz="4" w:space="0"/>
            </w:tcBorders>
            <w:noWrap w:val="0"/>
            <w:vAlign w:val="center"/>
          </w:tcPr>
          <w:p w14:paraId="2F39D19F">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6000≤Y＜80000</w:t>
            </w:r>
          </w:p>
        </w:tc>
        <w:tc>
          <w:tcPr>
            <w:tcW w:w="1586" w:type="dxa"/>
            <w:tcBorders>
              <w:top w:val="nil"/>
              <w:left w:val="nil"/>
              <w:bottom w:val="single" w:color="auto" w:sz="4" w:space="0"/>
              <w:right w:val="single" w:color="auto" w:sz="8" w:space="0"/>
            </w:tcBorders>
            <w:noWrap w:val="0"/>
            <w:vAlign w:val="center"/>
          </w:tcPr>
          <w:p w14:paraId="4E71C768">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5000≤Z＜80000</w:t>
            </w:r>
          </w:p>
        </w:tc>
        <w:tc>
          <w:tcPr>
            <w:tcW w:w="1183" w:type="dxa"/>
            <w:tcBorders>
              <w:top w:val="nil"/>
              <w:left w:val="nil"/>
              <w:bottom w:val="single" w:color="auto" w:sz="4" w:space="0"/>
              <w:right w:val="single" w:color="auto" w:sz="4" w:space="0"/>
            </w:tcBorders>
            <w:noWrap w:val="0"/>
            <w:vAlign w:val="center"/>
          </w:tcPr>
          <w:p w14:paraId="384CC22D">
            <w:pPr>
              <w:widowControl/>
              <w:spacing w:line="320" w:lineRule="exact"/>
              <w:jc w:val="center"/>
              <w:rPr>
                <w:rFonts w:ascii="Times New Roman" w:hAnsi="Times New Roman" w:cs="宋体"/>
                <w:color w:val="auto"/>
                <w:kern w:val="0"/>
                <w:sz w:val="18"/>
                <w:szCs w:val="18"/>
                <w:highlight w:val="none"/>
              </w:rPr>
            </w:pPr>
          </w:p>
        </w:tc>
        <w:tc>
          <w:tcPr>
            <w:tcW w:w="1412" w:type="dxa"/>
            <w:tcBorders>
              <w:top w:val="nil"/>
              <w:left w:val="nil"/>
              <w:bottom w:val="single" w:color="auto" w:sz="4" w:space="0"/>
              <w:right w:val="single" w:color="auto" w:sz="4" w:space="0"/>
            </w:tcBorders>
            <w:noWrap w:val="0"/>
            <w:vAlign w:val="center"/>
          </w:tcPr>
          <w:p w14:paraId="55C4FB80">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300≤Y＜6000</w:t>
            </w:r>
          </w:p>
        </w:tc>
        <w:tc>
          <w:tcPr>
            <w:tcW w:w="1452" w:type="dxa"/>
            <w:tcBorders>
              <w:top w:val="nil"/>
              <w:left w:val="nil"/>
              <w:bottom w:val="single" w:color="auto" w:sz="4" w:space="0"/>
              <w:right w:val="single" w:color="auto" w:sz="8" w:space="0"/>
            </w:tcBorders>
            <w:noWrap w:val="0"/>
            <w:vAlign w:val="center"/>
          </w:tcPr>
          <w:p w14:paraId="2B8B597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300≤Z＜5000</w:t>
            </w:r>
          </w:p>
        </w:tc>
        <w:tc>
          <w:tcPr>
            <w:tcW w:w="1226" w:type="dxa"/>
            <w:tcBorders>
              <w:top w:val="nil"/>
              <w:left w:val="nil"/>
              <w:bottom w:val="single" w:color="auto" w:sz="4" w:space="0"/>
              <w:right w:val="single" w:color="auto" w:sz="4" w:space="0"/>
            </w:tcBorders>
            <w:noWrap w:val="0"/>
            <w:vAlign w:val="center"/>
          </w:tcPr>
          <w:p w14:paraId="095CB65C">
            <w:pPr>
              <w:widowControl/>
              <w:spacing w:line="320" w:lineRule="exact"/>
              <w:jc w:val="center"/>
              <w:rPr>
                <w:rFonts w:ascii="Times New Roman" w:hAnsi="Times New Roman" w:cs="宋体"/>
                <w:color w:val="auto"/>
                <w:kern w:val="0"/>
                <w:sz w:val="18"/>
                <w:szCs w:val="18"/>
                <w:highlight w:val="none"/>
              </w:rPr>
            </w:pPr>
          </w:p>
        </w:tc>
        <w:tc>
          <w:tcPr>
            <w:tcW w:w="1216" w:type="dxa"/>
            <w:tcBorders>
              <w:top w:val="nil"/>
              <w:left w:val="nil"/>
              <w:bottom w:val="single" w:color="auto" w:sz="4" w:space="0"/>
              <w:right w:val="single" w:color="auto" w:sz="4" w:space="0"/>
            </w:tcBorders>
            <w:noWrap w:val="0"/>
            <w:vAlign w:val="center"/>
          </w:tcPr>
          <w:p w14:paraId="21959F0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Y＜300</w:t>
            </w:r>
          </w:p>
        </w:tc>
        <w:tc>
          <w:tcPr>
            <w:tcW w:w="1170" w:type="dxa"/>
            <w:tcBorders>
              <w:top w:val="nil"/>
              <w:left w:val="nil"/>
              <w:bottom w:val="single" w:color="auto" w:sz="4" w:space="0"/>
              <w:right w:val="single" w:color="auto" w:sz="8" w:space="0"/>
            </w:tcBorders>
            <w:noWrap w:val="0"/>
            <w:vAlign w:val="center"/>
          </w:tcPr>
          <w:p w14:paraId="344220C1">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Z＜300</w:t>
            </w:r>
          </w:p>
        </w:tc>
      </w:tr>
      <w:tr w14:paraId="4E1AD898">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45FF859E">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4、批发业</w:t>
            </w:r>
          </w:p>
        </w:tc>
        <w:tc>
          <w:tcPr>
            <w:tcW w:w="1430" w:type="dxa"/>
            <w:tcBorders>
              <w:top w:val="nil"/>
              <w:left w:val="nil"/>
              <w:bottom w:val="single" w:color="auto" w:sz="4" w:space="0"/>
              <w:right w:val="single" w:color="auto" w:sz="4" w:space="0"/>
            </w:tcBorders>
            <w:noWrap w:val="0"/>
            <w:vAlign w:val="center"/>
          </w:tcPr>
          <w:p w14:paraId="3D58E74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20≤X＜200</w:t>
            </w:r>
          </w:p>
        </w:tc>
        <w:tc>
          <w:tcPr>
            <w:tcW w:w="1681" w:type="dxa"/>
            <w:tcBorders>
              <w:top w:val="nil"/>
              <w:left w:val="nil"/>
              <w:bottom w:val="single" w:color="auto" w:sz="4" w:space="0"/>
              <w:right w:val="single" w:color="auto" w:sz="4" w:space="0"/>
            </w:tcBorders>
            <w:noWrap w:val="0"/>
            <w:vAlign w:val="center"/>
          </w:tcPr>
          <w:p w14:paraId="0306FE20">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5000≤Y＜40000</w:t>
            </w:r>
          </w:p>
        </w:tc>
        <w:tc>
          <w:tcPr>
            <w:tcW w:w="1586" w:type="dxa"/>
            <w:tcBorders>
              <w:top w:val="nil"/>
              <w:left w:val="nil"/>
              <w:bottom w:val="single" w:color="auto" w:sz="4" w:space="0"/>
              <w:right w:val="single" w:color="auto" w:sz="8" w:space="0"/>
            </w:tcBorders>
            <w:noWrap w:val="0"/>
            <w:vAlign w:val="center"/>
          </w:tcPr>
          <w:p w14:paraId="32BE080B">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5828400B">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5≤X＜20</w:t>
            </w:r>
          </w:p>
        </w:tc>
        <w:tc>
          <w:tcPr>
            <w:tcW w:w="1412" w:type="dxa"/>
            <w:tcBorders>
              <w:top w:val="nil"/>
              <w:left w:val="nil"/>
              <w:bottom w:val="single" w:color="auto" w:sz="4" w:space="0"/>
              <w:right w:val="single" w:color="auto" w:sz="4" w:space="0"/>
            </w:tcBorders>
            <w:noWrap w:val="0"/>
            <w:vAlign w:val="center"/>
          </w:tcPr>
          <w:p w14:paraId="7787B841">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1000≤Y＜5000</w:t>
            </w:r>
          </w:p>
        </w:tc>
        <w:tc>
          <w:tcPr>
            <w:tcW w:w="1452" w:type="dxa"/>
            <w:tcBorders>
              <w:top w:val="nil"/>
              <w:left w:val="nil"/>
              <w:bottom w:val="single" w:color="auto" w:sz="4" w:space="0"/>
              <w:right w:val="single" w:color="auto" w:sz="8" w:space="0"/>
            </w:tcBorders>
            <w:noWrap w:val="0"/>
            <w:vAlign w:val="center"/>
          </w:tcPr>
          <w:p w14:paraId="2606C582">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33D0D7C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X＜5</w:t>
            </w:r>
          </w:p>
        </w:tc>
        <w:tc>
          <w:tcPr>
            <w:tcW w:w="1216" w:type="dxa"/>
            <w:tcBorders>
              <w:top w:val="nil"/>
              <w:left w:val="nil"/>
              <w:bottom w:val="single" w:color="auto" w:sz="4" w:space="0"/>
              <w:right w:val="single" w:color="auto" w:sz="4" w:space="0"/>
            </w:tcBorders>
            <w:noWrap w:val="0"/>
            <w:vAlign w:val="center"/>
          </w:tcPr>
          <w:p w14:paraId="253391DC">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Y＜1000</w:t>
            </w:r>
          </w:p>
        </w:tc>
        <w:tc>
          <w:tcPr>
            <w:tcW w:w="1170" w:type="dxa"/>
            <w:tcBorders>
              <w:top w:val="nil"/>
              <w:left w:val="nil"/>
              <w:bottom w:val="single" w:color="auto" w:sz="4" w:space="0"/>
              <w:right w:val="single" w:color="auto" w:sz="8" w:space="0"/>
            </w:tcBorders>
            <w:noWrap w:val="0"/>
            <w:vAlign w:val="center"/>
          </w:tcPr>
          <w:p w14:paraId="2F6BEE2C">
            <w:pPr>
              <w:widowControl/>
              <w:spacing w:line="320" w:lineRule="exact"/>
              <w:jc w:val="center"/>
              <w:rPr>
                <w:rFonts w:ascii="Times New Roman" w:hAnsi="Times New Roman" w:cs="宋体"/>
                <w:color w:val="auto"/>
                <w:kern w:val="0"/>
                <w:sz w:val="18"/>
                <w:szCs w:val="18"/>
                <w:highlight w:val="none"/>
              </w:rPr>
            </w:pPr>
          </w:p>
        </w:tc>
      </w:tr>
      <w:tr w14:paraId="25A1E523">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3F17015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5、零售业</w:t>
            </w:r>
          </w:p>
        </w:tc>
        <w:tc>
          <w:tcPr>
            <w:tcW w:w="1430" w:type="dxa"/>
            <w:tcBorders>
              <w:top w:val="nil"/>
              <w:left w:val="nil"/>
              <w:bottom w:val="single" w:color="auto" w:sz="4" w:space="0"/>
              <w:right w:val="single" w:color="auto" w:sz="4" w:space="0"/>
            </w:tcBorders>
            <w:noWrap w:val="0"/>
            <w:vAlign w:val="center"/>
          </w:tcPr>
          <w:p w14:paraId="32FD218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50≤X＜300</w:t>
            </w:r>
          </w:p>
        </w:tc>
        <w:tc>
          <w:tcPr>
            <w:tcW w:w="1681" w:type="dxa"/>
            <w:tcBorders>
              <w:top w:val="nil"/>
              <w:left w:val="nil"/>
              <w:bottom w:val="single" w:color="auto" w:sz="4" w:space="0"/>
              <w:right w:val="single" w:color="auto" w:sz="4" w:space="0"/>
            </w:tcBorders>
            <w:noWrap w:val="0"/>
            <w:vAlign w:val="center"/>
          </w:tcPr>
          <w:p w14:paraId="2C49080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500≤Y＜20000</w:t>
            </w:r>
          </w:p>
        </w:tc>
        <w:tc>
          <w:tcPr>
            <w:tcW w:w="1586" w:type="dxa"/>
            <w:tcBorders>
              <w:top w:val="nil"/>
              <w:left w:val="nil"/>
              <w:bottom w:val="single" w:color="auto" w:sz="4" w:space="0"/>
              <w:right w:val="single" w:color="auto" w:sz="8" w:space="0"/>
            </w:tcBorders>
            <w:noWrap w:val="0"/>
            <w:vAlign w:val="center"/>
          </w:tcPr>
          <w:p w14:paraId="3710314F">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0B7A6598">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10≤X＜50</w:t>
            </w:r>
          </w:p>
        </w:tc>
        <w:tc>
          <w:tcPr>
            <w:tcW w:w="1412" w:type="dxa"/>
            <w:tcBorders>
              <w:top w:val="nil"/>
              <w:left w:val="nil"/>
              <w:bottom w:val="single" w:color="auto" w:sz="4" w:space="0"/>
              <w:right w:val="single" w:color="auto" w:sz="4" w:space="0"/>
            </w:tcBorders>
            <w:noWrap w:val="0"/>
            <w:vAlign w:val="center"/>
          </w:tcPr>
          <w:p w14:paraId="7F61BC44">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100≤Y＜500</w:t>
            </w:r>
          </w:p>
        </w:tc>
        <w:tc>
          <w:tcPr>
            <w:tcW w:w="1452" w:type="dxa"/>
            <w:tcBorders>
              <w:top w:val="nil"/>
              <w:left w:val="nil"/>
              <w:bottom w:val="single" w:color="auto" w:sz="4" w:space="0"/>
              <w:right w:val="single" w:color="auto" w:sz="8" w:space="0"/>
            </w:tcBorders>
            <w:noWrap w:val="0"/>
            <w:vAlign w:val="center"/>
          </w:tcPr>
          <w:p w14:paraId="13C63DDE">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58A0AF28">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X＜10</w:t>
            </w:r>
          </w:p>
        </w:tc>
        <w:tc>
          <w:tcPr>
            <w:tcW w:w="1216" w:type="dxa"/>
            <w:tcBorders>
              <w:top w:val="nil"/>
              <w:left w:val="nil"/>
              <w:bottom w:val="single" w:color="auto" w:sz="4" w:space="0"/>
              <w:right w:val="single" w:color="auto" w:sz="4" w:space="0"/>
            </w:tcBorders>
            <w:noWrap w:val="0"/>
            <w:vAlign w:val="center"/>
          </w:tcPr>
          <w:p w14:paraId="56451151">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Y＜100</w:t>
            </w:r>
          </w:p>
        </w:tc>
        <w:tc>
          <w:tcPr>
            <w:tcW w:w="1170" w:type="dxa"/>
            <w:tcBorders>
              <w:top w:val="nil"/>
              <w:left w:val="nil"/>
              <w:bottom w:val="single" w:color="auto" w:sz="4" w:space="0"/>
              <w:right w:val="single" w:color="auto" w:sz="8" w:space="0"/>
            </w:tcBorders>
            <w:noWrap w:val="0"/>
            <w:vAlign w:val="center"/>
          </w:tcPr>
          <w:p w14:paraId="580EE6EE">
            <w:pPr>
              <w:widowControl/>
              <w:spacing w:line="320" w:lineRule="exact"/>
              <w:jc w:val="center"/>
              <w:rPr>
                <w:rFonts w:ascii="Times New Roman" w:hAnsi="Times New Roman" w:cs="宋体"/>
                <w:color w:val="auto"/>
                <w:kern w:val="0"/>
                <w:sz w:val="18"/>
                <w:szCs w:val="18"/>
                <w:highlight w:val="none"/>
              </w:rPr>
            </w:pPr>
          </w:p>
        </w:tc>
      </w:tr>
      <w:tr w14:paraId="79DFFFEA">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03901120">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6、交通运输业</w:t>
            </w:r>
          </w:p>
        </w:tc>
        <w:tc>
          <w:tcPr>
            <w:tcW w:w="1430" w:type="dxa"/>
            <w:tcBorders>
              <w:top w:val="nil"/>
              <w:left w:val="nil"/>
              <w:bottom w:val="single" w:color="auto" w:sz="4" w:space="0"/>
              <w:right w:val="single" w:color="auto" w:sz="4" w:space="0"/>
            </w:tcBorders>
            <w:noWrap w:val="0"/>
            <w:vAlign w:val="center"/>
          </w:tcPr>
          <w:p w14:paraId="161C5C61">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300≤X＜1000</w:t>
            </w:r>
          </w:p>
        </w:tc>
        <w:tc>
          <w:tcPr>
            <w:tcW w:w="1681" w:type="dxa"/>
            <w:tcBorders>
              <w:top w:val="nil"/>
              <w:left w:val="nil"/>
              <w:bottom w:val="single" w:color="auto" w:sz="4" w:space="0"/>
              <w:right w:val="single" w:color="auto" w:sz="4" w:space="0"/>
            </w:tcBorders>
            <w:noWrap w:val="0"/>
            <w:vAlign w:val="center"/>
          </w:tcPr>
          <w:p w14:paraId="56EAA3CE">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3000≤Y＜30000</w:t>
            </w:r>
          </w:p>
        </w:tc>
        <w:tc>
          <w:tcPr>
            <w:tcW w:w="1586" w:type="dxa"/>
            <w:tcBorders>
              <w:top w:val="nil"/>
              <w:left w:val="nil"/>
              <w:bottom w:val="single" w:color="auto" w:sz="4" w:space="0"/>
              <w:right w:val="single" w:color="auto" w:sz="8" w:space="0"/>
            </w:tcBorders>
            <w:noWrap w:val="0"/>
            <w:vAlign w:val="center"/>
          </w:tcPr>
          <w:p w14:paraId="7894ECB9">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4C8F4FB8">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20≤X＜300</w:t>
            </w:r>
          </w:p>
        </w:tc>
        <w:tc>
          <w:tcPr>
            <w:tcW w:w="1412" w:type="dxa"/>
            <w:tcBorders>
              <w:top w:val="nil"/>
              <w:left w:val="nil"/>
              <w:bottom w:val="single" w:color="auto" w:sz="4" w:space="0"/>
              <w:right w:val="single" w:color="auto" w:sz="4" w:space="0"/>
            </w:tcBorders>
            <w:noWrap w:val="0"/>
            <w:vAlign w:val="center"/>
          </w:tcPr>
          <w:p w14:paraId="060FCCC8">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200≤Y＜3000</w:t>
            </w:r>
          </w:p>
        </w:tc>
        <w:tc>
          <w:tcPr>
            <w:tcW w:w="1452" w:type="dxa"/>
            <w:tcBorders>
              <w:top w:val="nil"/>
              <w:left w:val="nil"/>
              <w:bottom w:val="single" w:color="auto" w:sz="4" w:space="0"/>
              <w:right w:val="single" w:color="auto" w:sz="8" w:space="0"/>
            </w:tcBorders>
            <w:noWrap w:val="0"/>
            <w:vAlign w:val="center"/>
          </w:tcPr>
          <w:p w14:paraId="2EBB2F8F">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3A887D3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X＜20</w:t>
            </w:r>
          </w:p>
        </w:tc>
        <w:tc>
          <w:tcPr>
            <w:tcW w:w="1216" w:type="dxa"/>
            <w:tcBorders>
              <w:top w:val="nil"/>
              <w:left w:val="nil"/>
              <w:bottom w:val="single" w:color="auto" w:sz="4" w:space="0"/>
              <w:right w:val="single" w:color="auto" w:sz="4" w:space="0"/>
            </w:tcBorders>
            <w:noWrap w:val="0"/>
            <w:vAlign w:val="center"/>
          </w:tcPr>
          <w:p w14:paraId="7ED717A8">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V＜200</w:t>
            </w:r>
          </w:p>
        </w:tc>
        <w:tc>
          <w:tcPr>
            <w:tcW w:w="1170" w:type="dxa"/>
            <w:tcBorders>
              <w:top w:val="nil"/>
              <w:left w:val="nil"/>
              <w:bottom w:val="single" w:color="auto" w:sz="4" w:space="0"/>
              <w:right w:val="single" w:color="auto" w:sz="8" w:space="0"/>
            </w:tcBorders>
            <w:noWrap w:val="0"/>
            <w:vAlign w:val="center"/>
          </w:tcPr>
          <w:p w14:paraId="3915C186">
            <w:pPr>
              <w:widowControl/>
              <w:spacing w:line="320" w:lineRule="exact"/>
              <w:jc w:val="center"/>
              <w:rPr>
                <w:rFonts w:ascii="Times New Roman" w:hAnsi="Times New Roman" w:cs="宋体"/>
                <w:color w:val="auto"/>
                <w:kern w:val="0"/>
                <w:sz w:val="18"/>
                <w:szCs w:val="18"/>
                <w:highlight w:val="none"/>
              </w:rPr>
            </w:pPr>
          </w:p>
        </w:tc>
      </w:tr>
      <w:tr w14:paraId="0ED9A524">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6628176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7、仓储业</w:t>
            </w:r>
          </w:p>
        </w:tc>
        <w:tc>
          <w:tcPr>
            <w:tcW w:w="1430" w:type="dxa"/>
            <w:tcBorders>
              <w:top w:val="nil"/>
              <w:left w:val="nil"/>
              <w:bottom w:val="single" w:color="auto" w:sz="4" w:space="0"/>
              <w:right w:val="single" w:color="auto" w:sz="4" w:space="0"/>
            </w:tcBorders>
            <w:noWrap w:val="0"/>
            <w:vAlign w:val="center"/>
          </w:tcPr>
          <w:p w14:paraId="183CC14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100≤X＜200</w:t>
            </w:r>
          </w:p>
        </w:tc>
        <w:tc>
          <w:tcPr>
            <w:tcW w:w="1681" w:type="dxa"/>
            <w:tcBorders>
              <w:top w:val="nil"/>
              <w:left w:val="nil"/>
              <w:bottom w:val="single" w:color="auto" w:sz="4" w:space="0"/>
              <w:right w:val="single" w:color="auto" w:sz="4" w:space="0"/>
            </w:tcBorders>
            <w:noWrap w:val="0"/>
            <w:vAlign w:val="center"/>
          </w:tcPr>
          <w:p w14:paraId="065D20B1">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1000≤Y＜30000</w:t>
            </w:r>
          </w:p>
        </w:tc>
        <w:tc>
          <w:tcPr>
            <w:tcW w:w="1586" w:type="dxa"/>
            <w:tcBorders>
              <w:top w:val="nil"/>
              <w:left w:val="nil"/>
              <w:bottom w:val="single" w:color="auto" w:sz="4" w:space="0"/>
              <w:right w:val="single" w:color="auto" w:sz="8" w:space="0"/>
            </w:tcBorders>
            <w:noWrap w:val="0"/>
            <w:vAlign w:val="center"/>
          </w:tcPr>
          <w:p w14:paraId="48EF3216">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4A075E27">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20≤X＜100</w:t>
            </w:r>
          </w:p>
        </w:tc>
        <w:tc>
          <w:tcPr>
            <w:tcW w:w="1412" w:type="dxa"/>
            <w:tcBorders>
              <w:top w:val="nil"/>
              <w:left w:val="nil"/>
              <w:bottom w:val="single" w:color="auto" w:sz="4" w:space="0"/>
              <w:right w:val="single" w:color="auto" w:sz="4" w:space="0"/>
            </w:tcBorders>
            <w:noWrap w:val="0"/>
            <w:vAlign w:val="center"/>
          </w:tcPr>
          <w:p w14:paraId="73B54735">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100≤Y＜1000</w:t>
            </w:r>
          </w:p>
        </w:tc>
        <w:tc>
          <w:tcPr>
            <w:tcW w:w="1452" w:type="dxa"/>
            <w:tcBorders>
              <w:top w:val="nil"/>
              <w:left w:val="nil"/>
              <w:bottom w:val="single" w:color="auto" w:sz="4" w:space="0"/>
              <w:right w:val="single" w:color="auto" w:sz="8" w:space="0"/>
            </w:tcBorders>
            <w:noWrap w:val="0"/>
            <w:vAlign w:val="center"/>
          </w:tcPr>
          <w:p w14:paraId="714F0D4C">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1903B2A7">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X＜20</w:t>
            </w:r>
          </w:p>
        </w:tc>
        <w:tc>
          <w:tcPr>
            <w:tcW w:w="1216" w:type="dxa"/>
            <w:tcBorders>
              <w:top w:val="nil"/>
              <w:left w:val="nil"/>
              <w:bottom w:val="single" w:color="auto" w:sz="4" w:space="0"/>
              <w:right w:val="single" w:color="auto" w:sz="4" w:space="0"/>
            </w:tcBorders>
            <w:noWrap w:val="0"/>
            <w:vAlign w:val="center"/>
          </w:tcPr>
          <w:p w14:paraId="2B82AE82">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Y＜100</w:t>
            </w:r>
          </w:p>
        </w:tc>
        <w:tc>
          <w:tcPr>
            <w:tcW w:w="1170" w:type="dxa"/>
            <w:tcBorders>
              <w:top w:val="nil"/>
              <w:left w:val="nil"/>
              <w:bottom w:val="single" w:color="auto" w:sz="4" w:space="0"/>
              <w:right w:val="single" w:color="auto" w:sz="8" w:space="0"/>
            </w:tcBorders>
            <w:noWrap w:val="0"/>
            <w:vAlign w:val="center"/>
          </w:tcPr>
          <w:p w14:paraId="011ABB9E">
            <w:pPr>
              <w:widowControl/>
              <w:spacing w:line="320" w:lineRule="exact"/>
              <w:jc w:val="center"/>
              <w:rPr>
                <w:rFonts w:ascii="Times New Roman" w:hAnsi="Times New Roman" w:cs="宋体"/>
                <w:color w:val="auto"/>
                <w:kern w:val="0"/>
                <w:sz w:val="18"/>
                <w:szCs w:val="18"/>
                <w:highlight w:val="none"/>
              </w:rPr>
            </w:pPr>
          </w:p>
        </w:tc>
      </w:tr>
      <w:tr w14:paraId="0A6D2910">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317C6F6E">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8、邮政业</w:t>
            </w:r>
          </w:p>
        </w:tc>
        <w:tc>
          <w:tcPr>
            <w:tcW w:w="1430" w:type="dxa"/>
            <w:tcBorders>
              <w:top w:val="nil"/>
              <w:left w:val="nil"/>
              <w:bottom w:val="single" w:color="auto" w:sz="4" w:space="0"/>
              <w:right w:val="single" w:color="auto" w:sz="4" w:space="0"/>
            </w:tcBorders>
            <w:noWrap w:val="0"/>
            <w:vAlign w:val="center"/>
          </w:tcPr>
          <w:p w14:paraId="02395EE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300≤X＜1000</w:t>
            </w:r>
          </w:p>
        </w:tc>
        <w:tc>
          <w:tcPr>
            <w:tcW w:w="1681" w:type="dxa"/>
            <w:tcBorders>
              <w:top w:val="nil"/>
              <w:left w:val="nil"/>
              <w:bottom w:val="single" w:color="auto" w:sz="4" w:space="0"/>
              <w:right w:val="single" w:color="auto" w:sz="4" w:space="0"/>
            </w:tcBorders>
            <w:noWrap w:val="0"/>
            <w:vAlign w:val="center"/>
          </w:tcPr>
          <w:p w14:paraId="609A8BDB">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2000≤Y＜30000</w:t>
            </w:r>
          </w:p>
        </w:tc>
        <w:tc>
          <w:tcPr>
            <w:tcW w:w="1586" w:type="dxa"/>
            <w:tcBorders>
              <w:top w:val="nil"/>
              <w:left w:val="nil"/>
              <w:bottom w:val="single" w:color="auto" w:sz="4" w:space="0"/>
              <w:right w:val="single" w:color="auto" w:sz="8" w:space="0"/>
            </w:tcBorders>
            <w:noWrap w:val="0"/>
            <w:vAlign w:val="center"/>
          </w:tcPr>
          <w:p w14:paraId="366472D4">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54916965">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20≤X＜300</w:t>
            </w:r>
          </w:p>
        </w:tc>
        <w:tc>
          <w:tcPr>
            <w:tcW w:w="1412" w:type="dxa"/>
            <w:tcBorders>
              <w:top w:val="nil"/>
              <w:left w:val="nil"/>
              <w:bottom w:val="single" w:color="auto" w:sz="4" w:space="0"/>
              <w:right w:val="single" w:color="auto" w:sz="4" w:space="0"/>
            </w:tcBorders>
            <w:noWrap w:val="0"/>
            <w:vAlign w:val="center"/>
          </w:tcPr>
          <w:p w14:paraId="72863654">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100≤Y＜2000</w:t>
            </w:r>
          </w:p>
        </w:tc>
        <w:tc>
          <w:tcPr>
            <w:tcW w:w="1452" w:type="dxa"/>
            <w:tcBorders>
              <w:top w:val="nil"/>
              <w:left w:val="nil"/>
              <w:bottom w:val="single" w:color="auto" w:sz="4" w:space="0"/>
              <w:right w:val="single" w:color="auto" w:sz="8" w:space="0"/>
            </w:tcBorders>
            <w:noWrap w:val="0"/>
            <w:vAlign w:val="center"/>
          </w:tcPr>
          <w:p w14:paraId="1791152A">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1A252565">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X＜20</w:t>
            </w:r>
          </w:p>
        </w:tc>
        <w:tc>
          <w:tcPr>
            <w:tcW w:w="1216" w:type="dxa"/>
            <w:tcBorders>
              <w:top w:val="nil"/>
              <w:left w:val="nil"/>
              <w:bottom w:val="single" w:color="auto" w:sz="4" w:space="0"/>
              <w:right w:val="single" w:color="auto" w:sz="4" w:space="0"/>
            </w:tcBorders>
            <w:noWrap w:val="0"/>
            <w:vAlign w:val="center"/>
          </w:tcPr>
          <w:p w14:paraId="3DE5C688">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Y＜100</w:t>
            </w:r>
          </w:p>
        </w:tc>
        <w:tc>
          <w:tcPr>
            <w:tcW w:w="1170" w:type="dxa"/>
            <w:tcBorders>
              <w:top w:val="nil"/>
              <w:left w:val="nil"/>
              <w:bottom w:val="single" w:color="auto" w:sz="4" w:space="0"/>
              <w:right w:val="single" w:color="auto" w:sz="8" w:space="0"/>
            </w:tcBorders>
            <w:noWrap w:val="0"/>
            <w:vAlign w:val="center"/>
          </w:tcPr>
          <w:p w14:paraId="54C08491">
            <w:pPr>
              <w:widowControl/>
              <w:spacing w:line="320" w:lineRule="exact"/>
              <w:jc w:val="center"/>
              <w:rPr>
                <w:rFonts w:ascii="Times New Roman" w:hAnsi="Times New Roman" w:cs="宋体"/>
                <w:color w:val="auto"/>
                <w:kern w:val="0"/>
                <w:sz w:val="18"/>
                <w:szCs w:val="18"/>
                <w:highlight w:val="none"/>
              </w:rPr>
            </w:pPr>
          </w:p>
        </w:tc>
      </w:tr>
      <w:tr w14:paraId="19358555">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3A5E2BA7">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9、住宿业</w:t>
            </w:r>
          </w:p>
        </w:tc>
        <w:tc>
          <w:tcPr>
            <w:tcW w:w="1430" w:type="dxa"/>
            <w:tcBorders>
              <w:top w:val="nil"/>
              <w:left w:val="nil"/>
              <w:bottom w:val="single" w:color="auto" w:sz="4" w:space="0"/>
              <w:right w:val="single" w:color="auto" w:sz="4" w:space="0"/>
            </w:tcBorders>
            <w:noWrap w:val="0"/>
            <w:vAlign w:val="center"/>
          </w:tcPr>
          <w:p w14:paraId="6FE47E2F">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100≤X＜300</w:t>
            </w:r>
          </w:p>
        </w:tc>
        <w:tc>
          <w:tcPr>
            <w:tcW w:w="1681" w:type="dxa"/>
            <w:tcBorders>
              <w:top w:val="nil"/>
              <w:left w:val="nil"/>
              <w:bottom w:val="single" w:color="auto" w:sz="4" w:space="0"/>
              <w:right w:val="single" w:color="auto" w:sz="4" w:space="0"/>
            </w:tcBorders>
            <w:noWrap w:val="0"/>
            <w:vAlign w:val="center"/>
          </w:tcPr>
          <w:p w14:paraId="0D1213F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2000≤Y＜10000</w:t>
            </w:r>
          </w:p>
        </w:tc>
        <w:tc>
          <w:tcPr>
            <w:tcW w:w="1586" w:type="dxa"/>
            <w:tcBorders>
              <w:top w:val="nil"/>
              <w:left w:val="nil"/>
              <w:bottom w:val="single" w:color="auto" w:sz="4" w:space="0"/>
              <w:right w:val="single" w:color="auto" w:sz="8" w:space="0"/>
            </w:tcBorders>
            <w:noWrap w:val="0"/>
            <w:vAlign w:val="center"/>
          </w:tcPr>
          <w:p w14:paraId="651AE394">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5DDA914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10≤X＜100</w:t>
            </w:r>
          </w:p>
        </w:tc>
        <w:tc>
          <w:tcPr>
            <w:tcW w:w="1412" w:type="dxa"/>
            <w:tcBorders>
              <w:top w:val="nil"/>
              <w:left w:val="nil"/>
              <w:bottom w:val="single" w:color="auto" w:sz="4" w:space="0"/>
              <w:right w:val="single" w:color="auto" w:sz="4" w:space="0"/>
            </w:tcBorders>
            <w:noWrap w:val="0"/>
            <w:vAlign w:val="center"/>
          </w:tcPr>
          <w:p w14:paraId="1DC06680">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100≤Y＜2000</w:t>
            </w:r>
          </w:p>
        </w:tc>
        <w:tc>
          <w:tcPr>
            <w:tcW w:w="1452" w:type="dxa"/>
            <w:tcBorders>
              <w:top w:val="nil"/>
              <w:left w:val="nil"/>
              <w:bottom w:val="single" w:color="auto" w:sz="4" w:space="0"/>
              <w:right w:val="single" w:color="auto" w:sz="8" w:space="0"/>
            </w:tcBorders>
            <w:noWrap w:val="0"/>
            <w:vAlign w:val="center"/>
          </w:tcPr>
          <w:p w14:paraId="0F61164F">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67818BB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X＜10</w:t>
            </w:r>
          </w:p>
        </w:tc>
        <w:tc>
          <w:tcPr>
            <w:tcW w:w="1216" w:type="dxa"/>
            <w:tcBorders>
              <w:top w:val="nil"/>
              <w:left w:val="nil"/>
              <w:bottom w:val="single" w:color="auto" w:sz="4" w:space="0"/>
              <w:right w:val="single" w:color="auto" w:sz="4" w:space="0"/>
            </w:tcBorders>
            <w:noWrap w:val="0"/>
            <w:vAlign w:val="center"/>
          </w:tcPr>
          <w:p w14:paraId="35F06DCE">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Y＜100</w:t>
            </w:r>
          </w:p>
        </w:tc>
        <w:tc>
          <w:tcPr>
            <w:tcW w:w="1170" w:type="dxa"/>
            <w:tcBorders>
              <w:top w:val="nil"/>
              <w:left w:val="nil"/>
              <w:bottom w:val="single" w:color="auto" w:sz="4" w:space="0"/>
              <w:right w:val="single" w:color="auto" w:sz="8" w:space="0"/>
            </w:tcBorders>
            <w:noWrap w:val="0"/>
            <w:vAlign w:val="center"/>
          </w:tcPr>
          <w:p w14:paraId="5D4CE88C">
            <w:pPr>
              <w:widowControl/>
              <w:spacing w:line="320" w:lineRule="exact"/>
              <w:jc w:val="center"/>
              <w:rPr>
                <w:rFonts w:ascii="Times New Roman" w:hAnsi="Times New Roman" w:cs="宋体"/>
                <w:color w:val="auto"/>
                <w:kern w:val="0"/>
                <w:sz w:val="18"/>
                <w:szCs w:val="18"/>
                <w:highlight w:val="none"/>
              </w:rPr>
            </w:pPr>
          </w:p>
        </w:tc>
      </w:tr>
      <w:tr w14:paraId="1BE4A295">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69DBB19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10、餐饮业</w:t>
            </w:r>
          </w:p>
        </w:tc>
        <w:tc>
          <w:tcPr>
            <w:tcW w:w="1430" w:type="dxa"/>
            <w:tcBorders>
              <w:top w:val="nil"/>
              <w:left w:val="nil"/>
              <w:bottom w:val="single" w:color="auto" w:sz="4" w:space="0"/>
              <w:right w:val="single" w:color="auto" w:sz="4" w:space="0"/>
            </w:tcBorders>
            <w:noWrap w:val="0"/>
            <w:vAlign w:val="center"/>
          </w:tcPr>
          <w:p w14:paraId="78F1A4FC">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100≤X＜300</w:t>
            </w:r>
          </w:p>
        </w:tc>
        <w:tc>
          <w:tcPr>
            <w:tcW w:w="1681" w:type="dxa"/>
            <w:tcBorders>
              <w:top w:val="nil"/>
              <w:left w:val="nil"/>
              <w:bottom w:val="single" w:color="auto" w:sz="4" w:space="0"/>
              <w:right w:val="single" w:color="auto" w:sz="4" w:space="0"/>
            </w:tcBorders>
            <w:noWrap w:val="0"/>
            <w:vAlign w:val="center"/>
          </w:tcPr>
          <w:p w14:paraId="4D4DAEF6">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2000≤Y＜10000</w:t>
            </w:r>
          </w:p>
        </w:tc>
        <w:tc>
          <w:tcPr>
            <w:tcW w:w="1586" w:type="dxa"/>
            <w:tcBorders>
              <w:top w:val="nil"/>
              <w:left w:val="nil"/>
              <w:bottom w:val="single" w:color="auto" w:sz="4" w:space="0"/>
              <w:right w:val="single" w:color="auto" w:sz="8" w:space="0"/>
            </w:tcBorders>
            <w:noWrap w:val="0"/>
            <w:vAlign w:val="center"/>
          </w:tcPr>
          <w:p w14:paraId="07F800C4">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0F131565">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10≤X＜100</w:t>
            </w:r>
          </w:p>
        </w:tc>
        <w:tc>
          <w:tcPr>
            <w:tcW w:w="1412" w:type="dxa"/>
            <w:tcBorders>
              <w:top w:val="nil"/>
              <w:left w:val="nil"/>
              <w:bottom w:val="single" w:color="auto" w:sz="4" w:space="0"/>
              <w:right w:val="single" w:color="auto" w:sz="4" w:space="0"/>
            </w:tcBorders>
            <w:noWrap w:val="0"/>
            <w:vAlign w:val="center"/>
          </w:tcPr>
          <w:p w14:paraId="0DBA7ED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100≤Y＜2000</w:t>
            </w:r>
          </w:p>
        </w:tc>
        <w:tc>
          <w:tcPr>
            <w:tcW w:w="1452" w:type="dxa"/>
            <w:tcBorders>
              <w:top w:val="nil"/>
              <w:left w:val="nil"/>
              <w:bottom w:val="single" w:color="auto" w:sz="4" w:space="0"/>
              <w:right w:val="single" w:color="auto" w:sz="8" w:space="0"/>
            </w:tcBorders>
            <w:noWrap w:val="0"/>
            <w:vAlign w:val="center"/>
          </w:tcPr>
          <w:p w14:paraId="02EA9A9E">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11E478CB">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X＜10</w:t>
            </w:r>
          </w:p>
        </w:tc>
        <w:tc>
          <w:tcPr>
            <w:tcW w:w="1216" w:type="dxa"/>
            <w:tcBorders>
              <w:top w:val="nil"/>
              <w:left w:val="nil"/>
              <w:bottom w:val="single" w:color="auto" w:sz="4" w:space="0"/>
              <w:right w:val="single" w:color="auto" w:sz="4" w:space="0"/>
            </w:tcBorders>
            <w:noWrap w:val="0"/>
            <w:vAlign w:val="center"/>
          </w:tcPr>
          <w:p w14:paraId="5AF46F2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V＜100</w:t>
            </w:r>
          </w:p>
        </w:tc>
        <w:tc>
          <w:tcPr>
            <w:tcW w:w="1170" w:type="dxa"/>
            <w:tcBorders>
              <w:top w:val="nil"/>
              <w:left w:val="nil"/>
              <w:bottom w:val="single" w:color="auto" w:sz="4" w:space="0"/>
              <w:right w:val="single" w:color="auto" w:sz="8" w:space="0"/>
            </w:tcBorders>
            <w:noWrap w:val="0"/>
            <w:vAlign w:val="center"/>
          </w:tcPr>
          <w:p w14:paraId="49D41141">
            <w:pPr>
              <w:widowControl/>
              <w:spacing w:line="320" w:lineRule="exact"/>
              <w:jc w:val="center"/>
              <w:rPr>
                <w:rFonts w:ascii="Times New Roman" w:hAnsi="Times New Roman" w:cs="宋体"/>
                <w:color w:val="auto"/>
                <w:kern w:val="0"/>
                <w:sz w:val="18"/>
                <w:szCs w:val="18"/>
                <w:highlight w:val="none"/>
              </w:rPr>
            </w:pPr>
          </w:p>
        </w:tc>
      </w:tr>
      <w:tr w14:paraId="2F0BC099">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7E473E2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11、信息传输业</w:t>
            </w:r>
          </w:p>
        </w:tc>
        <w:tc>
          <w:tcPr>
            <w:tcW w:w="1430" w:type="dxa"/>
            <w:tcBorders>
              <w:top w:val="nil"/>
              <w:left w:val="nil"/>
              <w:bottom w:val="single" w:color="auto" w:sz="4" w:space="0"/>
              <w:right w:val="single" w:color="auto" w:sz="4" w:space="0"/>
            </w:tcBorders>
            <w:noWrap w:val="0"/>
            <w:vAlign w:val="center"/>
          </w:tcPr>
          <w:p w14:paraId="2F3E96E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100≤X＜2000</w:t>
            </w:r>
          </w:p>
        </w:tc>
        <w:tc>
          <w:tcPr>
            <w:tcW w:w="1681" w:type="dxa"/>
            <w:tcBorders>
              <w:top w:val="nil"/>
              <w:left w:val="nil"/>
              <w:bottom w:val="single" w:color="auto" w:sz="4" w:space="0"/>
              <w:right w:val="single" w:color="auto" w:sz="4" w:space="0"/>
            </w:tcBorders>
            <w:noWrap w:val="0"/>
            <w:vAlign w:val="center"/>
          </w:tcPr>
          <w:p w14:paraId="1EC1758C">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1000≤Y＜100000</w:t>
            </w:r>
          </w:p>
        </w:tc>
        <w:tc>
          <w:tcPr>
            <w:tcW w:w="1586" w:type="dxa"/>
            <w:tcBorders>
              <w:top w:val="nil"/>
              <w:left w:val="nil"/>
              <w:bottom w:val="single" w:color="auto" w:sz="4" w:space="0"/>
              <w:right w:val="single" w:color="auto" w:sz="8" w:space="0"/>
            </w:tcBorders>
            <w:noWrap w:val="0"/>
            <w:vAlign w:val="center"/>
          </w:tcPr>
          <w:p w14:paraId="66074C47">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1913DF47">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10≤X＜100</w:t>
            </w:r>
          </w:p>
        </w:tc>
        <w:tc>
          <w:tcPr>
            <w:tcW w:w="1412" w:type="dxa"/>
            <w:tcBorders>
              <w:top w:val="nil"/>
              <w:left w:val="nil"/>
              <w:bottom w:val="single" w:color="auto" w:sz="4" w:space="0"/>
              <w:right w:val="single" w:color="auto" w:sz="4" w:space="0"/>
            </w:tcBorders>
            <w:noWrap w:val="0"/>
            <w:vAlign w:val="center"/>
          </w:tcPr>
          <w:p w14:paraId="027ED66F">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100≤Y＜1000</w:t>
            </w:r>
          </w:p>
        </w:tc>
        <w:tc>
          <w:tcPr>
            <w:tcW w:w="1452" w:type="dxa"/>
            <w:tcBorders>
              <w:top w:val="nil"/>
              <w:left w:val="nil"/>
              <w:bottom w:val="single" w:color="auto" w:sz="4" w:space="0"/>
              <w:right w:val="single" w:color="auto" w:sz="8" w:space="0"/>
            </w:tcBorders>
            <w:noWrap w:val="0"/>
            <w:vAlign w:val="center"/>
          </w:tcPr>
          <w:p w14:paraId="63AD7B85">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14943CE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X＜10</w:t>
            </w:r>
          </w:p>
        </w:tc>
        <w:tc>
          <w:tcPr>
            <w:tcW w:w="1216" w:type="dxa"/>
            <w:tcBorders>
              <w:top w:val="nil"/>
              <w:left w:val="nil"/>
              <w:bottom w:val="single" w:color="auto" w:sz="4" w:space="0"/>
              <w:right w:val="single" w:color="auto" w:sz="4" w:space="0"/>
            </w:tcBorders>
            <w:noWrap w:val="0"/>
            <w:vAlign w:val="center"/>
          </w:tcPr>
          <w:p w14:paraId="5683A570">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Y＜100</w:t>
            </w:r>
          </w:p>
        </w:tc>
        <w:tc>
          <w:tcPr>
            <w:tcW w:w="1170" w:type="dxa"/>
            <w:tcBorders>
              <w:top w:val="nil"/>
              <w:left w:val="nil"/>
              <w:bottom w:val="single" w:color="auto" w:sz="4" w:space="0"/>
              <w:right w:val="single" w:color="auto" w:sz="8" w:space="0"/>
            </w:tcBorders>
            <w:noWrap w:val="0"/>
            <w:vAlign w:val="center"/>
          </w:tcPr>
          <w:p w14:paraId="30BFD0A3">
            <w:pPr>
              <w:widowControl/>
              <w:spacing w:line="320" w:lineRule="exact"/>
              <w:jc w:val="center"/>
              <w:rPr>
                <w:rFonts w:ascii="Times New Roman" w:hAnsi="Times New Roman" w:cs="宋体"/>
                <w:color w:val="auto"/>
                <w:kern w:val="0"/>
                <w:sz w:val="18"/>
                <w:szCs w:val="18"/>
                <w:highlight w:val="none"/>
              </w:rPr>
            </w:pPr>
          </w:p>
        </w:tc>
      </w:tr>
      <w:tr w14:paraId="662E4E0D">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67D09DD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12、软件和信息技术服务业</w:t>
            </w:r>
          </w:p>
        </w:tc>
        <w:tc>
          <w:tcPr>
            <w:tcW w:w="1430" w:type="dxa"/>
            <w:tcBorders>
              <w:top w:val="nil"/>
              <w:left w:val="nil"/>
              <w:bottom w:val="single" w:color="auto" w:sz="4" w:space="0"/>
              <w:right w:val="single" w:color="auto" w:sz="4" w:space="0"/>
            </w:tcBorders>
            <w:noWrap w:val="0"/>
            <w:vAlign w:val="center"/>
          </w:tcPr>
          <w:p w14:paraId="2819E07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100≤X＜300</w:t>
            </w:r>
          </w:p>
        </w:tc>
        <w:tc>
          <w:tcPr>
            <w:tcW w:w="1681" w:type="dxa"/>
            <w:tcBorders>
              <w:top w:val="nil"/>
              <w:left w:val="nil"/>
              <w:bottom w:val="single" w:color="auto" w:sz="4" w:space="0"/>
              <w:right w:val="single" w:color="auto" w:sz="4" w:space="0"/>
            </w:tcBorders>
            <w:noWrap w:val="0"/>
            <w:vAlign w:val="center"/>
          </w:tcPr>
          <w:p w14:paraId="379DE3A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1000≤Y＜10000</w:t>
            </w:r>
          </w:p>
        </w:tc>
        <w:tc>
          <w:tcPr>
            <w:tcW w:w="1586" w:type="dxa"/>
            <w:tcBorders>
              <w:top w:val="nil"/>
              <w:left w:val="nil"/>
              <w:bottom w:val="single" w:color="auto" w:sz="4" w:space="0"/>
              <w:right w:val="single" w:color="auto" w:sz="8" w:space="0"/>
            </w:tcBorders>
            <w:noWrap w:val="0"/>
            <w:vAlign w:val="center"/>
          </w:tcPr>
          <w:p w14:paraId="20100E4A">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364A338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10≤X＜100</w:t>
            </w:r>
          </w:p>
        </w:tc>
        <w:tc>
          <w:tcPr>
            <w:tcW w:w="1412" w:type="dxa"/>
            <w:tcBorders>
              <w:top w:val="nil"/>
              <w:left w:val="nil"/>
              <w:bottom w:val="single" w:color="auto" w:sz="4" w:space="0"/>
              <w:right w:val="single" w:color="auto" w:sz="4" w:space="0"/>
            </w:tcBorders>
            <w:noWrap w:val="0"/>
            <w:vAlign w:val="center"/>
          </w:tcPr>
          <w:p w14:paraId="19AE6CD6">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50≤Y＜1000</w:t>
            </w:r>
          </w:p>
        </w:tc>
        <w:tc>
          <w:tcPr>
            <w:tcW w:w="1452" w:type="dxa"/>
            <w:tcBorders>
              <w:top w:val="nil"/>
              <w:left w:val="nil"/>
              <w:bottom w:val="single" w:color="auto" w:sz="4" w:space="0"/>
              <w:right w:val="single" w:color="auto" w:sz="8" w:space="0"/>
            </w:tcBorders>
            <w:noWrap w:val="0"/>
            <w:vAlign w:val="center"/>
          </w:tcPr>
          <w:p w14:paraId="4DE1A536">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7EAD0CF6">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X＜10</w:t>
            </w:r>
          </w:p>
        </w:tc>
        <w:tc>
          <w:tcPr>
            <w:tcW w:w="1216" w:type="dxa"/>
            <w:tcBorders>
              <w:top w:val="nil"/>
              <w:left w:val="nil"/>
              <w:bottom w:val="single" w:color="auto" w:sz="4" w:space="0"/>
              <w:right w:val="single" w:color="auto" w:sz="4" w:space="0"/>
            </w:tcBorders>
            <w:noWrap w:val="0"/>
            <w:vAlign w:val="center"/>
          </w:tcPr>
          <w:p w14:paraId="2C30698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Y＜50</w:t>
            </w:r>
          </w:p>
        </w:tc>
        <w:tc>
          <w:tcPr>
            <w:tcW w:w="1170" w:type="dxa"/>
            <w:tcBorders>
              <w:top w:val="nil"/>
              <w:left w:val="nil"/>
              <w:bottom w:val="single" w:color="auto" w:sz="4" w:space="0"/>
              <w:right w:val="single" w:color="auto" w:sz="8" w:space="0"/>
            </w:tcBorders>
            <w:noWrap w:val="0"/>
            <w:vAlign w:val="center"/>
          </w:tcPr>
          <w:p w14:paraId="6BF8A5B5">
            <w:pPr>
              <w:widowControl/>
              <w:spacing w:line="320" w:lineRule="exact"/>
              <w:jc w:val="center"/>
              <w:rPr>
                <w:rFonts w:ascii="Times New Roman" w:hAnsi="Times New Roman" w:cs="宋体"/>
                <w:color w:val="auto"/>
                <w:kern w:val="0"/>
                <w:sz w:val="18"/>
                <w:szCs w:val="18"/>
                <w:highlight w:val="none"/>
              </w:rPr>
            </w:pPr>
          </w:p>
        </w:tc>
      </w:tr>
      <w:tr w14:paraId="632D7254">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2FFCF1A8">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13、房地产开发经营</w:t>
            </w:r>
          </w:p>
        </w:tc>
        <w:tc>
          <w:tcPr>
            <w:tcW w:w="1430" w:type="dxa"/>
            <w:tcBorders>
              <w:top w:val="nil"/>
              <w:left w:val="nil"/>
              <w:bottom w:val="single" w:color="auto" w:sz="4" w:space="0"/>
              <w:right w:val="single" w:color="auto" w:sz="4" w:space="0"/>
            </w:tcBorders>
            <w:noWrap w:val="0"/>
            <w:vAlign w:val="center"/>
          </w:tcPr>
          <w:p w14:paraId="107705FF">
            <w:pPr>
              <w:widowControl/>
              <w:spacing w:line="320" w:lineRule="exact"/>
              <w:jc w:val="center"/>
              <w:rPr>
                <w:rFonts w:ascii="Times New Roman" w:hAnsi="Times New Roman" w:cs="宋体"/>
                <w:color w:val="auto"/>
                <w:kern w:val="0"/>
                <w:sz w:val="18"/>
                <w:szCs w:val="18"/>
                <w:highlight w:val="none"/>
              </w:rPr>
            </w:pPr>
          </w:p>
        </w:tc>
        <w:tc>
          <w:tcPr>
            <w:tcW w:w="1681" w:type="dxa"/>
            <w:tcBorders>
              <w:top w:val="nil"/>
              <w:left w:val="nil"/>
              <w:bottom w:val="single" w:color="auto" w:sz="4" w:space="0"/>
              <w:right w:val="single" w:color="auto" w:sz="4" w:space="0"/>
            </w:tcBorders>
            <w:noWrap w:val="0"/>
            <w:vAlign w:val="center"/>
          </w:tcPr>
          <w:p w14:paraId="5D71749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1000≤Y＜200000</w:t>
            </w:r>
          </w:p>
        </w:tc>
        <w:tc>
          <w:tcPr>
            <w:tcW w:w="1586" w:type="dxa"/>
            <w:tcBorders>
              <w:top w:val="nil"/>
              <w:left w:val="nil"/>
              <w:bottom w:val="single" w:color="auto" w:sz="4" w:space="0"/>
              <w:right w:val="single" w:color="auto" w:sz="8" w:space="0"/>
            </w:tcBorders>
            <w:noWrap w:val="0"/>
            <w:vAlign w:val="center"/>
          </w:tcPr>
          <w:p w14:paraId="7BA0A9E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5000≤Z＜10000</w:t>
            </w:r>
          </w:p>
        </w:tc>
        <w:tc>
          <w:tcPr>
            <w:tcW w:w="1183" w:type="dxa"/>
            <w:tcBorders>
              <w:top w:val="nil"/>
              <w:left w:val="nil"/>
              <w:bottom w:val="single" w:color="auto" w:sz="4" w:space="0"/>
              <w:right w:val="single" w:color="auto" w:sz="4" w:space="0"/>
            </w:tcBorders>
            <w:noWrap w:val="0"/>
            <w:vAlign w:val="center"/>
          </w:tcPr>
          <w:p w14:paraId="384FE9FB">
            <w:pPr>
              <w:widowControl/>
              <w:spacing w:line="320" w:lineRule="exact"/>
              <w:jc w:val="center"/>
              <w:rPr>
                <w:rFonts w:ascii="Times New Roman" w:hAnsi="Times New Roman" w:cs="宋体"/>
                <w:color w:val="auto"/>
                <w:kern w:val="0"/>
                <w:sz w:val="18"/>
                <w:szCs w:val="18"/>
                <w:highlight w:val="none"/>
              </w:rPr>
            </w:pPr>
          </w:p>
        </w:tc>
        <w:tc>
          <w:tcPr>
            <w:tcW w:w="1412" w:type="dxa"/>
            <w:tcBorders>
              <w:top w:val="nil"/>
              <w:left w:val="nil"/>
              <w:bottom w:val="single" w:color="auto" w:sz="4" w:space="0"/>
              <w:right w:val="single" w:color="auto" w:sz="4" w:space="0"/>
            </w:tcBorders>
            <w:noWrap w:val="0"/>
            <w:vAlign w:val="center"/>
          </w:tcPr>
          <w:p w14:paraId="4D82BD4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100≤Y＜1000</w:t>
            </w:r>
          </w:p>
        </w:tc>
        <w:tc>
          <w:tcPr>
            <w:tcW w:w="1452" w:type="dxa"/>
            <w:tcBorders>
              <w:top w:val="nil"/>
              <w:left w:val="nil"/>
              <w:bottom w:val="single" w:color="auto" w:sz="4" w:space="0"/>
              <w:right w:val="single" w:color="auto" w:sz="8" w:space="0"/>
            </w:tcBorders>
            <w:noWrap w:val="0"/>
            <w:vAlign w:val="center"/>
          </w:tcPr>
          <w:p w14:paraId="4FAA8EEB">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2000≤Z＜5000</w:t>
            </w:r>
          </w:p>
        </w:tc>
        <w:tc>
          <w:tcPr>
            <w:tcW w:w="1226" w:type="dxa"/>
            <w:tcBorders>
              <w:top w:val="nil"/>
              <w:left w:val="nil"/>
              <w:bottom w:val="single" w:color="auto" w:sz="4" w:space="0"/>
              <w:right w:val="single" w:color="auto" w:sz="4" w:space="0"/>
            </w:tcBorders>
            <w:noWrap w:val="0"/>
            <w:vAlign w:val="center"/>
          </w:tcPr>
          <w:p w14:paraId="1CCD4BBA">
            <w:pPr>
              <w:widowControl/>
              <w:spacing w:line="320" w:lineRule="exact"/>
              <w:jc w:val="center"/>
              <w:rPr>
                <w:rFonts w:ascii="Times New Roman" w:hAnsi="Times New Roman" w:cs="宋体"/>
                <w:color w:val="auto"/>
                <w:kern w:val="0"/>
                <w:sz w:val="18"/>
                <w:szCs w:val="18"/>
                <w:highlight w:val="none"/>
              </w:rPr>
            </w:pPr>
          </w:p>
        </w:tc>
        <w:tc>
          <w:tcPr>
            <w:tcW w:w="1216" w:type="dxa"/>
            <w:tcBorders>
              <w:top w:val="nil"/>
              <w:left w:val="nil"/>
              <w:bottom w:val="single" w:color="auto" w:sz="4" w:space="0"/>
              <w:right w:val="single" w:color="auto" w:sz="4" w:space="0"/>
            </w:tcBorders>
            <w:noWrap w:val="0"/>
            <w:vAlign w:val="center"/>
          </w:tcPr>
          <w:p w14:paraId="7FB04DE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Y＜100</w:t>
            </w:r>
          </w:p>
        </w:tc>
        <w:tc>
          <w:tcPr>
            <w:tcW w:w="1170" w:type="dxa"/>
            <w:tcBorders>
              <w:top w:val="nil"/>
              <w:left w:val="nil"/>
              <w:bottom w:val="single" w:color="auto" w:sz="4" w:space="0"/>
              <w:right w:val="single" w:color="auto" w:sz="8" w:space="0"/>
            </w:tcBorders>
            <w:noWrap w:val="0"/>
            <w:vAlign w:val="center"/>
          </w:tcPr>
          <w:p w14:paraId="27858C4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Z＜2000</w:t>
            </w:r>
          </w:p>
        </w:tc>
      </w:tr>
      <w:tr w14:paraId="665E8B1C">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5618721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14、物业管理</w:t>
            </w:r>
          </w:p>
        </w:tc>
        <w:tc>
          <w:tcPr>
            <w:tcW w:w="1430" w:type="dxa"/>
            <w:tcBorders>
              <w:top w:val="nil"/>
              <w:left w:val="nil"/>
              <w:bottom w:val="single" w:color="auto" w:sz="4" w:space="0"/>
              <w:right w:val="single" w:color="auto" w:sz="4" w:space="0"/>
            </w:tcBorders>
            <w:noWrap w:val="0"/>
            <w:vAlign w:val="center"/>
          </w:tcPr>
          <w:p w14:paraId="3BED881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300≤X＜1000</w:t>
            </w:r>
          </w:p>
        </w:tc>
        <w:tc>
          <w:tcPr>
            <w:tcW w:w="1681" w:type="dxa"/>
            <w:tcBorders>
              <w:top w:val="nil"/>
              <w:left w:val="nil"/>
              <w:bottom w:val="single" w:color="auto" w:sz="4" w:space="0"/>
              <w:right w:val="single" w:color="auto" w:sz="4" w:space="0"/>
            </w:tcBorders>
            <w:noWrap w:val="0"/>
            <w:vAlign w:val="center"/>
          </w:tcPr>
          <w:p w14:paraId="709A6BCC">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1000≤Y＜5000</w:t>
            </w:r>
          </w:p>
        </w:tc>
        <w:tc>
          <w:tcPr>
            <w:tcW w:w="1586" w:type="dxa"/>
            <w:tcBorders>
              <w:top w:val="nil"/>
              <w:left w:val="nil"/>
              <w:bottom w:val="single" w:color="auto" w:sz="4" w:space="0"/>
              <w:right w:val="single" w:color="auto" w:sz="8" w:space="0"/>
            </w:tcBorders>
            <w:noWrap w:val="0"/>
            <w:vAlign w:val="center"/>
          </w:tcPr>
          <w:p w14:paraId="46E5FAF6">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4474FCA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100≤X＜300</w:t>
            </w:r>
          </w:p>
        </w:tc>
        <w:tc>
          <w:tcPr>
            <w:tcW w:w="1412" w:type="dxa"/>
            <w:tcBorders>
              <w:top w:val="nil"/>
              <w:left w:val="nil"/>
              <w:bottom w:val="single" w:color="auto" w:sz="4" w:space="0"/>
              <w:right w:val="single" w:color="auto" w:sz="4" w:space="0"/>
            </w:tcBorders>
            <w:noWrap w:val="0"/>
            <w:vAlign w:val="center"/>
          </w:tcPr>
          <w:p w14:paraId="2B7E7E75">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500≤Y＜1000</w:t>
            </w:r>
          </w:p>
        </w:tc>
        <w:tc>
          <w:tcPr>
            <w:tcW w:w="1452" w:type="dxa"/>
            <w:tcBorders>
              <w:top w:val="nil"/>
              <w:left w:val="nil"/>
              <w:bottom w:val="single" w:color="auto" w:sz="4" w:space="0"/>
              <w:right w:val="single" w:color="auto" w:sz="8" w:space="0"/>
            </w:tcBorders>
            <w:noWrap w:val="0"/>
            <w:vAlign w:val="center"/>
          </w:tcPr>
          <w:p w14:paraId="00731D9E">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201349E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X＜100</w:t>
            </w:r>
          </w:p>
        </w:tc>
        <w:tc>
          <w:tcPr>
            <w:tcW w:w="1216" w:type="dxa"/>
            <w:tcBorders>
              <w:top w:val="nil"/>
              <w:left w:val="nil"/>
              <w:bottom w:val="single" w:color="auto" w:sz="4" w:space="0"/>
              <w:right w:val="single" w:color="auto" w:sz="4" w:space="0"/>
            </w:tcBorders>
            <w:noWrap w:val="0"/>
            <w:vAlign w:val="center"/>
          </w:tcPr>
          <w:p w14:paraId="513B7644">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Y＜500</w:t>
            </w:r>
          </w:p>
        </w:tc>
        <w:tc>
          <w:tcPr>
            <w:tcW w:w="1170" w:type="dxa"/>
            <w:tcBorders>
              <w:top w:val="nil"/>
              <w:left w:val="nil"/>
              <w:bottom w:val="single" w:color="auto" w:sz="4" w:space="0"/>
              <w:right w:val="single" w:color="auto" w:sz="8" w:space="0"/>
            </w:tcBorders>
            <w:noWrap w:val="0"/>
            <w:vAlign w:val="center"/>
          </w:tcPr>
          <w:p w14:paraId="5FD3C665">
            <w:pPr>
              <w:widowControl/>
              <w:spacing w:line="320" w:lineRule="exact"/>
              <w:jc w:val="center"/>
              <w:rPr>
                <w:rFonts w:ascii="Times New Roman" w:hAnsi="Times New Roman" w:cs="宋体"/>
                <w:color w:val="auto"/>
                <w:kern w:val="0"/>
                <w:sz w:val="18"/>
                <w:szCs w:val="18"/>
                <w:highlight w:val="none"/>
              </w:rPr>
            </w:pPr>
          </w:p>
        </w:tc>
      </w:tr>
      <w:tr w14:paraId="218572FD">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6D905F5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15、租赁和商务服务业</w:t>
            </w:r>
          </w:p>
        </w:tc>
        <w:tc>
          <w:tcPr>
            <w:tcW w:w="1430" w:type="dxa"/>
            <w:tcBorders>
              <w:top w:val="nil"/>
              <w:left w:val="nil"/>
              <w:bottom w:val="single" w:color="auto" w:sz="4" w:space="0"/>
              <w:right w:val="single" w:color="auto" w:sz="4" w:space="0"/>
            </w:tcBorders>
            <w:noWrap w:val="0"/>
            <w:vAlign w:val="center"/>
          </w:tcPr>
          <w:p w14:paraId="17B5C4B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100≤X＜300</w:t>
            </w:r>
          </w:p>
        </w:tc>
        <w:tc>
          <w:tcPr>
            <w:tcW w:w="1681" w:type="dxa"/>
            <w:tcBorders>
              <w:top w:val="nil"/>
              <w:left w:val="nil"/>
              <w:bottom w:val="single" w:color="auto" w:sz="4" w:space="0"/>
              <w:right w:val="single" w:color="auto" w:sz="4" w:space="0"/>
            </w:tcBorders>
            <w:noWrap w:val="0"/>
            <w:vAlign w:val="center"/>
          </w:tcPr>
          <w:p w14:paraId="4F50A595">
            <w:pPr>
              <w:widowControl/>
              <w:spacing w:line="320" w:lineRule="exact"/>
              <w:jc w:val="center"/>
              <w:rPr>
                <w:rFonts w:ascii="Times New Roman" w:hAnsi="Times New Roman" w:cs="宋体"/>
                <w:color w:val="auto"/>
                <w:kern w:val="0"/>
                <w:sz w:val="18"/>
                <w:szCs w:val="18"/>
                <w:highlight w:val="none"/>
              </w:rPr>
            </w:pPr>
          </w:p>
        </w:tc>
        <w:tc>
          <w:tcPr>
            <w:tcW w:w="1586" w:type="dxa"/>
            <w:tcBorders>
              <w:top w:val="nil"/>
              <w:left w:val="nil"/>
              <w:bottom w:val="single" w:color="auto" w:sz="4" w:space="0"/>
              <w:right w:val="single" w:color="auto" w:sz="8" w:space="0"/>
            </w:tcBorders>
            <w:noWrap w:val="0"/>
            <w:vAlign w:val="center"/>
          </w:tcPr>
          <w:p w14:paraId="367B02D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8000≤Z＜120000</w:t>
            </w:r>
          </w:p>
        </w:tc>
        <w:tc>
          <w:tcPr>
            <w:tcW w:w="1183" w:type="dxa"/>
            <w:tcBorders>
              <w:top w:val="nil"/>
              <w:left w:val="nil"/>
              <w:bottom w:val="single" w:color="auto" w:sz="4" w:space="0"/>
              <w:right w:val="single" w:color="auto" w:sz="4" w:space="0"/>
            </w:tcBorders>
            <w:noWrap w:val="0"/>
            <w:vAlign w:val="center"/>
          </w:tcPr>
          <w:p w14:paraId="6552DB0E">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10≤X＜100</w:t>
            </w:r>
          </w:p>
        </w:tc>
        <w:tc>
          <w:tcPr>
            <w:tcW w:w="1412" w:type="dxa"/>
            <w:tcBorders>
              <w:top w:val="nil"/>
              <w:left w:val="nil"/>
              <w:bottom w:val="single" w:color="auto" w:sz="4" w:space="0"/>
              <w:right w:val="single" w:color="auto" w:sz="4" w:space="0"/>
            </w:tcBorders>
            <w:noWrap w:val="0"/>
            <w:vAlign w:val="center"/>
          </w:tcPr>
          <w:p w14:paraId="7DAB49EA">
            <w:pPr>
              <w:widowControl/>
              <w:spacing w:line="320" w:lineRule="exact"/>
              <w:jc w:val="center"/>
              <w:rPr>
                <w:rFonts w:ascii="Times New Roman" w:hAnsi="Times New Roman" w:cs="宋体"/>
                <w:color w:val="auto"/>
                <w:kern w:val="0"/>
                <w:sz w:val="18"/>
                <w:szCs w:val="18"/>
                <w:highlight w:val="none"/>
              </w:rPr>
            </w:pPr>
          </w:p>
        </w:tc>
        <w:tc>
          <w:tcPr>
            <w:tcW w:w="1452" w:type="dxa"/>
            <w:tcBorders>
              <w:top w:val="nil"/>
              <w:left w:val="nil"/>
              <w:bottom w:val="single" w:color="auto" w:sz="4" w:space="0"/>
              <w:right w:val="single" w:color="auto" w:sz="8" w:space="0"/>
            </w:tcBorders>
            <w:noWrap w:val="0"/>
            <w:vAlign w:val="center"/>
          </w:tcPr>
          <w:p w14:paraId="4CBD34E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100≤Z＜8000</w:t>
            </w:r>
          </w:p>
        </w:tc>
        <w:tc>
          <w:tcPr>
            <w:tcW w:w="1226" w:type="dxa"/>
            <w:tcBorders>
              <w:top w:val="nil"/>
              <w:left w:val="nil"/>
              <w:bottom w:val="single" w:color="auto" w:sz="4" w:space="0"/>
              <w:right w:val="single" w:color="auto" w:sz="4" w:space="0"/>
            </w:tcBorders>
            <w:noWrap w:val="0"/>
            <w:vAlign w:val="center"/>
          </w:tcPr>
          <w:p w14:paraId="6928C26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X＜10</w:t>
            </w:r>
          </w:p>
        </w:tc>
        <w:tc>
          <w:tcPr>
            <w:tcW w:w="1216" w:type="dxa"/>
            <w:tcBorders>
              <w:top w:val="nil"/>
              <w:left w:val="nil"/>
              <w:bottom w:val="single" w:color="auto" w:sz="4" w:space="0"/>
              <w:right w:val="single" w:color="auto" w:sz="4" w:space="0"/>
            </w:tcBorders>
            <w:noWrap w:val="0"/>
            <w:vAlign w:val="center"/>
          </w:tcPr>
          <w:p w14:paraId="5CFCE3A5">
            <w:pPr>
              <w:widowControl/>
              <w:spacing w:line="320" w:lineRule="exact"/>
              <w:jc w:val="center"/>
              <w:rPr>
                <w:rFonts w:ascii="Times New Roman" w:hAnsi="Times New Roman" w:cs="宋体"/>
                <w:color w:val="auto"/>
                <w:kern w:val="0"/>
                <w:sz w:val="18"/>
                <w:szCs w:val="18"/>
                <w:highlight w:val="none"/>
              </w:rPr>
            </w:pPr>
          </w:p>
        </w:tc>
        <w:tc>
          <w:tcPr>
            <w:tcW w:w="1170" w:type="dxa"/>
            <w:tcBorders>
              <w:top w:val="nil"/>
              <w:left w:val="nil"/>
              <w:bottom w:val="single" w:color="auto" w:sz="4" w:space="0"/>
              <w:right w:val="single" w:color="auto" w:sz="8" w:space="0"/>
            </w:tcBorders>
            <w:noWrap w:val="0"/>
            <w:vAlign w:val="center"/>
          </w:tcPr>
          <w:p w14:paraId="3D3467DC">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Z＜100</w:t>
            </w:r>
          </w:p>
        </w:tc>
      </w:tr>
      <w:tr w14:paraId="38D72C9A">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8" w:space="0"/>
              <w:right w:val="single" w:color="auto" w:sz="8" w:space="0"/>
            </w:tcBorders>
            <w:noWrap w:val="0"/>
            <w:vAlign w:val="center"/>
          </w:tcPr>
          <w:p w14:paraId="6F3C379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16、其他未列明行业</w:t>
            </w:r>
          </w:p>
        </w:tc>
        <w:tc>
          <w:tcPr>
            <w:tcW w:w="1430" w:type="dxa"/>
            <w:tcBorders>
              <w:top w:val="nil"/>
              <w:left w:val="nil"/>
              <w:bottom w:val="single" w:color="auto" w:sz="8" w:space="0"/>
              <w:right w:val="single" w:color="auto" w:sz="4" w:space="0"/>
            </w:tcBorders>
            <w:noWrap w:val="0"/>
            <w:vAlign w:val="center"/>
          </w:tcPr>
          <w:p w14:paraId="55DC3131">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100≤X＜300</w:t>
            </w:r>
          </w:p>
        </w:tc>
        <w:tc>
          <w:tcPr>
            <w:tcW w:w="1681" w:type="dxa"/>
            <w:tcBorders>
              <w:top w:val="nil"/>
              <w:left w:val="nil"/>
              <w:bottom w:val="single" w:color="auto" w:sz="8" w:space="0"/>
              <w:right w:val="single" w:color="auto" w:sz="4" w:space="0"/>
            </w:tcBorders>
            <w:noWrap w:val="0"/>
            <w:vAlign w:val="center"/>
          </w:tcPr>
          <w:p w14:paraId="071687FB">
            <w:pPr>
              <w:widowControl/>
              <w:spacing w:line="320" w:lineRule="exact"/>
              <w:jc w:val="center"/>
              <w:rPr>
                <w:rFonts w:ascii="Times New Roman" w:hAnsi="Times New Roman" w:cs="宋体"/>
                <w:color w:val="auto"/>
                <w:kern w:val="0"/>
                <w:sz w:val="18"/>
                <w:szCs w:val="18"/>
                <w:highlight w:val="none"/>
              </w:rPr>
            </w:pPr>
          </w:p>
        </w:tc>
        <w:tc>
          <w:tcPr>
            <w:tcW w:w="1586" w:type="dxa"/>
            <w:tcBorders>
              <w:top w:val="nil"/>
              <w:left w:val="nil"/>
              <w:bottom w:val="single" w:color="auto" w:sz="8" w:space="0"/>
              <w:right w:val="single" w:color="auto" w:sz="8" w:space="0"/>
            </w:tcBorders>
            <w:noWrap w:val="0"/>
            <w:vAlign w:val="center"/>
          </w:tcPr>
          <w:p w14:paraId="5C4643DF">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8" w:space="0"/>
              <w:right w:val="single" w:color="auto" w:sz="4" w:space="0"/>
            </w:tcBorders>
            <w:noWrap w:val="0"/>
            <w:vAlign w:val="center"/>
          </w:tcPr>
          <w:p w14:paraId="6D95D98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10≤X＜100</w:t>
            </w:r>
          </w:p>
        </w:tc>
        <w:tc>
          <w:tcPr>
            <w:tcW w:w="1412" w:type="dxa"/>
            <w:tcBorders>
              <w:top w:val="nil"/>
              <w:left w:val="nil"/>
              <w:bottom w:val="single" w:color="auto" w:sz="8" w:space="0"/>
              <w:right w:val="single" w:color="auto" w:sz="4" w:space="0"/>
            </w:tcBorders>
            <w:noWrap w:val="0"/>
            <w:vAlign w:val="center"/>
          </w:tcPr>
          <w:p w14:paraId="5B134B8A">
            <w:pPr>
              <w:widowControl/>
              <w:spacing w:line="320" w:lineRule="exact"/>
              <w:jc w:val="center"/>
              <w:rPr>
                <w:rFonts w:ascii="Times New Roman" w:hAnsi="Times New Roman" w:cs="宋体"/>
                <w:color w:val="auto"/>
                <w:kern w:val="0"/>
                <w:sz w:val="18"/>
                <w:szCs w:val="18"/>
                <w:highlight w:val="none"/>
              </w:rPr>
            </w:pPr>
          </w:p>
        </w:tc>
        <w:tc>
          <w:tcPr>
            <w:tcW w:w="1452" w:type="dxa"/>
            <w:tcBorders>
              <w:top w:val="nil"/>
              <w:left w:val="nil"/>
              <w:bottom w:val="single" w:color="auto" w:sz="8" w:space="0"/>
              <w:right w:val="single" w:color="auto" w:sz="8" w:space="0"/>
            </w:tcBorders>
            <w:noWrap w:val="0"/>
            <w:vAlign w:val="center"/>
          </w:tcPr>
          <w:p w14:paraId="67FF2996">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8" w:space="0"/>
              <w:right w:val="single" w:color="auto" w:sz="4" w:space="0"/>
            </w:tcBorders>
            <w:noWrap w:val="0"/>
            <w:vAlign w:val="center"/>
          </w:tcPr>
          <w:p w14:paraId="60D35AEC">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X＜10</w:t>
            </w:r>
          </w:p>
        </w:tc>
        <w:tc>
          <w:tcPr>
            <w:tcW w:w="1216" w:type="dxa"/>
            <w:tcBorders>
              <w:top w:val="nil"/>
              <w:left w:val="nil"/>
              <w:bottom w:val="single" w:color="auto" w:sz="8" w:space="0"/>
              <w:right w:val="single" w:color="auto" w:sz="4" w:space="0"/>
            </w:tcBorders>
            <w:noWrap w:val="0"/>
            <w:vAlign w:val="center"/>
          </w:tcPr>
          <w:p w14:paraId="19D7A0F1">
            <w:pPr>
              <w:widowControl/>
              <w:spacing w:line="320" w:lineRule="exact"/>
              <w:jc w:val="center"/>
              <w:rPr>
                <w:rFonts w:ascii="Times New Roman" w:hAnsi="Times New Roman" w:cs="宋体"/>
                <w:color w:val="auto"/>
                <w:kern w:val="0"/>
                <w:sz w:val="18"/>
                <w:szCs w:val="18"/>
                <w:highlight w:val="none"/>
              </w:rPr>
            </w:pPr>
          </w:p>
        </w:tc>
        <w:tc>
          <w:tcPr>
            <w:tcW w:w="1170" w:type="dxa"/>
            <w:tcBorders>
              <w:top w:val="nil"/>
              <w:left w:val="nil"/>
              <w:bottom w:val="single" w:color="auto" w:sz="8" w:space="0"/>
              <w:right w:val="single" w:color="auto" w:sz="8" w:space="0"/>
            </w:tcBorders>
            <w:noWrap w:val="0"/>
            <w:vAlign w:val="center"/>
          </w:tcPr>
          <w:p w14:paraId="0D2B49B5">
            <w:pPr>
              <w:widowControl/>
              <w:spacing w:line="320" w:lineRule="exact"/>
              <w:jc w:val="center"/>
              <w:rPr>
                <w:rFonts w:ascii="Times New Roman" w:hAnsi="Times New Roman" w:cs="宋体"/>
                <w:color w:val="auto"/>
                <w:kern w:val="0"/>
                <w:sz w:val="18"/>
                <w:szCs w:val="18"/>
                <w:highlight w:val="none"/>
              </w:rPr>
            </w:pPr>
          </w:p>
        </w:tc>
      </w:tr>
      <w:tr w14:paraId="229BF5C3">
        <w:tblPrEx>
          <w:tblCellMar>
            <w:top w:w="0" w:type="dxa"/>
            <w:left w:w="108" w:type="dxa"/>
            <w:bottom w:w="0" w:type="dxa"/>
            <w:right w:w="108" w:type="dxa"/>
          </w:tblCellMar>
        </w:tblPrEx>
        <w:trPr>
          <w:trHeight w:val="454" w:hRule="atLeast"/>
        </w:trPr>
        <w:tc>
          <w:tcPr>
            <w:tcW w:w="14535" w:type="dxa"/>
            <w:gridSpan w:val="10"/>
            <w:tcBorders>
              <w:top w:val="nil"/>
              <w:left w:val="nil"/>
              <w:bottom w:val="nil"/>
              <w:right w:val="nil"/>
            </w:tcBorders>
            <w:noWrap w:val="0"/>
            <w:vAlign w:val="center"/>
          </w:tcPr>
          <w:p w14:paraId="54A71867">
            <w:pPr>
              <w:widowControl/>
              <w:spacing w:line="320" w:lineRule="exact"/>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说明　1、企业类型的划分以统计部门的统计数据为依据。</w:t>
            </w:r>
          </w:p>
          <w:p w14:paraId="6472245F">
            <w:pPr>
              <w:widowControl/>
              <w:spacing w:line="320" w:lineRule="exact"/>
              <w:ind w:firstLine="540" w:firstLineChars="300"/>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2、个体工商户和本规定以外的行业，参照本规定进行划型。</w:t>
            </w:r>
          </w:p>
          <w:p w14:paraId="253A99EE">
            <w:pPr>
              <w:widowControl/>
              <w:spacing w:line="320" w:lineRule="exact"/>
              <w:ind w:firstLine="540" w:firstLineChars="300"/>
              <w:rPr>
                <w:rFonts w:hint="eastAsia" w:ascii="Times New Roman" w:hAnsi="Times New Roman" w:cs="宋体" w:eastAsiaTheme="minorEastAsia"/>
                <w:color w:val="auto"/>
                <w:kern w:val="0"/>
                <w:sz w:val="18"/>
                <w:szCs w:val="18"/>
                <w:highlight w:val="none"/>
                <w:lang w:eastAsia="zh-CN"/>
              </w:rPr>
            </w:pPr>
            <w:r>
              <w:rPr>
                <w:rFonts w:hint="eastAsia" w:ascii="Times New Roman" w:hAnsi="Times New Roman" w:cs="宋体"/>
                <w:color w:val="auto"/>
                <w:kern w:val="0"/>
                <w:sz w:val="18"/>
                <w:szCs w:val="18"/>
                <w:highlight w:val="none"/>
              </w:rPr>
              <w:t>3、本规定的中型企业标准上限即为大型企业标准的下限</w:t>
            </w:r>
            <w:r>
              <w:rPr>
                <w:rFonts w:hint="eastAsia" w:ascii="Times New Roman" w:hAnsi="Times New Roman" w:cs="宋体"/>
                <w:color w:val="auto"/>
                <w:kern w:val="0"/>
                <w:sz w:val="18"/>
                <w:szCs w:val="18"/>
                <w:highlight w:val="none"/>
                <w:lang w:eastAsia="zh-CN"/>
              </w:rPr>
              <w:t>。</w:t>
            </w:r>
          </w:p>
        </w:tc>
      </w:tr>
      <w:bookmarkEnd w:id="227"/>
    </w:tbl>
    <w:p w14:paraId="24F068D6">
      <w:pPr>
        <w:pStyle w:val="39"/>
        <w:widowControl w:val="0"/>
        <w:snapToGrid w:val="0"/>
        <w:spacing w:line="440" w:lineRule="exact"/>
        <w:jc w:val="both"/>
        <w:rPr>
          <w:rFonts w:hint="eastAsia" w:asciiTheme="minorEastAsia" w:hAnsiTheme="minorEastAsia" w:eastAsiaTheme="minorEastAsia"/>
          <w:color w:val="auto"/>
          <w:szCs w:val="21"/>
          <w:highlight w:val="none"/>
        </w:rPr>
      </w:pPr>
    </w:p>
    <w:sectPr>
      <w:pgSz w:w="16838" w:h="11906" w:orient="landscape"/>
      <w:pgMar w:top="567" w:right="1440" w:bottom="567"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FangSong_GB2312">
    <w:altName w:val="仿宋"/>
    <w:panose1 w:val="02010609060101010101"/>
    <w:charset w:val="00"/>
    <w:family w:val="roman"/>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7EB0E">
    <w:pPr>
      <w:pStyle w:val="14"/>
      <w:tabs>
        <w:tab w:val="center" w:pos="4320"/>
        <w:tab w:val="right" w:pos="8760"/>
      </w:tabs>
      <w:jc w:val="left"/>
    </w:pPr>
    <w:r>
      <w:rPr>
        <w:rFonts w:hint="eastAsia"/>
        <w:lang w:eastAsia="zh-CN"/>
      </w:rPr>
      <w:tab/>
    </w:r>
    <w:r>
      <w:rPr>
        <w:rFonts w:hint="eastAsia"/>
        <w:lang w:eastAsia="zh-CN"/>
      </w:rPr>
      <w:tab/>
    </w:r>
    <w:r>
      <w:rPr>
        <w:rFonts w:hint="eastAsia"/>
        <w:lang w:eastAsia="zh-CN"/>
      </w:rPr>
      <w:tab/>
    </w:r>
    <w:r>
      <w:rPr>
        <w:rFonts w:hint="eastAsia"/>
        <w:lang w:eastAsia="zh-CN"/>
      </w:rPr>
      <w:tab/>
    </w:r>
  </w:p>
  <w:p w14:paraId="39ADB54C">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8DC99">
    <w:pPr>
      <w:pStyle w:val="14"/>
      <w:tabs>
        <w:tab w:val="center" w:pos="4320"/>
        <w:tab w:val="right" w:pos="8760"/>
      </w:tabs>
      <w:jc w:val="lef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0424593"/>
                          </w:sdtPr>
                          <w:sdtContent>
                            <w:p w14:paraId="6CC38764">
                              <w:pPr>
                                <w:pStyle w:val="14"/>
                                <w:jc w:val="right"/>
                              </w:pPr>
                              <w:r>
                                <w:fldChar w:fldCharType="begin"/>
                              </w:r>
                              <w:r>
                                <w:instrText xml:space="preserve">PAGE   \* MERGEFORMAT</w:instrText>
                              </w:r>
                              <w:r>
                                <w:fldChar w:fldCharType="separate"/>
                              </w:r>
                              <w:r>
                                <w:rPr>
                                  <w:lang w:val="zh-CN"/>
                                </w:rPr>
                                <w:t>1</w:t>
                              </w:r>
                              <w:r>
                                <w:rPr>
                                  <w:lang w:val="zh-CN"/>
                                </w:rPr>
                                <w:fldChar w:fldCharType="end"/>
                              </w:r>
                            </w:p>
                          </w:sdtContent>
                        </w:sdt>
                        <w:p w14:paraId="3AEADE8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110424593"/>
                    </w:sdtPr>
                    <w:sdtContent>
                      <w:p w14:paraId="6CC38764">
                        <w:pPr>
                          <w:pStyle w:val="14"/>
                          <w:jc w:val="right"/>
                        </w:pPr>
                        <w:r>
                          <w:fldChar w:fldCharType="begin"/>
                        </w:r>
                        <w:r>
                          <w:instrText xml:space="preserve">PAGE   \* MERGEFORMAT</w:instrText>
                        </w:r>
                        <w:r>
                          <w:fldChar w:fldCharType="separate"/>
                        </w:r>
                        <w:r>
                          <w:rPr>
                            <w:lang w:val="zh-CN"/>
                          </w:rPr>
                          <w:t>1</w:t>
                        </w:r>
                        <w:r>
                          <w:rPr>
                            <w:lang w:val="zh-CN"/>
                          </w:rPr>
                          <w:fldChar w:fldCharType="end"/>
                        </w:r>
                      </w:p>
                    </w:sdtContent>
                  </w:sdt>
                  <w:p w14:paraId="3AEADE81"/>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14:paraId="401A24C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E8225">
    <w:pPr>
      <w:pStyle w:val="14"/>
      <w:tabs>
        <w:tab w:val="center" w:pos="4320"/>
        <w:tab w:val="right" w:pos="8760"/>
      </w:tabs>
      <w:jc w:val="left"/>
    </w:pPr>
    <w:r>
      <w:rPr>
        <w:rFonts w:hint="eastAsia"/>
        <w:lang w:eastAsia="zh-CN"/>
      </w:rPr>
      <w:tab/>
    </w:r>
    <w:r>
      <w:rPr>
        <w:rFonts w:hint="eastAsia"/>
        <w:lang w:eastAsia="zh-CN"/>
      </w:rPr>
      <w:tab/>
    </w:r>
    <w:r>
      <w:rPr>
        <w:rFonts w:hint="eastAsia"/>
        <w:lang w:eastAsia="zh-CN"/>
      </w:rPr>
      <w:tab/>
    </w:r>
    <w:r>
      <w:rPr>
        <w:rFonts w:hint="eastAsia"/>
        <w:lang w:eastAsia="zh-CN"/>
      </w:rPr>
      <w:tab/>
    </w:r>
  </w:p>
  <w:p w14:paraId="27D00B26">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03372">
    <w:pPr>
      <w:pStyle w:val="14"/>
      <w:tabs>
        <w:tab w:val="center" w:pos="4320"/>
        <w:tab w:val="right" w:pos="8760"/>
      </w:tabs>
      <w:jc w:val="left"/>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888"/>
                          </w:sdtPr>
                          <w:sdtContent>
                            <w:p w14:paraId="0176791B">
                              <w:pPr>
                                <w:pStyle w:val="14"/>
                                <w:jc w:val="right"/>
                              </w:pPr>
                              <w:r>
                                <w:fldChar w:fldCharType="begin"/>
                              </w:r>
                              <w:r>
                                <w:instrText xml:space="preserve">PAGE   \* MERGEFORMAT</w:instrText>
                              </w:r>
                              <w:r>
                                <w:fldChar w:fldCharType="separate"/>
                              </w:r>
                              <w:r>
                                <w:rPr>
                                  <w:lang w:val="zh-CN"/>
                                </w:rPr>
                                <w:t>1</w:t>
                              </w:r>
                              <w:r>
                                <w:rPr>
                                  <w:lang w:val="zh-CN"/>
                                </w:rPr>
                                <w:fldChar w:fldCharType="end"/>
                              </w:r>
                            </w:p>
                          </w:sdtContent>
                        </w:sdt>
                        <w:p w14:paraId="58E8C7C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147473888"/>
                    </w:sdtPr>
                    <w:sdtContent>
                      <w:p w14:paraId="0176791B">
                        <w:pPr>
                          <w:pStyle w:val="14"/>
                          <w:jc w:val="right"/>
                        </w:pPr>
                        <w:r>
                          <w:fldChar w:fldCharType="begin"/>
                        </w:r>
                        <w:r>
                          <w:instrText xml:space="preserve">PAGE   \* MERGEFORMAT</w:instrText>
                        </w:r>
                        <w:r>
                          <w:fldChar w:fldCharType="separate"/>
                        </w:r>
                        <w:r>
                          <w:rPr>
                            <w:lang w:val="zh-CN"/>
                          </w:rPr>
                          <w:t>1</w:t>
                        </w:r>
                        <w:r>
                          <w:rPr>
                            <w:lang w:val="zh-CN"/>
                          </w:rPr>
                          <w:fldChar w:fldCharType="end"/>
                        </w:r>
                      </w:p>
                    </w:sdtContent>
                  </w:sdt>
                  <w:p w14:paraId="58E8C7C1"/>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14:paraId="048A62B3">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48CA8">
    <w:pPr>
      <w:pStyle w:val="14"/>
      <w:ind w:firstLine="44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0650" cy="1549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00104E24">
                          <w:pPr>
                            <w:pStyle w:val="14"/>
                            <w:ind w:firstLine="440"/>
                            <w:jc w:val="right"/>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2336;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JV+P30QAAAAMBAAAPAAAAAAAAAAEAIAAAACIAAABkcnMvZG93bnJldi54bWxQSwEC&#10;FAAUAAAACACHTuJAYUPj+zQCAABhBAAADgAAAAAAAAABACAAAAAgAQAAZHJzL2Uyb0RvYy54bWxQ&#10;SwUGAAAAAAYABgBZAQAAxgUAAAAA&#10;">
              <v:fill on="f" focussize="0,0"/>
              <v:stroke on="f" weight="0.5pt"/>
              <v:imagedata o:title=""/>
              <o:lock v:ext="edit" aspectratio="f"/>
              <v:textbox inset="0mm,0mm,0mm,0mm" style="mso-fit-shape-to-text:t;">
                <w:txbxContent>
                  <w:p w14:paraId="00104E24">
                    <w:pPr>
                      <w:pStyle w:val="14"/>
                      <w:ind w:firstLine="440"/>
                      <w:jc w:val="right"/>
                    </w:pPr>
                    <w:r>
                      <w:fldChar w:fldCharType="begin"/>
                    </w:r>
                    <w:r>
                      <w:instrText xml:space="preserve"> PAGE  \* MERGEFORMAT </w:instrText>
                    </w:r>
                    <w:r>
                      <w:fldChar w:fldCharType="separate"/>
                    </w:r>
                    <w:r>
                      <w:t>27</w:t>
                    </w:r>
                    <w:r>
                      <w:fldChar w:fldCharType="end"/>
                    </w:r>
                  </w:p>
                </w:txbxContent>
              </v:textbox>
            </v:shape>
          </w:pict>
        </mc:Fallback>
      </mc:AlternateContent>
    </w:r>
  </w:p>
  <w:p w14:paraId="24DA265F">
    <w:pPr>
      <w:pStyle w:val="14"/>
      <w:ind w:firstLine="4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46C9D">
    <w:pPr>
      <w:pStyle w:val="14"/>
      <w:ind w:firstLine="44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CC2C4A">
                          <w:pPr>
                            <w:pStyle w:val="14"/>
                            <w:ind w:firstLine="4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0ECC2C4A">
                    <w:pPr>
                      <w:pStyle w:val="14"/>
                      <w:ind w:firstLine="440"/>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1FDE61">
                          <w:pPr>
                            <w:pStyle w:val="14"/>
                            <w:ind w:firstLine="440"/>
                            <w:jc w:val="center"/>
                          </w:pPr>
                        </w:p>
                        <w:p w14:paraId="56A848F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21FDE61">
                    <w:pPr>
                      <w:pStyle w:val="14"/>
                      <w:ind w:firstLine="440"/>
                      <w:jc w:val="center"/>
                    </w:pPr>
                  </w:p>
                  <w:p w14:paraId="56A848F5"/>
                </w:txbxContent>
              </v:textbox>
            </v:shape>
          </w:pict>
        </mc:Fallback>
      </mc:AlternateContent>
    </w:r>
  </w:p>
  <w:p w14:paraId="4C79A01E">
    <w:pPr>
      <w:pStyle w:val="14"/>
      <w:ind w:firstLine="4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05C21">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6B36B">
                          <w:pPr>
                            <w:pStyle w:val="14"/>
                            <w:jc w:val="center"/>
                          </w:pPr>
                          <w:r>
                            <w:fldChar w:fldCharType="begin"/>
                          </w:r>
                          <w:r>
                            <w:instrText xml:space="preserve"> PAGE   \* MERGEFORMAT </w:instrText>
                          </w:r>
                          <w:r>
                            <w:fldChar w:fldCharType="separate"/>
                          </w:r>
                          <w:r>
                            <w:rPr>
                              <w:lang w:val="zh-CN"/>
                            </w:rP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BF6B36B">
                    <w:pPr>
                      <w:pStyle w:val="14"/>
                      <w:jc w:val="center"/>
                    </w:pPr>
                    <w:r>
                      <w:fldChar w:fldCharType="begin"/>
                    </w:r>
                    <w:r>
                      <w:instrText xml:space="preserve"> PAGE   \* MERGEFORMAT </w:instrText>
                    </w:r>
                    <w:r>
                      <w:fldChar w:fldCharType="separate"/>
                    </w:r>
                    <w:r>
                      <w:rPr>
                        <w:lang w:val="zh-CN"/>
                      </w:rP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A532">
    <w:pPr>
      <w:pStyle w:val="14"/>
      <w:ind w:firstLine="44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F35E5B">
                          <w:pPr>
                            <w:pStyle w:val="14"/>
                            <w:ind w:firstLine="4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7BF35E5B">
                    <w:pPr>
                      <w:pStyle w:val="14"/>
                      <w:ind w:firstLine="440"/>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015985">
                          <w:pPr>
                            <w:pStyle w:val="14"/>
                            <w:ind w:firstLine="440"/>
                            <w:jc w:val="center"/>
                          </w:pPr>
                        </w:p>
                        <w:p w14:paraId="60D45E4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50015985">
                    <w:pPr>
                      <w:pStyle w:val="14"/>
                      <w:ind w:firstLine="440"/>
                      <w:jc w:val="center"/>
                    </w:pPr>
                  </w:p>
                  <w:p w14:paraId="60D45E4D"/>
                </w:txbxContent>
              </v:textbox>
            </v:shape>
          </w:pict>
        </mc:Fallback>
      </mc:AlternateContent>
    </w:r>
  </w:p>
  <w:p w14:paraId="07D27C55">
    <w:pPr>
      <w:pStyle w:val="14"/>
      <w:ind w:firstLine="4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7B665">
    <w:pPr>
      <w:pStyle w:val="16"/>
      <w:pBdr>
        <w:bottom w:val="none" w:color="auto" w:sz="0" w:space="0"/>
      </w:pBdr>
      <w:tabs>
        <w:tab w:val="right" w:pos="9813"/>
        <w:tab w:val="clear" w:pos="4153"/>
        <w:tab w:val="clear" w:pos="8306"/>
      </w:tabs>
      <w:ind w:left="-966" w:right="-968"/>
      <w:rPr>
        <w:rFonts w:ascii="宋体" w:hAnsi="宋体"/>
        <w:w w:val="8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93A2">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A6453"/>
    <w:multiLevelType w:val="singleLevel"/>
    <w:tmpl w:val="1DEA6453"/>
    <w:lvl w:ilvl="0" w:tentative="0">
      <w:start w:val="9"/>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55DC2298"/>
    <w:multiLevelType w:val="multilevel"/>
    <w:tmpl w:val="55DC2298"/>
    <w:lvl w:ilvl="0" w:tentative="0">
      <w:start w:val="1"/>
      <w:numFmt w:val="chineseCountingThousand"/>
      <w:pStyle w:val="20"/>
      <w:lvlText w:val="第%1章"/>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876FF31"/>
    <w:multiLevelType w:val="singleLevel"/>
    <w:tmpl w:val="6876FF31"/>
    <w:lvl w:ilvl="0" w:tentative="0">
      <w:start w:val="2"/>
      <w:numFmt w:val="decimal"/>
      <w:suff w:val="nothing"/>
      <w:lvlText w:val="%1、"/>
      <w:lvlJc w:val="left"/>
    </w:lvl>
  </w:abstractNum>
  <w:abstractNum w:abstractNumId="5">
    <w:nsid w:val="7CA93F89"/>
    <w:multiLevelType w:val="multilevel"/>
    <w:tmpl w:val="7CA93F8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GQ5YWI0Mzg3ZTBjMDY5Y2RmNWQ0MDVhMDRkN2UifQ=="/>
  </w:docVars>
  <w:rsids>
    <w:rsidRoot w:val="00000000"/>
    <w:rsid w:val="00005292"/>
    <w:rsid w:val="00197A08"/>
    <w:rsid w:val="00296707"/>
    <w:rsid w:val="00501EE6"/>
    <w:rsid w:val="00977B14"/>
    <w:rsid w:val="00DC7C1D"/>
    <w:rsid w:val="01987FE8"/>
    <w:rsid w:val="02A604E3"/>
    <w:rsid w:val="0326617B"/>
    <w:rsid w:val="04B14F1D"/>
    <w:rsid w:val="053B6BE9"/>
    <w:rsid w:val="05573E17"/>
    <w:rsid w:val="058149E1"/>
    <w:rsid w:val="06020D60"/>
    <w:rsid w:val="062067FE"/>
    <w:rsid w:val="06420AD1"/>
    <w:rsid w:val="064C314F"/>
    <w:rsid w:val="066E083B"/>
    <w:rsid w:val="067601CC"/>
    <w:rsid w:val="07047ECE"/>
    <w:rsid w:val="071443DC"/>
    <w:rsid w:val="072E073E"/>
    <w:rsid w:val="0744651C"/>
    <w:rsid w:val="079C1EB4"/>
    <w:rsid w:val="07A34FF1"/>
    <w:rsid w:val="07AB20F7"/>
    <w:rsid w:val="081971AF"/>
    <w:rsid w:val="089F7EAE"/>
    <w:rsid w:val="08C6543B"/>
    <w:rsid w:val="09185668"/>
    <w:rsid w:val="09387C3D"/>
    <w:rsid w:val="097F23C2"/>
    <w:rsid w:val="09BD7863"/>
    <w:rsid w:val="09CF6487"/>
    <w:rsid w:val="0A5B7E05"/>
    <w:rsid w:val="0A6F2477"/>
    <w:rsid w:val="0A886720"/>
    <w:rsid w:val="0AE10740"/>
    <w:rsid w:val="0B0860CB"/>
    <w:rsid w:val="0B782D2C"/>
    <w:rsid w:val="0B792C38"/>
    <w:rsid w:val="0B9A2BAF"/>
    <w:rsid w:val="0C083FBC"/>
    <w:rsid w:val="0C210BDA"/>
    <w:rsid w:val="0C917B0E"/>
    <w:rsid w:val="0CB14328"/>
    <w:rsid w:val="0CBF0B1F"/>
    <w:rsid w:val="0CDD5BD9"/>
    <w:rsid w:val="0D814C57"/>
    <w:rsid w:val="0DC857B1"/>
    <w:rsid w:val="0E1F72FD"/>
    <w:rsid w:val="0E6179B4"/>
    <w:rsid w:val="0EA272C7"/>
    <w:rsid w:val="0EA578A0"/>
    <w:rsid w:val="0F261115"/>
    <w:rsid w:val="1039281C"/>
    <w:rsid w:val="10B55FDB"/>
    <w:rsid w:val="116F4196"/>
    <w:rsid w:val="11806818"/>
    <w:rsid w:val="11851C0B"/>
    <w:rsid w:val="11B20C52"/>
    <w:rsid w:val="11E87572"/>
    <w:rsid w:val="12631F4C"/>
    <w:rsid w:val="126B0153"/>
    <w:rsid w:val="12AE336E"/>
    <w:rsid w:val="12AF73D7"/>
    <w:rsid w:val="12C65837"/>
    <w:rsid w:val="13211BE9"/>
    <w:rsid w:val="134E7A36"/>
    <w:rsid w:val="140908D1"/>
    <w:rsid w:val="14157276"/>
    <w:rsid w:val="14BE0F54"/>
    <w:rsid w:val="160E0421"/>
    <w:rsid w:val="174A07CA"/>
    <w:rsid w:val="175110F6"/>
    <w:rsid w:val="178169D1"/>
    <w:rsid w:val="17F84C38"/>
    <w:rsid w:val="184C6E69"/>
    <w:rsid w:val="1875724D"/>
    <w:rsid w:val="1881137E"/>
    <w:rsid w:val="18842C1C"/>
    <w:rsid w:val="18E26F66"/>
    <w:rsid w:val="18EC0939"/>
    <w:rsid w:val="196B7938"/>
    <w:rsid w:val="197B2756"/>
    <w:rsid w:val="19C31F4B"/>
    <w:rsid w:val="19D556DF"/>
    <w:rsid w:val="19F53EC5"/>
    <w:rsid w:val="1A226249"/>
    <w:rsid w:val="1A2B77F4"/>
    <w:rsid w:val="1A303676"/>
    <w:rsid w:val="1A411D4B"/>
    <w:rsid w:val="1AE5591E"/>
    <w:rsid w:val="1B040045"/>
    <w:rsid w:val="1B13197C"/>
    <w:rsid w:val="1B224E25"/>
    <w:rsid w:val="1B4F7512"/>
    <w:rsid w:val="1B7859D4"/>
    <w:rsid w:val="1BA01B1B"/>
    <w:rsid w:val="1BBB39A1"/>
    <w:rsid w:val="1BBC447B"/>
    <w:rsid w:val="1C0F2CE1"/>
    <w:rsid w:val="1C250273"/>
    <w:rsid w:val="1C312204"/>
    <w:rsid w:val="1C326C0D"/>
    <w:rsid w:val="1C43685F"/>
    <w:rsid w:val="1C9C5290"/>
    <w:rsid w:val="1CFC2B26"/>
    <w:rsid w:val="1D6C34CB"/>
    <w:rsid w:val="1DDC2BB3"/>
    <w:rsid w:val="1EDA0AE1"/>
    <w:rsid w:val="1FB262C1"/>
    <w:rsid w:val="1FFA3C6A"/>
    <w:rsid w:val="207672EF"/>
    <w:rsid w:val="20B120D5"/>
    <w:rsid w:val="21313675"/>
    <w:rsid w:val="21391D4A"/>
    <w:rsid w:val="21735CA5"/>
    <w:rsid w:val="22146DBF"/>
    <w:rsid w:val="2219492B"/>
    <w:rsid w:val="222334A6"/>
    <w:rsid w:val="223B3794"/>
    <w:rsid w:val="224020DE"/>
    <w:rsid w:val="22600256"/>
    <w:rsid w:val="22810181"/>
    <w:rsid w:val="22C00CF5"/>
    <w:rsid w:val="22EE16F7"/>
    <w:rsid w:val="23152763"/>
    <w:rsid w:val="23A14CF8"/>
    <w:rsid w:val="23A83C63"/>
    <w:rsid w:val="23D9610A"/>
    <w:rsid w:val="23E93C30"/>
    <w:rsid w:val="24A501A2"/>
    <w:rsid w:val="250A60E8"/>
    <w:rsid w:val="259B3353"/>
    <w:rsid w:val="2628570F"/>
    <w:rsid w:val="26855A4F"/>
    <w:rsid w:val="277B51EB"/>
    <w:rsid w:val="278E13C2"/>
    <w:rsid w:val="27C60679"/>
    <w:rsid w:val="27F05508"/>
    <w:rsid w:val="29082CA1"/>
    <w:rsid w:val="29535133"/>
    <w:rsid w:val="2A946CEF"/>
    <w:rsid w:val="2A9F114D"/>
    <w:rsid w:val="2B057D63"/>
    <w:rsid w:val="2B24619F"/>
    <w:rsid w:val="2C22657D"/>
    <w:rsid w:val="2C2C6406"/>
    <w:rsid w:val="2C3047F6"/>
    <w:rsid w:val="2CD86C3B"/>
    <w:rsid w:val="2D89569E"/>
    <w:rsid w:val="2DC72F38"/>
    <w:rsid w:val="2E08306F"/>
    <w:rsid w:val="2EA95045"/>
    <w:rsid w:val="2EB70D46"/>
    <w:rsid w:val="2EFC1307"/>
    <w:rsid w:val="2F697DDD"/>
    <w:rsid w:val="2FAB4E24"/>
    <w:rsid w:val="30601421"/>
    <w:rsid w:val="30B90F18"/>
    <w:rsid w:val="31413001"/>
    <w:rsid w:val="31732505"/>
    <w:rsid w:val="317B2D8B"/>
    <w:rsid w:val="323C5288"/>
    <w:rsid w:val="323D1A1A"/>
    <w:rsid w:val="32662F17"/>
    <w:rsid w:val="327E40F1"/>
    <w:rsid w:val="32A55811"/>
    <w:rsid w:val="330662B0"/>
    <w:rsid w:val="33131586"/>
    <w:rsid w:val="332E3A59"/>
    <w:rsid w:val="334943EF"/>
    <w:rsid w:val="334C7D09"/>
    <w:rsid w:val="33550FE6"/>
    <w:rsid w:val="33633703"/>
    <w:rsid w:val="34855134"/>
    <w:rsid w:val="34A51989"/>
    <w:rsid w:val="34B00BC9"/>
    <w:rsid w:val="34B955A4"/>
    <w:rsid w:val="350B5BF0"/>
    <w:rsid w:val="352C4B56"/>
    <w:rsid w:val="358C701E"/>
    <w:rsid w:val="35D46B3A"/>
    <w:rsid w:val="360051D3"/>
    <w:rsid w:val="36600246"/>
    <w:rsid w:val="36BE2F32"/>
    <w:rsid w:val="36FD5EA4"/>
    <w:rsid w:val="37103FDB"/>
    <w:rsid w:val="372D1613"/>
    <w:rsid w:val="37845DE0"/>
    <w:rsid w:val="382864C4"/>
    <w:rsid w:val="383374BF"/>
    <w:rsid w:val="38415FDC"/>
    <w:rsid w:val="384A76A4"/>
    <w:rsid w:val="38555B96"/>
    <w:rsid w:val="39697599"/>
    <w:rsid w:val="3990325F"/>
    <w:rsid w:val="3A1E4827"/>
    <w:rsid w:val="3A2B726E"/>
    <w:rsid w:val="3A3F654C"/>
    <w:rsid w:val="3A9A00A2"/>
    <w:rsid w:val="3ACA050B"/>
    <w:rsid w:val="3ADE1FB9"/>
    <w:rsid w:val="3B34428A"/>
    <w:rsid w:val="3B583D69"/>
    <w:rsid w:val="3B83339B"/>
    <w:rsid w:val="3BE310C1"/>
    <w:rsid w:val="3BEE1FD7"/>
    <w:rsid w:val="3BFD350A"/>
    <w:rsid w:val="3C31165F"/>
    <w:rsid w:val="3CE8586E"/>
    <w:rsid w:val="3D554AF9"/>
    <w:rsid w:val="3D5D2F5E"/>
    <w:rsid w:val="3D971EBC"/>
    <w:rsid w:val="3DCD69B6"/>
    <w:rsid w:val="3DE83A4E"/>
    <w:rsid w:val="3E4F1453"/>
    <w:rsid w:val="3EB02CBF"/>
    <w:rsid w:val="3ECB4852"/>
    <w:rsid w:val="3EFE566E"/>
    <w:rsid w:val="3F1864D6"/>
    <w:rsid w:val="3F845306"/>
    <w:rsid w:val="402725F6"/>
    <w:rsid w:val="404843AC"/>
    <w:rsid w:val="40582115"/>
    <w:rsid w:val="40BC26A4"/>
    <w:rsid w:val="40DC2D46"/>
    <w:rsid w:val="415B1EBD"/>
    <w:rsid w:val="419E7FFC"/>
    <w:rsid w:val="41A05B22"/>
    <w:rsid w:val="42B945DD"/>
    <w:rsid w:val="42DE024F"/>
    <w:rsid w:val="42F44377"/>
    <w:rsid w:val="43225F59"/>
    <w:rsid w:val="43497143"/>
    <w:rsid w:val="43E066A9"/>
    <w:rsid w:val="441D49D5"/>
    <w:rsid w:val="44313A46"/>
    <w:rsid w:val="4441183E"/>
    <w:rsid w:val="44703ED1"/>
    <w:rsid w:val="45442C68"/>
    <w:rsid w:val="456F6138"/>
    <w:rsid w:val="46441597"/>
    <w:rsid w:val="46A1331F"/>
    <w:rsid w:val="473C62ED"/>
    <w:rsid w:val="47615D53"/>
    <w:rsid w:val="477C07C1"/>
    <w:rsid w:val="47DD61E2"/>
    <w:rsid w:val="483E452D"/>
    <w:rsid w:val="48B22B59"/>
    <w:rsid w:val="48BC698B"/>
    <w:rsid w:val="492D640E"/>
    <w:rsid w:val="49AD79B6"/>
    <w:rsid w:val="49B55F4A"/>
    <w:rsid w:val="49CA4084"/>
    <w:rsid w:val="49EC6A7D"/>
    <w:rsid w:val="4B336136"/>
    <w:rsid w:val="4BCD4F5D"/>
    <w:rsid w:val="4C5145E8"/>
    <w:rsid w:val="4C675DE6"/>
    <w:rsid w:val="4C6E4274"/>
    <w:rsid w:val="4C6F0956"/>
    <w:rsid w:val="4D551EB6"/>
    <w:rsid w:val="4D990842"/>
    <w:rsid w:val="4DDE0F4B"/>
    <w:rsid w:val="4E2E44B5"/>
    <w:rsid w:val="4E497EFE"/>
    <w:rsid w:val="4E4A12EF"/>
    <w:rsid w:val="4EA25FF4"/>
    <w:rsid w:val="4F3501F1"/>
    <w:rsid w:val="4F493C9D"/>
    <w:rsid w:val="4F90367A"/>
    <w:rsid w:val="4FB630E7"/>
    <w:rsid w:val="4FC9093A"/>
    <w:rsid w:val="4FE94B38"/>
    <w:rsid w:val="50185F12"/>
    <w:rsid w:val="503E1327"/>
    <w:rsid w:val="504D5B20"/>
    <w:rsid w:val="50975357"/>
    <w:rsid w:val="50C01D3C"/>
    <w:rsid w:val="50D03E52"/>
    <w:rsid w:val="50F43794"/>
    <w:rsid w:val="51531F0B"/>
    <w:rsid w:val="5167040A"/>
    <w:rsid w:val="51767E59"/>
    <w:rsid w:val="518C579C"/>
    <w:rsid w:val="5198235F"/>
    <w:rsid w:val="52333AA7"/>
    <w:rsid w:val="531001F3"/>
    <w:rsid w:val="53173662"/>
    <w:rsid w:val="5367493A"/>
    <w:rsid w:val="536F7A4A"/>
    <w:rsid w:val="54B014B9"/>
    <w:rsid w:val="55733821"/>
    <w:rsid w:val="55D636BF"/>
    <w:rsid w:val="55F12998"/>
    <w:rsid w:val="562977F4"/>
    <w:rsid w:val="563C00B7"/>
    <w:rsid w:val="56BB40A2"/>
    <w:rsid w:val="56EE7DDD"/>
    <w:rsid w:val="56FA7402"/>
    <w:rsid w:val="573E5536"/>
    <w:rsid w:val="57680689"/>
    <w:rsid w:val="58117322"/>
    <w:rsid w:val="58332C20"/>
    <w:rsid w:val="587A0A23"/>
    <w:rsid w:val="58B57CAD"/>
    <w:rsid w:val="58B8779D"/>
    <w:rsid w:val="59EE2F1B"/>
    <w:rsid w:val="5A040EEC"/>
    <w:rsid w:val="5A086CF3"/>
    <w:rsid w:val="5A252C10"/>
    <w:rsid w:val="5A4E660B"/>
    <w:rsid w:val="5A8F69ED"/>
    <w:rsid w:val="5A9009D2"/>
    <w:rsid w:val="5AA61AE4"/>
    <w:rsid w:val="5B0E7B48"/>
    <w:rsid w:val="5B4812AC"/>
    <w:rsid w:val="5B845120"/>
    <w:rsid w:val="5BA26C0E"/>
    <w:rsid w:val="5BA74225"/>
    <w:rsid w:val="5CD03307"/>
    <w:rsid w:val="5D292A17"/>
    <w:rsid w:val="5D48142C"/>
    <w:rsid w:val="5DCF5083"/>
    <w:rsid w:val="5E1216FE"/>
    <w:rsid w:val="5E595086"/>
    <w:rsid w:val="5E706136"/>
    <w:rsid w:val="5E9C0BD3"/>
    <w:rsid w:val="5EED5DDF"/>
    <w:rsid w:val="5FA32F55"/>
    <w:rsid w:val="60600E46"/>
    <w:rsid w:val="606B7E4D"/>
    <w:rsid w:val="60720072"/>
    <w:rsid w:val="60805AB1"/>
    <w:rsid w:val="608C39E9"/>
    <w:rsid w:val="614B11AE"/>
    <w:rsid w:val="616B3715"/>
    <w:rsid w:val="617167E5"/>
    <w:rsid w:val="625D388F"/>
    <w:rsid w:val="629B7F14"/>
    <w:rsid w:val="62AD4408"/>
    <w:rsid w:val="62CC7D62"/>
    <w:rsid w:val="63842DB6"/>
    <w:rsid w:val="63ED1F43"/>
    <w:rsid w:val="63FC0C8C"/>
    <w:rsid w:val="64030E25"/>
    <w:rsid w:val="644E3AA6"/>
    <w:rsid w:val="64526F47"/>
    <w:rsid w:val="64C618A5"/>
    <w:rsid w:val="650C72CE"/>
    <w:rsid w:val="65282879"/>
    <w:rsid w:val="65F00576"/>
    <w:rsid w:val="66636F9A"/>
    <w:rsid w:val="673E2B2A"/>
    <w:rsid w:val="67564D51"/>
    <w:rsid w:val="675B2367"/>
    <w:rsid w:val="67901C4F"/>
    <w:rsid w:val="68752FB5"/>
    <w:rsid w:val="68CC52CB"/>
    <w:rsid w:val="68CE3936"/>
    <w:rsid w:val="6949691B"/>
    <w:rsid w:val="6958090C"/>
    <w:rsid w:val="69FF0462"/>
    <w:rsid w:val="6A7F58F7"/>
    <w:rsid w:val="6A941EA8"/>
    <w:rsid w:val="6ABA1153"/>
    <w:rsid w:val="6B272C8C"/>
    <w:rsid w:val="6BAF2C82"/>
    <w:rsid w:val="6BC56001"/>
    <w:rsid w:val="6C0814D9"/>
    <w:rsid w:val="6C16685D"/>
    <w:rsid w:val="6C1B4A7A"/>
    <w:rsid w:val="6C6C46CF"/>
    <w:rsid w:val="6C886186"/>
    <w:rsid w:val="6CBD5995"/>
    <w:rsid w:val="6D65184A"/>
    <w:rsid w:val="6D8048D6"/>
    <w:rsid w:val="6DAF0D17"/>
    <w:rsid w:val="6E26547D"/>
    <w:rsid w:val="6EB544FE"/>
    <w:rsid w:val="6ED50203"/>
    <w:rsid w:val="6F0D6F71"/>
    <w:rsid w:val="6F4D07E7"/>
    <w:rsid w:val="6F775864"/>
    <w:rsid w:val="6FE50A20"/>
    <w:rsid w:val="70A9141C"/>
    <w:rsid w:val="710C2988"/>
    <w:rsid w:val="715450B9"/>
    <w:rsid w:val="71597917"/>
    <w:rsid w:val="71890D0C"/>
    <w:rsid w:val="71F37174"/>
    <w:rsid w:val="720553A9"/>
    <w:rsid w:val="726B27F9"/>
    <w:rsid w:val="72835B3C"/>
    <w:rsid w:val="728F6602"/>
    <w:rsid w:val="72BF0CD3"/>
    <w:rsid w:val="72C1503F"/>
    <w:rsid w:val="73430839"/>
    <w:rsid w:val="738344C2"/>
    <w:rsid w:val="739015EB"/>
    <w:rsid w:val="73B00CA9"/>
    <w:rsid w:val="746565D3"/>
    <w:rsid w:val="74A569D0"/>
    <w:rsid w:val="74D47BEE"/>
    <w:rsid w:val="759F5B15"/>
    <w:rsid w:val="75E46B81"/>
    <w:rsid w:val="75E63E5E"/>
    <w:rsid w:val="76212261"/>
    <w:rsid w:val="763444AF"/>
    <w:rsid w:val="7657350F"/>
    <w:rsid w:val="766537ED"/>
    <w:rsid w:val="76746FA2"/>
    <w:rsid w:val="76A07D97"/>
    <w:rsid w:val="776E579F"/>
    <w:rsid w:val="77A93EDF"/>
    <w:rsid w:val="77AC54F3"/>
    <w:rsid w:val="77CE787E"/>
    <w:rsid w:val="784E72F9"/>
    <w:rsid w:val="78707B56"/>
    <w:rsid w:val="78E24B8C"/>
    <w:rsid w:val="797A48CF"/>
    <w:rsid w:val="797D43BF"/>
    <w:rsid w:val="799F60E4"/>
    <w:rsid w:val="79D751C0"/>
    <w:rsid w:val="7A7A445B"/>
    <w:rsid w:val="7A992B33"/>
    <w:rsid w:val="7AC35E02"/>
    <w:rsid w:val="7AD948D8"/>
    <w:rsid w:val="7AEA2CF4"/>
    <w:rsid w:val="7B3D5BB4"/>
    <w:rsid w:val="7B8C09FB"/>
    <w:rsid w:val="7B9E583D"/>
    <w:rsid w:val="7BC13290"/>
    <w:rsid w:val="7BCB1412"/>
    <w:rsid w:val="7CB63E70"/>
    <w:rsid w:val="7CF92B9A"/>
    <w:rsid w:val="7D5D5F35"/>
    <w:rsid w:val="7DAF3557"/>
    <w:rsid w:val="7E4C610E"/>
    <w:rsid w:val="7E9C52E7"/>
    <w:rsid w:val="7ED34F9C"/>
    <w:rsid w:val="7F097654"/>
    <w:rsid w:val="7F121106"/>
    <w:rsid w:val="7F2E0312"/>
    <w:rsid w:val="7F5C05D3"/>
    <w:rsid w:val="7F7407DA"/>
    <w:rsid w:val="7FA22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line="380" w:lineRule="exact"/>
      <w:jc w:val="center"/>
      <w:outlineLvl w:val="0"/>
    </w:pPr>
    <w:rPr>
      <w:rFonts w:ascii="宋体"/>
      <w:b/>
      <w:bCs/>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widowControl/>
      <w:tabs>
        <w:tab w:val="left" w:pos="720"/>
      </w:tabs>
      <w:spacing w:before="120" w:after="120" w:line="360" w:lineRule="auto"/>
      <w:jc w:val="center"/>
      <w:outlineLvl w:val="2"/>
    </w:pPr>
    <w:rPr>
      <w:rFonts w:ascii="Times New Roman" w:hAnsi="Times New Roman" w:eastAsia="??" w:cs="Times New Roman"/>
      <w:b/>
      <w:kern w:val="0"/>
      <w:sz w:val="32"/>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等线" w:hAnsi="等线" w:eastAsia="宋体" w:cs="Times New Roman"/>
      <w:szCs w:val="24"/>
    </w:rPr>
  </w:style>
  <w:style w:type="paragraph" w:styleId="6">
    <w:name w:val="annotation text"/>
    <w:basedOn w:val="1"/>
    <w:qFormat/>
    <w:uiPriority w:val="0"/>
    <w:pPr>
      <w:jc w:val="left"/>
    </w:pPr>
  </w:style>
  <w:style w:type="paragraph" w:styleId="7">
    <w:name w:val="Body Text"/>
    <w:basedOn w:val="1"/>
    <w:next w:val="8"/>
    <w:unhideWhenUsed/>
    <w:qFormat/>
    <w:uiPriority w:val="99"/>
    <w:pPr>
      <w:spacing w:after="120"/>
    </w:pPr>
    <w:rPr>
      <w:rFonts w:ascii="等线" w:hAnsi="等线" w:eastAsia="宋体" w:cs="Times New Roman"/>
      <w:szCs w:val="24"/>
    </w:rPr>
  </w:style>
  <w:style w:type="paragraph" w:styleId="8">
    <w:name w:val="Body Text First Indent"/>
    <w:basedOn w:val="7"/>
    <w:next w:val="9"/>
    <w:unhideWhenUsed/>
    <w:qFormat/>
    <w:uiPriority w:val="99"/>
    <w:pPr>
      <w:ind w:firstLine="420" w:firstLineChars="100"/>
    </w:pPr>
  </w:style>
  <w:style w:type="paragraph" w:styleId="9">
    <w:name w:val="toc 6"/>
    <w:basedOn w:val="1"/>
    <w:next w:val="1"/>
    <w:unhideWhenUsed/>
    <w:qFormat/>
    <w:uiPriority w:val="39"/>
    <w:pPr>
      <w:ind w:left="2100" w:leftChars="1000"/>
    </w:pPr>
    <w:rPr>
      <w:rFonts w:ascii="等线" w:hAnsi="等线" w:eastAsia="宋体" w:cs="Times New Roman"/>
      <w:szCs w:val="24"/>
    </w:rPr>
  </w:style>
  <w:style w:type="paragraph" w:styleId="10">
    <w:name w:val="Body Text Indent"/>
    <w:basedOn w:val="1"/>
    <w:next w:val="1"/>
    <w:qFormat/>
    <w:uiPriority w:val="0"/>
    <w:pPr>
      <w:spacing w:line="480" w:lineRule="atLeast"/>
      <w:ind w:firstLine="570"/>
    </w:pPr>
    <w:rPr>
      <w:rFonts w:ascii="??" w:hAnsi="??" w:eastAsia="??" w:cs="宋体"/>
      <w:sz w:val="28"/>
      <w:szCs w:val="28"/>
    </w:rPr>
  </w:style>
  <w:style w:type="paragraph" w:styleId="11">
    <w:name w:val="Plain Text"/>
    <w:basedOn w:val="1"/>
    <w:qFormat/>
    <w:uiPriority w:val="0"/>
    <w:rPr>
      <w:rFonts w:ascii="??" w:hAnsi="??" w:eastAsia="??" w:cs="宋体"/>
      <w:szCs w:val="21"/>
    </w:rPr>
  </w:style>
  <w:style w:type="paragraph" w:styleId="12">
    <w:name w:val="toc 8"/>
    <w:basedOn w:val="1"/>
    <w:next w:val="1"/>
    <w:unhideWhenUsed/>
    <w:qFormat/>
    <w:uiPriority w:val="0"/>
    <w:pPr>
      <w:ind w:left="2940" w:leftChars="1400"/>
    </w:pPr>
    <w:rPr>
      <w:rFonts w:ascii="等线" w:hAnsi="等线" w:eastAsia="宋体" w:cs="Times New Roman"/>
      <w:szCs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Theme="minorHAnsi" w:eastAsiaTheme="minorEastAsia" w:cstheme="minorBidi"/>
      <w:color w:val="000000"/>
      <w:kern w:val="0"/>
      <w:sz w:val="24"/>
      <w:szCs w:val="20"/>
    </w:rPr>
  </w:style>
  <w:style w:type="paragraph" w:styleId="14">
    <w:name w:val="footer"/>
    <w:basedOn w:val="1"/>
    <w:next w:val="15"/>
    <w:unhideWhenUsed/>
    <w:qFormat/>
    <w:uiPriority w:val="99"/>
    <w:pPr>
      <w:tabs>
        <w:tab w:val="center" w:pos="4153"/>
        <w:tab w:val="right" w:pos="8306"/>
      </w:tabs>
      <w:snapToGrid w:val="0"/>
      <w:jc w:val="left"/>
    </w:pPr>
    <w:rPr>
      <w:sz w:val="18"/>
      <w:szCs w:val="18"/>
    </w:rPr>
  </w:style>
  <w:style w:type="paragraph" w:styleId="15">
    <w:name w:val="toc 2"/>
    <w:basedOn w:val="1"/>
    <w:next w:val="1"/>
    <w:qFormat/>
    <w:uiPriority w:val="39"/>
    <w:pPr>
      <w:tabs>
        <w:tab w:val="right" w:leader="middleDot" w:pos="8948"/>
      </w:tabs>
      <w:spacing w:before="60" w:after="60"/>
      <w:ind w:left="210"/>
    </w:pPr>
    <w:rPr>
      <w:rFonts w:ascii="等线" w:hAnsi="等线" w:eastAsia="宋体" w:cs="Times New Roman"/>
      <w:smallCaps/>
      <w:szCs w:val="24"/>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middleDot" w:pos="8789"/>
      </w:tabs>
      <w:spacing w:line="360" w:lineRule="auto"/>
    </w:pPr>
    <w:rPr>
      <w:rFonts w:ascii="Times New Roman" w:hAnsi="Times New Roman" w:eastAsia="宋体" w:cs="Times New Roman"/>
      <w:sz w:val="24"/>
      <w:szCs w:val="20"/>
    </w:rPr>
  </w:style>
  <w:style w:type="paragraph" w:styleId="18">
    <w:name w:val="footnote text"/>
    <w:basedOn w:val="1"/>
    <w:qFormat/>
    <w:uiPriority w:val="0"/>
    <w:pPr>
      <w:snapToGrid w:val="0"/>
      <w:jc w:val="left"/>
    </w:pPr>
    <w:rPr>
      <w:rFonts w:ascii="Times New Roman" w:hAnsi="Times New Roman" w:eastAsia="FangSong_GB2312" w:cs="Times New Roman"/>
      <w:sz w:val="18"/>
      <w:szCs w:val="20"/>
    </w:rPr>
  </w:style>
  <w:style w:type="paragraph" w:styleId="19">
    <w:name w:val="Normal (Web)"/>
    <w:basedOn w:val="1"/>
    <w:next w:val="15"/>
    <w:qFormat/>
    <w:uiPriority w:val="0"/>
    <w:pPr>
      <w:widowControl/>
      <w:spacing w:before="100" w:beforeAutospacing="1" w:after="100" w:afterAutospacing="1"/>
      <w:jc w:val="left"/>
    </w:pPr>
    <w:rPr>
      <w:rFonts w:ascii="??" w:hAnsi="??" w:eastAsia="??" w:cs="宋体"/>
      <w:kern w:val="0"/>
      <w:sz w:val="24"/>
      <w:szCs w:val="24"/>
    </w:rPr>
  </w:style>
  <w:style w:type="paragraph" w:styleId="20">
    <w:name w:val="Title"/>
    <w:basedOn w:val="1"/>
    <w:next w:val="1"/>
    <w:qFormat/>
    <w:uiPriority w:val="0"/>
    <w:pPr>
      <w:numPr>
        <w:ilvl w:val="0"/>
        <w:numId w:val="1"/>
      </w:numPr>
      <w:spacing w:before="240" w:after="60"/>
      <w:jc w:val="center"/>
      <w:outlineLvl w:val="0"/>
    </w:pPr>
    <w:rPr>
      <w:rFonts w:asciiTheme="majorHAnsi" w:hAnsiTheme="majorHAnsi" w:cstheme="majorBidi"/>
      <w:b/>
      <w:bCs/>
      <w:sz w:val="36"/>
      <w:szCs w:val="32"/>
    </w:rPr>
  </w:style>
  <w:style w:type="paragraph" w:styleId="21">
    <w:name w:val="Body Text First Indent 2"/>
    <w:basedOn w:val="10"/>
    <w:next w:val="1"/>
    <w:unhideWhenUsed/>
    <w:qFormat/>
    <w:uiPriority w:val="0"/>
    <w:pPr>
      <w:ind w:firstLine="420" w:firstLineChars="200"/>
    </w:pPr>
    <w:rPr>
      <w:rFonts w:asciiTheme="minorHAnsi" w:hAnsiTheme="minorHAnsi" w:eastAsiaTheme="minorEastAsia" w:cstheme="minorBidi"/>
      <w:szCs w:val="22"/>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page number"/>
    <w:qFormat/>
    <w:uiPriority w:val="0"/>
  </w:style>
  <w:style w:type="character" w:styleId="27">
    <w:name w:val="Hyperlink"/>
    <w:qFormat/>
    <w:uiPriority w:val="99"/>
    <w:rPr>
      <w:color w:val="0000FF"/>
      <w:u w:val="single"/>
    </w:rPr>
  </w:style>
  <w:style w:type="character" w:styleId="28">
    <w:name w:val="footnote reference"/>
    <w:qFormat/>
    <w:uiPriority w:val="0"/>
    <w:rPr>
      <w:vertAlign w:val="superscript"/>
    </w:rPr>
  </w:style>
  <w:style w:type="paragraph" w:customStyle="1" w:styleId="29">
    <w:name w:val="Default"/>
    <w:next w:val="14"/>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30">
    <w:name w:val="*正文"/>
    <w:basedOn w:val="1"/>
    <w:autoRedefine/>
    <w:qFormat/>
    <w:uiPriority w:val="0"/>
    <w:pPr>
      <w:spacing w:line="360" w:lineRule="auto"/>
      <w:ind w:left="420" w:leftChars="200" w:firstLine="200" w:firstLineChars="200"/>
    </w:pPr>
    <w:rPr>
      <w:rFonts w:ascii="宋体" w:hAnsi="宋体"/>
      <w:sz w:val="22"/>
    </w:rPr>
  </w:style>
  <w:style w:type="paragraph" w:styleId="31">
    <w:name w:val="No Spacing"/>
    <w:basedOn w:val="1"/>
    <w:qFormat/>
    <w:uiPriority w:val="0"/>
    <w:pPr>
      <w:widowControl/>
      <w:jc w:val="left"/>
    </w:pPr>
    <w:rPr>
      <w:kern w:val="0"/>
      <w:sz w:val="20"/>
      <w:lang w:eastAsia="en-US"/>
    </w:rPr>
  </w:style>
  <w:style w:type="paragraph" w:customStyle="1" w:styleId="32">
    <w:name w:val="￥正文"/>
    <w:basedOn w:val="1"/>
    <w:qFormat/>
    <w:uiPriority w:val="0"/>
    <w:pPr>
      <w:spacing w:line="360" w:lineRule="auto"/>
      <w:ind w:firstLine="420" w:firstLineChars="200"/>
      <w:jc w:val="left"/>
    </w:pPr>
    <w:rPr>
      <w:rFonts w:ascii="宋体" w:hAnsi="宋体" w:cs="黑体"/>
      <w:szCs w:val="21"/>
    </w:rPr>
  </w:style>
  <w:style w:type="paragraph" w:customStyle="1" w:styleId="33">
    <w:name w:val="列出段落1"/>
    <w:basedOn w:val="1"/>
    <w:qFormat/>
    <w:uiPriority w:val="72"/>
    <w:pPr>
      <w:ind w:firstLine="420" w:firstLineChars="200"/>
    </w:pPr>
    <w:rPr>
      <w:rFonts w:ascii="Calibri" w:hAnsi="Calibri"/>
      <w:szCs w:val="22"/>
    </w:rPr>
  </w:style>
  <w:style w:type="paragraph" w:customStyle="1" w:styleId="34">
    <w:name w:val="表格文字"/>
    <w:basedOn w:val="1"/>
    <w:qFormat/>
    <w:uiPriority w:val="99"/>
    <w:pPr>
      <w:adjustRightInd w:val="0"/>
      <w:spacing w:line="420" w:lineRule="atLeast"/>
      <w:jc w:val="left"/>
      <w:textAlignment w:val="baseline"/>
    </w:pPr>
    <w:rPr>
      <w:kern w:val="0"/>
    </w:rPr>
  </w:style>
  <w:style w:type="paragraph" w:customStyle="1" w:styleId="35">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customStyle="1" w:styleId="36">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37">
    <w:name w:val="List Paragraph"/>
    <w:basedOn w:val="1"/>
    <w:autoRedefine/>
    <w:qFormat/>
    <w:uiPriority w:val="34"/>
    <w:pPr>
      <w:widowControl/>
      <w:ind w:firstLine="200" w:firstLineChars="200"/>
      <w:jc w:val="left"/>
    </w:pPr>
    <w:rPr>
      <w:rFonts w:ascii="??" w:hAnsi="??" w:eastAsia="??" w:cs="??"/>
      <w:kern w:val="0"/>
      <w:sz w:val="24"/>
      <w:szCs w:val="24"/>
    </w:rPr>
  </w:style>
  <w:style w:type="paragraph" w:customStyle="1" w:styleId="3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1"/>
    <w:basedOn w:val="40"/>
    <w:autoRedefine/>
    <w:qFormat/>
    <w:uiPriority w:val="0"/>
    <w:pPr>
      <w:widowControl/>
      <w:jc w:val="left"/>
    </w:pPr>
    <w:rPr>
      <w:rFonts w:ascii="宋体" w:hAnsi="Courier New"/>
    </w:rPr>
  </w:style>
  <w:style w:type="paragraph" w:customStyle="1" w:styleId="40">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5634</Words>
  <Characters>6730</Characters>
  <Lines>0</Lines>
  <Paragraphs>0</Paragraphs>
  <TotalTime>4</TotalTime>
  <ScaleCrop>false</ScaleCrop>
  <LinksUpToDate>false</LinksUpToDate>
  <CharactersWithSpaces>6800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2024-07-01T00:51:00Z</dcterms:created>
  <dc:creator>Administrator</dc:creator>
  <cp:lastModifiedBy>戴艳燕</cp:lastModifiedBy>
  <dcterms:modified xsi:type="dcterms:W3CDTF">2024-11-01T07:20:41Z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B25D74564440459CAB245AC4B4D55ACC_13</vt:lpwstr>
  </property>
</Properties>
</file>