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BCA86">
      <w:pPr>
        <w:spacing w:after="120" w:line="900" w:lineRule="exact"/>
        <w:jc w:val="center"/>
        <w:rPr>
          <w:rFonts w:ascii="宋体" w:hAnsi="宋体"/>
          <w:b/>
          <w:color w:val="auto"/>
          <w:sz w:val="44"/>
          <w:szCs w:val="50"/>
          <w:highlight w:val="none"/>
        </w:rPr>
      </w:pPr>
    </w:p>
    <w:p w14:paraId="4E857175">
      <w:pPr>
        <w:spacing w:after="120" w:line="900" w:lineRule="exact"/>
        <w:jc w:val="center"/>
        <w:rPr>
          <w:rFonts w:hint="eastAsia" w:ascii="宋体" w:hAnsi="宋体" w:eastAsia="宋体"/>
          <w:b/>
          <w:color w:val="auto"/>
          <w:sz w:val="44"/>
          <w:szCs w:val="50"/>
          <w:highlight w:val="none"/>
          <w:lang w:eastAsia="zh-CN"/>
        </w:rPr>
      </w:pPr>
      <w:r>
        <w:rPr>
          <w:rFonts w:hint="eastAsia" w:ascii="宋体" w:hAnsi="宋体"/>
          <w:b/>
          <w:color w:val="auto"/>
          <w:sz w:val="44"/>
          <w:szCs w:val="50"/>
          <w:highlight w:val="none"/>
          <w:lang w:eastAsia="zh-CN"/>
        </w:rPr>
        <w:t>宁波市精神病院医院陪护服务管理外包项目</w:t>
      </w:r>
    </w:p>
    <w:p w14:paraId="7C299268">
      <w:pPr>
        <w:spacing w:after="120" w:line="900" w:lineRule="exact"/>
        <w:jc w:val="center"/>
        <w:rPr>
          <w:rFonts w:ascii="宋体" w:hAnsi="宋体"/>
          <w:b/>
          <w:color w:val="auto"/>
          <w:sz w:val="46"/>
          <w:szCs w:val="50"/>
          <w:highlight w:val="none"/>
        </w:rPr>
      </w:pPr>
      <w:r>
        <w:rPr>
          <w:rFonts w:hint="eastAsia" w:ascii="宋体" w:hAnsi="宋体"/>
          <w:b/>
          <w:color w:val="auto"/>
          <w:sz w:val="46"/>
          <w:szCs w:val="50"/>
          <w:highlight w:val="none"/>
        </w:rPr>
        <w:t>政府采购</w:t>
      </w:r>
    </w:p>
    <w:p w14:paraId="1655A508">
      <w:pPr>
        <w:spacing w:after="120" w:line="800" w:lineRule="exact"/>
        <w:jc w:val="center"/>
        <w:rPr>
          <w:rFonts w:hint="eastAsia" w:ascii="宋体" w:hAnsi="宋体"/>
          <w:b/>
          <w:color w:val="auto"/>
          <w:sz w:val="48"/>
          <w:szCs w:val="48"/>
          <w:highlight w:val="none"/>
        </w:rPr>
      </w:pPr>
    </w:p>
    <w:p w14:paraId="43E98B70">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14:paraId="635135C4">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14:paraId="648FAA4F">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14:paraId="51F6201F">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14:paraId="49F00D51">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14:paraId="2698ADFA">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14:paraId="59B186BB">
      <w:pPr>
        <w:spacing w:line="600" w:lineRule="exact"/>
        <w:rPr>
          <w:rFonts w:hint="eastAsia" w:ascii="宋体" w:hAnsi="宋体"/>
          <w:b/>
          <w:color w:val="auto"/>
          <w:sz w:val="28"/>
          <w:szCs w:val="28"/>
          <w:highlight w:val="none"/>
        </w:rPr>
      </w:pPr>
    </w:p>
    <w:p w14:paraId="6C4D55EF">
      <w:pPr>
        <w:spacing w:line="600" w:lineRule="exact"/>
        <w:rPr>
          <w:rFonts w:hint="eastAsia" w:ascii="宋体" w:hAnsi="宋体"/>
          <w:b/>
          <w:color w:val="auto"/>
          <w:sz w:val="28"/>
          <w:szCs w:val="28"/>
          <w:highlight w:val="none"/>
        </w:rPr>
      </w:pPr>
    </w:p>
    <w:p w14:paraId="49C48365">
      <w:pPr>
        <w:spacing w:line="6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采购编号：NBITC-</w:t>
      </w:r>
      <w:r>
        <w:rPr>
          <w:rFonts w:hint="eastAsia" w:ascii="宋体" w:hAnsi="宋体"/>
          <w:b/>
          <w:color w:val="auto"/>
          <w:sz w:val="28"/>
          <w:szCs w:val="28"/>
          <w:highlight w:val="none"/>
          <w:lang w:eastAsia="zh-CN"/>
        </w:rPr>
        <w:t>202411328G</w:t>
      </w:r>
    </w:p>
    <w:p w14:paraId="1FD00D7A">
      <w:pPr>
        <w:spacing w:line="6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采购人：</w:t>
      </w:r>
      <w:r>
        <w:rPr>
          <w:rFonts w:hint="eastAsia" w:ascii="宋体" w:hAnsi="宋体"/>
          <w:b/>
          <w:color w:val="auto"/>
          <w:sz w:val="28"/>
          <w:szCs w:val="28"/>
          <w:highlight w:val="none"/>
          <w:lang w:eastAsia="zh-CN"/>
        </w:rPr>
        <w:t>宁波市精神病院</w:t>
      </w:r>
    </w:p>
    <w:p w14:paraId="2FC4FD64">
      <w:pPr>
        <w:spacing w:line="600" w:lineRule="exact"/>
        <w:rPr>
          <w:rFonts w:ascii="宋体" w:hAnsi="宋体"/>
          <w:b/>
          <w:color w:val="auto"/>
          <w:sz w:val="28"/>
          <w:szCs w:val="28"/>
          <w:highlight w:val="none"/>
        </w:rPr>
      </w:pPr>
      <w:r>
        <w:rPr>
          <w:rFonts w:hint="eastAsia" w:ascii="宋体" w:hAnsi="宋体"/>
          <w:b/>
          <w:color w:val="auto"/>
          <w:sz w:val="28"/>
          <w:szCs w:val="28"/>
          <w:highlight w:val="none"/>
        </w:rPr>
        <w:t>代理机构：宁波市国际招标有限公司</w:t>
      </w:r>
    </w:p>
    <w:p w14:paraId="227AFE64">
      <w:pPr>
        <w:spacing w:line="600" w:lineRule="exact"/>
        <w:rPr>
          <w:rFonts w:ascii="宋体" w:hAnsi="宋体"/>
          <w:b/>
          <w:color w:val="auto"/>
          <w:sz w:val="28"/>
          <w:szCs w:val="28"/>
          <w:highlight w:val="none"/>
        </w:rPr>
      </w:pPr>
      <w:r>
        <w:rPr>
          <w:rFonts w:hint="eastAsia" w:ascii="宋体" w:hAnsi="宋体"/>
          <w:b/>
          <w:color w:val="auto"/>
          <w:sz w:val="28"/>
          <w:szCs w:val="28"/>
          <w:highlight w:val="none"/>
        </w:rPr>
        <w:t>编制日期：202</w:t>
      </w: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月</w:t>
      </w:r>
    </w:p>
    <w:p w14:paraId="33CA1A19">
      <w:pPr>
        <w:spacing w:line="600" w:lineRule="exact"/>
        <w:rPr>
          <w:rFonts w:ascii="宋体" w:hAnsi="宋体"/>
          <w:b/>
          <w:color w:val="auto"/>
          <w:sz w:val="28"/>
          <w:szCs w:val="28"/>
          <w:highlight w:val="none"/>
        </w:rPr>
      </w:pPr>
    </w:p>
    <w:p w14:paraId="1C88BFFF">
      <w:pPr>
        <w:spacing w:line="400" w:lineRule="exact"/>
        <w:jc w:val="center"/>
        <w:rPr>
          <w:rFonts w:ascii="宋体" w:hAnsi="宋体"/>
          <w:b/>
          <w:color w:val="auto"/>
          <w:sz w:val="28"/>
          <w:szCs w:val="28"/>
          <w:highlight w:val="none"/>
        </w:rPr>
        <w:sectPr>
          <w:headerReference r:id="rId3" w:type="default"/>
          <w:footerReference r:id="rId4" w:type="default"/>
          <w:footerReference r:id="rId5" w:type="even"/>
          <w:type w:val="nextColumn"/>
          <w:pgSz w:w="11907" w:h="16840"/>
          <w:pgMar w:top="993" w:right="850" w:bottom="1440" w:left="1301" w:header="720" w:footer="0" w:gutter="0"/>
          <w:pgBorders>
            <w:top w:val="none" w:sz="0" w:space="0"/>
            <w:left w:val="none" w:sz="0" w:space="0"/>
            <w:bottom w:val="none" w:sz="0" w:space="0"/>
            <w:right w:val="none" w:sz="0" w:space="0"/>
          </w:pgBorders>
          <w:pgNumType w:start="1"/>
          <w:cols w:space="720" w:num="1"/>
          <w:docGrid w:type="lines" w:linePitch="285" w:charSpace="0"/>
        </w:sectPr>
      </w:pPr>
    </w:p>
    <w:p w14:paraId="69C6A9CA">
      <w:pPr>
        <w:spacing w:line="480" w:lineRule="auto"/>
        <w:jc w:val="center"/>
        <w:rPr>
          <w:rFonts w:ascii="宋体" w:hAnsi="宋体"/>
          <w:b/>
          <w:color w:val="auto"/>
          <w:sz w:val="52"/>
          <w:szCs w:val="52"/>
          <w:highlight w:val="none"/>
        </w:rPr>
      </w:pPr>
    </w:p>
    <w:p w14:paraId="36AE123A">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0393D91B">
      <w:pPr>
        <w:spacing w:line="1200" w:lineRule="exact"/>
        <w:jc w:val="center"/>
        <w:rPr>
          <w:rFonts w:ascii="宋体" w:hAnsi="宋体"/>
          <w:b/>
          <w:color w:val="auto"/>
          <w:sz w:val="52"/>
          <w:szCs w:val="52"/>
          <w:highlight w:val="none"/>
        </w:rPr>
      </w:pPr>
    </w:p>
    <w:p w14:paraId="737321C8">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14:paraId="3CF378C6">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2、采购人可以对已发出的招标文件进行必要的澄清或者修改，将以“更正公告”的形式发布在政采云平台，供应商应及时登录政采云平台，进行浏览并下载，未及时浏览下载的责任自负。</w:t>
      </w:r>
    </w:p>
    <w:p w14:paraId="0A257A3C">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3、如至开标现场，建议供应商自带电脑，以便于开标现场解密投标文件。</w:t>
      </w:r>
    </w:p>
    <w:p w14:paraId="6CD7A938">
      <w:pPr>
        <w:spacing w:line="400" w:lineRule="exact"/>
        <w:ind w:left="420" w:leftChars="200"/>
        <w:jc w:val="left"/>
        <w:rPr>
          <w:rFonts w:ascii="宋体" w:hAnsi="宋体"/>
          <w:color w:val="auto"/>
          <w:szCs w:val="21"/>
          <w:highlight w:val="none"/>
        </w:rPr>
      </w:pPr>
    </w:p>
    <w:p w14:paraId="57BAB883">
      <w:pPr>
        <w:pStyle w:val="18"/>
        <w:rPr>
          <w:color w:val="auto"/>
          <w:highlight w:val="none"/>
        </w:rPr>
      </w:pPr>
    </w:p>
    <w:p w14:paraId="1FA9BFBC">
      <w:pPr>
        <w:pStyle w:val="2"/>
        <w:ind w:firstLine="240"/>
        <w:rPr>
          <w:color w:val="auto"/>
          <w:highlight w:val="none"/>
        </w:rPr>
      </w:pPr>
    </w:p>
    <w:p w14:paraId="4C4A795B">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0E3EDF75">
      <w:pPr>
        <w:tabs>
          <w:tab w:val="center" w:pos="4365"/>
        </w:tabs>
        <w:spacing w:line="480" w:lineRule="auto"/>
        <w:jc w:val="center"/>
        <w:rPr>
          <w:rFonts w:hint="eastAsia" w:ascii="宋体" w:hAnsi="宋体"/>
          <w:b/>
          <w:color w:val="auto"/>
          <w:sz w:val="52"/>
          <w:szCs w:val="52"/>
          <w:highlight w:val="none"/>
        </w:rPr>
      </w:pPr>
    </w:p>
    <w:p w14:paraId="2229DC18">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hint="eastAsia" w:ascii="宋体" w:hAnsi="宋体"/>
          <w:b/>
          <w:color w:val="auto"/>
          <w:sz w:val="52"/>
          <w:szCs w:val="52"/>
          <w:highlight w:val="none"/>
          <w:lang w:val="en-US" w:eastAsia="zh-CN"/>
        </w:rPr>
        <w:t xml:space="preserve">   </w:t>
      </w:r>
      <w:r>
        <w:rPr>
          <w:rFonts w:hint="eastAsia" w:ascii="宋体" w:hAnsi="宋体"/>
          <w:b/>
          <w:color w:val="auto"/>
          <w:sz w:val="52"/>
          <w:szCs w:val="52"/>
          <w:highlight w:val="none"/>
        </w:rPr>
        <w:t>录</w:t>
      </w:r>
    </w:p>
    <w:p w14:paraId="6DEF9CC5">
      <w:pPr>
        <w:pStyle w:val="34"/>
        <w:spacing w:line="900" w:lineRule="exact"/>
        <w:rPr>
          <w:rFonts w:ascii="Times New Roman" w:hAnsi="Times New Roman"/>
          <w:color w:val="auto"/>
          <w:sz w:val="21"/>
          <w:szCs w:val="24"/>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"_Toc44162138" </w:instrText>
      </w:r>
      <w:r>
        <w:rPr>
          <w:color w:val="auto"/>
          <w:highlight w:val="none"/>
        </w:rPr>
        <w:fldChar w:fldCharType="separate"/>
      </w:r>
      <w:r>
        <w:rPr>
          <w:rStyle w:val="58"/>
          <w:rFonts w:hint="eastAsia"/>
          <w:b/>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_Toc44162138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AC1B5FF">
      <w:pPr>
        <w:pStyle w:val="34"/>
        <w:spacing w:line="900" w:lineRule="exact"/>
        <w:rPr>
          <w:rFonts w:ascii="Times New Roman" w:hAnsi="Times New Roman"/>
          <w:color w:val="auto"/>
          <w:sz w:val="21"/>
          <w:szCs w:val="24"/>
          <w:highlight w:val="none"/>
        </w:rPr>
      </w:pPr>
      <w:r>
        <w:rPr>
          <w:color w:val="auto"/>
          <w:highlight w:val="none"/>
        </w:rPr>
        <w:fldChar w:fldCharType="begin"/>
      </w:r>
      <w:r>
        <w:rPr>
          <w:color w:val="auto"/>
          <w:highlight w:val="none"/>
        </w:rPr>
        <w:instrText xml:space="preserve"> HYPERLINK \l "_Toc44162139" </w:instrText>
      </w:r>
      <w:r>
        <w:rPr>
          <w:color w:val="auto"/>
          <w:highlight w:val="none"/>
        </w:rPr>
        <w:fldChar w:fldCharType="separate"/>
      </w:r>
      <w:r>
        <w:rPr>
          <w:rStyle w:val="58"/>
          <w:rFonts w:hint="eastAsia"/>
          <w:b/>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_Toc44162139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B7890DD">
      <w:pPr>
        <w:pStyle w:val="34"/>
        <w:spacing w:line="900" w:lineRule="exact"/>
        <w:rPr>
          <w:rFonts w:ascii="Times New Roman" w:hAnsi="Times New Roman"/>
          <w:color w:val="auto"/>
          <w:sz w:val="21"/>
          <w:szCs w:val="24"/>
          <w:highlight w:val="none"/>
        </w:rPr>
      </w:pPr>
      <w:r>
        <w:rPr>
          <w:color w:val="auto"/>
          <w:highlight w:val="none"/>
        </w:rPr>
        <w:fldChar w:fldCharType="begin"/>
      </w:r>
      <w:r>
        <w:rPr>
          <w:color w:val="auto"/>
          <w:highlight w:val="none"/>
        </w:rPr>
        <w:instrText xml:space="preserve"> HYPERLINK \l "_Toc44162152" </w:instrText>
      </w:r>
      <w:r>
        <w:rPr>
          <w:color w:val="auto"/>
          <w:highlight w:val="none"/>
        </w:rPr>
        <w:fldChar w:fldCharType="separate"/>
      </w:r>
      <w:r>
        <w:rPr>
          <w:rStyle w:val="58"/>
          <w:rFonts w:hint="eastAsia"/>
          <w:b/>
          <w:color w:val="auto"/>
          <w:highlight w:val="none"/>
        </w:rPr>
        <w:t>第三章 招标内容与技术需求</w:t>
      </w:r>
      <w:r>
        <w:rPr>
          <w:color w:val="auto"/>
          <w:highlight w:val="none"/>
        </w:rPr>
        <w:tab/>
      </w:r>
      <w:r>
        <w:rPr>
          <w:color w:val="auto"/>
          <w:highlight w:val="none"/>
        </w:rPr>
        <w:fldChar w:fldCharType="begin"/>
      </w:r>
      <w:r>
        <w:rPr>
          <w:color w:val="auto"/>
          <w:highlight w:val="none"/>
        </w:rPr>
        <w:instrText xml:space="preserve"> PAGEREF _Toc44162152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DA34792">
      <w:pPr>
        <w:pStyle w:val="34"/>
        <w:spacing w:line="900" w:lineRule="exact"/>
        <w:rPr>
          <w:rFonts w:ascii="Times New Roman" w:hAnsi="Times New Roman"/>
          <w:color w:val="auto"/>
          <w:sz w:val="21"/>
          <w:szCs w:val="24"/>
          <w:highlight w:val="none"/>
        </w:rPr>
      </w:pPr>
      <w:r>
        <w:rPr>
          <w:color w:val="auto"/>
          <w:highlight w:val="none"/>
        </w:rPr>
        <w:fldChar w:fldCharType="begin"/>
      </w:r>
      <w:r>
        <w:rPr>
          <w:color w:val="auto"/>
          <w:highlight w:val="none"/>
        </w:rPr>
        <w:instrText xml:space="preserve"> HYPERLINK \l "_Toc44162153" </w:instrText>
      </w:r>
      <w:r>
        <w:rPr>
          <w:color w:val="auto"/>
          <w:highlight w:val="none"/>
        </w:rPr>
        <w:fldChar w:fldCharType="separate"/>
      </w:r>
      <w:r>
        <w:rPr>
          <w:rStyle w:val="58"/>
          <w:rFonts w:hint="eastAsia"/>
          <w:b/>
          <w:color w:val="auto"/>
          <w:highlight w:val="none"/>
        </w:rPr>
        <w:t>第四章 商务条款</w:t>
      </w:r>
      <w:r>
        <w:rPr>
          <w:color w:val="auto"/>
          <w:highlight w:val="none"/>
        </w:rPr>
        <w:tab/>
      </w:r>
      <w:r>
        <w:rPr>
          <w:color w:val="auto"/>
          <w:highlight w:val="none"/>
        </w:rPr>
        <w:fldChar w:fldCharType="begin"/>
      </w:r>
      <w:r>
        <w:rPr>
          <w:color w:val="auto"/>
          <w:highlight w:val="none"/>
        </w:rPr>
        <w:instrText xml:space="preserve"> PAGEREF _Toc44162153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E289E72">
      <w:pPr>
        <w:pStyle w:val="34"/>
        <w:spacing w:line="900" w:lineRule="exact"/>
        <w:rPr>
          <w:rFonts w:ascii="Times New Roman" w:hAnsi="Times New Roman"/>
          <w:color w:val="auto"/>
          <w:sz w:val="21"/>
          <w:szCs w:val="24"/>
          <w:highlight w:val="none"/>
        </w:rPr>
      </w:pPr>
      <w:r>
        <w:rPr>
          <w:color w:val="auto"/>
          <w:highlight w:val="none"/>
        </w:rPr>
        <w:fldChar w:fldCharType="begin"/>
      </w:r>
      <w:r>
        <w:rPr>
          <w:color w:val="auto"/>
          <w:highlight w:val="none"/>
        </w:rPr>
        <w:instrText xml:space="preserve"> HYPERLINK \l "_Toc44162154" </w:instrText>
      </w:r>
      <w:r>
        <w:rPr>
          <w:color w:val="auto"/>
          <w:highlight w:val="none"/>
        </w:rPr>
        <w:fldChar w:fldCharType="separate"/>
      </w:r>
      <w:r>
        <w:rPr>
          <w:rStyle w:val="58"/>
          <w:rFonts w:hint="eastAsia"/>
          <w:b/>
          <w:color w:val="auto"/>
          <w:highlight w:val="none"/>
        </w:rPr>
        <w:t>第五章 评标办法及标准</w:t>
      </w:r>
      <w:r>
        <w:rPr>
          <w:color w:val="auto"/>
          <w:highlight w:val="none"/>
        </w:rPr>
        <w:tab/>
      </w:r>
      <w:r>
        <w:rPr>
          <w:color w:val="auto"/>
          <w:highlight w:val="none"/>
        </w:rPr>
        <w:fldChar w:fldCharType="begin"/>
      </w:r>
      <w:r>
        <w:rPr>
          <w:color w:val="auto"/>
          <w:highlight w:val="none"/>
        </w:rPr>
        <w:instrText xml:space="preserve"> PAGEREF _Toc44162154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EBAE471">
      <w:pPr>
        <w:pStyle w:val="34"/>
        <w:spacing w:line="900" w:lineRule="exact"/>
        <w:rPr>
          <w:rFonts w:ascii="Times New Roman" w:hAnsi="Times New Roman"/>
          <w:color w:val="auto"/>
          <w:sz w:val="21"/>
          <w:szCs w:val="24"/>
          <w:highlight w:val="none"/>
        </w:rPr>
      </w:pPr>
      <w:r>
        <w:rPr>
          <w:color w:val="auto"/>
          <w:highlight w:val="none"/>
        </w:rPr>
        <w:fldChar w:fldCharType="begin"/>
      </w:r>
      <w:r>
        <w:rPr>
          <w:color w:val="auto"/>
          <w:highlight w:val="none"/>
        </w:rPr>
        <w:instrText xml:space="preserve"> HYPERLINK \l "_Toc44162155" </w:instrText>
      </w:r>
      <w:r>
        <w:rPr>
          <w:color w:val="auto"/>
          <w:highlight w:val="none"/>
        </w:rPr>
        <w:fldChar w:fldCharType="separate"/>
      </w:r>
      <w:r>
        <w:rPr>
          <w:rStyle w:val="58"/>
          <w:rFonts w:hint="eastAsia"/>
          <w:b/>
          <w:color w:val="auto"/>
          <w:highlight w:val="none"/>
        </w:rPr>
        <w:t>第六章 采购合同样本</w:t>
      </w:r>
      <w:r>
        <w:rPr>
          <w:color w:val="auto"/>
          <w:highlight w:val="none"/>
        </w:rPr>
        <w:tab/>
      </w:r>
      <w:r>
        <w:rPr>
          <w:color w:val="auto"/>
          <w:highlight w:val="none"/>
        </w:rPr>
        <w:fldChar w:fldCharType="begin"/>
      </w:r>
      <w:r>
        <w:rPr>
          <w:color w:val="auto"/>
          <w:highlight w:val="none"/>
        </w:rPr>
        <w:instrText xml:space="preserve"> PAGEREF _Toc44162155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2F1B151">
      <w:pPr>
        <w:pStyle w:val="34"/>
        <w:spacing w:line="900" w:lineRule="exact"/>
        <w:rPr>
          <w:rFonts w:ascii="Times New Roman" w:hAnsi="Times New Roman"/>
          <w:color w:val="auto"/>
          <w:sz w:val="21"/>
          <w:szCs w:val="24"/>
          <w:highlight w:val="none"/>
        </w:rPr>
      </w:pPr>
      <w:r>
        <w:rPr>
          <w:color w:val="auto"/>
          <w:highlight w:val="none"/>
        </w:rPr>
        <w:fldChar w:fldCharType="begin"/>
      </w:r>
      <w:r>
        <w:rPr>
          <w:color w:val="auto"/>
          <w:highlight w:val="none"/>
        </w:rPr>
        <w:instrText xml:space="preserve"> HYPERLINK \l "_Toc44162156" </w:instrText>
      </w:r>
      <w:r>
        <w:rPr>
          <w:color w:val="auto"/>
          <w:highlight w:val="none"/>
        </w:rPr>
        <w:fldChar w:fldCharType="separate"/>
      </w:r>
      <w:r>
        <w:rPr>
          <w:rStyle w:val="58"/>
          <w:rFonts w:hint="eastAsia"/>
          <w:b/>
          <w:color w:val="auto"/>
          <w:highlight w:val="none"/>
        </w:rPr>
        <w:t>第七章 附件</w:t>
      </w:r>
      <w:r>
        <w:rPr>
          <w:color w:val="auto"/>
          <w:highlight w:val="none"/>
        </w:rPr>
        <w:tab/>
      </w:r>
      <w:r>
        <w:rPr>
          <w:color w:val="auto"/>
          <w:highlight w:val="none"/>
        </w:rPr>
        <w:fldChar w:fldCharType="begin"/>
      </w:r>
      <w:r>
        <w:rPr>
          <w:color w:val="auto"/>
          <w:highlight w:val="none"/>
        </w:rPr>
        <w:instrText xml:space="preserve"> PAGEREF _Toc44162156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6223FF5">
      <w:pPr>
        <w:spacing w:line="900" w:lineRule="exact"/>
        <w:jc w:val="center"/>
        <w:rPr>
          <w:rFonts w:ascii="宋体" w:hAnsi="宋体"/>
          <w:b/>
          <w:color w:val="auto"/>
          <w:sz w:val="32"/>
          <w:highlight w:val="none"/>
        </w:rPr>
      </w:pPr>
      <w:r>
        <w:rPr>
          <w:rFonts w:ascii="宋体" w:hAnsi="宋体"/>
          <w:color w:val="auto"/>
          <w:highlight w:val="none"/>
        </w:rPr>
        <w:fldChar w:fldCharType="end"/>
      </w:r>
    </w:p>
    <w:p w14:paraId="01EEDA8D">
      <w:pPr>
        <w:spacing w:line="400" w:lineRule="exact"/>
        <w:jc w:val="center"/>
        <w:rPr>
          <w:rFonts w:ascii="宋体" w:hAnsi="宋体"/>
          <w:b/>
          <w:color w:val="auto"/>
          <w:sz w:val="32"/>
          <w:highlight w:val="none"/>
        </w:rPr>
        <w:sectPr>
          <w:headerReference r:id="rId6" w:type="default"/>
          <w:type w:val="nextColumn"/>
          <w:pgSz w:w="11907" w:h="16840"/>
          <w:pgMar w:top="1135" w:right="1588" w:bottom="854" w:left="1588" w:header="569" w:footer="700" w:gutter="0"/>
          <w:pgBorders>
            <w:top w:val="none" w:sz="0" w:space="0"/>
            <w:left w:val="none" w:sz="0" w:space="0"/>
            <w:bottom w:val="none" w:sz="0" w:space="0"/>
            <w:right w:val="none" w:sz="0" w:space="0"/>
          </w:pgBorders>
          <w:cols w:space="720" w:num="1"/>
          <w:docGrid w:linePitch="285" w:charSpace="0"/>
        </w:sectPr>
      </w:pPr>
    </w:p>
    <w:p w14:paraId="647C6F29">
      <w:pPr>
        <w:spacing w:line="400" w:lineRule="exact"/>
        <w:jc w:val="center"/>
        <w:outlineLvl w:val="0"/>
        <w:rPr>
          <w:rFonts w:ascii="宋体" w:hAnsi="宋体"/>
          <w:b/>
          <w:color w:val="auto"/>
          <w:sz w:val="32"/>
          <w:highlight w:val="none"/>
        </w:rPr>
      </w:pPr>
      <w:bookmarkStart w:id="0" w:name="_Toc44162138"/>
      <w:r>
        <w:rPr>
          <w:rFonts w:hint="eastAsia" w:ascii="宋体" w:hAnsi="宋体"/>
          <w:b/>
          <w:color w:val="auto"/>
          <w:sz w:val="32"/>
          <w:highlight w:val="none"/>
        </w:rPr>
        <w:t>第一章  招标公告</w:t>
      </w:r>
      <w:bookmarkEnd w:id="0"/>
    </w:p>
    <w:p w14:paraId="4B670F03">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发布时间：202</w:t>
      </w:r>
      <w:r>
        <w:rPr>
          <w:rFonts w:hint="eastAsia"/>
          <w:color w:val="auto"/>
          <w:sz w:val="21"/>
          <w:szCs w:val="21"/>
          <w:highlight w:val="none"/>
          <w:lang w:val="en-US" w:eastAsia="zh-CN"/>
        </w:rPr>
        <w:t>4</w:t>
      </w:r>
      <w:r>
        <w:rPr>
          <w:rFonts w:hint="eastAsia"/>
          <w:color w:val="auto"/>
          <w:sz w:val="21"/>
          <w:szCs w:val="21"/>
          <w:highlight w:val="none"/>
        </w:rPr>
        <w:t>年</w:t>
      </w:r>
      <w:r>
        <w:rPr>
          <w:rFonts w:hint="eastAsia"/>
          <w:color w:val="auto"/>
          <w:sz w:val="21"/>
          <w:szCs w:val="21"/>
          <w:highlight w:val="none"/>
          <w:lang w:val="en-US" w:eastAsia="zh-CN"/>
        </w:rPr>
        <w:t>10</w:t>
      </w:r>
      <w:r>
        <w:rPr>
          <w:rFonts w:hint="eastAsia"/>
          <w:color w:val="auto"/>
          <w:sz w:val="21"/>
          <w:szCs w:val="21"/>
          <w:highlight w:val="none"/>
        </w:rPr>
        <w:t>月</w:t>
      </w:r>
      <w:r>
        <w:rPr>
          <w:rFonts w:hint="eastAsia"/>
          <w:color w:val="auto"/>
          <w:sz w:val="21"/>
          <w:szCs w:val="21"/>
          <w:highlight w:val="none"/>
          <w:lang w:val="en-US" w:eastAsia="zh-CN"/>
        </w:rPr>
        <w:t>12</w:t>
      </w:r>
      <w:r>
        <w:rPr>
          <w:rFonts w:hint="eastAsia"/>
          <w:color w:val="auto"/>
          <w:sz w:val="21"/>
          <w:szCs w:val="21"/>
          <w:highlight w:val="none"/>
        </w:rPr>
        <w:t>日</w:t>
      </w:r>
    </w:p>
    <w:p w14:paraId="770C978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项目概况</w:t>
      </w:r>
    </w:p>
    <w:p w14:paraId="15886E6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宁波市精神病院医院陪护服务管理外包项目</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none"/>
        </w:rPr>
        <w:t>政采云平台线上获取</w:t>
      </w:r>
      <w:r>
        <w:rPr>
          <w:rFonts w:hint="eastAsia" w:ascii="宋体" w:hAnsi="宋体" w:eastAsia="宋体" w:cs="宋体"/>
          <w:color w:val="auto"/>
          <w:sz w:val="21"/>
          <w:szCs w:val="21"/>
          <w:highlight w:val="none"/>
        </w:rPr>
        <w:t>（下载）招标文件，并于202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11月1日14</w:t>
      </w:r>
      <w:r>
        <w:rPr>
          <w:rFonts w:hint="eastAsia" w:cs="宋体"/>
          <w:color w:val="auto"/>
          <w:sz w:val="21"/>
          <w:szCs w:val="21"/>
          <w:highlight w:val="none"/>
          <w:lang w:eastAsia="zh-CN"/>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（北京时间）前递交（上传）投标文件。</w:t>
      </w:r>
    </w:p>
    <w:p w14:paraId="5E22A04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lang w:eastAsia="zh-CN"/>
        </w:rPr>
      </w:pPr>
      <w:r>
        <w:rPr>
          <w:rStyle w:val="53"/>
          <w:rFonts w:hint="eastAsia" w:ascii="宋体" w:hAnsi="宋体" w:eastAsia="宋体" w:cs="宋体"/>
          <w:color w:val="auto"/>
          <w:sz w:val="21"/>
          <w:szCs w:val="21"/>
          <w:highlight w:val="none"/>
        </w:rPr>
        <w:t>一、项目基本情况</w:t>
      </w:r>
    </w:p>
    <w:p w14:paraId="1647982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项目编号：NBITC-</w:t>
      </w:r>
      <w:r>
        <w:rPr>
          <w:rFonts w:hint="eastAsia" w:cs="宋体"/>
          <w:color w:val="auto"/>
          <w:sz w:val="21"/>
          <w:szCs w:val="21"/>
          <w:highlight w:val="none"/>
          <w:lang w:eastAsia="zh-CN"/>
        </w:rPr>
        <w:t>202411328G</w:t>
      </w:r>
    </w:p>
    <w:p w14:paraId="31D7BC2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宁波市精神病院医院陪护服务管理外包项目</w:t>
      </w:r>
    </w:p>
    <w:p w14:paraId="135F7B62">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eastAsia="zh-CN"/>
        </w:rPr>
        <w:t>2400000</w:t>
      </w:r>
    </w:p>
    <w:p w14:paraId="52D5AF6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最高限价（元）：</w:t>
      </w:r>
      <w:r>
        <w:rPr>
          <w:rFonts w:hint="eastAsia" w:cs="宋体"/>
          <w:color w:val="auto"/>
          <w:sz w:val="21"/>
          <w:szCs w:val="21"/>
          <w:highlight w:val="none"/>
          <w:lang w:eastAsia="zh-CN"/>
        </w:rPr>
        <w:t>2400000</w:t>
      </w:r>
    </w:p>
    <w:p w14:paraId="23039E8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6257C2A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标项</w:t>
      </w:r>
      <w:r>
        <w:rPr>
          <w:rFonts w:hint="eastAsia" w:ascii="宋体" w:hAnsi="宋体" w:eastAsia="宋体" w:cs="宋体"/>
          <w:color w:val="auto"/>
          <w:sz w:val="21"/>
          <w:szCs w:val="21"/>
          <w:highlight w:val="none"/>
          <w:lang w:val="en-US" w:eastAsia="zh-CN"/>
        </w:rPr>
        <w:t>1：</w:t>
      </w:r>
    </w:p>
    <w:p w14:paraId="791C5FE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cs="宋体"/>
          <w:color w:val="auto"/>
          <w:sz w:val="21"/>
          <w:szCs w:val="21"/>
          <w:highlight w:val="none"/>
          <w:lang w:eastAsia="zh-CN"/>
        </w:rPr>
        <w:t>陪护服务管理外包</w:t>
      </w:r>
    </w:p>
    <w:p w14:paraId="305D043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数量:1</w:t>
      </w:r>
    </w:p>
    <w:p w14:paraId="41890552">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eastAsia="zh-CN"/>
        </w:rPr>
        <w:t>2400000</w:t>
      </w:r>
    </w:p>
    <w:p w14:paraId="36ABD7D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简要规格描述或项目基本概况介绍、用途：宁波市精神病院为24小时无假日医院，占地面积约8</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亩，总建筑面积约57000平方米，</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提供</w:t>
      </w:r>
      <w:r>
        <w:rPr>
          <w:rFonts w:hint="eastAsia" w:cs="宋体"/>
          <w:color w:val="auto"/>
          <w:sz w:val="21"/>
          <w:szCs w:val="21"/>
          <w:highlight w:val="none"/>
          <w:lang w:eastAsia="zh-CN"/>
        </w:rPr>
        <w:t>陪护服务管理外包</w:t>
      </w:r>
      <w:r>
        <w:rPr>
          <w:rFonts w:hint="eastAsia" w:ascii="宋体" w:hAnsi="宋体" w:eastAsia="宋体" w:cs="宋体"/>
          <w:color w:val="auto"/>
          <w:sz w:val="21"/>
          <w:szCs w:val="21"/>
          <w:highlight w:val="none"/>
        </w:rPr>
        <w:t>。具体</w:t>
      </w:r>
      <w:r>
        <w:rPr>
          <w:rFonts w:hint="eastAsia" w:cs="宋体"/>
          <w:color w:val="auto"/>
          <w:sz w:val="21"/>
          <w:szCs w:val="21"/>
          <w:highlight w:val="none"/>
          <w:lang w:val="en-US" w:eastAsia="zh-CN"/>
        </w:rPr>
        <w:t>服务要求</w:t>
      </w:r>
      <w:r>
        <w:rPr>
          <w:rFonts w:hint="eastAsia" w:ascii="宋体" w:hAnsi="宋体" w:eastAsia="宋体" w:cs="宋体"/>
          <w:color w:val="auto"/>
          <w:sz w:val="21"/>
          <w:szCs w:val="21"/>
          <w:highlight w:val="none"/>
        </w:rPr>
        <w:t>详见招标文件第三章招标内容与技术需求。</w:t>
      </w:r>
    </w:p>
    <w:p w14:paraId="558933D2">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备注：详细采购需求见本公告附件。</w:t>
      </w:r>
    </w:p>
    <w:p w14:paraId="4A29C8E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合同履约期限：标项1，</w:t>
      </w:r>
      <w:r>
        <w:rPr>
          <w:rFonts w:hint="eastAsia"/>
          <w:color w:val="auto"/>
          <w:sz w:val="21"/>
          <w:szCs w:val="21"/>
          <w:highlight w:val="none"/>
          <w:lang w:eastAsia="zh-CN"/>
        </w:rPr>
        <w:t>合同签订生效之日起一年</w:t>
      </w:r>
      <w:r>
        <w:rPr>
          <w:rFonts w:hint="eastAsia"/>
          <w:color w:val="auto"/>
          <w:sz w:val="21"/>
          <w:szCs w:val="21"/>
          <w:highlight w:val="none"/>
        </w:rPr>
        <w:t>。</w:t>
      </w:r>
    </w:p>
    <w:p w14:paraId="58EEF13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cs="宋体"/>
          <w:color w:val="auto"/>
          <w:sz w:val="21"/>
          <w:szCs w:val="21"/>
          <w:highlight w:val="none"/>
          <w:lang w:eastAsia="zh-CN"/>
        </w:rPr>
        <w:t>不</w:t>
      </w:r>
      <w:r>
        <w:rPr>
          <w:rFonts w:hint="eastAsia" w:ascii="宋体" w:hAnsi="宋体" w:eastAsia="宋体" w:cs="宋体"/>
          <w:color w:val="auto"/>
          <w:sz w:val="21"/>
          <w:szCs w:val="21"/>
          <w:highlight w:val="none"/>
        </w:rPr>
        <w:t>接受联合体投标。</w:t>
      </w:r>
    </w:p>
    <w:p w14:paraId="7E62345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Style w:val="53"/>
          <w:rFonts w:hint="eastAsia" w:ascii="宋体" w:hAnsi="宋体" w:eastAsia="宋体" w:cs="宋体"/>
          <w:color w:val="auto"/>
          <w:sz w:val="21"/>
          <w:szCs w:val="21"/>
          <w:highlight w:val="none"/>
        </w:rPr>
        <w:t>二、申请人的资格要求：</w:t>
      </w:r>
    </w:p>
    <w:p w14:paraId="69F825DD">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w:t>
      </w:r>
      <w:r>
        <w:rPr>
          <w:rFonts w:hint="eastAsia" w:cs="宋体"/>
          <w:color w:val="auto"/>
          <w:sz w:val="21"/>
          <w:szCs w:val="21"/>
          <w:highlight w:val="none"/>
          <w:lang w:val="en-US" w:eastAsia="zh-CN"/>
        </w:rPr>
        <w:t>失信主体</w:t>
      </w:r>
      <w:r>
        <w:rPr>
          <w:rFonts w:hint="eastAsia" w:ascii="宋体" w:hAnsi="宋体" w:eastAsia="宋体" w:cs="宋体"/>
          <w:color w:val="auto"/>
          <w:sz w:val="21"/>
          <w:szCs w:val="21"/>
          <w:highlight w:val="none"/>
        </w:rPr>
        <w:t>、政府采购严重违法失信行为记录名单。</w:t>
      </w:r>
    </w:p>
    <w:p w14:paraId="70F0488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2.落实政府采购政策需满足的资格要求：标项1：</w:t>
      </w:r>
      <w:r>
        <w:rPr>
          <w:rFonts w:hint="eastAsia" w:ascii="宋体" w:hAnsi="宋体" w:eastAsia="宋体" w:cs="宋体"/>
          <w:b/>
          <w:bCs/>
          <w:color w:val="auto"/>
          <w:sz w:val="21"/>
          <w:szCs w:val="21"/>
          <w:highlight w:val="none"/>
        </w:rPr>
        <w:t>本项目为专门面向中小企业采购的项目</w:t>
      </w:r>
    </w:p>
    <w:p w14:paraId="1A3542D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r>
        <w:rPr>
          <w:rFonts w:hint="eastAsia"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3C03071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lang w:eastAsia="zh-CN"/>
        </w:rPr>
      </w:pPr>
      <w:r>
        <w:rPr>
          <w:rStyle w:val="53"/>
          <w:rFonts w:hint="eastAsia" w:ascii="宋体" w:hAnsi="宋体" w:eastAsia="宋体" w:cs="宋体"/>
          <w:color w:val="auto"/>
          <w:sz w:val="21"/>
          <w:szCs w:val="21"/>
          <w:highlight w:val="none"/>
        </w:rPr>
        <w:t>三、获取招标文件</w:t>
      </w:r>
      <w:bookmarkStart w:id="45" w:name="_GoBack"/>
      <w:bookmarkEnd w:id="45"/>
    </w:p>
    <w:p w14:paraId="2E1EBF0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时间：202</w:t>
      </w: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月</w:t>
      </w:r>
      <w:r>
        <w:rPr>
          <w:rFonts w:hint="eastAsia"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rPr>
        <w:t>日至202</w:t>
      </w: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月</w:t>
      </w:r>
      <w:r>
        <w:rPr>
          <w:rFonts w:hint="eastAsia" w:cs="宋体"/>
          <w:color w:val="auto"/>
          <w:sz w:val="21"/>
          <w:szCs w:val="21"/>
          <w:highlight w:val="none"/>
          <w:u w:val="none"/>
          <w:lang w:val="en-US" w:eastAsia="zh-CN"/>
        </w:rPr>
        <w:t>18</w:t>
      </w:r>
      <w:r>
        <w:rPr>
          <w:rFonts w:hint="eastAsia" w:ascii="宋体" w:hAnsi="宋体" w:eastAsia="宋体" w:cs="宋体"/>
          <w:color w:val="auto"/>
          <w:sz w:val="21"/>
          <w:szCs w:val="21"/>
          <w:highlight w:val="none"/>
          <w:u w:val="none"/>
        </w:rPr>
        <w:t>日，每天上午00:00至12:00，下午12:00至23:59（北京时间，线上获取法定节假日均可，线下获取文件法定节假日除外）</w:t>
      </w:r>
    </w:p>
    <w:p w14:paraId="08E3578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地点（网址）：政采云平台线上获取</w:t>
      </w:r>
    </w:p>
    <w:p w14:paraId="2EA91DA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式：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6FAF02B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售价（元）：0</w:t>
      </w:r>
    </w:p>
    <w:p w14:paraId="2587D87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Style w:val="53"/>
          <w:rFonts w:hint="eastAsia" w:ascii="宋体" w:hAnsi="宋体" w:eastAsia="宋体" w:cs="宋体"/>
          <w:color w:val="auto"/>
          <w:sz w:val="21"/>
          <w:szCs w:val="21"/>
          <w:highlight w:val="none"/>
        </w:rPr>
        <w:t>四、提交投标文件截止时间、开标时间和地点</w:t>
      </w:r>
    </w:p>
    <w:p w14:paraId="41623A1A">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提交投标文件截止时间：202</w:t>
      </w: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11月1日14</w:t>
      </w:r>
      <w:r>
        <w:rPr>
          <w:rFonts w:hint="eastAsia" w:cs="宋体"/>
          <w:color w:val="auto"/>
          <w:sz w:val="21"/>
          <w:szCs w:val="21"/>
          <w:highlight w:val="none"/>
          <w:u w:val="none"/>
          <w:lang w:eastAsia="zh-CN"/>
        </w:rPr>
        <w:t>:</w:t>
      </w:r>
      <w:r>
        <w:rPr>
          <w:rFonts w:hint="eastAsia" w:cs="宋体"/>
          <w:color w:val="auto"/>
          <w:sz w:val="21"/>
          <w:szCs w:val="21"/>
          <w:highlight w:val="none"/>
          <w:u w:val="none"/>
          <w:lang w:val="en-US" w:eastAsia="zh-CN"/>
        </w:rPr>
        <w:t>3</w:t>
      </w:r>
      <w:r>
        <w:rPr>
          <w:rFonts w:hint="eastAsia" w:cs="宋体"/>
          <w:color w:val="auto"/>
          <w:sz w:val="21"/>
          <w:szCs w:val="21"/>
          <w:highlight w:val="none"/>
          <w:u w:val="none"/>
          <w:lang w:eastAsia="zh-CN"/>
        </w:rPr>
        <w:t>0</w:t>
      </w:r>
      <w:r>
        <w:rPr>
          <w:rFonts w:hint="eastAsia" w:ascii="宋体" w:hAnsi="宋体" w:eastAsia="宋体" w:cs="宋体"/>
          <w:color w:val="auto"/>
          <w:sz w:val="21"/>
          <w:szCs w:val="21"/>
          <w:highlight w:val="none"/>
          <w:u w:val="none"/>
        </w:rPr>
        <w:t>（北京时间）</w:t>
      </w:r>
    </w:p>
    <w:p w14:paraId="19B2F2B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投标地点（网址）：宁波市国际招标有限公司开标</w:t>
      </w:r>
      <w:r>
        <w:rPr>
          <w:rFonts w:hint="eastAsia" w:cs="宋体"/>
          <w:color w:val="auto"/>
          <w:sz w:val="21"/>
          <w:szCs w:val="21"/>
          <w:highlight w:val="none"/>
          <w:u w:val="none"/>
          <w:lang w:eastAsia="zh-CN"/>
        </w:rPr>
        <w:t>大厅（</w:t>
      </w:r>
      <w:r>
        <w:rPr>
          <w:rFonts w:hint="eastAsia" w:cs="宋体"/>
          <w:color w:val="auto"/>
          <w:sz w:val="21"/>
          <w:szCs w:val="21"/>
          <w:highlight w:val="none"/>
          <w:u w:val="none"/>
          <w:lang w:val="en-US" w:eastAsia="zh-CN"/>
        </w:rPr>
        <w:t>二</w:t>
      </w:r>
      <w:r>
        <w:rPr>
          <w:rFonts w:hint="eastAsia" w:cs="宋体"/>
          <w:color w:val="auto"/>
          <w:sz w:val="21"/>
          <w:szCs w:val="21"/>
          <w:highlight w:val="none"/>
          <w:u w:val="none"/>
          <w:lang w:eastAsia="zh-CN"/>
        </w:rPr>
        <w:t>）</w:t>
      </w:r>
      <w:r>
        <w:rPr>
          <w:rFonts w:hint="eastAsia" w:ascii="宋体" w:hAnsi="宋体" w:eastAsia="宋体" w:cs="宋体"/>
          <w:color w:val="auto"/>
          <w:sz w:val="21"/>
          <w:szCs w:val="21"/>
          <w:highlight w:val="none"/>
          <w:u w:val="none"/>
        </w:rPr>
        <w:t>（宁波市江北区环城北路西段207弄19号世茂茂悦商业中心1号楼七楼招投标会议中心）政府采购云平台（www.zcygov.cn）</w:t>
      </w:r>
    </w:p>
    <w:p w14:paraId="14A5D92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开标时间：202</w:t>
      </w: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11月1日14</w:t>
      </w:r>
      <w:r>
        <w:rPr>
          <w:rFonts w:hint="eastAsia" w:cs="宋体"/>
          <w:color w:val="auto"/>
          <w:sz w:val="21"/>
          <w:szCs w:val="21"/>
          <w:highlight w:val="none"/>
          <w:u w:val="none"/>
          <w:lang w:eastAsia="zh-CN"/>
        </w:rPr>
        <w:t>:</w:t>
      </w:r>
      <w:r>
        <w:rPr>
          <w:rFonts w:hint="eastAsia" w:cs="宋体"/>
          <w:color w:val="auto"/>
          <w:sz w:val="21"/>
          <w:szCs w:val="21"/>
          <w:highlight w:val="none"/>
          <w:u w:val="none"/>
          <w:lang w:val="en-US" w:eastAsia="zh-CN"/>
        </w:rPr>
        <w:t>3</w:t>
      </w:r>
      <w:r>
        <w:rPr>
          <w:rFonts w:hint="eastAsia" w:cs="宋体"/>
          <w:color w:val="auto"/>
          <w:sz w:val="21"/>
          <w:szCs w:val="21"/>
          <w:highlight w:val="none"/>
          <w:u w:val="none"/>
          <w:lang w:eastAsia="zh-CN"/>
        </w:rPr>
        <w:t>0</w:t>
      </w:r>
    </w:p>
    <w:p w14:paraId="69A9F5E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开标地点（网址）：宁波市国际招标有限公司开标</w:t>
      </w:r>
      <w:r>
        <w:rPr>
          <w:rFonts w:hint="eastAsia" w:cs="宋体"/>
          <w:color w:val="auto"/>
          <w:sz w:val="21"/>
          <w:szCs w:val="21"/>
          <w:highlight w:val="none"/>
          <w:u w:val="none"/>
          <w:lang w:eastAsia="zh-CN"/>
        </w:rPr>
        <w:t>大厅（</w:t>
      </w:r>
      <w:r>
        <w:rPr>
          <w:rFonts w:hint="eastAsia" w:cs="宋体"/>
          <w:color w:val="auto"/>
          <w:sz w:val="21"/>
          <w:szCs w:val="21"/>
          <w:highlight w:val="none"/>
          <w:u w:val="none"/>
          <w:lang w:val="en-US" w:eastAsia="zh-CN"/>
        </w:rPr>
        <w:t>二</w:t>
      </w:r>
      <w:r>
        <w:rPr>
          <w:rFonts w:hint="eastAsia" w:cs="宋体"/>
          <w:color w:val="auto"/>
          <w:sz w:val="21"/>
          <w:szCs w:val="21"/>
          <w:highlight w:val="none"/>
          <w:u w:val="none"/>
          <w:lang w:eastAsia="zh-CN"/>
        </w:rPr>
        <w:t>）</w:t>
      </w:r>
      <w:r>
        <w:rPr>
          <w:rFonts w:hint="eastAsia" w:ascii="宋体" w:hAnsi="宋体" w:eastAsia="宋体" w:cs="宋体"/>
          <w:color w:val="auto"/>
          <w:sz w:val="21"/>
          <w:szCs w:val="21"/>
          <w:highlight w:val="none"/>
          <w:u w:val="none"/>
        </w:rPr>
        <w:t>（宁波市江北区环城北路西段207弄19号世茂茂悦商业中心1号楼七楼招投标会议中心）政府采购云平台（www.zcygov.cn）</w:t>
      </w:r>
    </w:p>
    <w:p w14:paraId="18E5A54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lang w:eastAsia="zh-CN"/>
        </w:rPr>
      </w:pPr>
      <w:r>
        <w:rPr>
          <w:rStyle w:val="53"/>
          <w:rFonts w:hint="eastAsia" w:ascii="宋体" w:hAnsi="宋体" w:eastAsia="宋体" w:cs="宋体"/>
          <w:color w:val="auto"/>
          <w:sz w:val="21"/>
          <w:szCs w:val="21"/>
          <w:highlight w:val="none"/>
        </w:rPr>
        <w:t>五、公告期限</w:t>
      </w:r>
    </w:p>
    <w:p w14:paraId="56BA005F">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63B9C7A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Style w:val="53"/>
          <w:rFonts w:hint="eastAsia" w:ascii="宋体" w:hAnsi="宋体" w:eastAsia="宋体" w:cs="宋体"/>
          <w:color w:val="auto"/>
          <w:sz w:val="21"/>
          <w:szCs w:val="21"/>
          <w:highlight w:val="none"/>
        </w:rPr>
        <w:t>六、其他补充事宜</w:t>
      </w:r>
    </w:p>
    <w:p w14:paraId="651B0207">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DDE480">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082CAB">
      <w:pPr>
        <w:widowControl/>
        <w:spacing w:line="400" w:lineRule="exact"/>
        <w:jc w:val="left"/>
        <w:rPr>
          <w:rFonts w:ascii="宋体" w:cs="宋体"/>
          <w:color w:val="auto"/>
          <w:szCs w:val="21"/>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4A976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52A4E17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Style w:val="53"/>
          <w:rFonts w:hint="eastAsia" w:ascii="宋体" w:hAnsi="宋体" w:eastAsia="宋体" w:cs="宋体"/>
          <w:color w:val="auto"/>
          <w:sz w:val="21"/>
          <w:szCs w:val="21"/>
          <w:highlight w:val="none"/>
        </w:rPr>
        <w:t>七、对本次采购提出询问、质疑、投诉，请按以下方式联系</w:t>
      </w:r>
    </w:p>
    <w:p w14:paraId="40D0E8C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BFD7CC6">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宁波市精神病院</w:t>
      </w:r>
    </w:p>
    <w:p w14:paraId="39B3C44F">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i w:val="0"/>
          <w:iCs w:val="0"/>
          <w:color w:val="auto"/>
          <w:sz w:val="21"/>
          <w:szCs w:val="21"/>
          <w:highlight w:val="none"/>
        </w:rPr>
        <w:t>浙江省宁波市江北区庄桥街道童家村日兴房11号</w:t>
      </w:r>
    </w:p>
    <w:p w14:paraId="04A3174A">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传真：/</w:t>
      </w:r>
    </w:p>
    <w:p w14:paraId="776DCFA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cs="宋体"/>
          <w:i w:val="0"/>
          <w:iCs w:val="0"/>
          <w:color w:val="auto"/>
          <w:sz w:val="21"/>
          <w:szCs w:val="21"/>
          <w:highlight w:val="none"/>
          <w:lang w:val="en-US" w:eastAsia="zh-CN"/>
        </w:rPr>
        <w:t>王文婷</w:t>
      </w:r>
    </w:p>
    <w:p w14:paraId="26496D4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i w:val="0"/>
          <w:iCs w:val="0"/>
          <w:color w:val="auto"/>
          <w:sz w:val="21"/>
          <w:szCs w:val="21"/>
          <w:highlight w:val="none"/>
        </w:rPr>
        <w:t>0574-87582311</w:t>
      </w:r>
      <w:r>
        <w:rPr>
          <w:rFonts w:hint="eastAsia" w:ascii="宋体" w:hAnsi="宋体" w:cs="宋体"/>
          <w:i w:val="0"/>
          <w:iCs w:val="0"/>
          <w:color w:val="auto"/>
          <w:sz w:val="21"/>
          <w:szCs w:val="21"/>
          <w:highlight w:val="none"/>
          <w:lang w:val="en-US" w:eastAsia="zh-CN"/>
        </w:rPr>
        <w:t>-8403</w:t>
      </w:r>
    </w:p>
    <w:p w14:paraId="188ED85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i w:val="0"/>
          <w:iCs w:val="0"/>
          <w:color w:val="auto"/>
          <w:sz w:val="21"/>
          <w:szCs w:val="21"/>
          <w:highlight w:val="none"/>
        </w:rPr>
        <w:t>王克成</w:t>
      </w:r>
    </w:p>
    <w:p w14:paraId="4241FB29">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i w:val="0"/>
          <w:iCs w:val="0"/>
          <w:color w:val="auto"/>
          <w:sz w:val="21"/>
          <w:szCs w:val="21"/>
          <w:highlight w:val="none"/>
        </w:rPr>
        <w:t>0574-87582311-8228</w:t>
      </w:r>
    </w:p>
    <w:p w14:paraId="63D2F1A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p>
    <w:p w14:paraId="2A0D6CA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2.采购代理机构信息</w:t>
      </w:r>
    </w:p>
    <w:p w14:paraId="6322B17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名称：宁波市国际招标有限公司</w:t>
      </w:r>
    </w:p>
    <w:p w14:paraId="5C5E4CEF">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地址：宁波市江北区环城北路西段207弄19号世茂茂悦商业中心1号楼八楼</w:t>
      </w:r>
    </w:p>
    <w:p w14:paraId="3840539D">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传真：/</w:t>
      </w:r>
    </w:p>
    <w:p w14:paraId="6EA99E4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cs="宋体"/>
          <w:color w:val="auto"/>
          <w:sz w:val="21"/>
          <w:szCs w:val="21"/>
          <w:highlight w:val="none"/>
          <w:lang w:val="en-US" w:eastAsia="zh-CN"/>
        </w:rPr>
        <w:t>陈裕栋</w:t>
      </w:r>
    </w:p>
    <w:p w14:paraId="0E4880E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项目联系方式（询问）：0574-8</w:t>
      </w:r>
      <w:r>
        <w:rPr>
          <w:rFonts w:hint="eastAsia" w:cs="宋体"/>
          <w:color w:val="auto"/>
          <w:sz w:val="21"/>
          <w:szCs w:val="21"/>
          <w:highlight w:val="none"/>
          <w:lang w:val="en-US" w:eastAsia="zh-CN"/>
        </w:rPr>
        <w:t>7224347</w:t>
      </w:r>
    </w:p>
    <w:p w14:paraId="7F99FFC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质疑联系人：姜春辉</w:t>
      </w:r>
    </w:p>
    <w:p w14:paraId="1B7872F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质疑联系方式：0574-87307605</w:t>
      </w:r>
    </w:p>
    <w:p w14:paraId="3AB5B82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p>
    <w:p w14:paraId="10975B3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3.同级政府采购监督管理部门</w:t>
      </w:r>
    </w:p>
    <w:p w14:paraId="75F43F16">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宁波市财政局政府采购监管处</w:t>
      </w:r>
    </w:p>
    <w:p w14:paraId="1D4A40BA">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i w:val="0"/>
          <w:iCs w:val="0"/>
          <w:caps w:val="0"/>
          <w:color w:val="auto"/>
          <w:spacing w:val="0"/>
          <w:sz w:val="21"/>
          <w:szCs w:val="21"/>
          <w:highlight w:val="none"/>
        </w:rPr>
        <w:t>宁波市海曙区中山西路19号</w:t>
      </w:r>
    </w:p>
    <w:p w14:paraId="1A413EC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传真：/</w:t>
      </w:r>
    </w:p>
    <w:p w14:paraId="57F7DAC9">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联系人：李老师</w:t>
      </w:r>
    </w:p>
    <w:p w14:paraId="2D1F5B26">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监督投诉电话：0574-89388042</w:t>
      </w:r>
    </w:p>
    <w:p w14:paraId="1D1E1E5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p w14:paraId="2A6ECB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若对项目采购电子交易系统操作有疑问，可登录政采云（https://www.zcygov.cn/），点击右侧咨询小采，获取采小蜜智能服务管家帮助，或拨打政采云服务热线95763获取热线服务帮助。</w:t>
      </w:r>
    </w:p>
    <w:p w14:paraId="2A7E83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
        </w:rPr>
        <w:t>CA问题联系电话（人工）：汇信CA400-888-4636；天谷CA400-087-8198。</w:t>
      </w:r>
    </w:p>
    <w:p w14:paraId="53A7A84B">
      <w:pPr>
        <w:widowControl/>
        <w:spacing w:line="400" w:lineRule="exact"/>
        <w:jc w:val="left"/>
        <w:rPr>
          <w:rFonts w:ascii="宋体" w:hAnsi="宋体" w:cs="宋体"/>
          <w:color w:val="auto"/>
          <w:szCs w:val="21"/>
          <w:highlight w:val="none"/>
        </w:rPr>
      </w:pPr>
    </w:p>
    <w:p w14:paraId="760C4053">
      <w:pPr>
        <w:widowControl/>
        <w:spacing w:line="400" w:lineRule="exact"/>
        <w:jc w:val="left"/>
        <w:rPr>
          <w:rFonts w:ascii="宋体" w:hAnsi="宋体" w:cs="宋体"/>
          <w:color w:val="auto"/>
          <w:szCs w:val="21"/>
          <w:highlight w:val="none"/>
        </w:rPr>
      </w:pPr>
    </w:p>
    <w:p w14:paraId="3CA7D9FA">
      <w:pPr>
        <w:widowControl/>
        <w:spacing w:line="400" w:lineRule="exact"/>
        <w:ind w:firstLine="420" w:firstLineChars="200"/>
        <w:rPr>
          <w:rFonts w:ascii="宋体" w:hAnsi="宋体" w:cs="宋体"/>
          <w:color w:val="auto"/>
          <w:kern w:val="0"/>
          <w:szCs w:val="21"/>
          <w:highlight w:val="none"/>
        </w:rPr>
      </w:pPr>
    </w:p>
    <w:p w14:paraId="674A586F">
      <w:pPr>
        <w:widowControl/>
        <w:spacing w:line="400" w:lineRule="exact"/>
        <w:ind w:firstLine="420" w:firstLineChars="200"/>
        <w:rPr>
          <w:rFonts w:ascii="宋体" w:hAnsi="宋体" w:cs="宋体"/>
          <w:color w:val="auto"/>
          <w:kern w:val="0"/>
          <w:szCs w:val="21"/>
          <w:highlight w:val="none"/>
        </w:rPr>
        <w:sectPr>
          <w:footerReference r:id="rId7" w:type="default"/>
          <w:pgSz w:w="11907" w:h="16840"/>
          <w:pgMar w:top="851" w:right="1134" w:bottom="1134" w:left="1134" w:header="285" w:footer="701" w:gutter="0"/>
          <w:pgBorders>
            <w:top w:val="none" w:sz="0" w:space="0"/>
            <w:left w:val="none" w:sz="0" w:space="0"/>
            <w:bottom w:val="none" w:sz="0" w:space="0"/>
            <w:right w:val="none" w:sz="0" w:space="0"/>
          </w:pgBorders>
          <w:pgNumType w:start="1"/>
          <w:cols w:space="720" w:num="1"/>
          <w:docGrid w:linePitch="285" w:charSpace="0"/>
        </w:sectPr>
      </w:pPr>
    </w:p>
    <w:p w14:paraId="26ACA192">
      <w:pPr>
        <w:spacing w:line="400" w:lineRule="exact"/>
        <w:jc w:val="center"/>
        <w:outlineLvl w:val="0"/>
        <w:rPr>
          <w:rFonts w:ascii="宋体" w:hAnsi="宋体"/>
          <w:b/>
          <w:color w:val="auto"/>
          <w:sz w:val="32"/>
          <w:highlight w:val="none"/>
        </w:rPr>
      </w:pPr>
      <w:bookmarkStart w:id="1" w:name="_Toc44162139"/>
      <w:r>
        <w:rPr>
          <w:rFonts w:hint="eastAsia" w:ascii="宋体" w:hAnsi="宋体"/>
          <w:b/>
          <w:color w:val="auto"/>
          <w:sz w:val="32"/>
          <w:highlight w:val="none"/>
        </w:rPr>
        <w:t>第二章  投标须知</w:t>
      </w:r>
      <w:bookmarkEnd w:id="1"/>
    </w:p>
    <w:p w14:paraId="18D1D985">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一、适用范围</w:t>
      </w:r>
    </w:p>
    <w:p w14:paraId="35DFCEF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429686AB">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二、定义</w:t>
      </w:r>
    </w:p>
    <w:p w14:paraId="605EB19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olor w:val="auto"/>
          <w:szCs w:val="21"/>
          <w:highlight w:val="none"/>
          <w:lang w:eastAsia="zh-CN"/>
        </w:rPr>
        <w:t>宁波市精神病院</w:t>
      </w:r>
      <w:r>
        <w:rPr>
          <w:rFonts w:hint="eastAsia" w:ascii="宋体" w:hAnsi="宋体"/>
          <w:color w:val="auto"/>
          <w:szCs w:val="21"/>
          <w:highlight w:val="none"/>
        </w:rPr>
        <w:t>。</w:t>
      </w:r>
    </w:p>
    <w:p w14:paraId="207EBD7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、“代理机构”系指宁波市国际招标有限公司。</w:t>
      </w:r>
    </w:p>
    <w:p w14:paraId="5E8EC2E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、“供应商”或“投标人”系指向采购人提交投标文件的供应商。</w:t>
      </w:r>
    </w:p>
    <w:p w14:paraId="221BE97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4、“服务”系指招标文件规定供应商须承担的</w:t>
      </w:r>
      <w:r>
        <w:rPr>
          <w:rFonts w:hint="eastAsia" w:ascii="宋体" w:hAnsi="宋体"/>
          <w:color w:val="auto"/>
          <w:szCs w:val="21"/>
          <w:highlight w:val="none"/>
          <w:lang w:val="en-US" w:eastAsia="zh-CN"/>
        </w:rPr>
        <w:t>陪护</w:t>
      </w:r>
      <w:r>
        <w:rPr>
          <w:rFonts w:hint="eastAsia"/>
          <w:color w:val="auto"/>
          <w:szCs w:val="21"/>
          <w:highlight w:val="none"/>
        </w:rPr>
        <w:t>及其他</w:t>
      </w:r>
      <w:r>
        <w:rPr>
          <w:rFonts w:hint="eastAsia" w:ascii="宋体" w:hAnsi="宋体" w:cs="Arial"/>
          <w:color w:val="auto"/>
          <w:highlight w:val="none"/>
        </w:rPr>
        <w:t>类似服务的义务。</w:t>
      </w:r>
    </w:p>
    <w:p w14:paraId="0F37261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5、“同级政府采购监管部门”系指</w:t>
      </w:r>
      <w:r>
        <w:rPr>
          <w:rFonts w:hint="eastAsia" w:ascii="宋体" w:hAnsi="宋体"/>
          <w:color w:val="auto"/>
          <w:kern w:val="10"/>
          <w:szCs w:val="21"/>
          <w:highlight w:val="none"/>
          <w:lang w:val="zh-CN"/>
        </w:rPr>
        <w:t>宁波市财政局政府采购监管处。</w:t>
      </w:r>
    </w:p>
    <w:p w14:paraId="0F42BD6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w:t>
      </w:r>
      <w:r>
        <w:rPr>
          <w:rFonts w:hint="eastAsia" w:ascii="宋体" w:hAnsi="宋体"/>
          <w:color w:val="auto"/>
          <w:szCs w:val="21"/>
          <w:highlight w:val="none"/>
        </w:rPr>
        <w:t>”系指实质性响应条款。</w:t>
      </w:r>
    </w:p>
    <w:p w14:paraId="5AEED47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7、合格的投标货物或服务：</w:t>
      </w:r>
    </w:p>
    <w:p w14:paraId="341CBD6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7.1应该是中国境内生产的货物或提供的服务。</w:t>
      </w:r>
    </w:p>
    <w:p w14:paraId="724A476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w:t>
      </w:r>
    </w:p>
    <w:p w14:paraId="3BB0655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招标文件允许采购进口产品的，若投标货物是进口产品，供应商应保证所投产品为可履行合法报通关手续进入中国关境内、在中国海关完税的可合法销售的货物。</w:t>
      </w:r>
    </w:p>
    <w:p w14:paraId="0D01872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7.2国家规定有标准及规范的，投标货物或服务应按有效的标准及规范执行，应符合国家及招标文件提出的有关技术、质量、安全标准。</w:t>
      </w:r>
    </w:p>
    <w:p w14:paraId="7C8717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7.3供应商应保证所提供的产品或服务免受第三方提出侵犯其知识产权（专利权、商标权、工业设计权及使用权等）的索赔或起诉，否则，由此可能产生的一切法律责任和经济责任均由供应商承担。</w:t>
      </w:r>
    </w:p>
    <w:p w14:paraId="7EBC57E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lang w:eastAsia="zh-CN"/>
        </w:rPr>
        <w:t>★</w:t>
      </w:r>
      <w:r>
        <w:rPr>
          <w:rFonts w:hint="eastAsia" w:ascii="宋体" w:hAnsi="宋体"/>
          <w:b/>
          <w:color w:val="auto"/>
          <w:szCs w:val="21"/>
          <w:highlight w:val="none"/>
        </w:rPr>
        <w:t>三、供应商的资格要求</w:t>
      </w:r>
    </w:p>
    <w:p w14:paraId="067F356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详见采购公告。</w:t>
      </w:r>
    </w:p>
    <w:p w14:paraId="6BF59B20">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四、投标费用</w:t>
      </w:r>
    </w:p>
    <w:p w14:paraId="5022671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14:paraId="10C1E172">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五、投标报价</w:t>
      </w:r>
    </w:p>
    <w:p w14:paraId="6BF2BF4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、投标报价以人民币为结算货币。</w:t>
      </w:r>
      <w:r>
        <w:rPr>
          <w:rFonts w:hint="eastAsia" w:ascii="宋体" w:hAnsi="宋体"/>
          <w:color w:val="auto"/>
          <w:kern w:val="0"/>
          <w:szCs w:val="21"/>
          <w:highlight w:val="none"/>
        </w:rPr>
        <w:t>以</w:t>
      </w:r>
      <w:r>
        <w:rPr>
          <w:rFonts w:hint="eastAsia" w:ascii="宋体" w:hAnsi="宋体"/>
          <w:color w:val="auto"/>
          <w:kern w:val="0"/>
          <w:szCs w:val="21"/>
          <w:highlight w:val="none"/>
          <w:lang w:val="en-US" w:eastAsia="zh-CN"/>
        </w:rPr>
        <w:t>一</w:t>
      </w:r>
      <w:r>
        <w:rPr>
          <w:rFonts w:hint="eastAsia" w:ascii="宋体" w:hAnsi="宋体"/>
          <w:color w:val="auto"/>
          <w:kern w:val="0"/>
          <w:szCs w:val="21"/>
          <w:highlight w:val="none"/>
        </w:rPr>
        <w:t>年为单位报出总的服务费用，并要求提供详细费用测算细目</w:t>
      </w:r>
      <w:r>
        <w:rPr>
          <w:rFonts w:hint="eastAsia" w:ascii="宋体" w:hAnsi="宋体"/>
          <w:color w:val="auto"/>
          <w:szCs w:val="21"/>
          <w:highlight w:val="none"/>
        </w:rPr>
        <w:t>，包括但不仅限于完成本</w:t>
      </w:r>
      <w:r>
        <w:rPr>
          <w:rFonts w:hint="eastAsia" w:ascii="宋体" w:hAnsi="宋体"/>
          <w:color w:val="auto"/>
          <w:szCs w:val="21"/>
          <w:highlight w:val="none"/>
          <w:lang w:val="en-US" w:eastAsia="zh-CN"/>
        </w:rPr>
        <w:t>陪护服务</w:t>
      </w:r>
      <w:r>
        <w:rPr>
          <w:rFonts w:hint="eastAsia" w:ascii="宋体" w:hAnsi="宋体"/>
          <w:color w:val="auto"/>
          <w:szCs w:val="21"/>
          <w:highlight w:val="none"/>
        </w:rPr>
        <w:t>项目所需的人工费、加班费、防暑降温费用、过节费、各种税费、管理费、社会保险（除必须的各种社保外，还应包括第三者责任保险和员工人身意外保险）、通讯补贴、伙食、住宿、员工体检费、人员装备及办公设备费用、</w:t>
      </w:r>
      <w:r>
        <w:rPr>
          <w:rFonts w:hint="eastAsia" w:ascii="宋体" w:hAnsi="宋体"/>
          <w:color w:val="auto"/>
          <w:szCs w:val="21"/>
          <w:highlight w:val="none"/>
          <w:lang w:val="en-US" w:eastAsia="zh-CN"/>
        </w:rPr>
        <w:t>陪护</w:t>
      </w:r>
      <w:r>
        <w:rPr>
          <w:rFonts w:hint="eastAsia" w:ascii="宋体" w:hAnsi="宋体"/>
          <w:color w:val="auto"/>
          <w:szCs w:val="21"/>
          <w:highlight w:val="none"/>
        </w:rPr>
        <w:t>用品费用（设备及耗材）、技术支持与培训及相关劳务支出等全部费用以及供应商企业利润、税金和政策性文件规定及合同包含的所有风险、责任等各项应有费用。</w:t>
      </w:r>
    </w:p>
    <w:p w14:paraId="63E8E8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color w:val="auto"/>
          <w:szCs w:val="21"/>
          <w:highlight w:val="none"/>
        </w:rPr>
      </w:pPr>
      <w:r>
        <w:rPr>
          <w:rFonts w:hint="eastAsia" w:ascii="宋体" w:hAnsi="宋体"/>
          <w:color w:val="auto"/>
          <w:szCs w:val="21"/>
          <w:highlight w:val="none"/>
        </w:rPr>
        <w:t>未列入的且为本项目正常工作以及突发性事件造成的工作项目均包括在本次采购范围内，供应商不得因此拒绝提供相关服务，因此产生的</w:t>
      </w:r>
      <w:r>
        <w:rPr>
          <w:rFonts w:hint="eastAsia" w:ascii="宋体" w:hAnsi="宋体"/>
          <w:color w:val="auto"/>
          <w:szCs w:val="21"/>
          <w:highlight w:val="none"/>
          <w:lang w:val="en-US" w:eastAsia="zh-CN"/>
        </w:rPr>
        <w:t>陪护</w:t>
      </w:r>
      <w:r>
        <w:rPr>
          <w:rFonts w:hint="eastAsia" w:ascii="宋体" w:hAnsi="宋体"/>
          <w:color w:val="auto"/>
          <w:szCs w:val="21"/>
          <w:highlight w:val="none"/>
        </w:rPr>
        <w:t>用品费用、重大疫情所需的员工个人防护用品、人工费、管理费等所需费用全部包括在投标报价中。</w:t>
      </w:r>
    </w:p>
    <w:p w14:paraId="7BB487A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、投标报价为最终报价，除非因特殊原因并经双方协商同意，供应商不得再要求追加任何费用。同时，除非合同条款中另有规定，否则，供应商所报价格在合同实施期间不因市场变化和政策因素而变动。</w:t>
      </w:r>
    </w:p>
    <w:p w14:paraId="1E93C993">
      <w:pPr>
        <w:keepNext w:val="0"/>
        <w:keepLines w:val="0"/>
        <w:pageBreakBefore w:val="0"/>
        <w:widowControl w:val="0"/>
        <w:numPr>
          <w:ilvl w:val="255"/>
          <w:numId w:val="0"/>
        </w:numPr>
        <w:kinsoku/>
        <w:wordWrap/>
        <w:overflowPunct/>
        <w:topLinePunct w:val="0"/>
        <w:autoSpaceDE/>
        <w:autoSpaceDN/>
        <w:bidi w:val="0"/>
        <w:adjustRightInd/>
        <w:spacing w:line="440" w:lineRule="exact"/>
        <w:ind w:firstLine="420" w:firstLineChars="200"/>
        <w:textAlignment w:val="auto"/>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在报价时应充分考虑在合同执行期间，最低工资标准、社保缴费基数比例上调等政策因素变动情况。在合同执行期间，员工工资不得低于宁波市规定的当年最低工资标准，所有人员必须依法交纳各类社会保障资金，不得低于宁波市规定的当年社保缴费数。如宁波市社会平均最低工资、税金及社会保障金等其它费用调整的，则调整工资部分费用由采购人负责，税金及社会保障金等其它费用调整由中标供应商负责。</w:t>
      </w:r>
    </w:p>
    <w:p w14:paraId="3054B48E">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b/>
          <w:bCs/>
          <w:color w:val="auto"/>
          <w:szCs w:val="21"/>
          <w:highlight w:val="none"/>
        </w:rPr>
      </w:pPr>
      <w:r>
        <w:rPr>
          <w:rFonts w:ascii="宋体" w:hAnsi="宋体"/>
          <w:b/>
          <w:bCs/>
          <w:color w:val="auto"/>
          <w:szCs w:val="21"/>
          <w:highlight w:val="none"/>
        </w:rPr>
        <w:t>4</w:t>
      </w:r>
      <w:r>
        <w:rPr>
          <w:rFonts w:hint="eastAsia" w:ascii="宋体" w:hAnsi="宋体"/>
          <w:b/>
          <w:bCs/>
          <w:color w:val="auto"/>
          <w:szCs w:val="21"/>
          <w:highlight w:val="none"/>
        </w:rPr>
        <w:t>、如果由于采购人要求增加或减少工作内容而导致工作人员的增加或减少的，合同金额采购人将按实际人数根据综合单价调整相应费用，调整范围不超过</w:t>
      </w:r>
      <w:r>
        <w:rPr>
          <w:rFonts w:ascii="宋体" w:hAnsi="宋体"/>
          <w:b/>
          <w:bCs/>
          <w:color w:val="auto"/>
          <w:szCs w:val="21"/>
          <w:highlight w:val="none"/>
        </w:rPr>
        <w:t>10%</w:t>
      </w:r>
      <w:r>
        <w:rPr>
          <w:rFonts w:hint="eastAsia" w:ascii="宋体" w:hAnsi="宋体"/>
          <w:b/>
          <w:bCs/>
          <w:color w:val="auto"/>
          <w:szCs w:val="21"/>
          <w:highlight w:val="none"/>
        </w:rPr>
        <w:t>（含）。</w:t>
      </w:r>
    </w:p>
    <w:p w14:paraId="7691A11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、供应商应详细列明各分项工作相关报价及依据，未列明的相关报价应视为已包含在已列明费用的报价中，采购人将不予单独支付。</w:t>
      </w:r>
    </w:p>
    <w:p w14:paraId="282603A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、供应商应根据本招标文件规定的工作内容和计划工作量，结合市场及自身情况自行报价。</w:t>
      </w:r>
    </w:p>
    <w:p w14:paraId="3F8581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、供应商应按招标文件要求认真填写“开标一览表”和“分项报价表”。</w:t>
      </w:r>
    </w:p>
    <w:p w14:paraId="266C592A">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六、投标有效期</w:t>
      </w:r>
    </w:p>
    <w:p w14:paraId="7823C6CB">
      <w:pPr>
        <w:keepNext w:val="0"/>
        <w:keepLines w:val="0"/>
        <w:pageBreakBefore w:val="0"/>
        <w:widowControl w:val="0"/>
        <w:kinsoku/>
        <w:wordWrap/>
        <w:overflowPunct/>
        <w:topLinePunct w:val="0"/>
        <w:autoSpaceDE/>
        <w:autoSpaceDN/>
        <w:bidi w:val="0"/>
        <w:adjustRightInd/>
        <w:spacing w:line="440" w:lineRule="exact"/>
        <w:ind w:firstLine="210" w:firstLineChars="100"/>
        <w:jc w:val="left"/>
        <w:textAlignment w:val="auto"/>
        <w:rPr>
          <w:rFonts w:ascii="宋体" w:hAnsi="宋体"/>
          <w:b/>
          <w:color w:val="auto"/>
          <w:szCs w:val="21"/>
          <w:highlight w:val="none"/>
        </w:rPr>
      </w:pPr>
      <w:r>
        <w:rPr>
          <w:rFonts w:hint="eastAsia" w:ascii="宋体" w:hAnsi="宋体"/>
          <w:color w:val="auto"/>
          <w:szCs w:val="21"/>
          <w:highlight w:val="none"/>
          <w:lang w:eastAsia="zh-CN"/>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7AAC04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14:paraId="6DBADA7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14:paraId="65D5C16F">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七、投标文件的形式和效力</w:t>
      </w:r>
    </w:p>
    <w:p w14:paraId="11E966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w:t>
      </w:r>
      <w:r>
        <w:rPr>
          <w:rFonts w:hint="eastAsia" w:ascii="宋体" w:hAnsi="宋体"/>
          <w:color w:val="auto"/>
          <w:szCs w:val="21"/>
          <w:highlight w:val="none"/>
          <w:lang w:eastAsia="zh-CN"/>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备份投标文件备份投标文件。</w:t>
      </w:r>
    </w:p>
    <w:p w14:paraId="02FB028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14:paraId="1331AA4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投标文件制作说明：</w:t>
      </w:r>
    </w:p>
    <w:p w14:paraId="2FCD4AA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3A4507A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（2）供应商通过政府采购云平台电子投标工具制作投标文件。电子投标工具请供应商自行前往浙江政府采购网下载并安装。</w:t>
      </w:r>
    </w:p>
    <w:p w14:paraId="24040C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（3）以U盘或光盘存储的电子备份投标文件1份，即按“项目采购-电子招投标操作指南”制作的电子备份文件，以用于异常情况处理。</w:t>
      </w:r>
    </w:p>
    <w:p w14:paraId="0422A61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3、以U盘或光盘存储的电子备份投标文件，按“项目采购-电子招投标操作指南”制作的电子备份文件。</w:t>
      </w:r>
    </w:p>
    <w:p w14:paraId="7711744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4、投标文件填写字迹必须清楚、工整，对不同文字文本投标文件的解释发生异议的，以中文文本为准。</w:t>
      </w:r>
    </w:p>
    <w:p w14:paraId="28C8CB9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5、投标文件的效力</w:t>
      </w:r>
    </w:p>
    <w:p w14:paraId="38B524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投标文件的启用，按先后顺位分别为电子投标文件、以U盘或光盘存储的电子备份投标文件。在下一顺位的投标文件启用时，前一顺位的投标文件自动失效。</w:t>
      </w:r>
    </w:p>
    <w:p w14:paraId="18C4CCE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50214CA7">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bCs/>
          <w:color w:val="auto"/>
          <w:szCs w:val="21"/>
          <w:highlight w:val="none"/>
        </w:rPr>
      </w:pPr>
      <w:bookmarkStart w:id="2" w:name="_Hlk23147633"/>
      <w:bookmarkStart w:id="3" w:name="_Hlk23150950"/>
      <w:r>
        <w:rPr>
          <w:rFonts w:hint="eastAsia" w:ascii="宋体" w:hAnsi="宋体"/>
          <w:b/>
          <w:bCs/>
          <w:color w:val="auto"/>
          <w:szCs w:val="21"/>
          <w:highlight w:val="none"/>
        </w:rPr>
        <w:t>八、投标文件的组成和份数（适用于所有标项）</w:t>
      </w:r>
    </w:p>
    <w:p w14:paraId="765C597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1、投标文件的组成：</w:t>
      </w:r>
    </w:p>
    <w:p w14:paraId="49CA81FC">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A、第一册：资格文件</w:t>
      </w:r>
    </w:p>
    <w:p w14:paraId="592675C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A1、关于资格的承诺函（</w:t>
      </w:r>
      <w:r>
        <w:rPr>
          <w:rFonts w:hint="eastAsia" w:ascii="宋体"/>
          <w:color w:val="auto"/>
          <w:szCs w:val="21"/>
          <w:highlight w:val="none"/>
        </w:rPr>
        <w:t>格式见附件</w:t>
      </w:r>
      <w:r>
        <w:rPr>
          <w:rFonts w:hint="eastAsia" w:ascii="宋体" w:hAnsi="宋体"/>
          <w:color w:val="auto"/>
          <w:szCs w:val="21"/>
          <w:highlight w:val="none"/>
        </w:rPr>
        <w:t>）；</w:t>
      </w:r>
    </w:p>
    <w:p w14:paraId="4EDAB3F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2、营业执照副本（或事业法人登记证副本或其他登记证明材料）扫描件加盖供应商公章（供应商如果有名称变更的，应提供由行政主管部门出具的变更证明文件扫描件加盖供应商公章）；</w:t>
      </w:r>
    </w:p>
    <w:p w14:paraId="67D6171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方正书宋简体" w:hAnsi="方正书宋简体"/>
          <w:color w:val="auto"/>
          <w:szCs w:val="21"/>
          <w:highlight w:val="none"/>
        </w:rPr>
        <w:t>中小企业声明函（详见附件）</w:t>
      </w:r>
      <w:r>
        <w:rPr>
          <w:rFonts w:hint="eastAsia" w:ascii="宋体" w:hAnsi="宋体"/>
          <w:color w:val="auto"/>
          <w:szCs w:val="21"/>
          <w:highlight w:val="none"/>
        </w:rPr>
        <w:t>；</w:t>
      </w:r>
    </w:p>
    <w:p w14:paraId="753BE39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b/>
          <w:bCs/>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4</w:t>
      </w:r>
      <w:r>
        <w:rPr>
          <w:rFonts w:hint="eastAsia" w:ascii="方正书宋简体" w:hAnsi="方正书宋简体"/>
          <w:color w:val="auto"/>
          <w:szCs w:val="21"/>
          <w:highlight w:val="none"/>
        </w:rPr>
        <w:t>、残疾人福利性单位声明函（详见附件）；</w:t>
      </w:r>
    </w:p>
    <w:p w14:paraId="3A13D8BA">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B、第二册：商务和技术文件</w:t>
      </w:r>
    </w:p>
    <w:p w14:paraId="7E4C3FB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B1、投标书；</w:t>
      </w:r>
      <w:r>
        <w:rPr>
          <w:rFonts w:hint="eastAsia" w:ascii="宋体"/>
          <w:color w:val="auto"/>
          <w:szCs w:val="21"/>
          <w:highlight w:val="none"/>
        </w:rPr>
        <w:t>（格式见附件）</w:t>
      </w:r>
    </w:p>
    <w:p w14:paraId="3E312D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B2、法定代表人身份证明；</w:t>
      </w:r>
    </w:p>
    <w:p w14:paraId="5D8568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B3、法定代表人授权书（投标文件由授权代表签字的须提供）；</w:t>
      </w:r>
    </w:p>
    <w:p w14:paraId="5E8F00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B4、供应商一般情况表；</w:t>
      </w:r>
      <w:r>
        <w:rPr>
          <w:rFonts w:hint="eastAsia" w:ascii="宋体"/>
          <w:color w:val="auto"/>
          <w:szCs w:val="21"/>
          <w:highlight w:val="none"/>
        </w:rPr>
        <w:t>（格式见附件）</w:t>
      </w:r>
    </w:p>
    <w:p w14:paraId="4481C6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color w:val="auto"/>
          <w:szCs w:val="21"/>
          <w:highlight w:val="none"/>
        </w:rPr>
      </w:pPr>
      <w:r>
        <w:rPr>
          <w:rFonts w:hint="eastAsia" w:ascii="宋体" w:hAnsi="宋体"/>
          <w:color w:val="auto"/>
          <w:szCs w:val="21"/>
          <w:highlight w:val="none"/>
        </w:rPr>
        <w:t>B5、</w:t>
      </w:r>
      <w:r>
        <w:rPr>
          <w:rFonts w:hint="eastAsia" w:ascii="宋体"/>
          <w:color w:val="auto"/>
          <w:szCs w:val="21"/>
          <w:highlight w:val="none"/>
        </w:rPr>
        <w:t>招标需求响应表；（格式见附件）</w:t>
      </w:r>
    </w:p>
    <w:p w14:paraId="335D49B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B6、商务条款响应表；</w:t>
      </w:r>
    </w:p>
    <w:p w14:paraId="28D662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B7、第五章“评标办法及标准”中评分标准（兼评委打分表）要求提供的资料（如有需提供）；</w:t>
      </w:r>
    </w:p>
    <w:p w14:paraId="6ADF85E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整体</w:t>
      </w:r>
      <w:r>
        <w:rPr>
          <w:rFonts w:hint="eastAsia" w:ascii="宋体" w:hAnsi="宋体"/>
          <w:color w:val="auto"/>
          <w:szCs w:val="21"/>
          <w:highlight w:val="none"/>
          <w:lang w:val="en-US" w:eastAsia="zh-CN"/>
        </w:rPr>
        <w:t>陪护</w:t>
      </w:r>
      <w:r>
        <w:rPr>
          <w:rFonts w:hint="eastAsia" w:ascii="宋体" w:hAnsi="宋体"/>
          <w:color w:val="auto"/>
          <w:szCs w:val="21"/>
          <w:highlight w:val="none"/>
        </w:rPr>
        <w:t>服务方案</w:t>
      </w:r>
      <w:r>
        <w:rPr>
          <w:rFonts w:hint="eastAsia" w:ascii="宋体" w:hAnsi="宋体"/>
          <w:color w:val="auto"/>
          <w:szCs w:val="21"/>
          <w:highlight w:val="none"/>
          <w:lang w:eastAsia="zh-CN"/>
        </w:rPr>
        <w:t>；</w:t>
      </w:r>
    </w:p>
    <w:p w14:paraId="03A37AA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管理理念</w:t>
      </w:r>
      <w:r>
        <w:rPr>
          <w:rFonts w:hint="eastAsia" w:ascii="宋体" w:hAnsi="宋体"/>
          <w:color w:val="auto"/>
          <w:szCs w:val="21"/>
          <w:highlight w:val="none"/>
          <w:lang w:eastAsia="zh-CN"/>
        </w:rPr>
        <w:t>、</w:t>
      </w:r>
      <w:r>
        <w:rPr>
          <w:rFonts w:hint="eastAsia" w:ascii="宋体" w:hAnsi="宋体"/>
          <w:color w:val="auto"/>
          <w:szCs w:val="21"/>
          <w:highlight w:val="none"/>
        </w:rPr>
        <w:t>管理目标</w:t>
      </w:r>
      <w:r>
        <w:rPr>
          <w:rFonts w:hint="eastAsia" w:ascii="宋体" w:hAnsi="宋体"/>
          <w:color w:val="auto"/>
          <w:szCs w:val="21"/>
          <w:highlight w:val="none"/>
          <w:lang w:eastAsia="zh-CN"/>
        </w:rPr>
        <w:t>、</w:t>
      </w:r>
      <w:r>
        <w:rPr>
          <w:rFonts w:hint="eastAsia" w:ascii="宋体" w:hAnsi="宋体"/>
          <w:color w:val="auto"/>
          <w:szCs w:val="21"/>
          <w:highlight w:val="none"/>
        </w:rPr>
        <w:t>管理构架</w:t>
      </w:r>
      <w:r>
        <w:rPr>
          <w:rFonts w:hint="eastAsia" w:ascii="宋体" w:hAnsi="宋体"/>
          <w:color w:val="auto"/>
          <w:szCs w:val="21"/>
          <w:highlight w:val="none"/>
          <w:lang w:eastAsia="zh-CN"/>
        </w:rPr>
        <w:t>、</w:t>
      </w:r>
      <w:r>
        <w:rPr>
          <w:rFonts w:hint="eastAsia" w:ascii="宋体" w:hAnsi="宋体"/>
          <w:color w:val="auto"/>
          <w:szCs w:val="21"/>
          <w:highlight w:val="none"/>
        </w:rPr>
        <w:t>管理体系</w:t>
      </w:r>
      <w:r>
        <w:rPr>
          <w:rFonts w:hint="eastAsia" w:ascii="宋体" w:hAnsi="宋体"/>
          <w:color w:val="auto"/>
          <w:szCs w:val="21"/>
          <w:highlight w:val="none"/>
          <w:lang w:eastAsia="zh-CN"/>
        </w:rPr>
        <w:t>、</w:t>
      </w:r>
      <w:r>
        <w:rPr>
          <w:rFonts w:hint="eastAsia" w:ascii="宋体" w:hAnsi="宋体"/>
          <w:color w:val="auto"/>
          <w:szCs w:val="21"/>
          <w:highlight w:val="none"/>
        </w:rPr>
        <w:t>管理模式</w:t>
      </w:r>
      <w:r>
        <w:rPr>
          <w:rFonts w:hint="eastAsia" w:ascii="宋体" w:hAnsi="宋体"/>
          <w:color w:val="auto"/>
          <w:szCs w:val="21"/>
          <w:highlight w:val="none"/>
          <w:lang w:eastAsia="zh-CN"/>
        </w:rPr>
        <w:t>；</w:t>
      </w:r>
    </w:p>
    <w:p w14:paraId="3BAB7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3）陪护</w:t>
      </w:r>
      <w:r>
        <w:rPr>
          <w:rFonts w:hint="eastAsia" w:ascii="宋体" w:hAnsi="宋体"/>
          <w:color w:val="auto"/>
          <w:szCs w:val="21"/>
          <w:highlight w:val="none"/>
        </w:rPr>
        <w:t>服务过程中的重点难点问题的分析、解决方案及对本项目的合理化建议</w:t>
      </w:r>
      <w:r>
        <w:rPr>
          <w:rFonts w:hint="eastAsia" w:ascii="宋体" w:hAnsi="宋体"/>
          <w:color w:val="auto"/>
          <w:szCs w:val="21"/>
          <w:highlight w:val="none"/>
          <w:lang w:eastAsia="zh-CN"/>
        </w:rPr>
        <w:t>；</w:t>
      </w:r>
    </w:p>
    <w:p w14:paraId="699553E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服务质量保障措施</w:t>
      </w:r>
      <w:r>
        <w:rPr>
          <w:rFonts w:hint="eastAsia" w:ascii="宋体" w:hAnsi="宋体"/>
          <w:color w:val="auto"/>
          <w:szCs w:val="21"/>
          <w:highlight w:val="none"/>
          <w:lang w:eastAsia="zh-CN"/>
        </w:rPr>
        <w:t>；</w:t>
      </w:r>
    </w:p>
    <w:p w14:paraId="1B493B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对于突发事件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如针对传染性疾病的防控</w:t>
      </w:r>
      <w:r>
        <w:rPr>
          <w:rFonts w:hint="eastAsia" w:ascii="宋体" w:hAnsi="宋体"/>
          <w:color w:val="auto"/>
          <w:szCs w:val="21"/>
          <w:highlight w:val="none"/>
          <w:lang w:eastAsia="zh-CN"/>
        </w:rPr>
        <w:t>）</w:t>
      </w:r>
      <w:r>
        <w:rPr>
          <w:rFonts w:hint="eastAsia" w:ascii="宋体" w:hAnsi="宋体"/>
          <w:color w:val="auto"/>
          <w:szCs w:val="21"/>
          <w:highlight w:val="none"/>
        </w:rPr>
        <w:t>的</w:t>
      </w:r>
      <w:r>
        <w:rPr>
          <w:rFonts w:hint="eastAsia" w:ascii="宋体" w:hAnsi="宋体"/>
          <w:color w:val="auto"/>
          <w:szCs w:val="21"/>
          <w:highlight w:val="none"/>
          <w:lang w:val="en-US" w:eastAsia="zh-CN"/>
        </w:rPr>
        <w:t>应急预案、</w:t>
      </w:r>
      <w:r>
        <w:rPr>
          <w:rFonts w:hint="eastAsia" w:ascii="宋体" w:hAnsi="宋体"/>
          <w:color w:val="auto"/>
          <w:szCs w:val="21"/>
          <w:highlight w:val="none"/>
        </w:rPr>
        <w:t>响应时间及处理办法的响应承诺情况</w:t>
      </w:r>
      <w:r>
        <w:rPr>
          <w:rFonts w:hint="eastAsia" w:ascii="宋体" w:hAnsi="宋体"/>
          <w:color w:val="auto"/>
          <w:szCs w:val="21"/>
          <w:highlight w:val="none"/>
          <w:lang w:eastAsia="zh-CN"/>
        </w:rPr>
        <w:t>；</w:t>
      </w:r>
    </w:p>
    <w:p w14:paraId="20582DC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对</w:t>
      </w:r>
      <w:r>
        <w:rPr>
          <w:rFonts w:hint="eastAsia" w:ascii="宋体" w:hAnsi="宋体"/>
          <w:color w:val="auto"/>
          <w:szCs w:val="21"/>
          <w:highlight w:val="none"/>
          <w:lang w:eastAsia="zh-CN"/>
        </w:rPr>
        <w:t>陪护服务管理外包（</w:t>
      </w:r>
      <w:r>
        <w:rPr>
          <w:rFonts w:hint="eastAsia" w:ascii="宋体" w:hAnsi="宋体"/>
          <w:color w:val="auto"/>
          <w:szCs w:val="21"/>
          <w:highlight w:val="none"/>
          <w:lang w:val="en-US" w:eastAsia="zh-CN"/>
        </w:rPr>
        <w:t>需考虑到年龄、身体状况、精神状态等因素</w:t>
      </w:r>
      <w:r>
        <w:rPr>
          <w:rFonts w:hint="eastAsia" w:ascii="宋体" w:hAnsi="宋体"/>
          <w:color w:val="auto"/>
          <w:szCs w:val="21"/>
          <w:highlight w:val="none"/>
          <w:lang w:eastAsia="zh-CN"/>
        </w:rPr>
        <w:t>）</w:t>
      </w:r>
      <w:r>
        <w:rPr>
          <w:rFonts w:hint="eastAsia" w:ascii="宋体" w:hAnsi="宋体"/>
          <w:color w:val="auto"/>
          <w:szCs w:val="21"/>
          <w:highlight w:val="none"/>
        </w:rPr>
        <w:t>的</w:t>
      </w:r>
      <w:r>
        <w:rPr>
          <w:rFonts w:hint="eastAsia" w:ascii="宋体" w:hAnsi="宋体"/>
          <w:color w:val="auto"/>
          <w:szCs w:val="21"/>
          <w:highlight w:val="none"/>
          <w:lang w:val="en-US" w:eastAsia="zh-CN"/>
        </w:rPr>
        <w:t>应急</w:t>
      </w:r>
      <w:r>
        <w:rPr>
          <w:rFonts w:hint="eastAsia" w:ascii="宋体" w:hAnsi="宋体"/>
          <w:color w:val="auto"/>
          <w:szCs w:val="21"/>
          <w:highlight w:val="none"/>
        </w:rPr>
        <w:t>措施</w:t>
      </w:r>
      <w:r>
        <w:rPr>
          <w:rFonts w:hint="eastAsia" w:ascii="宋体" w:hAnsi="宋体"/>
          <w:color w:val="auto"/>
          <w:szCs w:val="21"/>
          <w:highlight w:val="none"/>
          <w:lang w:eastAsia="zh-CN"/>
        </w:rPr>
        <w:t>；</w:t>
      </w:r>
    </w:p>
    <w:p w14:paraId="465ECA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拟投入人员情况</w:t>
      </w:r>
      <w:r>
        <w:rPr>
          <w:rFonts w:hint="eastAsia" w:ascii="宋体" w:hAnsi="宋体"/>
          <w:color w:val="auto"/>
          <w:szCs w:val="21"/>
          <w:highlight w:val="none"/>
          <w:lang w:eastAsia="zh-CN"/>
        </w:rPr>
        <w:t>；</w:t>
      </w:r>
    </w:p>
    <w:p w14:paraId="5CEEAB8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8）人员内部组织管理制度（工作考勤、监督管理机制及奖罚管理等）；</w:t>
      </w:r>
    </w:p>
    <w:p w14:paraId="15FC9CB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9）确保本项目员工工资福利、人员稳定及人员变动应急方案；</w:t>
      </w:r>
    </w:p>
    <w:p w14:paraId="771B868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10）服务支撑能力，除派驻本院的服务团队外，投标人具备足够数量的陪护人员；</w:t>
      </w:r>
    </w:p>
    <w:p w14:paraId="684A9B8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11）陪护用品、耗材等配置情况及管理方案(提供清单一览表，并且注明相关产品信息)；</w:t>
      </w:r>
    </w:p>
    <w:p w14:paraId="7A667AD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增值服务方案</w:t>
      </w:r>
      <w:r>
        <w:rPr>
          <w:rFonts w:hint="eastAsia" w:ascii="宋体" w:hAnsi="宋体"/>
          <w:color w:val="auto"/>
          <w:szCs w:val="21"/>
          <w:highlight w:val="none"/>
          <w:lang w:eastAsia="zh-CN"/>
        </w:rPr>
        <w:t>；</w:t>
      </w:r>
    </w:p>
    <w:p w14:paraId="5EBDB0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B8、供应商认为需要的其他资料（如有需提供）。</w:t>
      </w:r>
    </w:p>
    <w:bookmarkEnd w:id="2"/>
    <w:p w14:paraId="1CFDFAA0">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bookmarkEnd w:id="3"/>
    <w:p w14:paraId="4314163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、开标一览表（详见附件）；</w:t>
      </w:r>
    </w:p>
    <w:p w14:paraId="0A51BF6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C2、分项报价表（详见附件）；</w:t>
      </w:r>
    </w:p>
    <w:p w14:paraId="3F1D3A8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方正书宋简体" w:hAnsi="方正书宋简体"/>
          <w:color w:val="auto"/>
          <w:szCs w:val="21"/>
          <w:highlight w:val="none"/>
        </w:rPr>
      </w:pPr>
      <w:r>
        <w:rPr>
          <w:rFonts w:hint="eastAsia" w:ascii="方正书宋简体" w:hAnsi="方正书宋简体"/>
          <w:color w:val="auto"/>
          <w:szCs w:val="21"/>
          <w:highlight w:val="none"/>
        </w:rPr>
        <w:t>C</w:t>
      </w:r>
      <w:r>
        <w:rPr>
          <w:rFonts w:hint="eastAsia" w:ascii="方正书宋简体" w:hAnsi="方正书宋简体"/>
          <w:color w:val="auto"/>
          <w:szCs w:val="21"/>
          <w:highlight w:val="none"/>
          <w:lang w:val="en-US" w:eastAsia="zh-CN"/>
        </w:rPr>
        <w:t>3</w:t>
      </w:r>
      <w:r>
        <w:rPr>
          <w:rFonts w:hint="eastAsia" w:ascii="方正书宋简体" w:hAnsi="方正书宋简体"/>
          <w:color w:val="auto"/>
          <w:szCs w:val="21"/>
          <w:highlight w:val="none"/>
        </w:rPr>
        <w:t>、供应商认为需要的其他资料（如有需提供）；</w:t>
      </w:r>
    </w:p>
    <w:p w14:paraId="63C3473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2、投标文件的份数：</w:t>
      </w:r>
    </w:p>
    <w:p w14:paraId="5322BD8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本项目实行网上投标，供应商应准备以下投标文件：（备份投标文件不强制要求提交，但因电子投标文件未能按时解密或解密失败，供应商又未提交备份投标文件的，将被视为投标文件撤回，投标无效。）</w:t>
      </w:r>
    </w:p>
    <w:p w14:paraId="0BFBCD4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2.1上传到政府采购云平台的电子投标文件（含资格文件、商务和技术文件、报价文件）1份。</w:t>
      </w:r>
    </w:p>
    <w:p w14:paraId="18A1B13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2.2以U盘或光盘存储的电子备份投标文件（含资格文件、商务和技术文件、报价文件）1份。</w:t>
      </w:r>
    </w:p>
    <w:p w14:paraId="1635749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b/>
          <w:bCs/>
          <w:color w:val="auto"/>
          <w:szCs w:val="21"/>
          <w:highlight w:val="none"/>
        </w:rPr>
      </w:pPr>
      <w:r>
        <w:rPr>
          <w:rFonts w:hint="eastAsia" w:ascii="宋体" w:hAnsi="宋体"/>
          <w:color w:val="auto"/>
          <w:szCs w:val="21"/>
          <w:highlight w:val="none"/>
          <w:lang w:eastAsia="zh-CN"/>
        </w:rPr>
        <w:t>★</w:t>
      </w:r>
      <w:r>
        <w:rPr>
          <w:rFonts w:hint="eastAsia" w:ascii="宋体" w:hAnsi="宋体"/>
          <w:b/>
          <w:bCs/>
          <w:color w:val="auto"/>
          <w:szCs w:val="21"/>
          <w:highlight w:val="none"/>
        </w:rPr>
        <w:t>九、投标文件的签署盖章</w:t>
      </w:r>
    </w:p>
    <w:p w14:paraId="58CB3D9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1、招标文件第七章“附件”中标明加盖公章或签字的，加盖公章部分采用CA签章，签字部分由法定代表人或授权代表签字后扫描上传或盖电子签章。授权代表签字的，还应附法定代表人签署的法定代表人授权书。</w:t>
      </w:r>
    </w:p>
    <w:p w14:paraId="34D6FC60">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十、投标文件的密封和标记</w:t>
      </w:r>
    </w:p>
    <w:p w14:paraId="689D911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14:paraId="0B22CE5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b/>
          <w:color w:val="auto"/>
          <w:szCs w:val="21"/>
          <w:highlight w:val="none"/>
        </w:rPr>
        <w:t>用封袋密封后递交。</w:t>
      </w:r>
    </w:p>
    <w:p w14:paraId="3E9AF48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封袋上注明：</w:t>
      </w:r>
    </w:p>
    <w:p w14:paraId="1CC00B87">
      <w:pPr>
        <w:keepNext w:val="0"/>
        <w:keepLines w:val="0"/>
        <w:pageBreakBefore w:val="0"/>
        <w:widowControl w:val="0"/>
        <w:tabs>
          <w:tab w:val="left" w:pos="900"/>
        </w:tabs>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14:paraId="43CD5303">
      <w:pPr>
        <w:keepNext w:val="0"/>
        <w:keepLines w:val="0"/>
        <w:pageBreakBefore w:val="0"/>
        <w:widowControl w:val="0"/>
        <w:tabs>
          <w:tab w:val="left" w:pos="900"/>
        </w:tabs>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202411328G</w:t>
      </w:r>
      <w:r>
        <w:rPr>
          <w:rFonts w:hint="eastAsia" w:ascii="宋体" w:hAnsi="宋体"/>
          <w:color w:val="auto"/>
          <w:szCs w:val="21"/>
          <w:highlight w:val="none"/>
        </w:rPr>
        <w:t>；</w:t>
      </w:r>
    </w:p>
    <w:p w14:paraId="06ED7C77">
      <w:pPr>
        <w:keepNext w:val="0"/>
        <w:keepLines w:val="0"/>
        <w:pageBreakBefore w:val="0"/>
        <w:widowControl w:val="0"/>
        <w:tabs>
          <w:tab w:val="left" w:pos="900"/>
        </w:tabs>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宁波市精神病院医院陪护服务管理外包项目</w:t>
      </w:r>
      <w:r>
        <w:rPr>
          <w:rFonts w:hint="eastAsia" w:ascii="宋体" w:hAnsi="宋体"/>
          <w:color w:val="auto"/>
          <w:szCs w:val="21"/>
          <w:highlight w:val="none"/>
        </w:rPr>
        <w:t>；</w:t>
      </w:r>
    </w:p>
    <w:p w14:paraId="2B9F24CB">
      <w:pPr>
        <w:keepNext w:val="0"/>
        <w:keepLines w:val="0"/>
        <w:pageBreakBefore w:val="0"/>
        <w:widowControl w:val="0"/>
        <w:tabs>
          <w:tab w:val="left" w:pos="900"/>
        </w:tabs>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p>
    <w:p w14:paraId="4457C826">
      <w:pPr>
        <w:keepNext w:val="0"/>
        <w:keepLines w:val="0"/>
        <w:pageBreakBefore w:val="0"/>
        <w:widowControl w:val="0"/>
        <w:tabs>
          <w:tab w:val="left" w:pos="900"/>
        </w:tabs>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  年  月  日（规定的开标日期和时间）前不准启封；</w:t>
      </w:r>
    </w:p>
    <w:p w14:paraId="7218BE16">
      <w:pPr>
        <w:keepNext w:val="0"/>
        <w:keepLines w:val="0"/>
        <w:pageBreakBefore w:val="0"/>
        <w:widowControl w:val="0"/>
        <w:tabs>
          <w:tab w:val="left" w:pos="900"/>
        </w:tabs>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p>
    <w:p w14:paraId="7A8C6EF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w:t>
      </w:r>
    </w:p>
    <w:p w14:paraId="2CF4BEC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367B3372">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十一、投标文件的递交</w:t>
      </w:r>
    </w:p>
    <w:p w14:paraId="62BE436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1、投标文件递交的具体要求：</w:t>
      </w:r>
    </w:p>
    <w:p w14:paraId="1E428FA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供应商应当于提交投标文件截止时间前将电子投标文件上传到政府采购云平台（https://www.zcygov.cn/），并应于提交投标文件截止时间前，将以U盘或光盘存储的电子备份投标文件密封，采用现场递交或邮寄送达方式递交。</w:t>
      </w:r>
    </w:p>
    <w:p w14:paraId="7A83308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方式一：现场递交方式，供应商可安排一名授权代表在投标截止时间前将投标文件送至开标地点：宁波市国际招标有限公司开标大厅（</w:t>
      </w:r>
      <w:r>
        <w:rPr>
          <w:rFonts w:hint="eastAsia" w:ascii="宋体" w:hAnsi="宋体" w:cs="宋体"/>
          <w:color w:val="auto"/>
          <w:kern w:val="0"/>
          <w:szCs w:val="21"/>
          <w:highlight w:val="none"/>
          <w:lang w:val="en-US" w:eastAsia="zh-CN"/>
        </w:rPr>
        <w:t>二</w:t>
      </w:r>
      <w:r>
        <w:rPr>
          <w:rFonts w:hint="eastAsia" w:ascii="宋体" w:hAnsi="宋体" w:cs="宋体"/>
          <w:color w:val="auto"/>
          <w:kern w:val="0"/>
          <w:szCs w:val="21"/>
          <w:highlight w:val="none"/>
        </w:rPr>
        <w:t>）（宁波市江北区环城北路西段207弄19号世茂茂悦商业中心1号楼七楼招投标会议中心）。投标文件递交时须同时递交供应商的法定代表人（或其授权代表）联系方式，并保证投标期间联系方式畅通。</w:t>
      </w:r>
    </w:p>
    <w:p w14:paraId="731DB65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方式二：邮寄送达，送达地址：宁波市国际招标有限公司（宁波市江北区环城北路西段207弄19号世茂茂悦商业中心1号楼八楼015室），联系方式：</w:t>
      </w:r>
      <w:r>
        <w:rPr>
          <w:rFonts w:hint="eastAsia" w:ascii="宋体" w:hAnsi="宋体" w:cs="宋体"/>
          <w:color w:val="auto"/>
          <w:kern w:val="0"/>
          <w:szCs w:val="21"/>
          <w:highlight w:val="none"/>
          <w:lang w:eastAsia="zh-CN"/>
        </w:rPr>
        <w:t>陈裕栋</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13777052988</w:t>
      </w:r>
      <w:r>
        <w:rPr>
          <w:rFonts w:hint="eastAsia" w:ascii="宋体" w:hAnsi="宋体" w:cs="宋体"/>
          <w:color w:val="auto"/>
          <w:kern w:val="0"/>
          <w:szCs w:val="21"/>
          <w:highlight w:val="none"/>
        </w:rPr>
        <w:t>。供应商邮寄后须将邮件单号发送至代理机构电子邮箱（电子邮箱：</w:t>
      </w:r>
      <w:r>
        <w:rPr>
          <w:rFonts w:hint="eastAsia" w:ascii="宋体" w:hAnsi="宋体" w:cs="宋体"/>
          <w:color w:val="auto"/>
          <w:kern w:val="0"/>
          <w:szCs w:val="21"/>
          <w:highlight w:val="none"/>
          <w:lang w:val="en-US" w:eastAsia="zh-CN"/>
        </w:rPr>
        <w:t>363938688</w:t>
      </w:r>
      <w:r>
        <w:rPr>
          <w:rFonts w:hint="eastAsia" w:ascii="宋体" w:hAnsi="宋体" w:cs="宋体"/>
          <w:color w:val="auto"/>
          <w:kern w:val="0"/>
          <w:szCs w:val="21"/>
          <w:highlight w:val="none"/>
        </w:rPr>
        <w:t>@qq.com），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14:paraId="06045AC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w:t>
      </w:r>
      <w:r>
        <w:rPr>
          <w:rFonts w:hint="eastAsia" w:ascii="宋体" w:hAnsi="宋体" w:cs="宋体"/>
          <w:color w:val="auto"/>
          <w:kern w:val="0"/>
          <w:szCs w:val="21"/>
          <w:highlight w:val="none"/>
          <w:lang w:eastAsia="zh-CN"/>
        </w:rPr>
        <w:t>视为投标文件撤回</w:t>
      </w:r>
      <w:r>
        <w:rPr>
          <w:rFonts w:hint="eastAsia" w:ascii="宋体" w:hAnsi="宋体" w:cs="宋体"/>
          <w:color w:val="auto"/>
          <w:kern w:val="0"/>
          <w:szCs w:val="21"/>
          <w:highlight w:val="none"/>
        </w:rPr>
        <w:t>）。无论是否启用备份电子投标文件，备份电子投标文件均不退还供应商。若供应商在规定时间内无法解密或解密失败且未提供备份电子投标文件或所提供的备份电子投标文件无法读取的，视为投标文件撤回。</w:t>
      </w:r>
    </w:p>
    <w:p w14:paraId="6F1F97A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2、供应商未按上述要求密封的电子备份投标文件，代理机构不予受理。</w:t>
      </w:r>
    </w:p>
    <w:p w14:paraId="2E6ED24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olor w:val="auto"/>
          <w:szCs w:val="21"/>
          <w:highlight w:val="none"/>
        </w:rPr>
        <w:t>代理机构</w:t>
      </w:r>
      <w:r>
        <w:rPr>
          <w:rFonts w:ascii="宋体" w:hAnsi="宋体"/>
          <w:color w:val="auto"/>
          <w:szCs w:val="21"/>
          <w:highlight w:val="none"/>
        </w:rPr>
        <w:t>不予受理。</w:t>
      </w:r>
    </w:p>
    <w:p w14:paraId="710559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4、投标文件的补充、修改</w:t>
      </w:r>
    </w:p>
    <w:p w14:paraId="0F58119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投标截止时间前，供应商可以对递交的投标文件进行补充、修改，</w:t>
      </w:r>
      <w:r>
        <w:rPr>
          <w:rFonts w:hint="eastAsia"/>
          <w:color w:val="auto"/>
          <w:szCs w:val="21"/>
          <w:highlight w:val="none"/>
        </w:rPr>
        <w:t>补充、修改电子投标文件的，应当先行撤回原文件，补充、修改后重新上传，电子备份投标文件也应重新制作。</w:t>
      </w:r>
    </w:p>
    <w:p w14:paraId="57FD3B47">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十二、开标</w:t>
      </w:r>
    </w:p>
    <w:p w14:paraId="3645CE5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代理机构在招标文件规定的时间和地点在公开开标（或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14:paraId="3223B31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、电子投标开标及评审程序：一阶段开标。</w:t>
      </w:r>
    </w:p>
    <w:p w14:paraId="7A3544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（1）宣布开标；</w:t>
      </w:r>
    </w:p>
    <w:p w14:paraId="65D6CFA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00C8017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（3）以下流程针对到达开标现场的供应商（未到现场供应商按政采云流程参与网上开标）</w:t>
      </w:r>
    </w:p>
    <w:p w14:paraId="2AA72DE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3.1介绍开标现场的人员情况；</w:t>
      </w:r>
    </w:p>
    <w:p w14:paraId="5FA8675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3.2宣读递交投标文件的供应商名单、开标纪律、应当回避的情形等注意事项；</w:t>
      </w:r>
    </w:p>
    <w:p w14:paraId="44427A0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3.3供应商签署不存在影响公平竞争的《政府采购活动现场确认声明书》；</w:t>
      </w:r>
    </w:p>
    <w:p w14:paraId="129CEC7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（4）在政府采购云平台开启供应商解密后的“资格文件”、“商务和技术文件”、“报价文件”，宣读供应商名称、报价文件中“开标一览表”内容，以及采购人认为必要的其他内容与记录，并做开标记录；</w:t>
      </w:r>
    </w:p>
    <w:p w14:paraId="695253A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（5）开标记录在政采云网站确认；</w:t>
      </w:r>
    </w:p>
    <w:p w14:paraId="5280367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（6）开标结束。休会，评标委员会对“资格文件”、“商务和技术文件”、“报价文件”进行评审；</w:t>
      </w:r>
    </w:p>
    <w:p w14:paraId="51A41F3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（7）在政府采购云平台公布中标候选人名单及采购人最终确定中标供应商名单的时间和公告方式等。</w:t>
      </w:r>
    </w:p>
    <w:p w14:paraId="369B6CA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3、特别说明：政府采购云平台如对电子化开标及评审程序有调整的，按调整后的程序操作。</w:t>
      </w:r>
    </w:p>
    <w:p w14:paraId="401B568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本项目原则上采用政采云电子投标开标及评审程序，但有下情形之一的，按以下情况处理：</w:t>
      </w:r>
    </w:p>
    <w:p w14:paraId="254C11F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（1）若供应商在规定时间内无法解密或解密失败，代理机构将开启上述供应商递交的以U盘存储的电子备份投标文件，上传至政采云平台项目采购模块，以完成开标，电子投标文件自动失效。</w:t>
      </w:r>
    </w:p>
    <w:p w14:paraId="6CF7465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（2）采购过程中出现以下情形，导致电子交易平台无法正常运行，或者无法保证电子交易的公平、公正和安全时，采购人（或代理机构）可中止电子交易活动：</w:t>
      </w:r>
    </w:p>
    <w:p w14:paraId="01D8AF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2.1电子交易平台发生故障而无法登录访问的；</w:t>
      </w:r>
    </w:p>
    <w:p w14:paraId="62E62C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2.2电子交易平台应用或数据库出现错误，不能进行正常操作的；</w:t>
      </w:r>
    </w:p>
    <w:p w14:paraId="32D54BF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2.3电子交易平台发现严重安全漏洞，有潜在泄密危险的；</w:t>
      </w:r>
    </w:p>
    <w:p w14:paraId="4494170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 xml:space="preserve">2.4病毒发作导致不能进行正常操作的； </w:t>
      </w:r>
    </w:p>
    <w:p w14:paraId="5194C91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2.5其他无法保证电子交易的公平、公正和安全的情况。</w:t>
      </w:r>
    </w:p>
    <w:p w14:paraId="4EA6EDD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14:paraId="72B2DB47">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十三、评标</w:t>
      </w:r>
    </w:p>
    <w:p w14:paraId="4DEAC39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14:paraId="5C2209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1E4FE5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、评标委员会按照第五章“评标办法及标准”对投标文件进行评审。第五章“评标办法及标准”没有规定的方法、评审因素和标准，不作为评标依据。</w:t>
      </w:r>
    </w:p>
    <w:p w14:paraId="516B7EFD">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十四、招标文件的澄清和修改</w:t>
      </w:r>
    </w:p>
    <w:p w14:paraId="6011CC1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0C4996C6">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十五、质疑与投诉</w:t>
      </w:r>
    </w:p>
    <w:p w14:paraId="78A95EB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549DDF36">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7A78A1C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w:t>
      </w:r>
      <w:r>
        <w:rPr>
          <w:rFonts w:hint="eastAsia"/>
          <w:color w:val="auto"/>
          <w:szCs w:val="21"/>
          <w:highlight w:val="none"/>
        </w:rPr>
        <w:t>投诉书范本》</w:t>
      </w:r>
      <w:r>
        <w:rPr>
          <w:rFonts w:hint="eastAsia" w:ascii="宋体" w:hAnsi="宋体"/>
          <w:color w:val="auto"/>
          <w:szCs w:val="21"/>
          <w:highlight w:val="none"/>
        </w:rPr>
        <w:t>要求，供应商可到中国政府采购网自行下载财政部《质疑函范本》、《</w:t>
      </w:r>
      <w:r>
        <w:rPr>
          <w:rFonts w:hint="eastAsia"/>
          <w:color w:val="auto"/>
          <w:szCs w:val="21"/>
          <w:highlight w:val="none"/>
        </w:rPr>
        <w:t>投诉书范本》</w:t>
      </w:r>
      <w:r>
        <w:rPr>
          <w:rFonts w:hint="eastAsia" w:ascii="宋体" w:hAnsi="宋体"/>
          <w:color w:val="auto"/>
          <w:szCs w:val="21"/>
          <w:highlight w:val="none"/>
        </w:rPr>
        <w:t>。</w:t>
      </w:r>
    </w:p>
    <w:p w14:paraId="35C6A75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1F5BABC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、采购人、代理机构接收质疑函的方式：只接收供应商以当面递交、邮寄、传真或电子邮件方式提出的质疑函，以其他方式提出的质疑不予接收。</w:t>
      </w:r>
    </w:p>
    <w:p w14:paraId="165BA08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14:paraId="59809B1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6987DB43">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14:paraId="71707C9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、采购人、代理机构接收质疑函的联系人、联系电话和通讯地址等信息详见采购公告。</w:t>
      </w:r>
    </w:p>
    <w:p w14:paraId="40203046">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hint="default" w:ascii="宋体" w:hAnsi="宋体" w:eastAsia="宋体"/>
          <w:color w:val="auto"/>
          <w:szCs w:val="21"/>
          <w:highlight w:val="none"/>
          <w:lang w:val="en-US" w:eastAsia="zh-CN"/>
        </w:rPr>
      </w:pPr>
      <w:r>
        <w:rPr>
          <w:rFonts w:hint="eastAsia" w:ascii="宋体" w:hAnsi="宋体"/>
          <w:b/>
          <w:color w:val="auto"/>
          <w:szCs w:val="21"/>
          <w:highlight w:val="none"/>
          <w:lang w:eastAsia="zh-CN"/>
        </w:rPr>
        <w:t>★</w:t>
      </w:r>
      <w:r>
        <w:rPr>
          <w:rFonts w:hint="eastAsia" w:ascii="宋体" w:hAnsi="宋体"/>
          <w:b/>
          <w:color w:val="auto"/>
          <w:szCs w:val="21"/>
          <w:highlight w:val="none"/>
        </w:rPr>
        <w:t>十六、预算金额</w:t>
      </w:r>
      <w:r>
        <w:rPr>
          <w:rFonts w:hint="eastAsia" w:ascii="宋体" w:hAnsi="宋体"/>
          <w:b/>
          <w:color w:val="auto"/>
          <w:szCs w:val="21"/>
          <w:highlight w:val="none"/>
          <w:lang w:val="en-US" w:eastAsia="zh-CN"/>
        </w:rPr>
        <w:t>及最高限价</w:t>
      </w:r>
    </w:p>
    <w:p w14:paraId="7C3B7AAA">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bCs/>
          <w:color w:val="auto"/>
          <w:szCs w:val="21"/>
          <w:highlight w:val="none"/>
        </w:rPr>
      </w:pPr>
      <w:bookmarkStart w:id="4" w:name="_Hlk37142004"/>
      <w:r>
        <w:rPr>
          <w:rFonts w:ascii="宋体" w:hAnsi="宋体"/>
          <w:b/>
          <w:bCs/>
          <w:color w:val="auto"/>
          <w:szCs w:val="21"/>
          <w:highlight w:val="none"/>
        </w:rPr>
        <w:t>1</w:t>
      </w:r>
      <w:r>
        <w:rPr>
          <w:rFonts w:hint="eastAsia" w:ascii="宋体" w:hAnsi="宋体"/>
          <w:b/>
          <w:bCs/>
          <w:color w:val="auto"/>
          <w:szCs w:val="21"/>
          <w:highlight w:val="none"/>
        </w:rPr>
        <w:t>、本次公开招标设有预算</w:t>
      </w:r>
      <w:r>
        <w:rPr>
          <w:rFonts w:hint="eastAsia" w:ascii="宋体" w:hAnsi="宋体"/>
          <w:b/>
          <w:color w:val="auto"/>
          <w:szCs w:val="21"/>
          <w:highlight w:val="none"/>
        </w:rPr>
        <w:t>金额</w:t>
      </w:r>
      <w:r>
        <w:rPr>
          <w:rFonts w:hint="eastAsia" w:ascii="宋体" w:hAnsi="宋体"/>
          <w:b/>
          <w:color w:val="auto"/>
          <w:szCs w:val="21"/>
          <w:highlight w:val="none"/>
          <w:lang w:val="en-US" w:eastAsia="zh-CN"/>
        </w:rPr>
        <w:t>及最高限价</w:t>
      </w:r>
      <w:r>
        <w:rPr>
          <w:rFonts w:hint="eastAsia" w:ascii="宋体" w:hAnsi="宋体"/>
          <w:b/>
          <w:bCs/>
          <w:color w:val="auto"/>
          <w:szCs w:val="21"/>
          <w:highlight w:val="none"/>
          <w:lang w:eastAsia="zh-CN"/>
        </w:rPr>
        <w:t>240.00万元/年</w:t>
      </w:r>
      <w:r>
        <w:rPr>
          <w:rFonts w:hint="eastAsia" w:ascii="宋体" w:hAnsi="宋体"/>
          <w:b/>
          <w:bCs/>
          <w:color w:val="auto"/>
          <w:szCs w:val="21"/>
          <w:highlight w:val="none"/>
        </w:rPr>
        <w:t>；投标报价超出</w:t>
      </w:r>
      <w:r>
        <w:rPr>
          <w:rFonts w:hint="eastAsia" w:ascii="宋体" w:hAnsi="宋体"/>
          <w:b/>
          <w:bCs/>
          <w:color w:val="auto"/>
          <w:szCs w:val="21"/>
          <w:highlight w:val="none"/>
          <w:lang w:val="en-US" w:eastAsia="zh-CN"/>
        </w:rPr>
        <w:t>最高限价</w:t>
      </w:r>
      <w:r>
        <w:rPr>
          <w:rFonts w:hint="eastAsia" w:ascii="宋体" w:hAnsi="宋体"/>
          <w:b/>
          <w:bCs/>
          <w:color w:val="auto"/>
          <w:szCs w:val="21"/>
          <w:highlight w:val="none"/>
        </w:rPr>
        <w:t>的投标无效。</w:t>
      </w:r>
    </w:p>
    <w:p w14:paraId="2B0C67BE">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十七、招标代理服务费</w:t>
      </w:r>
    </w:p>
    <w:p w14:paraId="2C03B0AE">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1、本采购代理机构参照国家发改委发改办价格[2003]857号通知和原国家计委计价格[2002]1980号文件规定的招标代理服务收费标准，按照中标通知书确定的中标总金额</w:t>
      </w:r>
      <w:r>
        <w:rPr>
          <w:rFonts w:hint="eastAsia" w:ascii="宋体" w:hAnsi="宋体"/>
          <w:b/>
          <w:bCs/>
          <w:color w:val="auto"/>
          <w:szCs w:val="21"/>
          <w:highlight w:val="none"/>
          <w:lang w:val="en-US" w:eastAsia="zh-CN"/>
        </w:rPr>
        <w:t>下浮20%</w:t>
      </w:r>
      <w:r>
        <w:rPr>
          <w:rFonts w:hint="eastAsia" w:ascii="宋体" w:hAnsi="宋体"/>
          <w:b/>
          <w:bCs/>
          <w:color w:val="auto"/>
          <w:szCs w:val="21"/>
          <w:highlight w:val="none"/>
        </w:rPr>
        <w:t>，向中标供应商收取招标服务费。</w:t>
      </w:r>
    </w:p>
    <w:p w14:paraId="2F19E6D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2、中标供应商应在代理机构发出中标通知书5个工作日内向本代理机构支付招标代理服务费。</w:t>
      </w:r>
    </w:p>
    <w:p w14:paraId="2C0E7E6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3、招标代理服务费收取银行票汇款、电汇款。</w:t>
      </w:r>
    </w:p>
    <w:p w14:paraId="2084D27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账户名称：宁波市国际招标有限公司</w:t>
      </w:r>
    </w:p>
    <w:p w14:paraId="2658F56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开户银行：上海浦东发展银行宁波分行江北支行</w:t>
      </w:r>
    </w:p>
    <w:p w14:paraId="18ED9E3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银行账号：94090154800000191</w:t>
      </w:r>
    </w:p>
    <w:bookmarkEnd w:id="4"/>
    <w:p w14:paraId="095B0B4B">
      <w:pPr>
        <w:keepNext w:val="0"/>
        <w:keepLines w:val="0"/>
        <w:pageBreakBefore w:val="0"/>
        <w:widowControl w:val="0"/>
        <w:kinsoku/>
        <w:wordWrap/>
        <w:overflowPunct/>
        <w:topLinePunct w:val="0"/>
        <w:autoSpaceDE/>
        <w:autoSpaceDN/>
        <w:bidi w:val="0"/>
        <w:adjustRightInd/>
        <w:spacing w:line="44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十八、特别说明</w:t>
      </w:r>
    </w:p>
    <w:p w14:paraId="31E59C9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1、本项目执行财政部、工业和信息化部《政府采购促进中小企业发展管理办法》。政府采购活动中有关中小企业的相关规定如下：</w:t>
      </w:r>
    </w:p>
    <w:p w14:paraId="3939FC7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1.1参加政府采购活动的中小企业（含中型、小型、微型企业，其他地方同）应当同时符合以下条件：</w:t>
      </w:r>
    </w:p>
    <w:p w14:paraId="65D761E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1.1.1中小企业，是指在中华人民共和国境内依法设立，依据国务院批准的中小企业划分标准确定的中型企业、小型企业和微型企业，但与大企业的负责人为同一人，或者与大企业存在直接控股、管理关系的除外。</w:t>
      </w:r>
    </w:p>
    <w:p w14:paraId="05C2595B">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20447DB0">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1.1.2在政府采购活动中，供应商提供的货物、工程或者服务符合下列情形的，享受本办法规定的中小企业扶持政策：</w:t>
      </w:r>
    </w:p>
    <w:p w14:paraId="1C7B98B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（1）在货物采购项目中，货物由中小企业制造，即货物由中小企业生产且使用该中小企业商号或者注册商标；</w:t>
      </w:r>
    </w:p>
    <w:p w14:paraId="2215235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（2）在工程采购项目中，工程由中小企业承建，即工程施工单位为中小企业；</w:t>
      </w:r>
    </w:p>
    <w:p w14:paraId="2CC6C2D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 xml:space="preserve">（3）在服务采购项目中，服务由中小企业承接，即提供服务的人员为中小企业依照《中华人民共和国劳动合同法》订立劳动合同的从业人员。 </w:t>
      </w:r>
    </w:p>
    <w:p w14:paraId="0ECF7A99">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在货物采购项目中，供应商提供的货物既有中小企业制造货物，也有大型企业制造货物的，不享受本办法规定的中小企业扶持政策。</w:t>
      </w:r>
    </w:p>
    <w:p w14:paraId="6B672EEB">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749B818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1.2中小企业参加政府采购活动，应当出具本文件规定的《中小企业声明函》，否则不得享受相关中小企业扶持政策。</w:t>
      </w:r>
    </w:p>
    <w:p w14:paraId="69F6C74D">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1.3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BD4310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583A642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4B24A92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1.4 参加政府采购活动的中小企业应当提供《中小企业声明函》（格式见本招标文件附件）。</w:t>
      </w:r>
    </w:p>
    <w:p w14:paraId="54F33E7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ascii="宋体" w:hAnsi="宋体"/>
          <w:color w:val="auto"/>
          <w:szCs w:val="21"/>
          <w:highlight w:val="none"/>
        </w:rPr>
      </w:pPr>
      <w:r>
        <w:rPr>
          <w:rFonts w:hint="eastAsia" w:ascii="宋体" w:hAnsi="宋体"/>
          <w:color w:val="auto"/>
          <w:szCs w:val="21"/>
          <w:highlight w:val="none"/>
        </w:rPr>
        <w:t>1.5《中小企业声明函》由参加投标的供应商提交，如供应商为代理商，须自行采集制造商的中小企业划分类型信息填入相应栏目并对其真实性负责。</w:t>
      </w:r>
    </w:p>
    <w:p w14:paraId="5B1B64A1">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ascii="宋体" w:hAnsi="宋体"/>
          <w:color w:val="auto"/>
          <w:szCs w:val="21"/>
          <w:highlight w:val="none"/>
        </w:rPr>
      </w:pPr>
      <w:bookmarkStart w:id="5" w:name="_Toc21541015"/>
      <w:bookmarkStart w:id="6" w:name="_Toc495244277"/>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
      <w:bookmarkEnd w:id="6"/>
    </w:p>
    <w:p w14:paraId="6045EB6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ascii="宋体" w:hAnsi="宋体"/>
          <w:color w:val="auto"/>
          <w:szCs w:val="21"/>
          <w:highlight w:val="none"/>
        </w:rPr>
      </w:pPr>
      <w:bookmarkStart w:id="7"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7"/>
    </w:p>
    <w:p w14:paraId="2FFFCAD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ascii="宋体" w:hAnsi="宋体"/>
          <w:color w:val="auto"/>
          <w:szCs w:val="21"/>
          <w:highlight w:val="none"/>
        </w:rPr>
      </w:pPr>
      <w:bookmarkStart w:id="8" w:name="_Toc21541017"/>
      <w:bookmarkStart w:id="9"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8"/>
    </w:p>
    <w:p w14:paraId="709FAFA6">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ascii="宋体" w:hAnsi="宋体"/>
          <w:color w:val="auto"/>
          <w:szCs w:val="21"/>
          <w:highlight w:val="none"/>
        </w:rPr>
      </w:pPr>
      <w:bookmarkStart w:id="10" w:name="_Toc21541018"/>
      <w:r>
        <w:rPr>
          <w:rFonts w:ascii="宋体" w:hAnsi="宋体"/>
          <w:color w:val="auto"/>
          <w:szCs w:val="21"/>
          <w:highlight w:val="none"/>
        </w:rPr>
        <w:t>5</w:t>
      </w:r>
      <w:r>
        <w:rPr>
          <w:rFonts w:hint="eastAsia" w:ascii="宋体" w:hAnsi="宋体"/>
          <w:color w:val="auto"/>
          <w:szCs w:val="21"/>
          <w:highlight w:val="none"/>
        </w:rPr>
        <w:t>、本文件未及事项，在签订合同时供需及使用方友好商定。</w:t>
      </w:r>
      <w:bookmarkEnd w:id="9"/>
      <w:bookmarkEnd w:id="10"/>
    </w:p>
    <w:p w14:paraId="42DFF63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0"/>
        <w:rPr>
          <w:rFonts w:ascii="宋体" w:hAnsi="宋体"/>
          <w:color w:val="auto"/>
          <w:szCs w:val="21"/>
          <w:highlight w:val="none"/>
        </w:rPr>
      </w:pPr>
      <w:bookmarkStart w:id="11" w:name="_Toc419729159"/>
      <w:r>
        <w:rPr>
          <w:rFonts w:ascii="宋体" w:hAnsi="宋体"/>
          <w:color w:val="auto"/>
          <w:szCs w:val="21"/>
          <w:highlight w:val="none"/>
        </w:rPr>
        <w:t>6</w:t>
      </w:r>
      <w:r>
        <w:rPr>
          <w:rFonts w:hint="eastAsia" w:ascii="宋体" w:hAnsi="宋体"/>
          <w:color w:val="auto"/>
          <w:szCs w:val="21"/>
          <w:highlight w:val="none"/>
        </w:rPr>
        <w:t>、本招标文件解释权归采购人。</w:t>
      </w:r>
      <w:bookmarkEnd w:id="11"/>
    </w:p>
    <w:p w14:paraId="728E04B9">
      <w:pPr>
        <w:spacing w:line="400" w:lineRule="exact"/>
        <w:rPr>
          <w:rFonts w:ascii="宋体" w:hAnsi="宋体"/>
          <w:color w:val="auto"/>
          <w:szCs w:val="21"/>
          <w:highlight w:val="none"/>
        </w:rPr>
      </w:pPr>
    </w:p>
    <w:p w14:paraId="5280BC27">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br w:type="page"/>
      </w:r>
      <w:bookmarkStart w:id="12" w:name="_Toc44162152"/>
      <w:r>
        <w:rPr>
          <w:rFonts w:hint="eastAsia" w:ascii="宋体" w:hAnsi="宋体"/>
          <w:b/>
          <w:color w:val="auto"/>
          <w:sz w:val="32"/>
          <w:highlight w:val="none"/>
        </w:rPr>
        <w:t>第三章  招标内容与技术需求</w:t>
      </w:r>
      <w:bookmarkEnd w:id="12"/>
    </w:p>
    <w:p w14:paraId="4E390DB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b/>
          <w:bCs/>
          <w:color w:val="auto"/>
          <w:szCs w:val="21"/>
          <w:highlight w:val="none"/>
        </w:rPr>
      </w:pPr>
      <w:bookmarkStart w:id="13" w:name="_Toc44162153"/>
      <w:r>
        <w:rPr>
          <w:rFonts w:hint="eastAsia" w:ascii="宋体" w:hAnsi="宋体" w:cs="宋体"/>
          <w:b/>
          <w:bCs/>
          <w:color w:val="auto"/>
          <w:szCs w:val="21"/>
          <w:highlight w:val="none"/>
        </w:rPr>
        <w:t>一、服务需求</w:t>
      </w:r>
    </w:p>
    <w:p w14:paraId="07BD7F2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cs="宋体"/>
          <w:b/>
          <w:bCs/>
          <w:color w:val="auto"/>
          <w:highlight w:val="none"/>
          <w:lang w:val="en-US" w:eastAsia="zh-CN"/>
        </w:rPr>
        <w:t>（1）</w:t>
      </w:r>
      <w:r>
        <w:rPr>
          <w:rFonts w:hint="eastAsia" w:ascii="宋体" w:hAnsi="宋体" w:cs="宋体"/>
          <w:b/>
          <w:bCs/>
          <w:color w:val="auto"/>
          <w:highlight w:val="none"/>
          <w:lang w:eastAsia="zh-CN"/>
        </w:rPr>
        <w:t>陪护</w:t>
      </w:r>
      <w:r>
        <w:rPr>
          <w:rFonts w:hint="eastAsia" w:ascii="宋体" w:hAnsi="宋体" w:eastAsia="宋体" w:cs="宋体"/>
          <w:b/>
          <w:bCs/>
          <w:color w:val="auto"/>
          <w:highlight w:val="none"/>
        </w:rPr>
        <w:t>服务范围：在所管辖服务病区内服从医院安排，在护士长和注册护士指导下对住院病患开展生活陪护照料等采购人合理化需求</w:t>
      </w:r>
      <w:r>
        <w:rPr>
          <w:rFonts w:hint="eastAsia" w:ascii="宋体" w:hAnsi="宋体" w:cs="宋体"/>
          <w:b/>
          <w:bCs/>
          <w:color w:val="auto"/>
          <w:highlight w:val="none"/>
          <w:lang w:eastAsia="zh-CN"/>
        </w:rPr>
        <w:t>。</w:t>
      </w:r>
    </w:p>
    <w:p w14:paraId="03CF935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陪护</w:t>
      </w:r>
      <w:r>
        <w:rPr>
          <w:rFonts w:hint="eastAsia" w:ascii="宋体" w:hAnsi="宋体" w:eastAsia="宋体" w:cs="宋体"/>
          <w:b/>
          <w:bCs/>
          <w:color w:val="auto"/>
          <w:highlight w:val="none"/>
        </w:rPr>
        <w:t>人数：</w:t>
      </w:r>
      <w:r>
        <w:rPr>
          <w:rFonts w:hint="eastAsia" w:ascii="宋体" w:hAnsi="宋体" w:cs="宋体"/>
          <w:b/>
          <w:bCs/>
          <w:color w:val="auto"/>
          <w:highlight w:val="none"/>
          <w:lang w:val="en-US" w:eastAsia="zh-CN"/>
        </w:rPr>
        <w:t>本项目拟投入陪护人数不得少于</w:t>
      </w:r>
      <w:r>
        <w:rPr>
          <w:rFonts w:hint="eastAsia" w:ascii="宋体" w:hAnsi="宋体" w:cs="宋体"/>
          <w:b/>
          <w:bCs/>
          <w:color w:val="auto"/>
          <w:highlight w:val="none"/>
          <w:u w:val="single"/>
          <w:lang w:val="en-US" w:eastAsia="zh-CN"/>
        </w:rPr>
        <w:t>40人</w:t>
      </w:r>
      <w:r>
        <w:rPr>
          <w:rFonts w:hint="eastAsia" w:ascii="宋体" w:hAnsi="宋体" w:eastAsia="宋体" w:cs="宋体"/>
          <w:color w:val="auto"/>
          <w:highlight w:val="none"/>
        </w:rPr>
        <w:t>。</w:t>
      </w:r>
    </w:p>
    <w:p w14:paraId="575D139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陪护服务要求：</w:t>
      </w:r>
    </w:p>
    <w:p w14:paraId="4E5C96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1.陪护人员须具有相应</w:t>
      </w:r>
      <w:r>
        <w:rPr>
          <w:rFonts w:hint="eastAsia" w:ascii="宋体" w:hAnsi="宋体" w:cs="宋体"/>
          <w:color w:val="auto"/>
          <w:highlight w:val="none"/>
          <w:lang w:val="zh-CN"/>
        </w:rPr>
        <w:t>陪护</w:t>
      </w:r>
      <w:r>
        <w:rPr>
          <w:rFonts w:hint="eastAsia" w:ascii="宋体" w:hAnsi="宋体" w:eastAsia="宋体" w:cs="宋体"/>
          <w:color w:val="auto"/>
          <w:highlight w:val="none"/>
          <w:lang w:val="zh-CN"/>
        </w:rPr>
        <w:t>能力，陪护期间遵守医院各项规章制度，服从管理；</w:t>
      </w:r>
    </w:p>
    <w:p w14:paraId="358516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2.陪护公司建立陪护人员档案，并提交一份至医院备案。</w:t>
      </w:r>
    </w:p>
    <w:p w14:paraId="5D0B73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3.陪护公司应建立培训制度，组织岗前培训和在职岗位培训，陪护人员考核合格后才能上岗；</w:t>
      </w:r>
    </w:p>
    <w:p w14:paraId="52AA05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4.陪护公司应对陪护人员统一服装管理；</w:t>
      </w:r>
    </w:p>
    <w:p w14:paraId="5AEFCD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5.陪护公司不得以医院名义开展诱导性宣传；</w:t>
      </w:r>
    </w:p>
    <w:p w14:paraId="471A5D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6.不得代替护士开展</w:t>
      </w:r>
      <w:r>
        <w:rPr>
          <w:rFonts w:hint="eastAsia" w:ascii="宋体" w:hAnsi="宋体" w:cs="宋体"/>
          <w:color w:val="auto"/>
          <w:highlight w:val="none"/>
          <w:lang w:val="zh-CN"/>
        </w:rPr>
        <w:t>陪护</w:t>
      </w:r>
      <w:r>
        <w:rPr>
          <w:rFonts w:hint="eastAsia" w:ascii="宋体" w:hAnsi="宋体" w:eastAsia="宋体" w:cs="宋体"/>
          <w:color w:val="auto"/>
          <w:highlight w:val="none"/>
          <w:lang w:val="zh-CN"/>
        </w:rPr>
        <w:t>技术性工作，陪护员在工作中应虚心接受医护人员的技术指导和质量监督，陪护员无权解释病情。</w:t>
      </w:r>
    </w:p>
    <w:p w14:paraId="451EEA6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7.陪护人员无传染性疾病和心理性疾病，具有能胜任陪护服务工作需求的健康体质，工作中严格遵守规章制度，保护服务对象隐私，如因健康原因或泄露患者隐私等原因造成纠纷，由中标人负责。</w:t>
      </w:r>
    </w:p>
    <w:p w14:paraId="11FC8CD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8.陪护人员陪护期间不得与医护人员发生争执，不得向服务对象评价医护人员的医疗行为；不得与服务对象发生争执，如因陪护人员言语不当引发医疗纠纷或意外，陪护公司应积极配合做好纠纷处置工作，并由中标人承担法律责任和经济赔偿，采购人不承担连带责任。</w:t>
      </w:r>
    </w:p>
    <w:p w14:paraId="686E4E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9.因护工的工作造成的病人跌伤、走失或其它严重伤害以及陪护自身的伤害、损失等，由中标人承担法律责任和经济赔偿，采购人不承担连带责任。</w:t>
      </w:r>
    </w:p>
    <w:p w14:paraId="4978C8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陪护人员人为损坏或偷窃采购人或服务对象的物品，由中标人承担赔偿责任。陪护人员如在陪护职责范围内违规、失职、泄露服务对象隐私，造成服务对象意外伤害、信息泄露、纠纷或造成重大医疗事故的，由中标人承担法律责任和经济赔偿，并追究相关陪护人员民事责任，采购人不承担连带责任。</w:t>
      </w:r>
    </w:p>
    <w:p w14:paraId="752181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11.不准私自接工作或接受他人工作，服从医院分配。</w:t>
      </w:r>
    </w:p>
    <w:p w14:paraId="022CD1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12.陪护员每接受新的服务对象时，一定要向当班护士了解服务对象禁忌及注意事项。</w:t>
      </w:r>
    </w:p>
    <w:p w14:paraId="089E4B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13.不得在白天上班时间干私活、睡觉，不得在病房抽烟、饮酒、下棋、打牌，不得坐、卧在病床上，不得大声喧哗，影响服务对象休息。</w:t>
      </w:r>
    </w:p>
    <w:p w14:paraId="725724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14.不得在病房接待自己的客人、串门、煮食，不得随便吃、拿服务对象的食物和使用服务对象及医院的用品，不准在服务对象的床上睡觉。</w:t>
      </w:r>
    </w:p>
    <w:p w14:paraId="2D214E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15.坚守岗位，工作期间不得擅离职守，如遇特殊情况，需经中标人管理人员同意。</w:t>
      </w:r>
    </w:p>
    <w:p w14:paraId="4A6B3B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16.爱护公物，节约水电，严禁开空调同时开门窗，损坏公物要赔偿。</w:t>
      </w:r>
    </w:p>
    <w:p w14:paraId="6C0A92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17.严禁交叉使用患者的个人用品。</w:t>
      </w:r>
    </w:p>
    <w:p w14:paraId="307595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18.医生查房时，陪护员应及时通报服务对象的休息和生活情况。密切注意服务对象病情变化，并及时向当班护士反映服务对象的病情变化。</w:t>
      </w:r>
    </w:p>
    <w:p w14:paraId="0FFF7A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19.中标人自雇工作人员，必须遵守劳动法规及有关用工规定，与陪护人员签订劳动合同。中标人陪护人员与医院无任何劳动用工和雇佣关系，陪护人员收入及工资福利由中标人与陪护人员协商确定，中标人与陪护人员之间的争议纠纷与医院无关。</w:t>
      </w:r>
    </w:p>
    <w:p w14:paraId="7B330C9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20.中标人安排在院方的所有陪护人员必须遵纪守法不得从事非法活动。如有不熟悉操作或工作态度差的陪护人员，医院有权要求中标人辞退、更换。</w:t>
      </w:r>
    </w:p>
    <w:p w14:paraId="5BEB5B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21.不准向服务对象收取小费、食物或其他物品，中标人及陪护人员不得私自同服务对象讲价钱，提要求。</w:t>
      </w:r>
    </w:p>
    <w:p w14:paraId="52DF16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22.若中标人在工作中出现特别严重问题或违反相关法律法规，造成采购人经济损失、影响采购人社会形象，中标人应承担相应违约责任，且采购人有权终止中标人提供陪护服务。</w:t>
      </w:r>
    </w:p>
    <w:p w14:paraId="7D7937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23.服务质量要求：保持病床整洁、服务对象无投诉；</w:t>
      </w:r>
    </w:p>
    <w:p w14:paraId="66F7C6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24.其他要求：</w:t>
      </w:r>
    </w:p>
    <w:p w14:paraId="22DBFA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24.1对待服务对象如亲人，态度诚恳、举止稳重、同情、关心和体贴服务对象，做到：（解释耐心、听取意见虚心），不出现冷、硬、顶、推现象。尽量满足患者需要，工作期间做到无投诉。</w:t>
      </w:r>
    </w:p>
    <w:p w14:paraId="429D2F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24.2严格执行遵守采购人各项规章制度、安全制度。</w:t>
      </w:r>
    </w:p>
    <w:p w14:paraId="7E2D485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其他说明</w:t>
      </w:r>
    </w:p>
    <w:p w14:paraId="7A4D06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1、人员配备：需满足采购人需求；为确保陪护服务质量，单个陪护人员服务对象（床位数量）上限为</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zh-CN"/>
        </w:rPr>
        <w:t>4</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lang w:val="zh-CN"/>
        </w:rPr>
        <w:t>人；</w:t>
      </w:r>
    </w:p>
    <w:p w14:paraId="278352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2、如采购人在所管辖服务病区外有陪护需求，中标人须积极予以配合；服务单价由采购人和中标人按不超过市场价的基础上另行协商确定；</w:t>
      </w:r>
    </w:p>
    <w:p w14:paraId="26EBD8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w:t>
      </w:r>
      <w:r>
        <w:rPr>
          <w:rFonts w:hint="eastAsia" w:ascii="宋体" w:hAnsi="宋体" w:cs="宋体"/>
          <w:b w:val="0"/>
          <w:bCs w:val="0"/>
          <w:color w:val="auto"/>
          <w:kern w:val="0"/>
          <w:sz w:val="21"/>
          <w:szCs w:val="21"/>
          <w:highlight w:val="none"/>
          <w:lang w:val="zh-CN"/>
        </w:rPr>
        <w:t>陪护装备、耗材的使用：</w:t>
      </w:r>
      <w:r>
        <w:rPr>
          <w:rFonts w:hint="eastAsia" w:ascii="宋体" w:hAnsi="宋体" w:cs="宋体"/>
          <w:b w:val="0"/>
          <w:bCs w:val="0"/>
          <w:color w:val="auto"/>
          <w:sz w:val="21"/>
          <w:szCs w:val="21"/>
          <w:highlight w:val="none"/>
        </w:rPr>
        <w:t>用于服务对象陪护服务所需低值易耗品、清洁用品、用具、设备器材等由</w:t>
      </w:r>
      <w:r>
        <w:rPr>
          <w:rFonts w:hint="eastAsia" w:ascii="宋体" w:hAnsi="宋体" w:eastAsia="宋体" w:cs="宋体"/>
          <w:b w:val="0"/>
          <w:bCs w:val="0"/>
          <w:color w:val="auto"/>
          <w:highlight w:val="none"/>
          <w:lang w:val="zh-CN"/>
        </w:rPr>
        <w:t>中标人</w:t>
      </w:r>
      <w:r>
        <w:rPr>
          <w:rFonts w:hint="eastAsia" w:ascii="宋体" w:hAnsi="宋体" w:cs="宋体"/>
          <w:b w:val="0"/>
          <w:bCs w:val="0"/>
          <w:color w:val="auto"/>
          <w:sz w:val="21"/>
          <w:szCs w:val="21"/>
          <w:highlight w:val="none"/>
        </w:rPr>
        <w:t>承担。</w:t>
      </w:r>
    </w:p>
    <w:p w14:paraId="034AA8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三、考核细则</w:t>
      </w:r>
    </w:p>
    <w:p w14:paraId="0852EB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中标人必须按招标文件要求提供优质的服务，并接受招标人的考核和奖惩。管理工作的考核严格按照《</w:t>
      </w:r>
      <w:r>
        <w:rPr>
          <w:rFonts w:hint="eastAsia" w:ascii="宋体" w:hAnsi="宋体" w:cs="宋体"/>
          <w:color w:val="auto"/>
          <w:highlight w:val="none"/>
          <w:lang w:val="en-US" w:eastAsia="zh-CN"/>
        </w:rPr>
        <w:t>附表2：陪护</w:t>
      </w:r>
      <w:r>
        <w:rPr>
          <w:rFonts w:hint="eastAsia" w:ascii="宋体" w:hAnsi="宋体" w:eastAsia="宋体" w:cs="宋体"/>
          <w:color w:val="auto"/>
          <w:highlight w:val="none"/>
          <w:lang w:val="zh-CN"/>
        </w:rPr>
        <w:t>考核</w:t>
      </w:r>
      <w:r>
        <w:rPr>
          <w:rFonts w:hint="eastAsia" w:ascii="宋体" w:hAnsi="宋体" w:cs="宋体"/>
          <w:color w:val="auto"/>
          <w:highlight w:val="none"/>
          <w:lang w:val="en-US" w:eastAsia="zh-CN"/>
        </w:rPr>
        <w:t>细则</w:t>
      </w:r>
      <w:r>
        <w:rPr>
          <w:rFonts w:hint="eastAsia" w:ascii="宋体" w:hAnsi="宋体" w:eastAsia="宋体" w:cs="宋体"/>
          <w:color w:val="auto"/>
          <w:highlight w:val="none"/>
          <w:lang w:val="zh-CN"/>
        </w:rPr>
        <w:t>》进行。由招标人考核小组（</w:t>
      </w:r>
      <w:r>
        <w:rPr>
          <w:rFonts w:hint="eastAsia" w:ascii="宋体" w:hAnsi="宋体" w:cs="宋体"/>
          <w:color w:val="auto"/>
          <w:highlight w:val="none"/>
          <w:lang w:val="en-US" w:eastAsia="zh-CN"/>
        </w:rPr>
        <w:t>自行</w:t>
      </w:r>
      <w:r>
        <w:rPr>
          <w:rFonts w:hint="eastAsia" w:ascii="宋体" w:hAnsi="宋体" w:eastAsia="宋体" w:cs="宋体"/>
          <w:color w:val="auto"/>
          <w:highlight w:val="none"/>
          <w:lang w:val="zh-CN"/>
        </w:rPr>
        <w:t>组建）每月进行考核，合同签订后每12个月为一个考核周期。</w:t>
      </w:r>
    </w:p>
    <w:p w14:paraId="2F8DD0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考核总分100分，考核成绩分为三档，考核周期内成绩不转入下个考核周期。</w:t>
      </w:r>
    </w:p>
    <w:p w14:paraId="546C96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1、考核分数≥95分，视为“优秀”。</w:t>
      </w:r>
    </w:p>
    <w:p w14:paraId="2123DE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2、90分≤考核分数＜95分，视为“合格”。</w:t>
      </w:r>
    </w:p>
    <w:p w14:paraId="155517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3、考核分数＜90分，视为“违约”。中标人须按考核分数支付相应违约金，违约金从当月款项支付中扣除。</w:t>
      </w:r>
    </w:p>
    <w:p w14:paraId="6DA302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（1）80分≤考核分数＜90分，视为“基本合格”。在考核周期内，第1次考核出现“基本合格”的，低于90分的，每低1分，扣5000元，上限50000元，考核累计出现2次及以上“基本合格”的，扣当月服务费的10%。</w:t>
      </w:r>
    </w:p>
    <w:p w14:paraId="153AC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考核分数＜80分，视为“不合格”。在考核周期内，第1次考核出现“不合格”的，扣当月服务费的10%，考核累计出现2次“不合格”的，扣当月服务费的20%，考核累计出现3次“不合格”的，招标人有权单方终止合同，并保留追究供应商因此给采购人造成的一切经济损失及违约责任。</w:t>
      </w:r>
    </w:p>
    <w:p w14:paraId="5A8DE83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ascii="宋体" w:hAnsi="宋体"/>
          <w:color w:val="auto"/>
          <w:kern w:val="0"/>
          <w:szCs w:val="21"/>
          <w:highlight w:val="none"/>
        </w:rPr>
        <w:br w:type="page"/>
      </w:r>
      <w:r>
        <w:rPr>
          <w:rFonts w:hint="eastAsia" w:ascii="宋体" w:hAnsi="宋体"/>
          <w:b/>
          <w:color w:val="auto"/>
          <w:szCs w:val="21"/>
          <w:highlight w:val="none"/>
        </w:rPr>
        <w:t>附表</w:t>
      </w:r>
      <w:r>
        <w:rPr>
          <w:rFonts w:hint="eastAsia" w:ascii="宋体" w:hAnsi="宋体"/>
          <w:b/>
          <w:color w:val="auto"/>
          <w:szCs w:val="21"/>
          <w:highlight w:val="none"/>
          <w:lang w:val="en-US" w:eastAsia="zh-CN"/>
        </w:rPr>
        <w:t>1</w:t>
      </w:r>
      <w:r>
        <w:rPr>
          <w:rFonts w:hint="eastAsia" w:ascii="宋体" w:hAnsi="宋体"/>
          <w:b/>
          <w:color w:val="auto"/>
          <w:szCs w:val="21"/>
          <w:highlight w:val="none"/>
        </w:rPr>
        <w:t>：</w:t>
      </w:r>
      <w:r>
        <w:rPr>
          <w:rFonts w:hint="eastAsia" w:ascii="宋体" w:hAnsi="宋体"/>
          <w:b/>
          <w:color w:val="auto"/>
          <w:szCs w:val="21"/>
          <w:highlight w:val="none"/>
          <w:lang w:eastAsia="zh-CN"/>
        </w:rPr>
        <w:t>陪护</w:t>
      </w:r>
      <w:r>
        <w:rPr>
          <w:rFonts w:hint="eastAsia" w:ascii="宋体" w:hAnsi="宋体"/>
          <w:b/>
          <w:color w:val="auto"/>
          <w:szCs w:val="21"/>
          <w:highlight w:val="none"/>
        </w:rPr>
        <w:t>满意度调查表</w:t>
      </w:r>
    </w:p>
    <w:p w14:paraId="5E188CE6">
      <w:pPr>
        <w:keepNext w:val="0"/>
        <w:keepLines w:val="0"/>
        <w:pageBreakBefore w:val="0"/>
        <w:widowControl w:val="0"/>
        <w:kinsoku/>
        <w:wordWrap/>
        <w:overflowPunct/>
        <w:topLinePunct w:val="0"/>
        <w:autoSpaceDE/>
        <w:autoSpaceDN/>
        <w:bidi w:val="0"/>
        <w:adjustRightInd/>
        <w:snapToGrid/>
        <w:spacing w:line="440" w:lineRule="exact"/>
        <w:ind w:firstLine="843" w:firstLineChars="400"/>
        <w:jc w:val="center"/>
        <w:textAlignment w:val="auto"/>
        <w:rPr>
          <w:rFonts w:ascii="宋体" w:hAnsi="宋体"/>
          <w:b/>
          <w:color w:val="auto"/>
          <w:szCs w:val="21"/>
          <w:highlight w:val="none"/>
        </w:rPr>
      </w:pPr>
      <w:r>
        <w:rPr>
          <w:rFonts w:hint="eastAsia" w:ascii="宋体" w:hAnsi="宋体"/>
          <w:b/>
          <w:color w:val="auto"/>
          <w:szCs w:val="21"/>
          <w:highlight w:val="none"/>
          <w:lang w:eastAsia="zh-CN"/>
        </w:rPr>
        <w:t>陪护</w:t>
      </w:r>
      <w:r>
        <w:rPr>
          <w:rFonts w:hint="eastAsia" w:ascii="宋体" w:hAnsi="宋体"/>
          <w:b/>
          <w:color w:val="auto"/>
          <w:szCs w:val="21"/>
          <w:highlight w:val="none"/>
        </w:rPr>
        <w:t>满意度调查表</w:t>
      </w:r>
    </w:p>
    <w:p w14:paraId="172115B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b/>
          <w:bCs/>
          <w:color w:val="auto"/>
          <w:szCs w:val="21"/>
          <w:highlight w:val="none"/>
          <w:u w:val="single"/>
        </w:rPr>
        <w:t>尊敬的病员及家属</w:t>
      </w:r>
      <w:r>
        <w:rPr>
          <w:rFonts w:hint="eastAsia" w:ascii="宋体" w:hAnsi="宋体"/>
          <w:color w:val="auto"/>
          <w:szCs w:val="21"/>
          <w:highlight w:val="none"/>
        </w:rPr>
        <w:t>：</w:t>
      </w:r>
    </w:p>
    <w:p w14:paraId="0103AFA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宋体" w:hAnsi="宋体"/>
          <w:color w:val="auto"/>
          <w:szCs w:val="21"/>
          <w:highlight w:val="none"/>
        </w:rPr>
      </w:pPr>
      <w:r>
        <w:rPr>
          <w:rFonts w:hint="eastAsia" w:ascii="宋体" w:hAnsi="宋体"/>
          <w:color w:val="auto"/>
          <w:szCs w:val="21"/>
          <w:highlight w:val="none"/>
        </w:rPr>
        <w:t>您好！为了提高</w:t>
      </w:r>
      <w:r>
        <w:rPr>
          <w:rFonts w:hint="eastAsia" w:ascii="宋体" w:hAnsi="宋体"/>
          <w:color w:val="auto"/>
          <w:szCs w:val="21"/>
          <w:highlight w:val="none"/>
          <w:lang w:eastAsia="zh-CN"/>
        </w:rPr>
        <w:t>陪护</w:t>
      </w:r>
      <w:r>
        <w:rPr>
          <w:rFonts w:hint="eastAsia" w:ascii="宋体" w:hAnsi="宋体"/>
          <w:color w:val="auto"/>
          <w:szCs w:val="21"/>
          <w:highlight w:val="none"/>
        </w:rPr>
        <w:t>员的服务质量，请您对</w:t>
      </w:r>
      <w:r>
        <w:rPr>
          <w:rFonts w:hint="eastAsia" w:ascii="宋体" w:hAnsi="宋体"/>
          <w:bCs/>
          <w:color w:val="auto"/>
          <w:szCs w:val="21"/>
          <w:highlight w:val="none"/>
          <w:lang w:eastAsia="zh-CN"/>
        </w:rPr>
        <w:t>陪护</w:t>
      </w:r>
      <w:r>
        <w:rPr>
          <w:rFonts w:hint="eastAsia" w:ascii="宋体" w:hAnsi="宋体"/>
          <w:color w:val="auto"/>
          <w:szCs w:val="21"/>
          <w:highlight w:val="none"/>
        </w:rPr>
        <w:t>的服务给予评价，并提出宝贵意见和建议！</w:t>
      </w:r>
    </w:p>
    <w:p w14:paraId="72CEF5EF">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color w:val="auto"/>
          <w:szCs w:val="21"/>
          <w:highlight w:val="none"/>
        </w:rPr>
        <w:t>您对</w:t>
      </w:r>
      <w:r>
        <w:rPr>
          <w:rFonts w:hint="eastAsia" w:ascii="宋体" w:hAnsi="宋体"/>
          <w:bCs/>
          <w:color w:val="auto"/>
          <w:szCs w:val="21"/>
          <w:highlight w:val="none"/>
          <w:lang w:eastAsia="zh-CN"/>
        </w:rPr>
        <w:t>陪护</w:t>
      </w:r>
      <w:r>
        <w:rPr>
          <w:rFonts w:hint="eastAsia" w:ascii="宋体" w:hAnsi="宋体"/>
          <w:color w:val="auto"/>
          <w:szCs w:val="21"/>
          <w:highlight w:val="none"/>
        </w:rPr>
        <w:t>的服务态度是否满意？</w:t>
      </w:r>
    </w:p>
    <w:p w14:paraId="2D416365">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7F461CA8">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color w:val="auto"/>
          <w:szCs w:val="21"/>
          <w:highlight w:val="none"/>
        </w:rPr>
        <w:t>您对</w:t>
      </w:r>
      <w:r>
        <w:rPr>
          <w:rFonts w:hint="eastAsia" w:ascii="宋体" w:hAnsi="宋体"/>
          <w:bCs/>
          <w:color w:val="auto"/>
          <w:szCs w:val="21"/>
          <w:highlight w:val="none"/>
          <w:lang w:eastAsia="zh-CN"/>
        </w:rPr>
        <w:t>陪护</w:t>
      </w:r>
      <w:r>
        <w:rPr>
          <w:rFonts w:hint="eastAsia" w:ascii="宋体" w:hAnsi="宋体"/>
          <w:color w:val="auto"/>
          <w:szCs w:val="21"/>
          <w:highlight w:val="none"/>
        </w:rPr>
        <w:t>提供的总体照护是否满意？</w:t>
      </w:r>
    </w:p>
    <w:p w14:paraId="68816F91">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7C69A91F">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bCs/>
          <w:color w:val="auto"/>
          <w:szCs w:val="21"/>
          <w:highlight w:val="none"/>
          <w:lang w:eastAsia="zh-CN"/>
        </w:rPr>
        <w:t>陪护</w:t>
      </w:r>
      <w:r>
        <w:rPr>
          <w:rFonts w:hint="eastAsia" w:ascii="宋体" w:hAnsi="宋体"/>
          <w:color w:val="auto"/>
          <w:szCs w:val="21"/>
          <w:highlight w:val="none"/>
        </w:rPr>
        <w:t>上班着装是否符合规定（头发、工衣、胸牌、鞋子）？</w:t>
      </w:r>
    </w:p>
    <w:p w14:paraId="6DB96A94">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0ACCDC5C">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color w:val="auto"/>
          <w:szCs w:val="21"/>
          <w:highlight w:val="none"/>
        </w:rPr>
        <w:t>您对</w:t>
      </w:r>
      <w:r>
        <w:rPr>
          <w:rFonts w:hint="eastAsia" w:ascii="宋体" w:hAnsi="宋体"/>
          <w:bCs/>
          <w:color w:val="auto"/>
          <w:szCs w:val="21"/>
          <w:highlight w:val="none"/>
          <w:lang w:eastAsia="zh-CN"/>
        </w:rPr>
        <w:t>陪护</w:t>
      </w:r>
      <w:r>
        <w:rPr>
          <w:rFonts w:hint="eastAsia" w:ascii="宋体" w:hAnsi="宋体"/>
          <w:color w:val="auto"/>
          <w:szCs w:val="21"/>
          <w:highlight w:val="none"/>
        </w:rPr>
        <w:t>的生活照顾技能是否满意？</w:t>
      </w:r>
    </w:p>
    <w:p w14:paraId="012EDCEF">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543315BE">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color w:val="auto"/>
          <w:szCs w:val="21"/>
          <w:highlight w:val="none"/>
        </w:rPr>
        <w:t>您对</w:t>
      </w:r>
      <w:r>
        <w:rPr>
          <w:rFonts w:hint="eastAsia" w:ascii="宋体" w:hAnsi="宋体"/>
          <w:bCs/>
          <w:color w:val="auto"/>
          <w:szCs w:val="21"/>
          <w:highlight w:val="none"/>
          <w:lang w:eastAsia="zh-CN"/>
        </w:rPr>
        <w:t>陪护</w:t>
      </w:r>
      <w:r>
        <w:rPr>
          <w:rFonts w:hint="eastAsia" w:ascii="宋体" w:hAnsi="宋体"/>
          <w:color w:val="auto"/>
          <w:szCs w:val="21"/>
          <w:highlight w:val="none"/>
        </w:rPr>
        <w:t>的夜间陪护是否满意？</w:t>
      </w:r>
    </w:p>
    <w:p w14:paraId="0384C526">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3E5D6D5C">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color w:val="auto"/>
          <w:szCs w:val="21"/>
          <w:highlight w:val="none"/>
        </w:rPr>
        <w:t>根据您的病情需要，</w:t>
      </w:r>
      <w:r>
        <w:rPr>
          <w:rFonts w:hint="eastAsia" w:ascii="宋体" w:hAnsi="宋体"/>
          <w:bCs/>
          <w:color w:val="auto"/>
          <w:szCs w:val="21"/>
          <w:highlight w:val="none"/>
          <w:lang w:eastAsia="zh-CN"/>
        </w:rPr>
        <w:t>陪护</w:t>
      </w:r>
      <w:r>
        <w:rPr>
          <w:rFonts w:hint="eastAsia" w:ascii="宋体" w:hAnsi="宋体"/>
          <w:color w:val="auto"/>
          <w:szCs w:val="21"/>
          <w:highlight w:val="none"/>
        </w:rPr>
        <w:t>的主动性情况？</w:t>
      </w:r>
    </w:p>
    <w:p w14:paraId="694B81B2">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2CF95298">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bCs/>
          <w:color w:val="auto"/>
          <w:szCs w:val="21"/>
          <w:highlight w:val="none"/>
          <w:lang w:eastAsia="zh-CN"/>
        </w:rPr>
        <w:t>陪护</w:t>
      </w:r>
      <w:r>
        <w:rPr>
          <w:rFonts w:hint="eastAsia" w:ascii="宋体" w:hAnsi="宋体"/>
          <w:color w:val="auto"/>
          <w:szCs w:val="21"/>
          <w:highlight w:val="none"/>
        </w:rPr>
        <w:t>是否保持病室环境、床单位整洁？</w:t>
      </w:r>
    </w:p>
    <w:p w14:paraId="3028ACA2">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5BA8CEC5">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bCs/>
          <w:color w:val="auto"/>
          <w:szCs w:val="21"/>
          <w:highlight w:val="none"/>
          <w:lang w:eastAsia="zh-CN"/>
        </w:rPr>
        <w:t>陪护</w:t>
      </w:r>
      <w:r>
        <w:rPr>
          <w:rFonts w:hint="eastAsia" w:ascii="宋体" w:hAnsi="宋体"/>
          <w:color w:val="auto"/>
          <w:szCs w:val="21"/>
          <w:highlight w:val="none"/>
        </w:rPr>
        <w:t>是否持证上岗？</w:t>
      </w:r>
    </w:p>
    <w:p w14:paraId="4CFB5664">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54520C10">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color w:val="auto"/>
          <w:szCs w:val="21"/>
          <w:highlight w:val="none"/>
        </w:rPr>
        <w:t>公司主管巡视、解决问题情况？</w:t>
      </w:r>
    </w:p>
    <w:p w14:paraId="55FF2802">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137E655D">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ascii="宋体" w:hAnsi="宋体"/>
          <w:color w:val="auto"/>
          <w:szCs w:val="21"/>
          <w:highlight w:val="none"/>
        </w:rPr>
      </w:pPr>
      <w:r>
        <w:rPr>
          <w:rFonts w:hint="eastAsia" w:ascii="宋体" w:hAnsi="宋体"/>
          <w:color w:val="auto"/>
          <w:szCs w:val="21"/>
          <w:highlight w:val="none"/>
        </w:rPr>
        <w:t>10、公司管理的整体评价是否满意？</w:t>
      </w:r>
    </w:p>
    <w:p w14:paraId="37AB1835">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color w:val="auto"/>
          <w:szCs w:val="21"/>
          <w:highlight w:val="none"/>
        </w:rPr>
        <w:t>非常满意（ ）   满意（  ）   基本满意（  ）   不满意（  ）</w:t>
      </w:r>
    </w:p>
    <w:p w14:paraId="7155B529">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olor w:val="auto"/>
          <w:szCs w:val="21"/>
          <w:highlight w:val="none"/>
        </w:rPr>
      </w:pPr>
      <w:r>
        <w:rPr>
          <w:rFonts w:hint="eastAsia" w:ascii="宋体" w:hAnsi="宋体"/>
          <w:b/>
          <w:bCs/>
          <w:color w:val="auto"/>
          <w:szCs w:val="21"/>
          <w:highlight w:val="none"/>
        </w:rPr>
        <w:t>意见和建议：</w:t>
      </w:r>
    </w:p>
    <w:p w14:paraId="1903E670">
      <w:pPr>
        <w:pStyle w:val="3"/>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1"/>
          <w:szCs w:val="21"/>
          <w:highlight w:val="none"/>
        </w:rPr>
      </w:pPr>
    </w:p>
    <w:p w14:paraId="61B5A5C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满意度评价90分合格。非常满意：10分，满意：9分，基本满意：8分，不满意：7分。</w:t>
      </w:r>
    </w:p>
    <w:p w14:paraId="42C40C3B">
      <w:pPr>
        <w:spacing w:line="360" w:lineRule="auto"/>
        <w:rPr>
          <w:rFonts w:hint="eastAsia" w:ascii="宋体" w:hAnsi="宋体"/>
          <w:b/>
          <w:color w:val="auto"/>
          <w:szCs w:val="21"/>
          <w:highlight w:val="none"/>
        </w:rPr>
      </w:pPr>
    </w:p>
    <w:p w14:paraId="20AAB6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注：</w:t>
      </w:r>
      <w:r>
        <w:rPr>
          <w:rFonts w:hint="eastAsia" w:ascii="宋体" w:hAnsi="宋体"/>
          <w:b/>
          <w:color w:val="auto"/>
          <w:szCs w:val="21"/>
          <w:highlight w:val="none"/>
        </w:rPr>
        <w:t>服务对象对陪护满意率</w:t>
      </w:r>
      <w:r>
        <w:rPr>
          <w:rFonts w:hint="eastAsia" w:ascii="宋体" w:hAnsi="宋体"/>
          <w:b/>
          <w:color w:val="auto"/>
          <w:szCs w:val="21"/>
          <w:highlight w:val="none"/>
          <w:lang w:val="en-US" w:eastAsia="zh-CN"/>
        </w:rPr>
        <w:t>应达到</w:t>
      </w:r>
      <w:r>
        <w:rPr>
          <w:rFonts w:hint="eastAsia" w:ascii="宋体" w:hAnsi="宋体"/>
          <w:b/>
          <w:color w:val="auto"/>
          <w:szCs w:val="21"/>
          <w:highlight w:val="none"/>
        </w:rPr>
        <w:t>90%以上（含90%）。如有服务对象投诉者，查明属实，按情节轻重500-2000元/次累计扣除当月合同款。如有因乙方服务不到位，或发生差错事故和意外事件，遭服务对象投诉引起纠纷索赔者，由乙方自行负责，相关费用乙方自行承担，甲方在服务对象索赔时不承担任何责任。</w:t>
      </w:r>
    </w:p>
    <w:p w14:paraId="7509E812">
      <w:pPr>
        <w:spacing w:line="360" w:lineRule="auto"/>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附表</w:t>
      </w:r>
      <w:r>
        <w:rPr>
          <w:rFonts w:hint="eastAsia" w:ascii="宋体" w:hAnsi="宋体"/>
          <w:b/>
          <w:color w:val="auto"/>
          <w:szCs w:val="21"/>
          <w:highlight w:val="none"/>
          <w:lang w:val="en-US" w:eastAsia="zh-CN"/>
        </w:rPr>
        <w:t>2</w:t>
      </w:r>
      <w:r>
        <w:rPr>
          <w:rFonts w:hint="eastAsia" w:ascii="宋体" w:hAnsi="宋体"/>
          <w:b/>
          <w:color w:val="auto"/>
          <w:szCs w:val="21"/>
          <w:highlight w:val="none"/>
        </w:rPr>
        <w:t>：</w:t>
      </w:r>
      <w:r>
        <w:rPr>
          <w:rFonts w:hint="eastAsia" w:ascii="宋体" w:hAnsi="宋体" w:cs="宋体"/>
          <w:b/>
          <w:color w:val="auto"/>
          <w:kern w:val="0"/>
          <w:szCs w:val="21"/>
          <w:highlight w:val="none"/>
          <w:lang w:eastAsia="zh-CN" w:bidi="ar"/>
        </w:rPr>
        <w:t>陪护</w:t>
      </w:r>
      <w:r>
        <w:rPr>
          <w:rFonts w:hint="eastAsia" w:ascii="宋体" w:hAnsi="宋体" w:cs="宋体"/>
          <w:b/>
          <w:color w:val="auto"/>
          <w:kern w:val="0"/>
          <w:szCs w:val="21"/>
          <w:highlight w:val="none"/>
          <w:lang w:bidi="ar"/>
        </w:rPr>
        <w:t>考核细则</w:t>
      </w:r>
    </w:p>
    <w:tbl>
      <w:tblPr>
        <w:tblStyle w:val="50"/>
        <w:tblW w:w="4997"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17"/>
        <w:gridCol w:w="5052"/>
        <w:gridCol w:w="1306"/>
        <w:gridCol w:w="1306"/>
      </w:tblGrid>
      <w:tr w14:paraId="55AD98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545" w:type="pct"/>
            <w:gridSpan w:val="2"/>
            <w:tcBorders>
              <w:tl2br w:val="nil"/>
              <w:tr2bl w:val="nil"/>
            </w:tcBorders>
            <w:noWrap/>
            <w:tcMar>
              <w:top w:w="15" w:type="dxa"/>
              <w:left w:w="15" w:type="dxa"/>
              <w:right w:w="15" w:type="dxa"/>
            </w:tcMar>
            <w:vAlign w:val="center"/>
          </w:tcPr>
          <w:p w14:paraId="291F55F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扣罚要求</w:t>
            </w:r>
          </w:p>
        </w:tc>
        <w:tc>
          <w:tcPr>
            <w:tcW w:w="727" w:type="pct"/>
            <w:tcBorders>
              <w:tl2br w:val="nil"/>
              <w:tr2bl w:val="nil"/>
            </w:tcBorders>
            <w:noWrap w:val="0"/>
            <w:tcMar>
              <w:top w:w="15" w:type="dxa"/>
              <w:left w:w="15" w:type="dxa"/>
              <w:right w:w="15" w:type="dxa"/>
            </w:tcMar>
            <w:vAlign w:val="center"/>
          </w:tcPr>
          <w:p w14:paraId="01373BB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扣罚</w:t>
            </w:r>
            <w:r>
              <w:rPr>
                <w:rFonts w:hint="eastAsia" w:ascii="宋体" w:hAnsi="宋体" w:cs="宋体"/>
                <w:b/>
                <w:bCs/>
                <w:color w:val="auto"/>
                <w:sz w:val="21"/>
                <w:szCs w:val="21"/>
                <w:highlight w:val="none"/>
                <w:lang w:val="en-US" w:eastAsia="zh-CN"/>
              </w:rPr>
              <w:t>依据</w:t>
            </w:r>
          </w:p>
          <w:p w14:paraId="068E2AB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（每人次）</w:t>
            </w:r>
          </w:p>
        </w:tc>
        <w:tc>
          <w:tcPr>
            <w:tcW w:w="727" w:type="pct"/>
            <w:tcBorders>
              <w:tl2br w:val="nil"/>
              <w:tr2bl w:val="nil"/>
            </w:tcBorders>
            <w:noWrap w:val="0"/>
            <w:tcMar>
              <w:top w:w="15" w:type="dxa"/>
              <w:left w:w="15" w:type="dxa"/>
              <w:right w:w="15" w:type="dxa"/>
            </w:tcMar>
            <w:vAlign w:val="center"/>
          </w:tcPr>
          <w:p w14:paraId="323F97A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扣罚合计</w:t>
            </w:r>
          </w:p>
        </w:tc>
      </w:tr>
      <w:tr w14:paraId="76F630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33" w:type="pct"/>
            <w:vMerge w:val="restart"/>
            <w:tcBorders>
              <w:tl2br w:val="nil"/>
              <w:tr2bl w:val="nil"/>
            </w:tcBorders>
            <w:noWrap/>
            <w:tcMar>
              <w:top w:w="15" w:type="dxa"/>
              <w:left w:w="15" w:type="dxa"/>
              <w:right w:w="15" w:type="dxa"/>
            </w:tcMar>
            <w:vAlign w:val="center"/>
          </w:tcPr>
          <w:p w14:paraId="4326E92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一般扣罚</w:t>
            </w:r>
          </w:p>
        </w:tc>
        <w:tc>
          <w:tcPr>
            <w:tcW w:w="2812" w:type="pct"/>
            <w:tcBorders>
              <w:tl2br w:val="nil"/>
              <w:tr2bl w:val="nil"/>
            </w:tcBorders>
            <w:noWrap w:val="0"/>
            <w:tcMar>
              <w:top w:w="15" w:type="dxa"/>
              <w:left w:w="15" w:type="dxa"/>
              <w:right w:w="15" w:type="dxa"/>
            </w:tcMar>
            <w:vAlign w:val="center"/>
          </w:tcPr>
          <w:p w14:paraId="54B1594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未按规定着工装、挂胸牌；未按规定戴口罩；未正确执行手卫生。</w:t>
            </w:r>
          </w:p>
        </w:tc>
        <w:tc>
          <w:tcPr>
            <w:tcW w:w="727" w:type="pct"/>
            <w:tcBorders>
              <w:tl2br w:val="nil"/>
              <w:tr2bl w:val="nil"/>
            </w:tcBorders>
            <w:noWrap w:val="0"/>
            <w:tcMar>
              <w:top w:w="15" w:type="dxa"/>
              <w:left w:w="15" w:type="dxa"/>
              <w:right w:w="15" w:type="dxa"/>
            </w:tcMar>
            <w:vAlign w:val="center"/>
          </w:tcPr>
          <w:p w14:paraId="6789696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1分/人/次</w:t>
            </w:r>
          </w:p>
        </w:tc>
        <w:tc>
          <w:tcPr>
            <w:tcW w:w="727" w:type="pct"/>
            <w:tcBorders>
              <w:tl2br w:val="nil"/>
              <w:tr2bl w:val="nil"/>
            </w:tcBorders>
            <w:noWrap w:val="0"/>
            <w:tcMar>
              <w:top w:w="15" w:type="dxa"/>
              <w:left w:w="15" w:type="dxa"/>
              <w:right w:w="15" w:type="dxa"/>
            </w:tcMar>
            <w:vAlign w:val="top"/>
          </w:tcPr>
          <w:p w14:paraId="3262D6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067989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3" w:type="pct"/>
            <w:vMerge w:val="continue"/>
            <w:tcBorders>
              <w:tl2br w:val="nil"/>
              <w:tr2bl w:val="nil"/>
            </w:tcBorders>
            <w:noWrap/>
            <w:tcMar>
              <w:top w:w="15" w:type="dxa"/>
              <w:left w:w="15" w:type="dxa"/>
              <w:right w:w="15" w:type="dxa"/>
            </w:tcMar>
            <w:vAlign w:val="center"/>
          </w:tcPr>
          <w:p w14:paraId="2027098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4774EB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工作日穿拖鞋、高跟鞋；佩戴尖锐及有危险性饰品，留长指甲。</w:t>
            </w:r>
          </w:p>
        </w:tc>
        <w:tc>
          <w:tcPr>
            <w:tcW w:w="727" w:type="pct"/>
            <w:tcBorders>
              <w:tl2br w:val="nil"/>
              <w:tr2bl w:val="nil"/>
            </w:tcBorders>
            <w:noWrap w:val="0"/>
            <w:tcMar>
              <w:top w:w="15" w:type="dxa"/>
              <w:left w:w="15" w:type="dxa"/>
              <w:right w:w="15" w:type="dxa"/>
            </w:tcMar>
            <w:vAlign w:val="center"/>
          </w:tcPr>
          <w:p w14:paraId="05282F3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0.5分/人/次</w:t>
            </w:r>
          </w:p>
        </w:tc>
        <w:tc>
          <w:tcPr>
            <w:tcW w:w="727" w:type="pct"/>
            <w:tcBorders>
              <w:tl2br w:val="nil"/>
              <w:tr2bl w:val="nil"/>
            </w:tcBorders>
            <w:noWrap w:val="0"/>
            <w:tcMar>
              <w:top w:w="15" w:type="dxa"/>
              <w:left w:w="15" w:type="dxa"/>
              <w:right w:w="15" w:type="dxa"/>
            </w:tcMar>
            <w:vAlign w:val="top"/>
          </w:tcPr>
          <w:p w14:paraId="388E573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110C1C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3" w:type="pct"/>
            <w:vMerge w:val="continue"/>
            <w:tcBorders>
              <w:tl2br w:val="nil"/>
              <w:tr2bl w:val="nil"/>
            </w:tcBorders>
            <w:noWrap/>
            <w:tcMar>
              <w:top w:w="15" w:type="dxa"/>
              <w:left w:w="15" w:type="dxa"/>
              <w:right w:w="15" w:type="dxa"/>
            </w:tcMar>
            <w:vAlign w:val="center"/>
          </w:tcPr>
          <w:p w14:paraId="49A3247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0B4BDC0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未</w:t>
            </w:r>
            <w:r>
              <w:rPr>
                <w:rFonts w:hint="eastAsia" w:ascii="宋体" w:hAnsi="宋体" w:eastAsia="宋体" w:cs="宋体"/>
                <w:color w:val="auto"/>
                <w:sz w:val="21"/>
                <w:szCs w:val="21"/>
                <w:highlight w:val="none"/>
              </w:rPr>
              <w:t>穿工作服进食堂或者出医院大门。</w:t>
            </w:r>
          </w:p>
        </w:tc>
        <w:tc>
          <w:tcPr>
            <w:tcW w:w="727" w:type="pct"/>
            <w:tcBorders>
              <w:tl2br w:val="nil"/>
              <w:tr2bl w:val="nil"/>
            </w:tcBorders>
            <w:noWrap w:val="0"/>
            <w:tcMar>
              <w:top w:w="15" w:type="dxa"/>
              <w:left w:w="15" w:type="dxa"/>
              <w:right w:w="15" w:type="dxa"/>
            </w:tcMar>
            <w:vAlign w:val="center"/>
          </w:tcPr>
          <w:p w14:paraId="4B36E5C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0.5分/人/次</w:t>
            </w:r>
          </w:p>
        </w:tc>
        <w:tc>
          <w:tcPr>
            <w:tcW w:w="727" w:type="pct"/>
            <w:tcBorders>
              <w:tl2br w:val="nil"/>
              <w:tr2bl w:val="nil"/>
            </w:tcBorders>
            <w:noWrap w:val="0"/>
            <w:tcMar>
              <w:top w:w="15" w:type="dxa"/>
              <w:left w:w="15" w:type="dxa"/>
              <w:right w:w="15" w:type="dxa"/>
            </w:tcMar>
            <w:vAlign w:val="bottom"/>
          </w:tcPr>
          <w:p w14:paraId="4CB3679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7C8923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33" w:type="pct"/>
            <w:vMerge w:val="continue"/>
            <w:tcBorders>
              <w:tl2br w:val="nil"/>
              <w:tr2bl w:val="nil"/>
            </w:tcBorders>
            <w:noWrap/>
            <w:tcMar>
              <w:top w:w="15" w:type="dxa"/>
              <w:left w:w="15" w:type="dxa"/>
              <w:right w:w="15" w:type="dxa"/>
            </w:tcMar>
            <w:vAlign w:val="center"/>
          </w:tcPr>
          <w:p w14:paraId="2832808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4D78519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不得从事与本职工作无关的事项，影响患者休息；活动上班期间严禁打牌、抽烟、饮酒、吃零食、聚众聊天、睡觉。共同检查时未在病房。</w:t>
            </w:r>
          </w:p>
        </w:tc>
        <w:tc>
          <w:tcPr>
            <w:tcW w:w="727" w:type="pct"/>
            <w:tcBorders>
              <w:tl2br w:val="nil"/>
              <w:tr2bl w:val="nil"/>
            </w:tcBorders>
            <w:noWrap w:val="0"/>
            <w:tcMar>
              <w:top w:w="15" w:type="dxa"/>
              <w:left w:w="15" w:type="dxa"/>
              <w:right w:w="15" w:type="dxa"/>
            </w:tcMar>
            <w:vAlign w:val="center"/>
          </w:tcPr>
          <w:p w14:paraId="68B9D11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1分/人/次</w:t>
            </w:r>
          </w:p>
        </w:tc>
        <w:tc>
          <w:tcPr>
            <w:tcW w:w="727" w:type="pct"/>
            <w:tcBorders>
              <w:tl2br w:val="nil"/>
              <w:tr2bl w:val="nil"/>
            </w:tcBorders>
            <w:noWrap w:val="0"/>
            <w:tcMar>
              <w:top w:w="15" w:type="dxa"/>
              <w:left w:w="15" w:type="dxa"/>
              <w:right w:w="15" w:type="dxa"/>
            </w:tcMar>
            <w:vAlign w:val="bottom"/>
          </w:tcPr>
          <w:p w14:paraId="3F6649A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0ACD25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33" w:type="pct"/>
            <w:vMerge w:val="continue"/>
            <w:tcBorders>
              <w:tl2br w:val="nil"/>
              <w:tr2bl w:val="nil"/>
            </w:tcBorders>
            <w:noWrap/>
            <w:tcMar>
              <w:top w:w="15" w:type="dxa"/>
              <w:left w:w="15" w:type="dxa"/>
              <w:right w:w="15" w:type="dxa"/>
            </w:tcMar>
            <w:vAlign w:val="center"/>
          </w:tcPr>
          <w:p w14:paraId="4027F8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7F5EAF2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帮助患者买饭购物，未事先将联系方式及所需时间告知患者及护士。</w:t>
            </w:r>
          </w:p>
        </w:tc>
        <w:tc>
          <w:tcPr>
            <w:tcW w:w="727" w:type="pct"/>
            <w:tcBorders>
              <w:tl2br w:val="nil"/>
              <w:tr2bl w:val="nil"/>
            </w:tcBorders>
            <w:noWrap w:val="0"/>
            <w:tcMar>
              <w:top w:w="15" w:type="dxa"/>
              <w:left w:w="15" w:type="dxa"/>
              <w:right w:w="15" w:type="dxa"/>
            </w:tcMar>
            <w:vAlign w:val="center"/>
          </w:tcPr>
          <w:p w14:paraId="2FEA680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0.5分/人/次</w:t>
            </w:r>
          </w:p>
        </w:tc>
        <w:tc>
          <w:tcPr>
            <w:tcW w:w="727" w:type="pct"/>
            <w:tcBorders>
              <w:tl2br w:val="nil"/>
              <w:tr2bl w:val="nil"/>
            </w:tcBorders>
            <w:noWrap w:val="0"/>
            <w:tcMar>
              <w:top w:w="15" w:type="dxa"/>
              <w:left w:w="15" w:type="dxa"/>
              <w:right w:w="15" w:type="dxa"/>
            </w:tcMar>
            <w:vAlign w:val="bottom"/>
          </w:tcPr>
          <w:p w14:paraId="42815A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058B73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3" w:type="pct"/>
            <w:vMerge w:val="continue"/>
            <w:tcBorders>
              <w:tl2br w:val="nil"/>
              <w:tr2bl w:val="nil"/>
            </w:tcBorders>
            <w:noWrap/>
            <w:tcMar>
              <w:top w:w="15" w:type="dxa"/>
              <w:left w:w="15" w:type="dxa"/>
              <w:right w:w="15" w:type="dxa"/>
            </w:tcMar>
            <w:vAlign w:val="center"/>
          </w:tcPr>
          <w:p w14:paraId="6AA334A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63FFB2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未保持所陪护患者的床单位及病房整洁（床、床头桌、陪客躺椅按规定放置，物品摆放整齐有序；脸盆、便器不落地；卫生间东西放置整洁）。</w:t>
            </w:r>
          </w:p>
        </w:tc>
        <w:tc>
          <w:tcPr>
            <w:tcW w:w="727" w:type="pct"/>
            <w:tcBorders>
              <w:tl2br w:val="nil"/>
              <w:tr2bl w:val="nil"/>
            </w:tcBorders>
            <w:noWrap w:val="0"/>
            <w:tcMar>
              <w:top w:w="15" w:type="dxa"/>
              <w:left w:w="15" w:type="dxa"/>
              <w:right w:w="15" w:type="dxa"/>
            </w:tcMar>
            <w:vAlign w:val="center"/>
          </w:tcPr>
          <w:p w14:paraId="731A470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0.5分/人/次</w:t>
            </w:r>
          </w:p>
        </w:tc>
        <w:tc>
          <w:tcPr>
            <w:tcW w:w="727" w:type="pct"/>
            <w:tcBorders>
              <w:tl2br w:val="nil"/>
              <w:tr2bl w:val="nil"/>
            </w:tcBorders>
            <w:noWrap w:val="0"/>
            <w:tcMar>
              <w:top w:w="15" w:type="dxa"/>
              <w:left w:w="15" w:type="dxa"/>
              <w:right w:w="15" w:type="dxa"/>
            </w:tcMar>
            <w:vAlign w:val="bottom"/>
          </w:tcPr>
          <w:p w14:paraId="54667AF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1D8C4F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3" w:type="pct"/>
            <w:vMerge w:val="continue"/>
            <w:tcBorders>
              <w:tl2br w:val="nil"/>
              <w:tr2bl w:val="nil"/>
            </w:tcBorders>
            <w:noWrap/>
            <w:tcMar>
              <w:top w:w="15" w:type="dxa"/>
              <w:left w:w="15" w:type="dxa"/>
              <w:right w:w="15" w:type="dxa"/>
            </w:tcMar>
            <w:vAlign w:val="center"/>
          </w:tcPr>
          <w:p w14:paraId="64E6F54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0A1AE0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未配合做好</w:t>
            </w:r>
            <w:r>
              <w:rPr>
                <w:rFonts w:hint="eastAsia" w:ascii="宋体" w:hAnsi="宋体" w:cs="宋体"/>
                <w:color w:val="auto"/>
                <w:sz w:val="21"/>
                <w:szCs w:val="21"/>
                <w:highlight w:val="none"/>
                <w:lang w:eastAsia="zh-CN"/>
              </w:rPr>
              <w:t>陪护</w:t>
            </w:r>
            <w:r>
              <w:rPr>
                <w:rFonts w:hint="eastAsia" w:ascii="宋体" w:hAnsi="宋体" w:eastAsia="宋体" w:cs="宋体"/>
                <w:color w:val="auto"/>
                <w:sz w:val="21"/>
                <w:szCs w:val="21"/>
                <w:highlight w:val="none"/>
              </w:rPr>
              <w:t>员工作（陪检、病房环境、垃圾分类等）。</w:t>
            </w:r>
          </w:p>
        </w:tc>
        <w:tc>
          <w:tcPr>
            <w:tcW w:w="727" w:type="pct"/>
            <w:tcBorders>
              <w:tl2br w:val="nil"/>
              <w:tr2bl w:val="nil"/>
            </w:tcBorders>
            <w:noWrap w:val="0"/>
            <w:tcMar>
              <w:top w:w="15" w:type="dxa"/>
              <w:left w:w="15" w:type="dxa"/>
              <w:right w:w="15" w:type="dxa"/>
            </w:tcMar>
            <w:vAlign w:val="center"/>
          </w:tcPr>
          <w:p w14:paraId="03C4605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1分/人/次</w:t>
            </w:r>
          </w:p>
        </w:tc>
        <w:tc>
          <w:tcPr>
            <w:tcW w:w="727" w:type="pct"/>
            <w:tcBorders>
              <w:tl2br w:val="nil"/>
              <w:tr2bl w:val="nil"/>
            </w:tcBorders>
            <w:noWrap w:val="0"/>
            <w:tcMar>
              <w:top w:w="15" w:type="dxa"/>
              <w:left w:w="15" w:type="dxa"/>
              <w:right w:w="15" w:type="dxa"/>
            </w:tcMar>
            <w:vAlign w:val="bottom"/>
          </w:tcPr>
          <w:p w14:paraId="00B97B7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727E0A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733" w:type="pct"/>
            <w:vMerge w:val="continue"/>
            <w:tcBorders>
              <w:tl2br w:val="nil"/>
              <w:tr2bl w:val="nil"/>
            </w:tcBorders>
            <w:noWrap/>
            <w:tcMar>
              <w:top w:w="15" w:type="dxa"/>
              <w:left w:w="15" w:type="dxa"/>
              <w:right w:w="15" w:type="dxa"/>
            </w:tcMar>
            <w:vAlign w:val="center"/>
          </w:tcPr>
          <w:p w14:paraId="7A8885A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447CB61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未做好隐私保护工作；对患者讲粗话、谩骂患者。</w:t>
            </w:r>
          </w:p>
        </w:tc>
        <w:tc>
          <w:tcPr>
            <w:tcW w:w="727" w:type="pct"/>
            <w:tcBorders>
              <w:tl2br w:val="nil"/>
              <w:tr2bl w:val="nil"/>
            </w:tcBorders>
            <w:noWrap w:val="0"/>
            <w:tcMar>
              <w:top w:w="15" w:type="dxa"/>
              <w:left w:w="15" w:type="dxa"/>
              <w:right w:w="15" w:type="dxa"/>
            </w:tcMar>
            <w:vAlign w:val="center"/>
          </w:tcPr>
          <w:p w14:paraId="41C358E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1分/人/次</w:t>
            </w:r>
          </w:p>
        </w:tc>
        <w:tc>
          <w:tcPr>
            <w:tcW w:w="727" w:type="pct"/>
            <w:tcBorders>
              <w:tl2br w:val="nil"/>
              <w:tr2bl w:val="nil"/>
            </w:tcBorders>
            <w:noWrap w:val="0"/>
            <w:tcMar>
              <w:top w:w="15" w:type="dxa"/>
              <w:left w:w="15" w:type="dxa"/>
              <w:right w:w="15" w:type="dxa"/>
            </w:tcMar>
            <w:vAlign w:val="bottom"/>
          </w:tcPr>
          <w:p w14:paraId="0977F4C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7F2874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33" w:type="pct"/>
            <w:vMerge w:val="continue"/>
            <w:tcBorders>
              <w:tl2br w:val="nil"/>
              <w:tr2bl w:val="nil"/>
            </w:tcBorders>
            <w:noWrap/>
            <w:tcMar>
              <w:top w:w="15" w:type="dxa"/>
              <w:left w:w="15" w:type="dxa"/>
              <w:right w:w="15" w:type="dxa"/>
            </w:tcMar>
            <w:vAlign w:val="center"/>
          </w:tcPr>
          <w:p w14:paraId="3E1F3BD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19B935F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未配合做好科室分配的工作。</w:t>
            </w:r>
          </w:p>
        </w:tc>
        <w:tc>
          <w:tcPr>
            <w:tcW w:w="727" w:type="pct"/>
            <w:tcBorders>
              <w:tl2br w:val="nil"/>
              <w:tr2bl w:val="nil"/>
            </w:tcBorders>
            <w:noWrap w:val="0"/>
            <w:tcMar>
              <w:top w:w="15" w:type="dxa"/>
              <w:left w:w="15" w:type="dxa"/>
              <w:right w:w="15" w:type="dxa"/>
            </w:tcMar>
            <w:vAlign w:val="center"/>
          </w:tcPr>
          <w:p w14:paraId="59D43B2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0.5分/人/次</w:t>
            </w:r>
          </w:p>
        </w:tc>
        <w:tc>
          <w:tcPr>
            <w:tcW w:w="727" w:type="pct"/>
            <w:tcBorders>
              <w:tl2br w:val="nil"/>
              <w:tr2bl w:val="nil"/>
            </w:tcBorders>
            <w:noWrap w:val="0"/>
            <w:tcMar>
              <w:top w:w="15" w:type="dxa"/>
              <w:left w:w="15" w:type="dxa"/>
              <w:right w:w="15" w:type="dxa"/>
            </w:tcMar>
            <w:vAlign w:val="bottom"/>
          </w:tcPr>
          <w:p w14:paraId="1F34DF0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4843F8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733" w:type="pct"/>
            <w:vMerge w:val="continue"/>
            <w:tcBorders>
              <w:tl2br w:val="nil"/>
              <w:tr2bl w:val="nil"/>
            </w:tcBorders>
            <w:noWrap/>
            <w:tcMar>
              <w:top w:w="15" w:type="dxa"/>
              <w:left w:w="15" w:type="dxa"/>
              <w:right w:w="15" w:type="dxa"/>
            </w:tcMar>
            <w:vAlign w:val="center"/>
          </w:tcPr>
          <w:p w14:paraId="7BAA99C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7CEA32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严禁串岗脱岗；未经请假批准不得擅自离岗外出，请假外出时间不得超过30分钟，特殊情况与主管请假。</w:t>
            </w:r>
          </w:p>
        </w:tc>
        <w:tc>
          <w:tcPr>
            <w:tcW w:w="727" w:type="pct"/>
            <w:tcBorders>
              <w:tl2br w:val="nil"/>
              <w:tr2bl w:val="nil"/>
            </w:tcBorders>
            <w:noWrap w:val="0"/>
            <w:tcMar>
              <w:top w:w="15" w:type="dxa"/>
              <w:left w:w="15" w:type="dxa"/>
              <w:right w:w="15" w:type="dxa"/>
            </w:tcMar>
            <w:vAlign w:val="center"/>
          </w:tcPr>
          <w:p w14:paraId="28BD527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1分/人/次</w:t>
            </w:r>
          </w:p>
        </w:tc>
        <w:tc>
          <w:tcPr>
            <w:tcW w:w="727" w:type="pct"/>
            <w:tcBorders>
              <w:tl2br w:val="nil"/>
              <w:tr2bl w:val="nil"/>
            </w:tcBorders>
            <w:noWrap w:val="0"/>
            <w:tcMar>
              <w:top w:w="15" w:type="dxa"/>
              <w:left w:w="15" w:type="dxa"/>
              <w:right w:w="15" w:type="dxa"/>
            </w:tcMar>
            <w:vAlign w:val="bottom"/>
          </w:tcPr>
          <w:p w14:paraId="6A145A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6F7AA3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33" w:type="pct"/>
            <w:vMerge w:val="continue"/>
            <w:tcBorders>
              <w:tl2br w:val="nil"/>
              <w:tr2bl w:val="nil"/>
            </w:tcBorders>
            <w:noWrap/>
            <w:tcMar>
              <w:top w:w="15" w:type="dxa"/>
              <w:left w:w="15" w:type="dxa"/>
              <w:right w:w="15" w:type="dxa"/>
            </w:tcMar>
            <w:vAlign w:val="center"/>
          </w:tcPr>
          <w:p w14:paraId="665E12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6FEDA8D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病室使用电器、私人物品未按规定放置（6S管理要求）。</w:t>
            </w:r>
          </w:p>
        </w:tc>
        <w:tc>
          <w:tcPr>
            <w:tcW w:w="727" w:type="pct"/>
            <w:tcBorders>
              <w:tl2br w:val="nil"/>
              <w:tr2bl w:val="nil"/>
            </w:tcBorders>
            <w:noWrap w:val="0"/>
            <w:tcMar>
              <w:top w:w="15" w:type="dxa"/>
              <w:left w:w="15" w:type="dxa"/>
              <w:right w:w="15" w:type="dxa"/>
            </w:tcMar>
            <w:vAlign w:val="center"/>
          </w:tcPr>
          <w:p w14:paraId="52F332F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0.5分/人/次</w:t>
            </w:r>
          </w:p>
        </w:tc>
        <w:tc>
          <w:tcPr>
            <w:tcW w:w="727" w:type="pct"/>
            <w:tcBorders>
              <w:tl2br w:val="nil"/>
              <w:tr2bl w:val="nil"/>
            </w:tcBorders>
            <w:noWrap w:val="0"/>
            <w:tcMar>
              <w:top w:w="15" w:type="dxa"/>
              <w:left w:w="15" w:type="dxa"/>
              <w:right w:w="15" w:type="dxa"/>
            </w:tcMar>
            <w:vAlign w:val="bottom"/>
          </w:tcPr>
          <w:p w14:paraId="60B114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118E46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3" w:type="pct"/>
            <w:vMerge w:val="continue"/>
            <w:tcBorders>
              <w:tl2br w:val="nil"/>
              <w:tr2bl w:val="nil"/>
            </w:tcBorders>
            <w:noWrap/>
            <w:tcMar>
              <w:top w:w="15" w:type="dxa"/>
              <w:left w:w="15" w:type="dxa"/>
              <w:right w:w="15" w:type="dxa"/>
            </w:tcMar>
            <w:vAlign w:val="center"/>
          </w:tcPr>
          <w:p w14:paraId="6070998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3143BA6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未服从医院车辆管理（不乱停车、不违规充电等）。</w:t>
            </w:r>
          </w:p>
        </w:tc>
        <w:tc>
          <w:tcPr>
            <w:tcW w:w="727" w:type="pct"/>
            <w:tcBorders>
              <w:tl2br w:val="nil"/>
              <w:tr2bl w:val="nil"/>
            </w:tcBorders>
            <w:noWrap w:val="0"/>
            <w:tcMar>
              <w:top w:w="15" w:type="dxa"/>
              <w:left w:w="15" w:type="dxa"/>
              <w:right w:w="15" w:type="dxa"/>
            </w:tcMar>
            <w:vAlign w:val="center"/>
          </w:tcPr>
          <w:p w14:paraId="7421BBB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0.5分/人/次</w:t>
            </w:r>
          </w:p>
        </w:tc>
        <w:tc>
          <w:tcPr>
            <w:tcW w:w="727" w:type="pct"/>
            <w:tcBorders>
              <w:tl2br w:val="nil"/>
              <w:tr2bl w:val="nil"/>
            </w:tcBorders>
            <w:noWrap w:val="0"/>
            <w:tcMar>
              <w:top w:w="15" w:type="dxa"/>
              <w:left w:w="15" w:type="dxa"/>
              <w:right w:w="15" w:type="dxa"/>
            </w:tcMar>
            <w:vAlign w:val="bottom"/>
          </w:tcPr>
          <w:p w14:paraId="4B26DF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7CE733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3" w:type="pct"/>
            <w:vMerge w:val="continue"/>
            <w:tcBorders>
              <w:tl2br w:val="nil"/>
              <w:tr2bl w:val="nil"/>
            </w:tcBorders>
            <w:noWrap/>
            <w:tcMar>
              <w:top w:w="15" w:type="dxa"/>
              <w:left w:w="15" w:type="dxa"/>
              <w:right w:w="15" w:type="dxa"/>
            </w:tcMar>
            <w:vAlign w:val="center"/>
          </w:tcPr>
          <w:p w14:paraId="109CDE3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66557D6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垃圾未分类，医疗垃圾未按规定处置。</w:t>
            </w:r>
          </w:p>
        </w:tc>
        <w:tc>
          <w:tcPr>
            <w:tcW w:w="727" w:type="pct"/>
            <w:tcBorders>
              <w:tl2br w:val="nil"/>
              <w:tr2bl w:val="nil"/>
            </w:tcBorders>
            <w:noWrap w:val="0"/>
            <w:tcMar>
              <w:top w:w="15" w:type="dxa"/>
              <w:left w:w="15" w:type="dxa"/>
              <w:right w:w="15" w:type="dxa"/>
            </w:tcMar>
            <w:vAlign w:val="center"/>
          </w:tcPr>
          <w:p w14:paraId="1A7EAA9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1分/人/次</w:t>
            </w:r>
          </w:p>
        </w:tc>
        <w:tc>
          <w:tcPr>
            <w:tcW w:w="727" w:type="pct"/>
            <w:tcBorders>
              <w:tl2br w:val="nil"/>
              <w:tr2bl w:val="nil"/>
            </w:tcBorders>
            <w:noWrap w:val="0"/>
            <w:tcMar>
              <w:top w:w="15" w:type="dxa"/>
              <w:left w:w="15" w:type="dxa"/>
              <w:right w:w="15" w:type="dxa"/>
            </w:tcMar>
            <w:vAlign w:val="bottom"/>
          </w:tcPr>
          <w:p w14:paraId="4E86185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4FCE50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3" w:type="pct"/>
            <w:vMerge w:val="restart"/>
            <w:tcBorders>
              <w:tl2br w:val="nil"/>
              <w:tr2bl w:val="nil"/>
            </w:tcBorders>
            <w:noWrap w:val="0"/>
            <w:tcMar>
              <w:top w:w="15" w:type="dxa"/>
              <w:left w:w="15" w:type="dxa"/>
              <w:right w:w="15" w:type="dxa"/>
            </w:tcMar>
            <w:vAlign w:val="center"/>
          </w:tcPr>
          <w:p w14:paraId="5B02358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特殊扣罚</w:t>
            </w:r>
          </w:p>
        </w:tc>
        <w:tc>
          <w:tcPr>
            <w:tcW w:w="2812" w:type="pct"/>
            <w:tcBorders>
              <w:tl2br w:val="nil"/>
              <w:tr2bl w:val="nil"/>
            </w:tcBorders>
            <w:noWrap w:val="0"/>
            <w:tcMar>
              <w:top w:w="15" w:type="dxa"/>
              <w:left w:w="15" w:type="dxa"/>
              <w:right w:w="15" w:type="dxa"/>
            </w:tcMar>
            <w:vAlign w:val="center"/>
          </w:tcPr>
          <w:p w14:paraId="7608BFE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未按照岗位要求正确选择合适防护用品。</w:t>
            </w:r>
          </w:p>
        </w:tc>
        <w:tc>
          <w:tcPr>
            <w:tcW w:w="727" w:type="pct"/>
            <w:tcBorders>
              <w:tl2br w:val="nil"/>
              <w:tr2bl w:val="nil"/>
            </w:tcBorders>
            <w:noWrap w:val="0"/>
            <w:tcMar>
              <w:top w:w="15" w:type="dxa"/>
              <w:left w:w="15" w:type="dxa"/>
              <w:right w:w="15" w:type="dxa"/>
            </w:tcMar>
            <w:vAlign w:val="center"/>
          </w:tcPr>
          <w:p w14:paraId="2EFAE68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1分/人/次</w:t>
            </w:r>
          </w:p>
        </w:tc>
        <w:tc>
          <w:tcPr>
            <w:tcW w:w="727" w:type="pct"/>
            <w:tcBorders>
              <w:tl2br w:val="nil"/>
              <w:tr2bl w:val="nil"/>
            </w:tcBorders>
            <w:noWrap w:val="0"/>
            <w:tcMar>
              <w:top w:w="15" w:type="dxa"/>
              <w:left w:w="15" w:type="dxa"/>
              <w:right w:w="15" w:type="dxa"/>
            </w:tcMar>
            <w:vAlign w:val="bottom"/>
          </w:tcPr>
          <w:p w14:paraId="379BC2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60676E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33" w:type="pct"/>
            <w:vMerge w:val="continue"/>
            <w:tcBorders>
              <w:tl2br w:val="nil"/>
              <w:tr2bl w:val="nil"/>
            </w:tcBorders>
            <w:noWrap w:val="0"/>
            <w:tcMar>
              <w:top w:w="15" w:type="dxa"/>
              <w:left w:w="15" w:type="dxa"/>
              <w:right w:w="15" w:type="dxa"/>
            </w:tcMar>
            <w:vAlign w:val="center"/>
          </w:tcPr>
          <w:p w14:paraId="434C236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23BB1BA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违反规定额外向病人收费；向患者索要、暗示红包。</w:t>
            </w:r>
          </w:p>
        </w:tc>
        <w:tc>
          <w:tcPr>
            <w:tcW w:w="727" w:type="pct"/>
            <w:tcBorders>
              <w:tl2br w:val="nil"/>
              <w:tr2bl w:val="nil"/>
            </w:tcBorders>
            <w:noWrap w:val="0"/>
            <w:tcMar>
              <w:top w:w="15" w:type="dxa"/>
              <w:left w:w="15" w:type="dxa"/>
              <w:right w:w="15" w:type="dxa"/>
            </w:tcMar>
            <w:vAlign w:val="center"/>
          </w:tcPr>
          <w:p w14:paraId="00579FF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2分/人/次</w:t>
            </w:r>
          </w:p>
        </w:tc>
        <w:tc>
          <w:tcPr>
            <w:tcW w:w="727" w:type="pct"/>
            <w:tcBorders>
              <w:tl2br w:val="nil"/>
              <w:tr2bl w:val="nil"/>
            </w:tcBorders>
            <w:noWrap w:val="0"/>
            <w:tcMar>
              <w:top w:w="15" w:type="dxa"/>
              <w:left w:w="15" w:type="dxa"/>
              <w:right w:w="15" w:type="dxa"/>
            </w:tcMar>
            <w:vAlign w:val="bottom"/>
          </w:tcPr>
          <w:p w14:paraId="41E65B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4EEE4A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33" w:type="pct"/>
            <w:vMerge w:val="continue"/>
            <w:tcBorders>
              <w:tl2br w:val="nil"/>
              <w:tr2bl w:val="nil"/>
            </w:tcBorders>
            <w:noWrap w:val="0"/>
            <w:tcMar>
              <w:top w:w="15" w:type="dxa"/>
              <w:left w:w="15" w:type="dxa"/>
              <w:right w:w="15" w:type="dxa"/>
            </w:tcMar>
            <w:vAlign w:val="center"/>
          </w:tcPr>
          <w:p w14:paraId="71D534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08A901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向患者售卖</w:t>
            </w:r>
            <w:r>
              <w:rPr>
                <w:rFonts w:hint="eastAsia" w:ascii="宋体" w:hAnsi="宋体" w:cs="宋体"/>
                <w:color w:val="auto"/>
                <w:sz w:val="21"/>
                <w:szCs w:val="21"/>
                <w:highlight w:val="none"/>
                <w:lang w:eastAsia="zh-CN"/>
              </w:rPr>
              <w:t>陪护</w:t>
            </w:r>
            <w:r>
              <w:rPr>
                <w:rFonts w:hint="eastAsia" w:ascii="宋体" w:hAnsi="宋体" w:eastAsia="宋体" w:cs="宋体"/>
                <w:color w:val="auto"/>
                <w:sz w:val="21"/>
                <w:szCs w:val="21"/>
                <w:highlight w:val="none"/>
              </w:rPr>
              <w:t>用品等违反院感规定按公司规定严格处理。</w:t>
            </w:r>
          </w:p>
        </w:tc>
        <w:tc>
          <w:tcPr>
            <w:tcW w:w="727" w:type="pct"/>
            <w:tcBorders>
              <w:tl2br w:val="nil"/>
              <w:tr2bl w:val="nil"/>
            </w:tcBorders>
            <w:noWrap w:val="0"/>
            <w:tcMar>
              <w:top w:w="15" w:type="dxa"/>
              <w:left w:w="15" w:type="dxa"/>
              <w:right w:w="15" w:type="dxa"/>
            </w:tcMar>
            <w:vAlign w:val="center"/>
          </w:tcPr>
          <w:p w14:paraId="53F2543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2分/人/次</w:t>
            </w:r>
          </w:p>
        </w:tc>
        <w:tc>
          <w:tcPr>
            <w:tcW w:w="727" w:type="pct"/>
            <w:tcBorders>
              <w:tl2br w:val="nil"/>
              <w:tr2bl w:val="nil"/>
            </w:tcBorders>
            <w:noWrap w:val="0"/>
            <w:tcMar>
              <w:top w:w="15" w:type="dxa"/>
              <w:left w:w="15" w:type="dxa"/>
              <w:right w:w="15" w:type="dxa"/>
            </w:tcMar>
            <w:vAlign w:val="bottom"/>
          </w:tcPr>
          <w:p w14:paraId="2FD3AA7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3B8705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3" w:type="pct"/>
            <w:vMerge w:val="continue"/>
            <w:tcBorders>
              <w:tl2br w:val="nil"/>
              <w:tr2bl w:val="nil"/>
            </w:tcBorders>
            <w:noWrap w:val="0"/>
            <w:tcMar>
              <w:top w:w="15" w:type="dxa"/>
              <w:left w:w="15" w:type="dxa"/>
              <w:right w:w="15" w:type="dxa"/>
            </w:tcMar>
            <w:vAlign w:val="center"/>
          </w:tcPr>
          <w:p w14:paraId="511035B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6B4810C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未经岗位培训考核上岗，无健康证等相关证件上岗。</w:t>
            </w:r>
          </w:p>
        </w:tc>
        <w:tc>
          <w:tcPr>
            <w:tcW w:w="727" w:type="pct"/>
            <w:tcBorders>
              <w:tl2br w:val="nil"/>
              <w:tr2bl w:val="nil"/>
            </w:tcBorders>
            <w:noWrap w:val="0"/>
            <w:tcMar>
              <w:top w:w="15" w:type="dxa"/>
              <w:left w:w="15" w:type="dxa"/>
              <w:right w:w="15" w:type="dxa"/>
            </w:tcMar>
            <w:vAlign w:val="center"/>
          </w:tcPr>
          <w:p w14:paraId="7B6DAD4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2分/人/次</w:t>
            </w:r>
          </w:p>
        </w:tc>
        <w:tc>
          <w:tcPr>
            <w:tcW w:w="727" w:type="pct"/>
            <w:tcBorders>
              <w:tl2br w:val="nil"/>
              <w:tr2bl w:val="nil"/>
            </w:tcBorders>
            <w:noWrap w:val="0"/>
            <w:tcMar>
              <w:top w:w="15" w:type="dxa"/>
              <w:left w:w="15" w:type="dxa"/>
              <w:right w:w="15" w:type="dxa"/>
            </w:tcMar>
            <w:vAlign w:val="bottom"/>
          </w:tcPr>
          <w:p w14:paraId="3DDE20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1FA094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33" w:type="pct"/>
            <w:vMerge w:val="continue"/>
            <w:tcBorders>
              <w:tl2br w:val="nil"/>
              <w:tr2bl w:val="nil"/>
            </w:tcBorders>
            <w:noWrap w:val="0"/>
            <w:tcMar>
              <w:top w:w="15" w:type="dxa"/>
              <w:left w:w="15" w:type="dxa"/>
              <w:right w:w="15" w:type="dxa"/>
            </w:tcMar>
            <w:vAlign w:val="center"/>
          </w:tcPr>
          <w:p w14:paraId="23350AF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3ABCB39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主管未每日巡查无记录，对于监管反馈的问题，无持续质量改进资料反馈及落实的措施。资料未留存备案。</w:t>
            </w:r>
          </w:p>
        </w:tc>
        <w:tc>
          <w:tcPr>
            <w:tcW w:w="727" w:type="pct"/>
            <w:tcBorders>
              <w:tl2br w:val="nil"/>
              <w:tr2bl w:val="nil"/>
            </w:tcBorders>
            <w:noWrap w:val="0"/>
            <w:tcMar>
              <w:top w:w="15" w:type="dxa"/>
              <w:left w:w="15" w:type="dxa"/>
              <w:right w:w="15" w:type="dxa"/>
            </w:tcMar>
            <w:vAlign w:val="center"/>
          </w:tcPr>
          <w:p w14:paraId="66693F3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1分/人/次</w:t>
            </w:r>
          </w:p>
        </w:tc>
        <w:tc>
          <w:tcPr>
            <w:tcW w:w="727" w:type="pct"/>
            <w:tcBorders>
              <w:tl2br w:val="nil"/>
              <w:tr2bl w:val="nil"/>
            </w:tcBorders>
            <w:noWrap w:val="0"/>
            <w:tcMar>
              <w:top w:w="15" w:type="dxa"/>
              <w:left w:w="15" w:type="dxa"/>
              <w:right w:w="15" w:type="dxa"/>
            </w:tcMar>
            <w:vAlign w:val="bottom"/>
          </w:tcPr>
          <w:p w14:paraId="2F8D955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72FF7D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33" w:type="pct"/>
            <w:vMerge w:val="continue"/>
            <w:tcBorders>
              <w:tl2br w:val="nil"/>
              <w:tr2bl w:val="nil"/>
            </w:tcBorders>
            <w:noWrap w:val="0"/>
            <w:tcMar>
              <w:top w:w="15" w:type="dxa"/>
              <w:left w:w="15" w:type="dxa"/>
              <w:right w:w="15" w:type="dxa"/>
            </w:tcMar>
            <w:vAlign w:val="center"/>
          </w:tcPr>
          <w:p w14:paraId="7FAFFE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5334464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被患者、家属及医护人员投诉（经核实），屡次发生加倍扣罚。</w:t>
            </w:r>
          </w:p>
        </w:tc>
        <w:tc>
          <w:tcPr>
            <w:tcW w:w="727" w:type="pct"/>
            <w:tcBorders>
              <w:tl2br w:val="nil"/>
              <w:tr2bl w:val="nil"/>
            </w:tcBorders>
            <w:noWrap w:val="0"/>
            <w:tcMar>
              <w:top w:w="15" w:type="dxa"/>
              <w:left w:w="15" w:type="dxa"/>
              <w:right w:w="15" w:type="dxa"/>
            </w:tcMar>
            <w:vAlign w:val="center"/>
          </w:tcPr>
          <w:p w14:paraId="0EF87D7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2分/人/次</w:t>
            </w:r>
          </w:p>
        </w:tc>
        <w:tc>
          <w:tcPr>
            <w:tcW w:w="727" w:type="pct"/>
            <w:tcBorders>
              <w:tl2br w:val="nil"/>
              <w:tr2bl w:val="nil"/>
            </w:tcBorders>
            <w:noWrap w:val="0"/>
            <w:tcMar>
              <w:top w:w="15" w:type="dxa"/>
              <w:left w:w="15" w:type="dxa"/>
              <w:right w:w="15" w:type="dxa"/>
            </w:tcMar>
            <w:vAlign w:val="bottom"/>
          </w:tcPr>
          <w:p w14:paraId="7635B0A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16F10F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33" w:type="pct"/>
            <w:vMerge w:val="continue"/>
            <w:tcBorders>
              <w:tl2br w:val="nil"/>
              <w:tr2bl w:val="nil"/>
            </w:tcBorders>
            <w:noWrap w:val="0"/>
            <w:tcMar>
              <w:top w:w="15" w:type="dxa"/>
              <w:left w:w="15" w:type="dxa"/>
              <w:right w:w="15" w:type="dxa"/>
            </w:tcMar>
            <w:vAlign w:val="center"/>
          </w:tcPr>
          <w:p w14:paraId="1931F29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6777E76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严禁与院方、患方及其他工作人员发生吵架及斗殴。屡次发生予以开除。</w:t>
            </w:r>
          </w:p>
        </w:tc>
        <w:tc>
          <w:tcPr>
            <w:tcW w:w="727" w:type="pct"/>
            <w:tcBorders>
              <w:tl2br w:val="nil"/>
              <w:tr2bl w:val="nil"/>
            </w:tcBorders>
            <w:noWrap w:val="0"/>
            <w:tcMar>
              <w:top w:w="15" w:type="dxa"/>
              <w:left w:w="15" w:type="dxa"/>
              <w:right w:w="15" w:type="dxa"/>
            </w:tcMar>
            <w:vAlign w:val="center"/>
          </w:tcPr>
          <w:p w14:paraId="39DBE52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5分/人/次</w:t>
            </w:r>
          </w:p>
        </w:tc>
        <w:tc>
          <w:tcPr>
            <w:tcW w:w="727" w:type="pct"/>
            <w:tcBorders>
              <w:tl2br w:val="nil"/>
              <w:tr2bl w:val="nil"/>
            </w:tcBorders>
            <w:noWrap w:val="0"/>
            <w:tcMar>
              <w:top w:w="15" w:type="dxa"/>
              <w:left w:w="15" w:type="dxa"/>
              <w:right w:w="15" w:type="dxa"/>
            </w:tcMar>
            <w:vAlign w:val="bottom"/>
          </w:tcPr>
          <w:p w14:paraId="5154CB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17A8ED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3" w:type="pct"/>
            <w:vMerge w:val="continue"/>
            <w:tcBorders>
              <w:tl2br w:val="nil"/>
              <w:tr2bl w:val="nil"/>
            </w:tcBorders>
            <w:noWrap w:val="0"/>
            <w:tcMar>
              <w:top w:w="15" w:type="dxa"/>
              <w:left w:w="15" w:type="dxa"/>
              <w:right w:w="15" w:type="dxa"/>
            </w:tcMar>
            <w:vAlign w:val="center"/>
          </w:tcPr>
          <w:p w14:paraId="3717E80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13FD238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跨病房、跨科室、跨楼层陪护患者，不按要求陪护患者。</w:t>
            </w:r>
          </w:p>
        </w:tc>
        <w:tc>
          <w:tcPr>
            <w:tcW w:w="727" w:type="pct"/>
            <w:tcBorders>
              <w:tl2br w:val="nil"/>
              <w:tr2bl w:val="nil"/>
            </w:tcBorders>
            <w:noWrap w:val="0"/>
            <w:tcMar>
              <w:top w:w="15" w:type="dxa"/>
              <w:left w:w="15" w:type="dxa"/>
              <w:right w:w="15" w:type="dxa"/>
            </w:tcMar>
            <w:vAlign w:val="center"/>
          </w:tcPr>
          <w:p w14:paraId="7531650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2分/人/次</w:t>
            </w:r>
          </w:p>
        </w:tc>
        <w:tc>
          <w:tcPr>
            <w:tcW w:w="727" w:type="pct"/>
            <w:tcBorders>
              <w:tl2br w:val="nil"/>
              <w:tr2bl w:val="nil"/>
            </w:tcBorders>
            <w:noWrap w:val="0"/>
            <w:tcMar>
              <w:top w:w="15" w:type="dxa"/>
              <w:left w:w="15" w:type="dxa"/>
              <w:right w:w="15" w:type="dxa"/>
            </w:tcMar>
            <w:vAlign w:val="bottom"/>
          </w:tcPr>
          <w:p w14:paraId="6D322F6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50B8FD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33" w:type="pct"/>
            <w:vMerge w:val="continue"/>
            <w:tcBorders>
              <w:tl2br w:val="nil"/>
              <w:tr2bl w:val="nil"/>
            </w:tcBorders>
            <w:noWrap w:val="0"/>
            <w:tcMar>
              <w:top w:w="15" w:type="dxa"/>
              <w:left w:w="15" w:type="dxa"/>
              <w:right w:w="15" w:type="dxa"/>
            </w:tcMar>
            <w:vAlign w:val="center"/>
          </w:tcPr>
          <w:p w14:paraId="49160A1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53F6FB1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从事、干涉医务人员的工作。</w:t>
            </w:r>
          </w:p>
        </w:tc>
        <w:tc>
          <w:tcPr>
            <w:tcW w:w="727" w:type="pct"/>
            <w:tcBorders>
              <w:tl2br w:val="nil"/>
              <w:tr2bl w:val="nil"/>
            </w:tcBorders>
            <w:noWrap w:val="0"/>
            <w:tcMar>
              <w:top w:w="15" w:type="dxa"/>
              <w:left w:w="15" w:type="dxa"/>
              <w:right w:w="15" w:type="dxa"/>
            </w:tcMar>
            <w:vAlign w:val="center"/>
          </w:tcPr>
          <w:p w14:paraId="465E6AC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2分/人/次</w:t>
            </w:r>
          </w:p>
        </w:tc>
        <w:tc>
          <w:tcPr>
            <w:tcW w:w="727" w:type="pct"/>
            <w:tcBorders>
              <w:tl2br w:val="nil"/>
              <w:tr2bl w:val="nil"/>
            </w:tcBorders>
            <w:noWrap w:val="0"/>
            <w:tcMar>
              <w:top w:w="15" w:type="dxa"/>
              <w:left w:w="15" w:type="dxa"/>
              <w:right w:w="15" w:type="dxa"/>
            </w:tcMar>
            <w:vAlign w:val="bottom"/>
          </w:tcPr>
          <w:p w14:paraId="0AA20CB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37F4D1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33" w:type="pct"/>
            <w:vMerge w:val="continue"/>
            <w:tcBorders>
              <w:tl2br w:val="nil"/>
              <w:tr2bl w:val="nil"/>
            </w:tcBorders>
            <w:noWrap w:val="0"/>
            <w:tcMar>
              <w:top w:w="15" w:type="dxa"/>
              <w:left w:w="15" w:type="dxa"/>
              <w:right w:w="15" w:type="dxa"/>
            </w:tcMar>
            <w:vAlign w:val="center"/>
          </w:tcPr>
          <w:p w14:paraId="50417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28CC7A5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未按双方约定的费用收费。</w:t>
            </w:r>
          </w:p>
        </w:tc>
        <w:tc>
          <w:tcPr>
            <w:tcW w:w="727" w:type="pct"/>
            <w:tcBorders>
              <w:tl2br w:val="nil"/>
              <w:tr2bl w:val="nil"/>
            </w:tcBorders>
            <w:noWrap w:val="0"/>
            <w:tcMar>
              <w:top w:w="15" w:type="dxa"/>
              <w:left w:w="15" w:type="dxa"/>
              <w:right w:w="15" w:type="dxa"/>
            </w:tcMar>
            <w:vAlign w:val="center"/>
          </w:tcPr>
          <w:p w14:paraId="09BE487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2分/人/次</w:t>
            </w:r>
          </w:p>
        </w:tc>
        <w:tc>
          <w:tcPr>
            <w:tcW w:w="727" w:type="pct"/>
            <w:tcBorders>
              <w:tl2br w:val="nil"/>
              <w:tr2bl w:val="nil"/>
            </w:tcBorders>
            <w:noWrap w:val="0"/>
            <w:tcMar>
              <w:top w:w="15" w:type="dxa"/>
              <w:left w:w="15" w:type="dxa"/>
              <w:right w:w="15" w:type="dxa"/>
            </w:tcMar>
            <w:vAlign w:val="top"/>
          </w:tcPr>
          <w:p w14:paraId="33B17E5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31708A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33" w:type="pct"/>
            <w:vMerge w:val="continue"/>
            <w:tcBorders>
              <w:tl2br w:val="nil"/>
              <w:tr2bl w:val="nil"/>
            </w:tcBorders>
            <w:noWrap w:val="0"/>
            <w:tcMar>
              <w:top w:w="15" w:type="dxa"/>
              <w:left w:w="15" w:type="dxa"/>
              <w:right w:w="15" w:type="dxa"/>
            </w:tcMar>
            <w:vAlign w:val="center"/>
          </w:tcPr>
          <w:p w14:paraId="5065789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60FA23A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患者及家属有陪护需求，双方经协商约定到岗时间，未能在约定时间提供陪护服务。</w:t>
            </w:r>
          </w:p>
        </w:tc>
        <w:tc>
          <w:tcPr>
            <w:tcW w:w="727" w:type="pct"/>
            <w:tcBorders>
              <w:tl2br w:val="nil"/>
              <w:tr2bl w:val="nil"/>
            </w:tcBorders>
            <w:noWrap w:val="0"/>
            <w:tcMar>
              <w:top w:w="15" w:type="dxa"/>
              <w:left w:w="15" w:type="dxa"/>
              <w:right w:w="15" w:type="dxa"/>
            </w:tcMar>
            <w:vAlign w:val="center"/>
          </w:tcPr>
          <w:p w14:paraId="6788043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1分/人/次</w:t>
            </w:r>
          </w:p>
        </w:tc>
        <w:tc>
          <w:tcPr>
            <w:tcW w:w="727" w:type="pct"/>
            <w:tcBorders>
              <w:tl2br w:val="nil"/>
              <w:tr2bl w:val="nil"/>
            </w:tcBorders>
            <w:noWrap w:val="0"/>
            <w:tcMar>
              <w:top w:w="15" w:type="dxa"/>
              <w:left w:w="15" w:type="dxa"/>
              <w:right w:w="15" w:type="dxa"/>
            </w:tcMar>
            <w:vAlign w:val="top"/>
          </w:tcPr>
          <w:p w14:paraId="65DEE16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3A2593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733" w:type="pct"/>
            <w:vMerge w:val="continue"/>
            <w:tcBorders>
              <w:tl2br w:val="nil"/>
              <w:tr2bl w:val="nil"/>
            </w:tcBorders>
            <w:noWrap w:val="0"/>
            <w:tcMar>
              <w:top w:w="15" w:type="dxa"/>
              <w:left w:w="15" w:type="dxa"/>
              <w:right w:w="15" w:type="dxa"/>
            </w:tcMar>
            <w:vAlign w:val="center"/>
          </w:tcPr>
          <w:p w14:paraId="100D2A9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c>
          <w:tcPr>
            <w:tcW w:w="2812" w:type="pct"/>
            <w:tcBorders>
              <w:tl2br w:val="nil"/>
              <w:tr2bl w:val="nil"/>
            </w:tcBorders>
            <w:noWrap w:val="0"/>
            <w:tcMar>
              <w:top w:w="15" w:type="dxa"/>
              <w:left w:w="15" w:type="dxa"/>
              <w:right w:w="15" w:type="dxa"/>
            </w:tcMar>
            <w:vAlign w:val="center"/>
          </w:tcPr>
          <w:p w14:paraId="6CA61F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陪护期间违反上级及医院相关规定。</w:t>
            </w:r>
          </w:p>
        </w:tc>
        <w:tc>
          <w:tcPr>
            <w:tcW w:w="727" w:type="pct"/>
            <w:tcBorders>
              <w:tl2br w:val="nil"/>
              <w:tr2bl w:val="nil"/>
            </w:tcBorders>
            <w:noWrap w:val="0"/>
            <w:tcMar>
              <w:top w:w="15" w:type="dxa"/>
              <w:left w:w="15" w:type="dxa"/>
              <w:right w:w="15" w:type="dxa"/>
            </w:tcMar>
            <w:vAlign w:val="center"/>
          </w:tcPr>
          <w:p w14:paraId="4133413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2分/人/次</w:t>
            </w:r>
          </w:p>
        </w:tc>
        <w:tc>
          <w:tcPr>
            <w:tcW w:w="727" w:type="pct"/>
            <w:tcBorders>
              <w:tl2br w:val="nil"/>
              <w:tr2bl w:val="nil"/>
            </w:tcBorders>
            <w:noWrap w:val="0"/>
            <w:tcMar>
              <w:top w:w="15" w:type="dxa"/>
              <w:left w:w="15" w:type="dxa"/>
              <w:right w:w="15" w:type="dxa"/>
            </w:tcMar>
            <w:vAlign w:val="top"/>
          </w:tcPr>
          <w:p w14:paraId="636F19E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r w14:paraId="45699B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4272" w:type="pct"/>
            <w:gridSpan w:val="3"/>
            <w:tcBorders>
              <w:tl2br w:val="nil"/>
              <w:tr2bl w:val="nil"/>
            </w:tcBorders>
            <w:noWrap w:val="0"/>
            <w:tcMar>
              <w:top w:w="15" w:type="dxa"/>
              <w:left w:w="15" w:type="dxa"/>
              <w:right w:w="15" w:type="dxa"/>
            </w:tcMar>
            <w:vAlign w:val="center"/>
          </w:tcPr>
          <w:p w14:paraId="4A6BEC2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合计</w:t>
            </w:r>
          </w:p>
        </w:tc>
        <w:tc>
          <w:tcPr>
            <w:tcW w:w="727" w:type="pct"/>
            <w:tcBorders>
              <w:tl2br w:val="nil"/>
              <w:tr2bl w:val="nil"/>
            </w:tcBorders>
            <w:noWrap w:val="0"/>
            <w:tcMar>
              <w:top w:w="15" w:type="dxa"/>
              <w:left w:w="15" w:type="dxa"/>
              <w:right w:w="15" w:type="dxa"/>
            </w:tcMar>
            <w:vAlign w:val="top"/>
          </w:tcPr>
          <w:p w14:paraId="4CD4943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p>
        </w:tc>
      </w:tr>
    </w:tbl>
    <w:p w14:paraId="0A1F155E">
      <w:pPr>
        <w:rPr>
          <w:rFonts w:hint="eastAsia"/>
          <w:b/>
          <w:color w:val="auto"/>
          <w:sz w:val="32"/>
          <w:highlight w:val="none"/>
        </w:rPr>
      </w:pPr>
    </w:p>
    <w:p w14:paraId="355D0108">
      <w:pPr>
        <w:rPr>
          <w:rFonts w:hint="eastAsia"/>
          <w:b/>
          <w:color w:val="auto"/>
          <w:sz w:val="32"/>
          <w:highlight w:val="none"/>
        </w:rPr>
      </w:pPr>
      <w:r>
        <w:rPr>
          <w:rFonts w:hint="eastAsia"/>
          <w:b/>
          <w:color w:val="auto"/>
          <w:sz w:val="32"/>
          <w:highlight w:val="none"/>
        </w:rPr>
        <w:br w:type="page"/>
      </w:r>
    </w:p>
    <w:p w14:paraId="21162041">
      <w:pPr>
        <w:pStyle w:val="14"/>
        <w:ind w:left="0" w:leftChars="0" w:firstLine="0" w:firstLineChars="0"/>
        <w:jc w:val="center"/>
        <w:outlineLvl w:val="0"/>
        <w:rPr>
          <w:b/>
          <w:color w:val="auto"/>
          <w:highlight w:val="none"/>
        </w:rPr>
      </w:pPr>
      <w:r>
        <w:rPr>
          <w:rFonts w:hint="eastAsia"/>
          <w:b/>
          <w:color w:val="auto"/>
          <w:sz w:val="32"/>
          <w:highlight w:val="none"/>
        </w:rPr>
        <w:t>第四章  商务条款</w:t>
      </w:r>
    </w:p>
    <w:tbl>
      <w:tblPr>
        <w:tblStyle w:val="50"/>
        <w:tblW w:w="9354"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8436"/>
      </w:tblGrid>
      <w:tr w14:paraId="3F03678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918" w:type="dxa"/>
            <w:vAlign w:val="center"/>
          </w:tcPr>
          <w:p w14:paraId="7A74117D">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436" w:type="dxa"/>
            <w:vAlign w:val="center"/>
          </w:tcPr>
          <w:p w14:paraId="75363434">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      容</w:t>
            </w:r>
          </w:p>
        </w:tc>
      </w:tr>
      <w:tr w14:paraId="539FD49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688F7CA4">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8436" w:type="dxa"/>
            <w:vAlign w:val="center"/>
          </w:tcPr>
          <w:p w14:paraId="31C35295">
            <w:pPr>
              <w:spacing w:line="400" w:lineRule="exact"/>
              <w:rPr>
                <w:rFonts w:ascii="宋体" w:hAnsi="宋体" w:cs="宋体"/>
                <w:color w:val="auto"/>
                <w:szCs w:val="21"/>
                <w:highlight w:val="none"/>
              </w:rPr>
            </w:pPr>
            <w:r>
              <w:rPr>
                <w:rFonts w:hint="eastAsia" w:ascii="宋体" w:hAnsi="宋体" w:cs="宋体"/>
                <w:color w:val="auto"/>
                <w:szCs w:val="21"/>
                <w:highlight w:val="none"/>
              </w:rPr>
              <w:t>服务地点：采购人指定地点</w:t>
            </w:r>
          </w:p>
        </w:tc>
      </w:tr>
      <w:tr w14:paraId="004027E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0929207D">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8436" w:type="dxa"/>
            <w:vAlign w:val="center"/>
          </w:tcPr>
          <w:p w14:paraId="1EDFA84A">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服务期限：</w:t>
            </w:r>
            <w:r>
              <w:rPr>
                <w:rFonts w:hint="eastAsia"/>
                <w:color w:val="auto"/>
                <w:sz w:val="21"/>
                <w:szCs w:val="21"/>
                <w:highlight w:val="none"/>
                <w:lang w:eastAsia="zh-CN"/>
              </w:rPr>
              <w:t>合同签订生效之日起一年。</w:t>
            </w:r>
          </w:p>
        </w:tc>
      </w:tr>
      <w:tr w14:paraId="5E42365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994" w:hRule="atLeast"/>
          <w:jc w:val="center"/>
        </w:trPr>
        <w:tc>
          <w:tcPr>
            <w:tcW w:w="918" w:type="dxa"/>
            <w:vAlign w:val="center"/>
          </w:tcPr>
          <w:p w14:paraId="4FA6C5B0">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lang w:eastAsia="zh-CN"/>
              </w:rPr>
              <w:t>★</w:t>
            </w:r>
            <w:r>
              <w:rPr>
                <w:rFonts w:hint="eastAsia" w:ascii="宋体" w:hAnsi="宋体" w:cs="宋体"/>
                <w:color w:val="auto"/>
                <w:szCs w:val="21"/>
                <w:highlight w:val="none"/>
              </w:rPr>
              <w:t>3</w:t>
            </w:r>
          </w:p>
        </w:tc>
        <w:tc>
          <w:tcPr>
            <w:tcW w:w="8436" w:type="dxa"/>
            <w:vAlign w:val="center"/>
          </w:tcPr>
          <w:p w14:paraId="1D57011E">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付款方法和条件：</w:t>
            </w:r>
          </w:p>
          <w:p w14:paraId="21DB9B2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按月支付，合同生效后每月5日支付前月的实际到岗人数的实际金额，经审核无误后，中标供应商提交考核报告及有效正规税务发票给采购人作为付款凭据，支付时扣除前月中标供应商应支付的违约金和应承担的赔偿款。</w:t>
            </w:r>
          </w:p>
          <w:p w14:paraId="4C75B4E7">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2、结算费用=（∑综合单价×配置人数）－当次乙方应支付的违约金和应承担的赔偿金额</w:t>
            </w:r>
            <w:r>
              <w:rPr>
                <w:rFonts w:hint="eastAsia" w:ascii="宋体" w:hAnsi="宋体" w:cs="宋体"/>
                <w:color w:val="auto"/>
                <w:szCs w:val="21"/>
                <w:highlight w:val="none"/>
                <w:lang w:eastAsia="zh-CN"/>
              </w:rPr>
              <w:t>。</w:t>
            </w:r>
          </w:p>
        </w:tc>
      </w:tr>
      <w:tr w14:paraId="26C34F8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331E6BFB">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436" w:type="dxa"/>
            <w:vAlign w:val="center"/>
          </w:tcPr>
          <w:p w14:paraId="36E91E72">
            <w:pPr>
              <w:spacing w:line="400" w:lineRule="exact"/>
              <w:rPr>
                <w:rFonts w:ascii="宋体" w:hAnsi="宋体" w:cs="宋体"/>
                <w:color w:val="auto"/>
                <w:szCs w:val="21"/>
                <w:highlight w:val="none"/>
              </w:rPr>
            </w:pPr>
            <w:r>
              <w:rPr>
                <w:rFonts w:hint="eastAsia" w:ascii="宋体" w:hAnsi="宋体" w:cs="宋体"/>
                <w:color w:val="auto"/>
                <w:szCs w:val="21"/>
                <w:highlight w:val="none"/>
              </w:rPr>
              <w:t>服务质量要求：符合国家规范、规程和地方法规及“招标内容与服务需求”等规定。</w:t>
            </w:r>
          </w:p>
        </w:tc>
      </w:tr>
      <w:tr w14:paraId="5C9A04E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51A5679E">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436" w:type="dxa"/>
            <w:vAlign w:val="center"/>
          </w:tcPr>
          <w:p w14:paraId="4350BE28">
            <w:pPr>
              <w:autoSpaceDE w:val="0"/>
              <w:autoSpaceDN w:val="0"/>
              <w:adjustRightInd w:val="0"/>
              <w:spacing w:line="360" w:lineRule="exact"/>
              <w:rPr>
                <w:rFonts w:ascii="宋体" w:hAnsi="宋体"/>
                <w:color w:val="auto"/>
                <w:szCs w:val="21"/>
                <w:highlight w:val="none"/>
              </w:rPr>
            </w:pPr>
            <w:r>
              <w:rPr>
                <w:rFonts w:hint="eastAsia" w:ascii="宋体" w:hAnsi="宋体" w:cs="宋体"/>
                <w:color w:val="auto"/>
                <w:szCs w:val="21"/>
                <w:highlight w:val="none"/>
              </w:rPr>
              <w:t>履约保证金金额：本项目不适用</w:t>
            </w:r>
            <w:r>
              <w:rPr>
                <w:rFonts w:hint="eastAsia" w:ascii="宋体" w:hAnsi="宋体" w:cs="宋体"/>
                <w:color w:val="auto"/>
                <w:szCs w:val="21"/>
                <w:highlight w:val="none"/>
                <w:lang w:val="zh-CN"/>
              </w:rPr>
              <w:t>。</w:t>
            </w:r>
          </w:p>
          <w:p w14:paraId="38D765C7">
            <w:pPr>
              <w:autoSpaceDE w:val="0"/>
              <w:autoSpaceDN w:val="0"/>
              <w:adjustRightInd w:val="0"/>
              <w:spacing w:line="360" w:lineRule="exact"/>
              <w:rPr>
                <w:rFonts w:ascii="宋体" w:hAnsi="宋体"/>
                <w:color w:val="auto"/>
                <w:szCs w:val="21"/>
                <w:highlight w:val="none"/>
                <w:lang w:val="zh-CN"/>
              </w:rPr>
            </w:pPr>
            <w:r>
              <w:rPr>
                <w:rFonts w:hint="eastAsia" w:ascii="宋体" w:hAnsi="宋体"/>
                <w:color w:val="auto"/>
                <w:szCs w:val="21"/>
                <w:highlight w:val="none"/>
                <w:lang w:val="zh-CN"/>
              </w:rPr>
              <w:t>履约保证金形式：</w:t>
            </w:r>
          </w:p>
          <w:p w14:paraId="5F849E6B">
            <w:pPr>
              <w:spacing w:line="400" w:lineRule="exact"/>
              <w:rPr>
                <w:rFonts w:ascii="宋体" w:hAnsi="宋体" w:cs="宋体"/>
                <w:color w:val="auto"/>
                <w:szCs w:val="21"/>
                <w:highlight w:val="none"/>
              </w:rPr>
            </w:pPr>
            <w:r>
              <w:rPr>
                <w:rFonts w:hint="eastAsia" w:ascii="宋体" w:hAnsi="宋体"/>
                <w:color w:val="auto"/>
                <w:szCs w:val="21"/>
                <w:highlight w:val="none"/>
                <w:lang w:val="zh-CN"/>
              </w:rPr>
              <w:t>银行汇票（电汇）、现金、支票（仅限于使用宁波大市区范围内的银行开具的支票）、履约保函。</w:t>
            </w:r>
          </w:p>
        </w:tc>
      </w:tr>
      <w:tr w14:paraId="05F3D9EC">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6F1FB78A">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lang w:eastAsia="zh-CN"/>
              </w:rPr>
              <w:t>★</w:t>
            </w:r>
            <w:r>
              <w:rPr>
                <w:rFonts w:hint="eastAsia" w:ascii="宋体" w:hAnsi="宋体" w:cs="宋体"/>
                <w:color w:val="auto"/>
                <w:szCs w:val="21"/>
                <w:highlight w:val="none"/>
              </w:rPr>
              <w:t>6</w:t>
            </w:r>
          </w:p>
        </w:tc>
        <w:tc>
          <w:tcPr>
            <w:tcW w:w="8436" w:type="dxa"/>
            <w:vAlign w:val="center"/>
          </w:tcPr>
          <w:p w14:paraId="6FF2B78B">
            <w:pPr>
              <w:autoSpaceDE w:val="0"/>
              <w:autoSpaceDN w:val="0"/>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授予合同：</w:t>
            </w:r>
          </w:p>
          <w:p w14:paraId="6DE63FB2">
            <w:pPr>
              <w:autoSpaceDE w:val="0"/>
              <w:autoSpaceDN w:val="0"/>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（1）按照招标文件的规定、中标供应商的投标响应及中标通知书确定的金额签订合同</w:t>
            </w:r>
          </w:p>
          <w:p w14:paraId="5D99B778">
            <w:pPr>
              <w:pStyle w:val="3"/>
              <w:spacing w:line="400" w:lineRule="exact"/>
              <w:rPr>
                <w:rFonts w:cs="宋体"/>
                <w:color w:val="auto"/>
                <w:sz w:val="21"/>
                <w:szCs w:val="21"/>
                <w:highlight w:val="none"/>
              </w:rPr>
            </w:pPr>
            <w:r>
              <w:rPr>
                <w:rFonts w:hint="eastAsia" w:cs="宋体"/>
                <w:b/>
                <w:bCs/>
                <w:color w:val="auto"/>
                <w:sz w:val="21"/>
                <w:szCs w:val="21"/>
                <w:highlight w:val="none"/>
              </w:rPr>
              <w:t>（2）采购人可以根据实际需要在中标总金额的10%范围内对人、物的数量适当的调整。</w:t>
            </w:r>
          </w:p>
        </w:tc>
      </w:tr>
      <w:tr w14:paraId="214B1D6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3CAC9421">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lang w:eastAsia="zh-CN"/>
              </w:rPr>
              <w:t>★</w:t>
            </w:r>
            <w:r>
              <w:rPr>
                <w:rFonts w:hint="eastAsia" w:ascii="宋体" w:hAnsi="宋体" w:cs="宋体"/>
                <w:color w:val="auto"/>
                <w:szCs w:val="21"/>
                <w:highlight w:val="none"/>
              </w:rPr>
              <w:t>7</w:t>
            </w:r>
          </w:p>
        </w:tc>
        <w:tc>
          <w:tcPr>
            <w:tcW w:w="8436" w:type="dxa"/>
            <w:vAlign w:val="center"/>
          </w:tcPr>
          <w:p w14:paraId="47A6BF6D">
            <w:pPr>
              <w:autoSpaceDE w:val="0"/>
              <w:autoSpaceDN w:val="0"/>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合同终止：</w:t>
            </w:r>
          </w:p>
          <w:p w14:paraId="3D6A78AB">
            <w:pPr>
              <w:autoSpaceDE w:val="0"/>
              <w:autoSpaceDN w:val="0"/>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中标供应商在合同有效期内，不得以任何理由终止合同，确有特殊情况的，须提前两个月向采购人提出书面申请，经采购人同意后，方可终止合同，同时酌情扣除保证金。因中标供应商不能保证工作质量，或发生重大差错事故的，采购人有权终止协议，中标供应商承担全部责任。</w:t>
            </w:r>
          </w:p>
        </w:tc>
      </w:tr>
      <w:tr w14:paraId="64ECA66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62C09236">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rPr>
              <w:t>8</w:t>
            </w:r>
          </w:p>
        </w:tc>
        <w:tc>
          <w:tcPr>
            <w:tcW w:w="8436" w:type="dxa"/>
            <w:vAlign w:val="center"/>
          </w:tcPr>
          <w:p w14:paraId="69B05D00">
            <w:pPr>
              <w:autoSpaceDE w:val="0"/>
              <w:autoSpaceDN w:val="0"/>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合同签订时间：中标通知书发出之日起30天内签订合同</w:t>
            </w:r>
          </w:p>
        </w:tc>
      </w:tr>
    </w:tbl>
    <w:p w14:paraId="2CE858A5">
      <w:pPr>
        <w:spacing w:line="440" w:lineRule="exact"/>
        <w:rPr>
          <w:rFonts w:ascii="宋体" w:hAnsi="宋体"/>
          <w:color w:val="auto"/>
          <w:szCs w:val="21"/>
          <w:highlight w:val="none"/>
        </w:rPr>
      </w:pPr>
      <w:r>
        <w:rPr>
          <w:rFonts w:hint="eastAsia" w:ascii="宋体" w:hAnsi="宋体"/>
          <w:color w:val="auto"/>
          <w:szCs w:val="21"/>
          <w:highlight w:val="none"/>
        </w:rPr>
        <w:t>编制说明：</w:t>
      </w:r>
    </w:p>
    <w:p w14:paraId="3807FFCD">
      <w:pPr>
        <w:widowControl/>
        <w:textAlignment w:val="center"/>
        <w:rPr>
          <w:rFonts w:hint="eastAsia" w:ascii="宋体" w:hAnsi="宋体"/>
          <w:b/>
          <w:color w:val="auto"/>
          <w:szCs w:val="21"/>
          <w:highlight w:val="none"/>
        </w:rPr>
      </w:pPr>
      <w:r>
        <w:rPr>
          <w:rFonts w:hint="eastAsia" w:ascii="宋体" w:hAnsi="宋体"/>
          <w:b/>
          <w:color w:val="auto"/>
          <w:szCs w:val="21"/>
          <w:highlight w:val="none"/>
        </w:rPr>
        <w:t>本表内标有“</w:t>
      </w:r>
      <w:r>
        <w:rPr>
          <w:rFonts w:hint="eastAsia" w:ascii="宋体" w:hAnsi="宋体" w:cs="宋体"/>
          <w:b/>
          <w:color w:val="auto"/>
          <w:szCs w:val="21"/>
          <w:highlight w:val="none"/>
          <w:lang w:eastAsia="zh-CN"/>
        </w:rPr>
        <w:t>★</w:t>
      </w:r>
      <w:r>
        <w:rPr>
          <w:rFonts w:hint="eastAsia" w:ascii="宋体" w:hAnsi="宋体"/>
          <w:b/>
          <w:color w:val="auto"/>
          <w:szCs w:val="21"/>
          <w:highlight w:val="none"/>
        </w:rPr>
        <w:t>”的条款为“实质性要求”条款，对这些条款的任何负偏离都作无效投标处理。</w:t>
      </w:r>
      <w:bookmarkEnd w:id="13"/>
    </w:p>
    <w:p w14:paraId="1AAC3F89">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br w:type="page"/>
      </w:r>
    </w:p>
    <w:p w14:paraId="167F6381">
      <w:pPr>
        <w:spacing w:line="360" w:lineRule="auto"/>
        <w:rPr>
          <w:color w:val="auto"/>
          <w:highlight w:val="none"/>
        </w:rPr>
        <w:sectPr>
          <w:headerReference r:id="rId8" w:type="default"/>
          <w:footerReference r:id="rId9" w:type="default"/>
          <w:pgSz w:w="11907" w:h="16840"/>
          <w:pgMar w:top="1083" w:right="1406" w:bottom="1138" w:left="1545" w:header="284" w:footer="989" w:gutter="0"/>
          <w:pgBorders>
            <w:top w:val="none" w:sz="0" w:space="0"/>
            <w:left w:val="none" w:sz="0" w:space="0"/>
            <w:bottom w:val="none" w:sz="0" w:space="0"/>
            <w:right w:val="none" w:sz="0" w:space="0"/>
          </w:pgBorders>
          <w:cols w:space="720" w:num="1"/>
          <w:docGrid w:linePitch="285" w:charSpace="0"/>
        </w:sectPr>
      </w:pPr>
    </w:p>
    <w:p w14:paraId="62863AAB">
      <w:pPr>
        <w:spacing w:line="360" w:lineRule="auto"/>
        <w:jc w:val="center"/>
        <w:outlineLvl w:val="0"/>
        <w:rPr>
          <w:rFonts w:ascii="宋体" w:hAnsi="宋体"/>
          <w:b/>
          <w:color w:val="auto"/>
          <w:sz w:val="32"/>
          <w:highlight w:val="none"/>
        </w:rPr>
      </w:pPr>
      <w:bookmarkStart w:id="14" w:name="_Toc44162154"/>
      <w:bookmarkStart w:id="15" w:name="_Toc216662965"/>
      <w:r>
        <w:rPr>
          <w:rFonts w:hint="eastAsia" w:ascii="宋体" w:hAnsi="宋体"/>
          <w:b/>
          <w:color w:val="auto"/>
          <w:sz w:val="32"/>
          <w:highlight w:val="none"/>
        </w:rPr>
        <w:t>第五章  评标办法及标准</w:t>
      </w:r>
      <w:bookmarkEnd w:id="14"/>
    </w:p>
    <w:p w14:paraId="102E478A">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3518132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14:paraId="214A76A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分。供应商的综合得分为商务和技术得分与报价得分之和。按综合得分由高到低的排序，推荐中标候选人。若供应商的综合得分相等，则投标报价低者列前；若投标报价也相同时，采取随机</w:t>
      </w:r>
      <w:r>
        <w:rPr>
          <w:rFonts w:hint="eastAsia" w:ascii="宋体" w:hAnsi="宋体"/>
          <w:color w:val="auto"/>
          <w:szCs w:val="21"/>
          <w:highlight w:val="none"/>
          <w:lang w:eastAsia="zh-CN"/>
        </w:rPr>
        <w:t>抽取</w:t>
      </w:r>
      <w:r>
        <w:rPr>
          <w:rFonts w:hint="eastAsia" w:ascii="宋体" w:hAnsi="宋体"/>
          <w:color w:val="auto"/>
          <w:szCs w:val="21"/>
          <w:highlight w:val="none"/>
        </w:rPr>
        <w:t>的方式确定排序。</w:t>
      </w:r>
    </w:p>
    <w:p w14:paraId="7BC83680">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091E68C8">
      <w:pPr>
        <w:tabs>
          <w:tab w:val="left" w:pos="7350"/>
        </w:tabs>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1.4本次采购为专门面向中小企业，采购标的对应的中小企业划分标准所属行业为</w:t>
      </w:r>
      <w:r>
        <w:rPr>
          <w:rFonts w:hint="eastAsia" w:ascii="宋体" w:hAnsi="宋体" w:cs="宋体"/>
          <w:b/>
          <w:bCs/>
          <w:color w:val="auto"/>
          <w:highlight w:val="none"/>
          <w:u w:val="single"/>
        </w:rPr>
        <w:t>租赁和商务服务业</w:t>
      </w:r>
      <w:r>
        <w:rPr>
          <w:rFonts w:hint="eastAsia" w:ascii="宋体" w:hAnsi="宋体" w:cs="宋体"/>
          <w:color w:val="auto"/>
          <w:highlight w:val="none"/>
        </w:rPr>
        <w:t>。</w:t>
      </w:r>
    </w:p>
    <w:p w14:paraId="563EB4AA">
      <w:pPr>
        <w:tabs>
          <w:tab w:val="left" w:pos="7350"/>
        </w:tabs>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1.5评标委员会成员对需要共同认定的事项存在争议的，应当按照少数服从多数的原则作出结论。</w:t>
      </w:r>
    </w:p>
    <w:p w14:paraId="53C10426">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5FD6AF80">
      <w:pPr>
        <w:spacing w:line="400" w:lineRule="exact"/>
        <w:ind w:firstLine="420" w:firstLineChars="200"/>
        <w:rPr>
          <w:rFonts w:ascii="宋体" w:hAnsi="宋体"/>
          <w:b/>
          <w:color w:val="auto"/>
          <w:szCs w:val="21"/>
          <w:highlight w:val="none"/>
        </w:rPr>
      </w:pPr>
      <w:r>
        <w:rPr>
          <w:rFonts w:ascii="宋体" w:hAnsi="宋体"/>
          <w:color w:val="auto"/>
          <w:szCs w:val="21"/>
          <w:highlight w:val="none"/>
        </w:rPr>
        <w:t>2.1</w:t>
      </w:r>
      <w:r>
        <w:rPr>
          <w:rFonts w:hint="eastAsia" w:ascii="宋体" w:hAnsi="宋体"/>
          <w:color w:val="auto"/>
          <w:szCs w:val="21"/>
          <w:highlight w:val="none"/>
        </w:rPr>
        <w:t>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034BA34D">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评分标准（兼评委打分表）”的要求，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14:paraId="5DE53293">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3在评标过程中，发现的价格计算错误按下述原则修正：</w:t>
      </w:r>
    </w:p>
    <w:p w14:paraId="2931F92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69FB74C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399C64F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16C2C85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784DF32A">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同时出现两种以上不一致的，按照前款规定的顺序修正。修正后的报价经供应商确认后产生约束力，供应商不确认的，其投标无效。</w:t>
      </w:r>
    </w:p>
    <w:p w14:paraId="3CCE8FE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3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253539F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4推荐中标候选人：按综合得分由高到低的排序，推荐中标候选人。若供应商的综合得分相等，则投标报价低者列前；若投标报价也相同时，采取随机</w:t>
      </w:r>
      <w:r>
        <w:rPr>
          <w:rFonts w:hint="eastAsia" w:ascii="宋体" w:hAnsi="宋体"/>
          <w:color w:val="auto"/>
          <w:szCs w:val="21"/>
          <w:highlight w:val="none"/>
          <w:lang w:eastAsia="zh-CN"/>
        </w:rPr>
        <w:t>抽取</w:t>
      </w:r>
      <w:r>
        <w:rPr>
          <w:rFonts w:hint="eastAsia" w:ascii="宋体" w:hAnsi="宋体"/>
          <w:color w:val="auto"/>
          <w:szCs w:val="21"/>
          <w:highlight w:val="none"/>
        </w:rPr>
        <w:t>的方式确定排序。</w:t>
      </w:r>
    </w:p>
    <w:p w14:paraId="1C9F52CD">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14:paraId="3B7DCA1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中标供应商拒绝与采购人签订合同的，采购人可以按照评审报告推荐的中标候选人名单排序，确定下一候选人为中标供应商，也可以重新开展政府采购活动。</w:t>
      </w:r>
    </w:p>
    <w:p w14:paraId="6B6D3D84">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1F70C90A">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3AAAD00D">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14:paraId="0062DF1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DC350C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160985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1EEEB6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066F42E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40E7A6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3F5AA54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F3DDF9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72E541B9">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开标现场，供应商安排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或者加盖供应商公章。书面澄清将作为投标文件内容的一部分，具有相应的法律效力。</w:t>
      </w:r>
    </w:p>
    <w:p w14:paraId="34BC0A34">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3.4</w:t>
      </w:r>
      <w:r>
        <w:rPr>
          <w:rFonts w:hint="eastAsia" w:ascii="宋体" w:hAnsi="宋体" w:cs="宋体"/>
          <w:color w:val="auto"/>
          <w:highlight w:val="none"/>
        </w:rPr>
        <w:t>供应商未在截止时间前完成澄清，将被视作自动放弃。</w:t>
      </w:r>
    </w:p>
    <w:p w14:paraId="1E776BBC">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2D9831D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074EF1E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228F47EF">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投标截止时间止，供应商少于3个的；</w:t>
      </w:r>
    </w:p>
    <w:p w14:paraId="29EB0DBA">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评标委员会评标过程中，有效供应商少于3个的；</w:t>
      </w:r>
    </w:p>
    <w:p w14:paraId="3705ACA3">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30ADE892">
      <w:pPr>
        <w:spacing w:line="400" w:lineRule="exact"/>
        <w:rPr>
          <w:rFonts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p>
    <w:p w14:paraId="6CBDF4BE">
      <w:pPr>
        <w:spacing w:line="400" w:lineRule="exact"/>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50"/>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20"/>
        <w:gridCol w:w="6148"/>
      </w:tblGrid>
      <w:tr w14:paraId="627D21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3995D471">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220" w:type="dxa"/>
            <w:noWrap/>
            <w:vAlign w:val="center"/>
          </w:tcPr>
          <w:p w14:paraId="59D87780">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6148" w:type="dxa"/>
            <w:noWrap/>
            <w:vAlign w:val="center"/>
          </w:tcPr>
          <w:p w14:paraId="3CA02189">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1B88DF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20" w:type="dxa"/>
            <w:noWrap/>
            <w:vAlign w:val="center"/>
          </w:tcPr>
          <w:p w14:paraId="1A169D22">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3220" w:type="dxa"/>
            <w:noWrap/>
            <w:vAlign w:val="center"/>
          </w:tcPr>
          <w:p w14:paraId="3DEB048D">
            <w:pPr>
              <w:spacing w:line="360" w:lineRule="exac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t>
            </w:r>
            <w:r>
              <w:rPr>
                <w:rFonts w:ascii="宋体" w:hAnsi="宋体" w:cs="仿宋"/>
                <w:color w:val="auto"/>
                <w:szCs w:val="21"/>
                <w:highlight w:val="none"/>
              </w:rPr>
              <w:t>www.creditchina.gov.cn)</w:t>
            </w:r>
            <w:r>
              <w:rPr>
                <w:rFonts w:hint="eastAsia" w:ascii="宋体" w:hAnsi="宋体" w:cs="仿宋"/>
                <w:color w:val="auto"/>
                <w:szCs w:val="21"/>
                <w:highlight w:val="none"/>
              </w:rPr>
              <w:t>、中国政府采购网（</w:t>
            </w:r>
            <w:r>
              <w:rPr>
                <w:rFonts w:ascii="宋体" w:hAnsi="宋体" w:cs="仿宋"/>
                <w:color w:val="auto"/>
                <w:szCs w:val="21"/>
                <w:highlight w:val="none"/>
              </w:rPr>
              <w:t>www.ccgp.gov.cn</w:t>
            </w:r>
            <w:r>
              <w:rPr>
                <w:rFonts w:hint="eastAsia" w:ascii="宋体" w:hAnsi="宋体" w:cs="仿宋"/>
                <w:color w:val="auto"/>
                <w:szCs w:val="21"/>
                <w:highlight w:val="none"/>
              </w:rPr>
              <w:t>）列入失信被执行人、重大税收违法失信主体、政府采购严重违法失信行为记录名单。</w:t>
            </w:r>
          </w:p>
        </w:tc>
        <w:tc>
          <w:tcPr>
            <w:tcW w:w="6148" w:type="dxa"/>
            <w:noWrap/>
            <w:vAlign w:val="center"/>
          </w:tcPr>
          <w:p w14:paraId="38E67696">
            <w:pPr>
              <w:spacing w:line="400" w:lineRule="exact"/>
              <w:jc w:val="left"/>
              <w:rPr>
                <w:rFonts w:ascii="宋体" w:hAnsi="宋体"/>
                <w:color w:val="auto"/>
                <w:szCs w:val="21"/>
                <w:highlight w:val="none"/>
              </w:rPr>
            </w:pPr>
            <w:r>
              <w:rPr>
                <w:rFonts w:hint="eastAsia" w:ascii="宋体" w:hAnsi="宋体"/>
                <w:color w:val="auto"/>
                <w:szCs w:val="21"/>
                <w:highlight w:val="none"/>
              </w:rPr>
              <w:t>A1、关于资格的承诺函（附件一）；</w:t>
            </w:r>
          </w:p>
          <w:p w14:paraId="5368AB36">
            <w:pPr>
              <w:spacing w:line="400" w:lineRule="exact"/>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2、营业执照副本（或事业法人登记证副本或其他登记证明材料）扫描件加盖供应商公章（供应商如果有名称变更的，应提供由行政主管部门出具的变更证明文件扫描件加盖供应商公章）；</w:t>
            </w:r>
          </w:p>
          <w:p w14:paraId="2DF36C4F">
            <w:pPr>
              <w:spacing w:line="400" w:lineRule="exact"/>
              <w:jc w:val="left"/>
              <w:rPr>
                <w:rFonts w:ascii="宋体" w:hAnsi="宋体"/>
                <w:b/>
                <w:bCs/>
                <w:color w:val="auto"/>
                <w:szCs w:val="21"/>
                <w:highlight w:val="none"/>
              </w:rPr>
            </w:pPr>
            <w:r>
              <w:rPr>
                <w:rFonts w:hint="eastAsia" w:ascii="宋体" w:hAnsi="宋体"/>
                <w:b/>
                <w:bCs/>
                <w:color w:val="auto"/>
                <w:szCs w:val="21"/>
                <w:highlight w:val="none"/>
              </w:rPr>
              <w:t>代理机构将于开标当天通过“信用中国”网站查询供应商失信被执行人、重大税收违法</w:t>
            </w:r>
            <w:r>
              <w:rPr>
                <w:rFonts w:hint="eastAsia" w:ascii="宋体" w:hAnsi="宋体"/>
                <w:b/>
                <w:bCs/>
                <w:color w:val="auto"/>
                <w:szCs w:val="21"/>
                <w:highlight w:val="none"/>
                <w:lang w:eastAsia="zh-CN"/>
              </w:rPr>
              <w:t>失信主体</w:t>
            </w:r>
            <w:r>
              <w:rPr>
                <w:rFonts w:hint="eastAsia" w:ascii="宋体" w:hAnsi="宋体"/>
                <w:b/>
                <w:bCs/>
                <w:color w:val="auto"/>
                <w:szCs w:val="21"/>
                <w:highlight w:val="none"/>
              </w:rPr>
              <w:t>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65D3A861">
            <w:pPr>
              <w:spacing w:line="400" w:lineRule="exact"/>
              <w:jc w:val="left"/>
              <w:rPr>
                <w:rFonts w:ascii="宋体" w:hAnsi="宋体"/>
                <w:color w:val="auto"/>
                <w:szCs w:val="21"/>
                <w:highlight w:val="none"/>
              </w:rPr>
            </w:pPr>
            <w:r>
              <w:rPr>
                <w:rFonts w:hint="eastAsia" w:ascii="宋体" w:hAnsi="宋体"/>
                <w:b/>
                <w:bCs/>
                <w:color w:val="auto"/>
                <w:szCs w:val="21"/>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tc>
      </w:tr>
      <w:tr w14:paraId="28198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ign w:val="center"/>
          </w:tcPr>
          <w:p w14:paraId="5FBEC07B">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3220" w:type="dxa"/>
            <w:noWrap/>
            <w:vAlign w:val="center"/>
          </w:tcPr>
          <w:p w14:paraId="16539B9E">
            <w:pPr>
              <w:spacing w:line="360" w:lineRule="exact"/>
              <w:jc w:val="left"/>
              <w:rPr>
                <w:rFonts w:hint="eastAsia" w:ascii="宋体" w:hAnsi="宋体"/>
                <w:color w:val="auto"/>
                <w:highlight w:val="none"/>
              </w:rPr>
            </w:pPr>
            <w:r>
              <w:rPr>
                <w:rFonts w:hint="eastAsia" w:ascii="宋体" w:hAnsi="宋体" w:cs="宋体"/>
                <w:color w:val="auto"/>
                <w:kern w:val="0"/>
                <w:szCs w:val="21"/>
                <w:highlight w:val="none"/>
              </w:rPr>
              <w:t>落实政策需满足的资格要求：本项目为专门面向中小企业采购的项目。</w:t>
            </w:r>
          </w:p>
        </w:tc>
        <w:tc>
          <w:tcPr>
            <w:tcW w:w="6148" w:type="dxa"/>
            <w:noWrap/>
            <w:vAlign w:val="center"/>
          </w:tcPr>
          <w:p w14:paraId="68E1D50B">
            <w:pPr>
              <w:spacing w:line="360" w:lineRule="exact"/>
              <w:jc w:val="left"/>
              <w:rPr>
                <w:rFonts w:hint="eastAsia" w:ascii="宋体" w:hAnsi="宋体"/>
                <w:color w:val="auto"/>
                <w:szCs w:val="21"/>
                <w:highlight w:val="none"/>
              </w:rPr>
            </w:pPr>
            <w:r>
              <w:rPr>
                <w:rFonts w:ascii="宋体" w:hAnsi="宋体"/>
                <w:color w:val="auto"/>
                <w:szCs w:val="21"/>
                <w:highlight w:val="none"/>
              </w:rPr>
              <w:t>A3</w:t>
            </w:r>
            <w:r>
              <w:rPr>
                <w:rFonts w:hint="eastAsia" w:ascii="宋体" w:hAnsi="宋体"/>
                <w:color w:val="auto"/>
                <w:szCs w:val="21"/>
                <w:highlight w:val="none"/>
              </w:rPr>
              <w:t>、中小企业声明函；</w:t>
            </w:r>
          </w:p>
          <w:p w14:paraId="205A0D06">
            <w:pPr>
              <w:spacing w:line="360" w:lineRule="exact"/>
              <w:jc w:val="left"/>
              <w:rPr>
                <w:rFonts w:hint="eastAsia" w:ascii="宋体" w:hAnsi="宋体" w:eastAsia="宋体"/>
                <w:bCs/>
                <w:color w:val="auto"/>
                <w:szCs w:val="21"/>
                <w:highlight w:val="none"/>
                <w:lang w:eastAsia="zh-CN"/>
              </w:rPr>
            </w:pPr>
            <w:r>
              <w:rPr>
                <w:rFonts w:ascii="宋体" w:hAnsi="宋体"/>
                <w:color w:val="auto"/>
                <w:szCs w:val="21"/>
                <w:highlight w:val="none"/>
              </w:rPr>
              <w:t>A4</w:t>
            </w:r>
            <w:r>
              <w:rPr>
                <w:rFonts w:hint="eastAsia" w:ascii="宋体" w:hAnsi="宋体"/>
                <w:color w:val="auto"/>
                <w:szCs w:val="21"/>
                <w:highlight w:val="none"/>
              </w:rPr>
              <w:t>、残疾人福利性单位声明函（如有需提供）</w:t>
            </w:r>
            <w:r>
              <w:rPr>
                <w:rFonts w:hint="eastAsia" w:ascii="宋体" w:hAnsi="宋体"/>
                <w:color w:val="auto"/>
                <w:szCs w:val="21"/>
                <w:highlight w:val="none"/>
                <w:lang w:eastAsia="zh-CN"/>
              </w:rPr>
              <w:t>。</w:t>
            </w:r>
          </w:p>
        </w:tc>
      </w:tr>
      <w:tr w14:paraId="64BFE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gridSpan w:val="2"/>
            <w:noWrap/>
            <w:vAlign w:val="center"/>
          </w:tcPr>
          <w:p w14:paraId="680BA591">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6148" w:type="dxa"/>
            <w:noWrap/>
            <w:vAlign w:val="center"/>
          </w:tcPr>
          <w:p w14:paraId="73F1D49E">
            <w:pPr>
              <w:spacing w:line="400" w:lineRule="exact"/>
              <w:jc w:val="center"/>
              <w:rPr>
                <w:rFonts w:ascii="宋体" w:hAnsi="宋体"/>
                <w:color w:val="auto"/>
                <w:szCs w:val="21"/>
                <w:highlight w:val="none"/>
              </w:rPr>
            </w:pPr>
          </w:p>
        </w:tc>
      </w:tr>
    </w:tbl>
    <w:p w14:paraId="48EB7778">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5795EB16">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71AA8EB0">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14:paraId="172BFBEC">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50"/>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14:paraId="45DB7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tcPr>
          <w:p w14:paraId="14DCCFC7">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245" w:type="dxa"/>
            <w:noWrap/>
            <w:vAlign w:val="center"/>
          </w:tcPr>
          <w:p w14:paraId="5B5D0DA0">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450" w:type="dxa"/>
            <w:noWrap/>
            <w:vAlign w:val="center"/>
          </w:tcPr>
          <w:p w14:paraId="59478533">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57193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1CB7F67B">
            <w:pPr>
              <w:snapToGrid w:val="0"/>
              <w:spacing w:line="400" w:lineRule="exact"/>
              <w:jc w:val="center"/>
              <w:rPr>
                <w:rFonts w:ascii="宋体" w:hAnsi="宋体"/>
                <w:color w:val="auto"/>
                <w:szCs w:val="21"/>
                <w:highlight w:val="none"/>
              </w:rPr>
            </w:pPr>
            <w:r>
              <w:rPr>
                <w:rFonts w:ascii="宋体" w:hAnsi="宋体"/>
                <w:color w:val="auto"/>
                <w:szCs w:val="21"/>
                <w:highlight w:val="none"/>
              </w:rPr>
              <w:t>1</w:t>
            </w:r>
          </w:p>
        </w:tc>
        <w:tc>
          <w:tcPr>
            <w:tcW w:w="4245" w:type="dxa"/>
            <w:noWrap/>
            <w:vAlign w:val="center"/>
          </w:tcPr>
          <w:p w14:paraId="5397B5E0">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4450" w:type="dxa"/>
            <w:noWrap/>
            <w:vAlign w:val="center"/>
          </w:tcPr>
          <w:p w14:paraId="42B32B71">
            <w:pPr>
              <w:snapToGrid w:val="0"/>
              <w:spacing w:line="40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43AC8C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E283C75">
            <w:pPr>
              <w:snapToGrid w:val="0"/>
              <w:spacing w:line="400" w:lineRule="exact"/>
              <w:jc w:val="center"/>
              <w:rPr>
                <w:rFonts w:ascii="宋体" w:hAnsi="宋体"/>
                <w:color w:val="auto"/>
                <w:szCs w:val="21"/>
                <w:highlight w:val="none"/>
              </w:rPr>
            </w:pPr>
            <w:r>
              <w:rPr>
                <w:rFonts w:ascii="宋体" w:hAnsi="宋体"/>
                <w:color w:val="auto"/>
                <w:szCs w:val="21"/>
                <w:highlight w:val="none"/>
              </w:rPr>
              <w:t>2</w:t>
            </w:r>
          </w:p>
        </w:tc>
        <w:tc>
          <w:tcPr>
            <w:tcW w:w="4245" w:type="dxa"/>
            <w:noWrap/>
            <w:vAlign w:val="center"/>
          </w:tcPr>
          <w:p w14:paraId="35E487E3">
            <w:pPr>
              <w:snapToGrid w:val="0"/>
              <w:spacing w:line="40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450" w:type="dxa"/>
            <w:noWrap/>
            <w:vAlign w:val="center"/>
          </w:tcPr>
          <w:p w14:paraId="75AAE19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（1）投标文件由法定代表人签字的，提供“法定代表人身份证明”。</w:t>
            </w:r>
          </w:p>
          <w:p w14:paraId="03E218E5">
            <w:pPr>
              <w:snapToGrid w:val="0"/>
              <w:spacing w:line="400" w:lineRule="exact"/>
              <w:rPr>
                <w:rFonts w:ascii="宋体" w:hAnsi="宋体"/>
                <w:color w:val="auto"/>
                <w:szCs w:val="21"/>
                <w:highlight w:val="none"/>
              </w:rPr>
            </w:pPr>
            <w:r>
              <w:rPr>
                <w:rFonts w:hint="eastAsia" w:ascii="宋体" w:hAnsi="宋体" w:cs="宋体"/>
                <w:color w:val="auto"/>
                <w:szCs w:val="21"/>
                <w:highlight w:val="none"/>
              </w:rPr>
              <w:t>（2）投标文件由授权代表签字的，提供“法定代表人身份证明”和“法定代表人授权书”。</w:t>
            </w:r>
          </w:p>
        </w:tc>
      </w:tr>
      <w:tr w14:paraId="3FA04B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68ED134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245" w:type="dxa"/>
            <w:noWrap/>
            <w:vAlign w:val="center"/>
          </w:tcPr>
          <w:p w14:paraId="2ABB59BB">
            <w:pPr>
              <w:snapToGrid w:val="0"/>
              <w:spacing w:line="40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4450" w:type="dxa"/>
            <w:noWrap/>
            <w:vAlign w:val="center"/>
          </w:tcPr>
          <w:p w14:paraId="6B84D741">
            <w:pPr>
              <w:snapToGrid w:val="0"/>
              <w:spacing w:line="40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01F22D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6A079B33">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245" w:type="dxa"/>
            <w:noWrap/>
            <w:vAlign w:val="center"/>
          </w:tcPr>
          <w:p w14:paraId="3DE1E693">
            <w:pPr>
              <w:snapToGrid w:val="0"/>
              <w:spacing w:line="40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450" w:type="dxa"/>
            <w:noWrap/>
            <w:vAlign w:val="center"/>
          </w:tcPr>
          <w:p w14:paraId="3B87C184">
            <w:pPr>
              <w:snapToGrid w:val="0"/>
              <w:spacing w:line="400" w:lineRule="exact"/>
              <w:rPr>
                <w:rFonts w:ascii="宋体" w:hAnsi="宋体"/>
                <w:color w:val="auto"/>
                <w:szCs w:val="21"/>
                <w:highlight w:val="none"/>
              </w:rPr>
            </w:pPr>
            <w:r>
              <w:rPr>
                <w:rFonts w:hint="eastAsia" w:ascii="宋体" w:hAnsi="宋体"/>
                <w:color w:val="auto"/>
                <w:szCs w:val="21"/>
                <w:highlight w:val="none"/>
              </w:rPr>
              <w:t>是否有两个投标方案。</w:t>
            </w:r>
          </w:p>
        </w:tc>
      </w:tr>
      <w:tr w14:paraId="40757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0F73B01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245" w:type="dxa"/>
            <w:noWrap/>
            <w:vAlign w:val="center"/>
          </w:tcPr>
          <w:p w14:paraId="3A0624C6">
            <w:pPr>
              <w:snapToGrid w:val="0"/>
              <w:spacing w:line="40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4450" w:type="dxa"/>
            <w:noWrap/>
            <w:vAlign w:val="center"/>
          </w:tcPr>
          <w:p w14:paraId="36E66FB9">
            <w:pPr>
              <w:snapToGrid w:val="0"/>
              <w:spacing w:line="40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0E7189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09ABAB2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245" w:type="dxa"/>
            <w:noWrap/>
            <w:vAlign w:val="center"/>
          </w:tcPr>
          <w:p w14:paraId="0555C552">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评标委员会经过审查，认定供应商虚假应标、串通投标的，有下列情形之一的，视为供应商串通投标：</w:t>
            </w:r>
          </w:p>
          <w:p w14:paraId="7013C681">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（1）不同供应商的投标文件由同一单位或者个人编制；</w:t>
            </w:r>
          </w:p>
          <w:p w14:paraId="2A410D5F">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（2）不同供应商委托同一单位或者个人办理投标事宜；</w:t>
            </w:r>
          </w:p>
          <w:p w14:paraId="4F06BE70">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（3）不同供应商的投标文件载明的项目管理成员或者联系人员为同一人；</w:t>
            </w:r>
          </w:p>
          <w:p w14:paraId="62B5E3D1">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（4）不同供应商的投标文件异常一致或者投标报价呈规律性差异；</w:t>
            </w:r>
          </w:p>
          <w:p w14:paraId="14E3856B">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（5）不同供应商的投标文件相互混装；</w:t>
            </w:r>
          </w:p>
        </w:tc>
        <w:tc>
          <w:tcPr>
            <w:tcW w:w="4450" w:type="dxa"/>
            <w:noWrap/>
            <w:vAlign w:val="center"/>
          </w:tcPr>
          <w:p w14:paraId="18390DEC">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不得有所述情形。</w:t>
            </w:r>
          </w:p>
        </w:tc>
      </w:tr>
      <w:tr w14:paraId="40F484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0F79C4B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245" w:type="dxa"/>
            <w:noWrap/>
            <w:vAlign w:val="center"/>
          </w:tcPr>
          <w:p w14:paraId="5CB181B2">
            <w:pPr>
              <w:snapToGrid w:val="0"/>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lang w:eastAsia="zh-CN"/>
              </w:rPr>
              <w:t>★</w:t>
            </w:r>
            <w:r>
              <w:rPr>
                <w:rFonts w:hint="eastAsia" w:ascii="宋体" w:hAnsi="宋体"/>
                <w:color w:val="auto"/>
                <w:szCs w:val="21"/>
                <w:highlight w:val="none"/>
              </w:rPr>
              <w:t>”标记）</w:t>
            </w:r>
          </w:p>
        </w:tc>
        <w:tc>
          <w:tcPr>
            <w:tcW w:w="4450" w:type="dxa"/>
            <w:noWrap/>
            <w:vAlign w:val="center"/>
          </w:tcPr>
          <w:p w14:paraId="116F2C02">
            <w:pPr>
              <w:snapToGrid w:val="0"/>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3734D0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72EB490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245" w:type="dxa"/>
            <w:noWrap/>
            <w:vAlign w:val="center"/>
          </w:tcPr>
          <w:p w14:paraId="4DD81A93">
            <w:pPr>
              <w:snapToGrid w:val="0"/>
              <w:spacing w:line="400" w:lineRule="exact"/>
              <w:rPr>
                <w:rFonts w:ascii="宋体" w:hAnsi="宋体"/>
                <w:color w:val="auto"/>
                <w:szCs w:val="21"/>
                <w:highlight w:val="none"/>
              </w:rPr>
            </w:pPr>
            <w:r>
              <w:rPr>
                <w:rFonts w:hint="eastAsia" w:ascii="宋体" w:hAnsi="宋体"/>
                <w:color w:val="auto"/>
                <w:szCs w:val="21"/>
                <w:highlight w:val="none"/>
              </w:rPr>
              <w:t>本项目不接受联合体投标。</w:t>
            </w:r>
          </w:p>
        </w:tc>
        <w:tc>
          <w:tcPr>
            <w:tcW w:w="4450" w:type="dxa"/>
            <w:noWrap/>
            <w:vAlign w:val="center"/>
          </w:tcPr>
          <w:p w14:paraId="7BA4BBB4">
            <w:pPr>
              <w:snapToGrid w:val="0"/>
              <w:spacing w:line="400" w:lineRule="exact"/>
              <w:rPr>
                <w:rFonts w:ascii="宋体" w:hAnsi="宋体"/>
                <w:color w:val="auto"/>
                <w:szCs w:val="21"/>
                <w:highlight w:val="none"/>
              </w:rPr>
            </w:pPr>
            <w:r>
              <w:rPr>
                <w:rFonts w:hint="eastAsia" w:ascii="宋体" w:hAnsi="宋体"/>
                <w:color w:val="auto"/>
                <w:szCs w:val="21"/>
                <w:highlight w:val="none"/>
              </w:rPr>
              <w:t>供应商非联合体。</w:t>
            </w:r>
          </w:p>
        </w:tc>
      </w:tr>
      <w:tr w14:paraId="40516C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567AE2D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245" w:type="dxa"/>
            <w:noWrap/>
            <w:vAlign w:val="center"/>
          </w:tcPr>
          <w:p w14:paraId="76755ACA">
            <w:pPr>
              <w:spacing w:line="400" w:lineRule="exact"/>
              <w:rPr>
                <w:rFonts w:ascii="宋体" w:hAnsi="宋体" w:cs="宋体"/>
                <w:color w:val="auto"/>
                <w:szCs w:val="21"/>
                <w:highlight w:val="none"/>
              </w:rPr>
            </w:pPr>
            <w:r>
              <w:rPr>
                <w:rFonts w:hint="eastAsia" w:ascii="宋体" w:hAnsi="宋体"/>
                <w:b/>
                <w:bCs/>
                <w:color w:val="auto"/>
                <w:szCs w:val="21"/>
                <w:highlight w:val="none"/>
              </w:rPr>
              <w:t>本次公开招标设有预算</w:t>
            </w:r>
            <w:r>
              <w:rPr>
                <w:rFonts w:hint="eastAsia" w:ascii="宋体" w:hAnsi="宋体"/>
                <w:b/>
                <w:color w:val="auto"/>
                <w:szCs w:val="21"/>
                <w:highlight w:val="none"/>
              </w:rPr>
              <w:t>金额</w:t>
            </w:r>
            <w:r>
              <w:rPr>
                <w:rFonts w:hint="eastAsia" w:ascii="宋体" w:hAnsi="宋体"/>
                <w:b/>
                <w:color w:val="auto"/>
                <w:szCs w:val="21"/>
                <w:highlight w:val="none"/>
                <w:lang w:val="en-US" w:eastAsia="zh-CN"/>
              </w:rPr>
              <w:t>及最高限价</w:t>
            </w:r>
            <w:r>
              <w:rPr>
                <w:rFonts w:hint="eastAsia" w:ascii="宋体" w:hAnsi="宋体"/>
                <w:b/>
                <w:bCs/>
                <w:color w:val="auto"/>
                <w:szCs w:val="21"/>
                <w:highlight w:val="none"/>
                <w:lang w:eastAsia="zh-CN"/>
              </w:rPr>
              <w:t>240.00万元/年</w:t>
            </w:r>
            <w:r>
              <w:rPr>
                <w:rFonts w:hint="eastAsia" w:ascii="宋体" w:hAnsi="宋体"/>
                <w:b/>
                <w:bCs/>
                <w:color w:val="auto"/>
                <w:szCs w:val="21"/>
                <w:highlight w:val="none"/>
              </w:rPr>
              <w:t>；投标报价超出</w:t>
            </w:r>
            <w:r>
              <w:rPr>
                <w:rFonts w:hint="eastAsia" w:ascii="宋体" w:hAnsi="宋体"/>
                <w:b/>
                <w:bCs/>
                <w:color w:val="auto"/>
                <w:szCs w:val="21"/>
                <w:highlight w:val="none"/>
                <w:lang w:val="en-US" w:eastAsia="zh-CN"/>
              </w:rPr>
              <w:t>最高限价</w:t>
            </w:r>
            <w:r>
              <w:rPr>
                <w:rFonts w:hint="eastAsia" w:ascii="宋体" w:hAnsi="宋体"/>
                <w:b/>
                <w:bCs/>
                <w:color w:val="auto"/>
                <w:szCs w:val="21"/>
                <w:highlight w:val="none"/>
              </w:rPr>
              <w:t>的投标无效。</w:t>
            </w:r>
          </w:p>
        </w:tc>
        <w:tc>
          <w:tcPr>
            <w:tcW w:w="4450" w:type="dxa"/>
            <w:noWrap/>
            <w:vAlign w:val="center"/>
          </w:tcPr>
          <w:p w14:paraId="6B5193BC">
            <w:pPr>
              <w:spacing w:line="400" w:lineRule="exact"/>
              <w:rPr>
                <w:rFonts w:ascii="宋体" w:hAnsi="宋体" w:cs="宋体"/>
                <w:color w:val="auto"/>
                <w:szCs w:val="21"/>
                <w:highlight w:val="none"/>
              </w:rPr>
            </w:pPr>
            <w:r>
              <w:rPr>
                <w:rFonts w:hint="eastAsia" w:ascii="宋体" w:hAnsi="宋体" w:cs="宋体"/>
                <w:color w:val="auto"/>
                <w:szCs w:val="21"/>
                <w:highlight w:val="none"/>
              </w:rPr>
              <w:t>提供“开标一览表”。</w:t>
            </w:r>
          </w:p>
        </w:tc>
      </w:tr>
      <w:tr w14:paraId="3DE91E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601D383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4245" w:type="dxa"/>
            <w:noWrap/>
            <w:vAlign w:val="center"/>
          </w:tcPr>
          <w:p w14:paraId="0741CCAD">
            <w:pPr>
              <w:spacing w:line="400" w:lineRule="exact"/>
              <w:rPr>
                <w:rFonts w:ascii="宋体" w:hAnsi="宋体"/>
                <w:color w:val="auto"/>
                <w:szCs w:val="21"/>
                <w:highlight w:val="none"/>
              </w:rPr>
            </w:pPr>
            <w:r>
              <w:rPr>
                <w:rFonts w:hint="eastAsia" w:ascii="宋体" w:hAnsi="宋体"/>
                <w:color w:val="auto"/>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ign w:val="center"/>
          </w:tcPr>
          <w:p w14:paraId="0E0B3451">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081E43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5" w:type="dxa"/>
            <w:gridSpan w:val="2"/>
            <w:noWrap/>
            <w:vAlign w:val="center"/>
          </w:tcPr>
          <w:p w14:paraId="348CFA7A">
            <w:pPr>
              <w:snapToGrid w:val="0"/>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450" w:type="dxa"/>
            <w:noWrap/>
            <w:vAlign w:val="center"/>
          </w:tcPr>
          <w:p w14:paraId="520BD103">
            <w:pPr>
              <w:snapToGrid w:val="0"/>
              <w:spacing w:line="400" w:lineRule="exact"/>
              <w:rPr>
                <w:rFonts w:ascii="宋体" w:hAnsi="宋体"/>
                <w:color w:val="auto"/>
                <w:szCs w:val="21"/>
                <w:highlight w:val="none"/>
              </w:rPr>
            </w:pPr>
          </w:p>
        </w:tc>
      </w:tr>
    </w:tbl>
    <w:p w14:paraId="28212292">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14:paraId="1A20EBFE">
      <w:pPr>
        <w:spacing w:line="400" w:lineRule="exact"/>
        <w:ind w:firstLine="413" w:firstLineChars="196"/>
        <w:rPr>
          <w:rFonts w:ascii="宋体" w:hAnsi="宋体"/>
          <w:color w:val="auto"/>
          <w:szCs w:val="21"/>
          <w:highlight w:val="none"/>
        </w:rPr>
      </w:pPr>
      <w:r>
        <w:rPr>
          <w:rFonts w:hint="eastAsia" w:ascii="宋体" w:hAnsi="宋体"/>
          <w:b/>
          <w:color w:val="auto"/>
          <w:highlight w:val="none"/>
        </w:rPr>
        <w:t>2、序号3-序号8、序号10在政采云上无须添加关联点。</w:t>
      </w:r>
    </w:p>
    <w:p w14:paraId="2CD193AA">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653A5A2F">
      <w:pPr>
        <w:spacing w:line="400" w:lineRule="exact"/>
        <w:jc w:val="center"/>
        <w:rPr>
          <w:rFonts w:ascii="宋体" w:hAnsi="宋体"/>
          <w:color w:val="auto"/>
          <w:szCs w:val="21"/>
          <w:highlight w:val="none"/>
        </w:rPr>
      </w:pPr>
      <w:r>
        <w:rPr>
          <w:rFonts w:hint="eastAsia" w:ascii="宋体" w:hAnsi="宋体"/>
          <w:b/>
          <w:color w:val="auto"/>
          <w:szCs w:val="21"/>
          <w:highlight w:val="none"/>
        </w:rPr>
        <w:t>评分标准（兼评委打分表）</w:t>
      </w:r>
    </w:p>
    <w:p w14:paraId="471092E0">
      <w:pPr>
        <w:spacing w:line="400" w:lineRule="exact"/>
        <w:rPr>
          <w:rFonts w:ascii="宋体" w:hAnsi="宋体"/>
          <w:b/>
          <w:color w:val="auto"/>
          <w:szCs w:val="21"/>
          <w:highlight w:val="none"/>
        </w:rPr>
      </w:pPr>
      <w:r>
        <w:rPr>
          <w:rFonts w:hint="eastAsia" w:ascii="宋体" w:hAnsi="宋体"/>
          <w:b/>
          <w:color w:val="auto"/>
          <w:szCs w:val="21"/>
          <w:highlight w:val="none"/>
        </w:rPr>
        <w:t>采购编号：NBITC-</w:t>
      </w:r>
      <w:r>
        <w:rPr>
          <w:rFonts w:hint="eastAsia" w:ascii="宋体" w:hAnsi="宋体"/>
          <w:b/>
          <w:color w:val="auto"/>
          <w:szCs w:val="21"/>
          <w:highlight w:val="none"/>
          <w:lang w:eastAsia="zh-CN"/>
        </w:rPr>
        <w:t>202411328G</w:t>
      </w:r>
    </w:p>
    <w:tbl>
      <w:tblPr>
        <w:tblStyle w:val="50"/>
        <w:tblW w:w="9354"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34"/>
        <w:gridCol w:w="5573"/>
        <w:gridCol w:w="1301"/>
      </w:tblGrid>
      <w:tr w14:paraId="35312B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746" w:type="dxa"/>
            <w:vAlign w:val="center"/>
          </w:tcPr>
          <w:p w14:paraId="4624E3B9">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07" w:type="dxa"/>
            <w:gridSpan w:val="2"/>
            <w:vAlign w:val="center"/>
          </w:tcPr>
          <w:p w14:paraId="66DF1CFD">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c>
          <w:tcPr>
            <w:tcW w:w="1301" w:type="dxa"/>
            <w:vAlign w:val="center"/>
          </w:tcPr>
          <w:p w14:paraId="77EE933B">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2B32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restart"/>
            <w:vAlign w:val="center"/>
          </w:tcPr>
          <w:p w14:paraId="2FC3B50B">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技术商务分85分</w:t>
            </w:r>
          </w:p>
        </w:tc>
        <w:tc>
          <w:tcPr>
            <w:tcW w:w="7307" w:type="dxa"/>
            <w:gridSpan w:val="2"/>
            <w:vAlign w:val="center"/>
          </w:tcPr>
          <w:p w14:paraId="5AD59CB8">
            <w:pPr>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ascii="宋体" w:hAnsi="宋体" w:cs="宋体"/>
                <w:b/>
                <w:bCs/>
                <w:color w:val="auto"/>
                <w:szCs w:val="21"/>
                <w:highlight w:val="none"/>
              </w:rPr>
            </w:pPr>
            <w:r>
              <w:rPr>
                <w:rFonts w:hint="eastAsia" w:ascii="宋体" w:hAnsi="宋体" w:cs="宋体"/>
                <w:b/>
                <w:bCs/>
                <w:color w:val="auto"/>
                <w:szCs w:val="21"/>
                <w:highlight w:val="none"/>
              </w:rPr>
              <w:t>1、“第三章 招标内容与技术需求”响应情况（10分）</w:t>
            </w:r>
          </w:p>
          <w:p w14:paraId="42FB601D">
            <w:pPr>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投标文件对招标文件“第三章 招标内容与技术需求”招标需求的响应情况：全部满足招标文件要求的得10分。一般技术条款要求（无任何标记符号），每负偏离一项扣1分。允许偏离的技术条款偏离项达到11项的投标无效。</w:t>
            </w:r>
          </w:p>
          <w:p w14:paraId="4C7EDF8E">
            <w:pPr>
              <w:keepNext w:val="0"/>
              <w:keepLines w:val="0"/>
              <w:pageBreakBefore w:val="0"/>
              <w:widowControl w:val="0"/>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标志“</w:t>
            </w:r>
            <w:r>
              <w:rPr>
                <w:rFonts w:hint="eastAsia" w:ascii="宋体" w:hAnsi="宋体" w:cs="宋体"/>
                <w:color w:val="auto"/>
                <w:szCs w:val="21"/>
                <w:highlight w:val="none"/>
                <w:lang w:eastAsia="zh-CN"/>
              </w:rPr>
              <w:t>★</w:t>
            </w:r>
            <w:r>
              <w:rPr>
                <w:rFonts w:hint="eastAsia" w:ascii="宋体" w:hAnsi="宋体" w:cs="宋体"/>
                <w:color w:val="auto"/>
                <w:szCs w:val="21"/>
                <w:highlight w:val="none"/>
              </w:rPr>
              <w:t>”的实质性条款不允许任何负偏离，否则投标无效。</w:t>
            </w:r>
          </w:p>
        </w:tc>
        <w:tc>
          <w:tcPr>
            <w:tcW w:w="1301" w:type="dxa"/>
            <w:vAlign w:val="center"/>
          </w:tcPr>
          <w:p w14:paraId="4572EB9F">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10</w:t>
            </w:r>
          </w:p>
        </w:tc>
      </w:tr>
      <w:tr w14:paraId="3223B0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2F6DBEC0">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p>
        </w:tc>
        <w:tc>
          <w:tcPr>
            <w:tcW w:w="7307" w:type="dxa"/>
            <w:gridSpan w:val="2"/>
            <w:vAlign w:val="center"/>
          </w:tcPr>
          <w:p w14:paraId="690EFE74">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2、针对采购人就医群体的特殊性，投标人提供的</w:t>
            </w:r>
            <w:r>
              <w:rPr>
                <w:rFonts w:hint="eastAsia" w:ascii="宋体" w:hAnsi="宋体" w:cs="宋体"/>
                <w:b/>
                <w:bCs/>
                <w:color w:val="auto"/>
                <w:szCs w:val="21"/>
                <w:highlight w:val="none"/>
              </w:rPr>
              <w:t>整体</w:t>
            </w:r>
            <w:r>
              <w:rPr>
                <w:rFonts w:hint="eastAsia" w:ascii="宋体" w:hAnsi="宋体" w:cs="宋体"/>
                <w:b/>
                <w:bCs/>
                <w:color w:val="auto"/>
                <w:szCs w:val="21"/>
                <w:highlight w:val="none"/>
                <w:lang w:val="en-US" w:eastAsia="zh-CN"/>
              </w:rPr>
              <w:t>陪护</w:t>
            </w:r>
            <w:r>
              <w:rPr>
                <w:rFonts w:hint="eastAsia" w:ascii="宋体" w:hAnsi="宋体" w:cs="宋体"/>
                <w:b/>
                <w:bCs/>
                <w:color w:val="auto"/>
                <w:szCs w:val="21"/>
                <w:highlight w:val="none"/>
              </w:rPr>
              <w:t>服务方案，包括</w:t>
            </w:r>
            <w:r>
              <w:rPr>
                <w:rFonts w:hint="eastAsia" w:ascii="宋体" w:hAnsi="宋体" w:cs="宋体"/>
                <w:b/>
                <w:bCs/>
                <w:color w:val="auto"/>
                <w:szCs w:val="21"/>
                <w:highlight w:val="none"/>
                <w:lang w:eastAsia="zh-CN"/>
              </w:rPr>
              <w:t>但</w:t>
            </w:r>
            <w:r>
              <w:rPr>
                <w:rFonts w:hint="eastAsia" w:ascii="宋体" w:hAnsi="宋体" w:cs="宋体"/>
                <w:b/>
                <w:bCs/>
                <w:color w:val="auto"/>
                <w:szCs w:val="21"/>
                <w:highlight w:val="none"/>
              </w:rPr>
              <w:t>不仅限于服务范围涉及区域制定的方案是否全面、详尽、是否能提供有针对性的方案、日常服务标准设计与采购人的各项医务工作管理要求及医院业务流程的适应性及符合性进行评议</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7分</w:t>
            </w:r>
            <w:r>
              <w:rPr>
                <w:rFonts w:hint="eastAsia" w:ascii="宋体" w:hAnsi="宋体" w:cs="宋体"/>
                <w:b/>
                <w:bCs/>
                <w:color w:val="auto"/>
                <w:sz w:val="21"/>
                <w:szCs w:val="21"/>
                <w:highlight w:val="none"/>
                <w:lang w:eastAsia="zh-CN"/>
              </w:rPr>
              <w:t>）：</w:t>
            </w:r>
          </w:p>
          <w:p w14:paraId="01CBB318">
            <w:pPr>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ascii="宋体" w:hAnsi="宋体" w:cs="宋体"/>
                <w:color w:val="auto"/>
                <w:kern w:val="0"/>
                <w:szCs w:val="21"/>
                <w:highlight w:val="none"/>
              </w:rPr>
            </w:pPr>
            <w:r>
              <w:rPr>
                <w:rFonts w:hint="eastAsia" w:ascii="宋体" w:hAnsi="宋体" w:cs="宋体"/>
                <w:color w:val="auto"/>
                <w:szCs w:val="21"/>
                <w:highlight w:val="none"/>
              </w:rPr>
              <w:t>①方案与服务需求的贴切，</w:t>
            </w:r>
            <w:r>
              <w:rPr>
                <w:rFonts w:hint="eastAsia" w:ascii="宋体" w:hAnsi="宋体" w:cs="宋体"/>
                <w:color w:val="auto"/>
                <w:szCs w:val="21"/>
                <w:highlight w:val="none"/>
                <w:lang w:val="en-US" w:eastAsia="zh-CN"/>
              </w:rPr>
              <w:t>对就医群体的特殊性考虑全面，</w:t>
            </w:r>
            <w:r>
              <w:rPr>
                <w:rFonts w:hint="eastAsia" w:ascii="宋体" w:hAnsi="宋体" w:cs="宋体"/>
                <w:color w:val="auto"/>
                <w:szCs w:val="21"/>
                <w:highlight w:val="none"/>
              </w:rPr>
              <w:t>能提供有针对性的方案和具体措施、方案策划思路新、针对性强、标准设计清晰、完善，</w:t>
            </w:r>
            <w:r>
              <w:rPr>
                <w:rFonts w:hint="eastAsia" w:ascii="宋体" w:hAnsi="宋体" w:cs="宋体"/>
                <w:color w:val="auto"/>
                <w:kern w:val="0"/>
                <w:szCs w:val="21"/>
                <w:highlight w:val="none"/>
              </w:rPr>
              <w:t>编排是否符合与采购人的各项医务工作管理要求及医院业务流程，具有前瞻性</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7A9393C1">
            <w:pPr>
              <w:pStyle w:val="3"/>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cs="宋体"/>
                <w:color w:val="auto"/>
                <w:sz w:val="21"/>
                <w:szCs w:val="21"/>
                <w:highlight w:val="none"/>
              </w:rPr>
            </w:pPr>
            <w:r>
              <w:rPr>
                <w:rFonts w:hint="eastAsia" w:cs="宋体"/>
                <w:color w:val="auto"/>
                <w:sz w:val="21"/>
                <w:szCs w:val="21"/>
                <w:highlight w:val="none"/>
              </w:rPr>
              <w:t>②方案与服务需求满足采购人的各项医务工作管理要求及医院业务流程管理</w:t>
            </w:r>
            <w:r>
              <w:rPr>
                <w:rFonts w:hint="eastAsia" w:cs="宋体"/>
                <w:color w:val="auto"/>
                <w:sz w:val="21"/>
                <w:szCs w:val="21"/>
                <w:highlight w:val="none"/>
                <w:lang w:eastAsia="zh-CN"/>
              </w:rPr>
              <w:t>，</w:t>
            </w:r>
            <w:r>
              <w:rPr>
                <w:rFonts w:hint="eastAsia" w:cs="宋体"/>
                <w:color w:val="auto"/>
                <w:sz w:val="21"/>
                <w:szCs w:val="21"/>
                <w:highlight w:val="none"/>
                <w:lang w:val="en-US" w:eastAsia="zh-CN"/>
              </w:rPr>
              <w:t>且基本全面，具有针对性，对采购人就医群体的特殊性考虑基本到位</w:t>
            </w:r>
            <w:r>
              <w:rPr>
                <w:rFonts w:hint="eastAsia" w:cs="宋体"/>
                <w:color w:val="auto"/>
                <w:sz w:val="21"/>
                <w:szCs w:val="21"/>
                <w:highlight w:val="none"/>
              </w:rPr>
              <w:t>的得</w:t>
            </w:r>
            <w:r>
              <w:rPr>
                <w:rFonts w:hint="eastAsia" w:cs="宋体"/>
                <w:color w:val="auto"/>
                <w:sz w:val="21"/>
                <w:szCs w:val="21"/>
                <w:highlight w:val="none"/>
                <w:lang w:val="en-US" w:eastAsia="zh-CN"/>
              </w:rPr>
              <w:t>5</w:t>
            </w:r>
            <w:r>
              <w:rPr>
                <w:rFonts w:hint="eastAsia" w:cs="宋体"/>
                <w:color w:val="auto"/>
                <w:sz w:val="21"/>
                <w:szCs w:val="21"/>
                <w:highlight w:val="none"/>
              </w:rPr>
              <w:t>分；</w:t>
            </w:r>
          </w:p>
          <w:p w14:paraId="2DB59BD5">
            <w:pPr>
              <w:pStyle w:val="3"/>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cs="宋体"/>
                <w:color w:val="auto"/>
                <w:sz w:val="21"/>
                <w:szCs w:val="21"/>
                <w:highlight w:val="none"/>
              </w:rPr>
            </w:pPr>
            <w:r>
              <w:rPr>
                <w:rFonts w:hint="eastAsia" w:cs="宋体"/>
                <w:color w:val="auto"/>
                <w:sz w:val="21"/>
                <w:szCs w:val="21"/>
                <w:highlight w:val="none"/>
              </w:rPr>
              <w:t>③方案内容基本符合医院实际需求，日常服务标准设计模糊有待改进，管理目标架构松散，针对性不强，部分内容阐述模糊，有待完善的得</w:t>
            </w:r>
            <w:r>
              <w:rPr>
                <w:rFonts w:hint="eastAsia" w:cs="宋体"/>
                <w:color w:val="auto"/>
                <w:sz w:val="21"/>
                <w:szCs w:val="21"/>
                <w:highlight w:val="none"/>
                <w:lang w:val="en-US" w:eastAsia="zh-CN"/>
              </w:rPr>
              <w:t>3</w:t>
            </w:r>
            <w:r>
              <w:rPr>
                <w:rFonts w:hint="eastAsia" w:cs="宋体"/>
                <w:color w:val="auto"/>
                <w:sz w:val="21"/>
                <w:szCs w:val="21"/>
                <w:highlight w:val="none"/>
              </w:rPr>
              <w:t>分；</w:t>
            </w:r>
          </w:p>
          <w:p w14:paraId="136D3F0E">
            <w:pPr>
              <w:pStyle w:val="3"/>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宋体" w:hAnsi="宋体" w:cs="宋体"/>
                <w:color w:val="auto"/>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 4 \* GB3 </w:instrText>
            </w:r>
            <w:r>
              <w:rPr>
                <w:rFonts w:hint="eastAsia" w:cs="宋体"/>
                <w:color w:val="auto"/>
                <w:sz w:val="21"/>
                <w:szCs w:val="21"/>
                <w:highlight w:val="none"/>
              </w:rPr>
              <w:fldChar w:fldCharType="separate"/>
            </w:r>
            <w:r>
              <w:rPr>
                <w:rFonts w:hint="eastAsia" w:cs="宋体"/>
                <w:color w:val="auto"/>
                <w:sz w:val="21"/>
                <w:szCs w:val="21"/>
                <w:highlight w:val="none"/>
              </w:rPr>
              <w:t>④</w:t>
            </w:r>
            <w:r>
              <w:rPr>
                <w:rFonts w:hint="eastAsia" w:cs="宋体"/>
                <w:color w:val="auto"/>
                <w:sz w:val="21"/>
                <w:szCs w:val="21"/>
                <w:highlight w:val="none"/>
              </w:rPr>
              <w:fldChar w:fldCharType="end"/>
            </w:r>
            <w:r>
              <w:rPr>
                <w:rFonts w:hint="eastAsia" w:cs="宋体"/>
                <w:color w:val="auto"/>
                <w:sz w:val="21"/>
                <w:szCs w:val="21"/>
                <w:highlight w:val="none"/>
              </w:rPr>
              <w:t>方案不完整、或错漏比较多、或过于</w:t>
            </w:r>
            <w:r>
              <w:rPr>
                <w:rFonts w:hint="eastAsia" w:cs="宋体"/>
                <w:color w:val="auto"/>
                <w:sz w:val="21"/>
                <w:szCs w:val="21"/>
                <w:highlight w:val="none"/>
                <w:lang w:val="en-US" w:eastAsia="zh-CN"/>
              </w:rPr>
              <w:t>笼统、简单，无针对性，未考虑到本采购人就医群体特殊情况</w:t>
            </w:r>
            <w:r>
              <w:rPr>
                <w:rFonts w:hint="eastAsia" w:cs="宋体"/>
                <w:color w:val="auto"/>
                <w:sz w:val="21"/>
                <w:szCs w:val="21"/>
                <w:highlight w:val="none"/>
              </w:rPr>
              <w:t>的得1分。</w:t>
            </w:r>
          </w:p>
        </w:tc>
        <w:tc>
          <w:tcPr>
            <w:tcW w:w="1301" w:type="dxa"/>
            <w:vAlign w:val="center"/>
          </w:tcPr>
          <w:p w14:paraId="438B36EE">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r>
      <w:tr w14:paraId="24FF92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0D38333D">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p>
        </w:tc>
        <w:tc>
          <w:tcPr>
            <w:tcW w:w="7307" w:type="dxa"/>
            <w:gridSpan w:val="2"/>
            <w:vAlign w:val="center"/>
          </w:tcPr>
          <w:p w14:paraId="76050AA2">
            <w:pPr>
              <w:keepNext w:val="0"/>
              <w:keepLines w:val="0"/>
              <w:pageBreakBefore w:val="0"/>
              <w:widowControl w:val="0"/>
              <w:kinsoku/>
              <w:wordWrap/>
              <w:overflowPunct/>
              <w:topLinePunct w:val="0"/>
              <w:autoSpaceDE/>
              <w:autoSpaceDN/>
              <w:bidi w:val="0"/>
              <w:adjustRightInd/>
              <w:spacing w:line="440" w:lineRule="exact"/>
              <w:ind w:left="0" w:leftChars="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根据供应商管理理念是否先进，管理目标是否明确，管理构架是否科学，管理体系是否完善，管理模式是否规范，现场服务标准是否标准化进行评议：</w:t>
            </w:r>
          </w:p>
          <w:p w14:paraId="613D9439">
            <w:pPr>
              <w:pStyle w:val="3"/>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cs="宋体"/>
                <w:color w:val="auto"/>
                <w:sz w:val="21"/>
                <w:szCs w:val="21"/>
                <w:highlight w:val="none"/>
              </w:rPr>
            </w:pPr>
            <w:r>
              <w:rPr>
                <w:rFonts w:hint="eastAsia" w:cs="宋体"/>
                <w:color w:val="auto"/>
                <w:sz w:val="21"/>
                <w:szCs w:val="21"/>
                <w:highlight w:val="none"/>
              </w:rPr>
              <w:t>①管理理念</w:t>
            </w:r>
            <w:r>
              <w:rPr>
                <w:rFonts w:hint="eastAsia" w:cs="宋体"/>
                <w:color w:val="auto"/>
                <w:sz w:val="21"/>
                <w:szCs w:val="21"/>
                <w:highlight w:val="none"/>
                <w:lang w:val="en-US" w:eastAsia="zh-CN"/>
              </w:rPr>
              <w:t>较为先进，目标明确，</w:t>
            </w:r>
            <w:r>
              <w:rPr>
                <w:rFonts w:hint="eastAsia" w:cs="宋体"/>
                <w:color w:val="auto"/>
                <w:sz w:val="21"/>
                <w:szCs w:val="21"/>
                <w:highlight w:val="none"/>
              </w:rPr>
              <w:t>符合</w:t>
            </w:r>
            <w:r>
              <w:rPr>
                <w:rFonts w:hint="eastAsia" w:cs="宋体"/>
                <w:color w:val="auto"/>
                <w:sz w:val="21"/>
                <w:szCs w:val="21"/>
                <w:highlight w:val="none"/>
                <w:lang w:val="en-US" w:eastAsia="zh-CN"/>
              </w:rPr>
              <w:t>院方</w:t>
            </w:r>
            <w:r>
              <w:rPr>
                <w:rFonts w:hint="eastAsia" w:cs="宋体"/>
                <w:color w:val="auto"/>
                <w:sz w:val="21"/>
                <w:szCs w:val="21"/>
                <w:highlight w:val="none"/>
              </w:rPr>
              <w:t>要求，管理体系完善，管培一体化，内容完整、充实的得</w:t>
            </w:r>
            <w:r>
              <w:rPr>
                <w:rFonts w:hint="eastAsia" w:cs="宋体"/>
                <w:color w:val="auto"/>
                <w:sz w:val="21"/>
                <w:szCs w:val="21"/>
                <w:highlight w:val="none"/>
                <w:lang w:val="en-US" w:eastAsia="zh-CN"/>
              </w:rPr>
              <w:t>7</w:t>
            </w:r>
            <w:r>
              <w:rPr>
                <w:rFonts w:hint="eastAsia" w:cs="宋体"/>
                <w:color w:val="auto"/>
                <w:sz w:val="21"/>
                <w:szCs w:val="21"/>
                <w:highlight w:val="none"/>
              </w:rPr>
              <w:t>分；</w:t>
            </w:r>
          </w:p>
          <w:p w14:paraId="3DBAA566">
            <w:pPr>
              <w:pStyle w:val="3"/>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cs="宋体"/>
                <w:color w:val="auto"/>
                <w:sz w:val="21"/>
                <w:szCs w:val="21"/>
                <w:highlight w:val="none"/>
              </w:rPr>
            </w:pPr>
            <w:r>
              <w:rPr>
                <w:rFonts w:hint="eastAsia" w:cs="宋体"/>
                <w:color w:val="auto"/>
                <w:sz w:val="21"/>
                <w:szCs w:val="21"/>
                <w:highlight w:val="none"/>
              </w:rPr>
              <w:t>②管理理念</w:t>
            </w:r>
            <w:r>
              <w:rPr>
                <w:rFonts w:hint="eastAsia" w:cs="宋体"/>
                <w:color w:val="auto"/>
                <w:sz w:val="21"/>
                <w:szCs w:val="21"/>
                <w:highlight w:val="none"/>
                <w:lang w:val="en-US" w:eastAsia="zh-CN"/>
              </w:rPr>
              <w:t>较为先进，基本</w:t>
            </w:r>
            <w:r>
              <w:rPr>
                <w:rFonts w:hint="eastAsia" w:cs="宋体"/>
                <w:color w:val="auto"/>
                <w:sz w:val="21"/>
                <w:szCs w:val="21"/>
                <w:highlight w:val="none"/>
              </w:rPr>
              <w:t>符合</w:t>
            </w:r>
            <w:r>
              <w:rPr>
                <w:rFonts w:hint="eastAsia" w:cs="宋体"/>
                <w:color w:val="auto"/>
                <w:sz w:val="21"/>
                <w:szCs w:val="21"/>
                <w:highlight w:val="none"/>
                <w:lang w:val="en-US" w:eastAsia="zh-CN"/>
              </w:rPr>
              <w:t>院方</w:t>
            </w:r>
            <w:r>
              <w:rPr>
                <w:rFonts w:hint="eastAsia" w:cs="宋体"/>
                <w:color w:val="auto"/>
                <w:sz w:val="21"/>
                <w:szCs w:val="21"/>
                <w:highlight w:val="none"/>
              </w:rPr>
              <w:t>要求，内容完整，但有所欠缺的得</w:t>
            </w:r>
            <w:r>
              <w:rPr>
                <w:rFonts w:hint="eastAsia" w:cs="宋体"/>
                <w:color w:val="auto"/>
                <w:sz w:val="21"/>
                <w:szCs w:val="21"/>
                <w:highlight w:val="none"/>
                <w:lang w:val="en-US" w:eastAsia="zh-CN"/>
              </w:rPr>
              <w:t>5</w:t>
            </w:r>
            <w:r>
              <w:rPr>
                <w:rFonts w:hint="eastAsia" w:cs="宋体"/>
                <w:color w:val="auto"/>
                <w:sz w:val="21"/>
                <w:szCs w:val="21"/>
                <w:highlight w:val="none"/>
              </w:rPr>
              <w:t>分；</w:t>
            </w:r>
          </w:p>
          <w:p w14:paraId="495746EC">
            <w:pPr>
              <w:pStyle w:val="3"/>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cs="宋体"/>
                <w:color w:val="auto"/>
                <w:sz w:val="21"/>
                <w:szCs w:val="21"/>
                <w:highlight w:val="none"/>
              </w:rPr>
            </w:pPr>
            <w:r>
              <w:rPr>
                <w:rFonts w:hint="eastAsia" w:cs="宋体"/>
                <w:color w:val="auto"/>
                <w:sz w:val="21"/>
                <w:szCs w:val="21"/>
                <w:highlight w:val="none"/>
              </w:rPr>
              <w:t>③管理理念</w:t>
            </w:r>
            <w:r>
              <w:rPr>
                <w:rFonts w:hint="eastAsia" w:cs="宋体"/>
                <w:color w:val="auto"/>
                <w:sz w:val="21"/>
                <w:szCs w:val="21"/>
                <w:highlight w:val="none"/>
                <w:lang w:val="en-US" w:eastAsia="zh-CN"/>
              </w:rPr>
              <w:t>较为普通</w:t>
            </w:r>
            <w:r>
              <w:rPr>
                <w:rFonts w:hint="eastAsia" w:cs="宋体"/>
                <w:color w:val="auto"/>
                <w:sz w:val="21"/>
                <w:szCs w:val="21"/>
                <w:highlight w:val="none"/>
              </w:rPr>
              <w:t>，</w:t>
            </w:r>
            <w:r>
              <w:rPr>
                <w:rFonts w:hint="eastAsia" w:cs="宋体"/>
                <w:color w:val="auto"/>
                <w:sz w:val="21"/>
                <w:szCs w:val="21"/>
                <w:highlight w:val="none"/>
                <w:lang w:val="en-US" w:eastAsia="zh-CN"/>
              </w:rPr>
              <w:t>但目标明确，体系基本完善，</w:t>
            </w:r>
            <w:r>
              <w:rPr>
                <w:rFonts w:hint="eastAsia" w:cs="宋体"/>
                <w:color w:val="auto"/>
                <w:sz w:val="21"/>
                <w:szCs w:val="21"/>
                <w:highlight w:val="none"/>
              </w:rPr>
              <w:t>但内容不</w:t>
            </w:r>
            <w:r>
              <w:rPr>
                <w:rFonts w:hint="eastAsia" w:cs="宋体"/>
                <w:color w:val="auto"/>
                <w:sz w:val="21"/>
                <w:szCs w:val="21"/>
                <w:highlight w:val="none"/>
                <w:lang w:val="en-US" w:eastAsia="zh-CN"/>
              </w:rPr>
              <w:t>够</w:t>
            </w:r>
            <w:r>
              <w:rPr>
                <w:rFonts w:hint="eastAsia" w:cs="宋体"/>
                <w:color w:val="auto"/>
                <w:sz w:val="21"/>
                <w:szCs w:val="21"/>
                <w:highlight w:val="none"/>
              </w:rPr>
              <w:t>完整</w:t>
            </w:r>
            <w:r>
              <w:rPr>
                <w:rFonts w:hint="eastAsia" w:cs="宋体"/>
                <w:color w:val="auto"/>
                <w:sz w:val="21"/>
                <w:szCs w:val="21"/>
                <w:highlight w:val="none"/>
                <w:lang w:eastAsia="zh-CN"/>
              </w:rPr>
              <w:t>，</w:t>
            </w:r>
            <w:r>
              <w:rPr>
                <w:rFonts w:hint="eastAsia" w:cs="宋体"/>
                <w:color w:val="auto"/>
                <w:sz w:val="21"/>
                <w:szCs w:val="21"/>
                <w:highlight w:val="none"/>
                <w:lang w:val="en-US" w:eastAsia="zh-CN"/>
              </w:rPr>
              <w:t>较为简单</w:t>
            </w:r>
            <w:r>
              <w:rPr>
                <w:rFonts w:hint="eastAsia" w:cs="宋体"/>
                <w:color w:val="auto"/>
                <w:sz w:val="21"/>
                <w:szCs w:val="21"/>
                <w:highlight w:val="none"/>
              </w:rPr>
              <w:t>的得</w:t>
            </w:r>
            <w:r>
              <w:rPr>
                <w:rFonts w:hint="eastAsia" w:cs="宋体"/>
                <w:color w:val="auto"/>
                <w:sz w:val="21"/>
                <w:szCs w:val="21"/>
                <w:highlight w:val="none"/>
                <w:lang w:val="en-US" w:eastAsia="zh-CN"/>
              </w:rPr>
              <w:t>3</w:t>
            </w:r>
            <w:r>
              <w:rPr>
                <w:rFonts w:hint="eastAsia" w:cs="宋体"/>
                <w:color w:val="auto"/>
                <w:sz w:val="21"/>
                <w:szCs w:val="21"/>
                <w:highlight w:val="none"/>
              </w:rPr>
              <w:t>分。</w:t>
            </w:r>
          </w:p>
          <w:p w14:paraId="0241DA13">
            <w:pPr>
              <w:pStyle w:val="3"/>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color w:val="auto"/>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 4 \* GB3 </w:instrText>
            </w:r>
            <w:r>
              <w:rPr>
                <w:rFonts w:hint="eastAsia" w:cs="宋体"/>
                <w:color w:val="auto"/>
                <w:sz w:val="21"/>
                <w:szCs w:val="21"/>
                <w:highlight w:val="none"/>
              </w:rPr>
              <w:fldChar w:fldCharType="separate"/>
            </w:r>
            <w:r>
              <w:rPr>
                <w:rFonts w:hint="eastAsia" w:cs="宋体"/>
                <w:color w:val="auto"/>
                <w:sz w:val="21"/>
                <w:szCs w:val="21"/>
                <w:highlight w:val="none"/>
              </w:rPr>
              <w:t>④</w:t>
            </w:r>
            <w:r>
              <w:rPr>
                <w:rFonts w:hint="eastAsia" w:cs="宋体"/>
                <w:color w:val="auto"/>
                <w:sz w:val="21"/>
                <w:szCs w:val="21"/>
                <w:highlight w:val="none"/>
              </w:rPr>
              <w:fldChar w:fldCharType="end"/>
            </w:r>
            <w:r>
              <w:rPr>
                <w:rFonts w:hint="eastAsia" w:cs="宋体"/>
                <w:color w:val="auto"/>
                <w:sz w:val="21"/>
                <w:szCs w:val="21"/>
                <w:highlight w:val="none"/>
              </w:rPr>
              <w:t>管理理念</w:t>
            </w:r>
            <w:r>
              <w:rPr>
                <w:rFonts w:hint="eastAsia" w:cs="宋体"/>
                <w:color w:val="auto"/>
                <w:sz w:val="21"/>
                <w:szCs w:val="21"/>
                <w:highlight w:val="none"/>
                <w:lang w:val="en-US" w:eastAsia="zh-CN"/>
              </w:rPr>
              <w:t>较为简单</w:t>
            </w:r>
            <w:r>
              <w:rPr>
                <w:rFonts w:hint="eastAsia" w:cs="宋体"/>
                <w:color w:val="auto"/>
                <w:sz w:val="21"/>
                <w:szCs w:val="21"/>
                <w:highlight w:val="none"/>
              </w:rPr>
              <w:t>，</w:t>
            </w:r>
            <w:r>
              <w:rPr>
                <w:rFonts w:hint="eastAsia" w:cs="宋体"/>
                <w:color w:val="auto"/>
                <w:sz w:val="21"/>
                <w:szCs w:val="21"/>
                <w:highlight w:val="none"/>
                <w:lang w:val="en-US" w:eastAsia="zh-CN"/>
              </w:rPr>
              <w:t>体系不够完善，且缺乏规范性，目标不够明确、内容错漏较多</w:t>
            </w:r>
            <w:r>
              <w:rPr>
                <w:rFonts w:hint="eastAsia" w:cs="宋体"/>
                <w:color w:val="auto"/>
                <w:sz w:val="21"/>
                <w:szCs w:val="21"/>
                <w:highlight w:val="none"/>
              </w:rPr>
              <w:t>的得1分。</w:t>
            </w:r>
          </w:p>
        </w:tc>
        <w:tc>
          <w:tcPr>
            <w:tcW w:w="1301" w:type="dxa"/>
            <w:vAlign w:val="center"/>
          </w:tcPr>
          <w:p w14:paraId="07DA6899">
            <w:pPr>
              <w:keepNext w:val="0"/>
              <w:keepLines w:val="0"/>
              <w:pageBreakBefore w:val="0"/>
              <w:widowControl w:val="0"/>
              <w:kinsoku/>
              <w:wordWrap/>
              <w:overflowPunct/>
              <w:topLinePunct w:val="0"/>
              <w:autoSpaceDE/>
              <w:autoSpaceDN/>
              <w:bidi w:val="0"/>
              <w:snapToGrid w:val="0"/>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7B00F8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trPr>
        <w:tc>
          <w:tcPr>
            <w:tcW w:w="746" w:type="dxa"/>
            <w:vMerge w:val="continue"/>
            <w:vAlign w:val="center"/>
          </w:tcPr>
          <w:p w14:paraId="1567AC92">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vAlign w:val="center"/>
          </w:tcPr>
          <w:p w14:paraId="6F13D97C">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cs="宋体"/>
                <w:b/>
                <w:bCs/>
                <w:color w:val="auto"/>
                <w:szCs w:val="21"/>
                <w:highlight w:val="none"/>
              </w:rPr>
              <w:t>根据供应商提供的针对本项目</w:t>
            </w:r>
            <w:r>
              <w:rPr>
                <w:rFonts w:hint="eastAsia" w:ascii="宋体" w:hAnsi="宋体" w:cs="宋体"/>
                <w:b/>
                <w:bCs/>
                <w:color w:val="auto"/>
                <w:szCs w:val="21"/>
                <w:highlight w:val="none"/>
                <w:lang w:val="en-US" w:eastAsia="zh-CN"/>
              </w:rPr>
              <w:t>陪护</w:t>
            </w:r>
            <w:r>
              <w:rPr>
                <w:rFonts w:hint="eastAsia" w:ascii="宋体" w:hAnsi="宋体" w:cs="宋体"/>
                <w:b/>
                <w:bCs/>
                <w:color w:val="auto"/>
                <w:szCs w:val="21"/>
                <w:highlight w:val="none"/>
              </w:rPr>
              <w:t>服务过程中的重点难点问题的分析准确程度、解决方案及对本项目的合理化建议进行评议</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5分</w:t>
            </w:r>
            <w:r>
              <w:rPr>
                <w:rFonts w:hint="eastAsia" w:ascii="宋体" w:hAnsi="宋体" w:cs="宋体"/>
                <w:b/>
                <w:bCs/>
                <w:color w:val="auto"/>
                <w:sz w:val="21"/>
                <w:szCs w:val="21"/>
                <w:highlight w:val="none"/>
                <w:lang w:eastAsia="zh-CN"/>
              </w:rPr>
              <w:t>）：</w:t>
            </w:r>
          </w:p>
          <w:p w14:paraId="024398D6">
            <w:pPr>
              <w:keepNext w:val="0"/>
              <w:keepLines w:val="0"/>
              <w:pageBreakBefore w:val="0"/>
              <w:widowControl w:val="0"/>
              <w:kinsoku/>
              <w:wordWrap/>
              <w:overflowPunct/>
              <w:topLinePunct w:val="0"/>
              <w:autoSpaceDE/>
              <w:autoSpaceDN/>
              <w:bidi w:val="0"/>
              <w:spacing w:line="42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①分析到位，</w:t>
            </w:r>
            <w:r>
              <w:rPr>
                <w:rFonts w:hint="eastAsia" w:ascii="宋体" w:hAnsi="宋体" w:cs="宋体"/>
                <w:color w:val="auto"/>
                <w:szCs w:val="21"/>
                <w:highlight w:val="none"/>
                <w:lang w:val="en-US" w:eastAsia="zh-CN"/>
              </w:rPr>
              <w:t>突出体现采购人就医群体的特殊情况，</w:t>
            </w:r>
            <w:r>
              <w:rPr>
                <w:rFonts w:hint="eastAsia" w:ascii="宋体" w:hAnsi="宋体" w:cs="宋体"/>
                <w:color w:val="auto"/>
                <w:szCs w:val="21"/>
                <w:highlight w:val="none"/>
              </w:rPr>
              <w:t>对策科学、合理、可行，建议切实可行、符合本项目实际、内容完整、充实的得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34725E30">
            <w:pPr>
              <w:keepNext w:val="0"/>
              <w:keepLines w:val="0"/>
              <w:pageBreakBefore w:val="0"/>
              <w:widowControl w:val="0"/>
              <w:kinsoku/>
              <w:wordWrap/>
              <w:overflowPunct/>
              <w:topLinePunct w:val="0"/>
              <w:autoSpaceDE/>
              <w:autoSpaceDN/>
              <w:bidi w:val="0"/>
              <w:spacing w:line="42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②分析及对策可行，建议符合要求，内容完整，但有所欠缺的得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6E9D4C4F">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③分析及对策存在缺陷，建议符合要求，但内容不完整的得1分。</w:t>
            </w:r>
          </w:p>
        </w:tc>
        <w:tc>
          <w:tcPr>
            <w:tcW w:w="1301" w:type="dxa"/>
            <w:vAlign w:val="center"/>
          </w:tcPr>
          <w:p w14:paraId="28CB45C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13F60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3E155ED0">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vAlign w:val="center"/>
          </w:tcPr>
          <w:p w14:paraId="6E7E70C5">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ascii="宋体" w:cs="宋体"/>
                <w:color w:val="auto"/>
                <w:kern w:val="0"/>
                <w:szCs w:val="21"/>
                <w:highlight w:val="none"/>
              </w:rPr>
            </w:pP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根据供应商提供的服务质量保障措施</w:t>
            </w:r>
            <w:r>
              <w:rPr>
                <w:rFonts w:hint="eastAsia" w:ascii="宋体" w:hAnsi="宋体" w:cs="宋体"/>
                <w:b/>
                <w:bCs/>
                <w:color w:val="auto"/>
                <w:szCs w:val="21"/>
                <w:highlight w:val="none"/>
              </w:rPr>
              <w:t>进行评议：（</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分）</w:t>
            </w:r>
          </w:p>
          <w:p w14:paraId="43098E1C">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ascii="宋体" w:cs="宋体"/>
                <w:color w:val="auto"/>
                <w:szCs w:val="21"/>
                <w:highlight w:val="none"/>
              </w:rPr>
            </w:pPr>
            <w:r>
              <w:rPr>
                <w:rFonts w:hint="eastAsia" w:ascii="宋体" w:hAnsi="宋体" w:cs="宋体"/>
                <w:color w:val="auto"/>
                <w:szCs w:val="21"/>
                <w:highlight w:val="none"/>
              </w:rPr>
              <w:t>①服务质量稳定，有较强的服务意识，能确保提供高质量，服务方便实行和监督，能与医院实际相结果，完全满足采购人需求的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1081473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ascii="宋体" w:cs="宋体"/>
                <w:color w:val="auto"/>
                <w:szCs w:val="21"/>
                <w:highlight w:val="none"/>
              </w:rPr>
            </w:pPr>
            <w:r>
              <w:rPr>
                <w:rFonts w:hint="eastAsia" w:ascii="宋体" w:hAnsi="宋体" w:cs="宋体"/>
                <w:color w:val="auto"/>
                <w:szCs w:val="21"/>
                <w:highlight w:val="none"/>
              </w:rPr>
              <w:t>②服务保障机制不够完善，但能确保在合同期内完成任务的得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625A8F8C">
            <w:pPr>
              <w:keepNext w:val="0"/>
              <w:keepLines w:val="0"/>
              <w:pageBreakBefore w:val="0"/>
              <w:widowControl w:val="0"/>
              <w:kinsoku/>
              <w:wordWrap/>
              <w:overflowPunct/>
              <w:topLinePunct w:val="0"/>
              <w:autoSpaceDE/>
              <w:autoSpaceDN/>
              <w:bidi w:val="0"/>
              <w:adjustRightInd/>
              <w:spacing w:line="420" w:lineRule="exact"/>
              <w:ind w:left="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③未提供充分有效的保证措施或提供的措施无法保证采购人实际要求的得</w:t>
            </w:r>
            <w:r>
              <w:rPr>
                <w:rFonts w:ascii="宋体" w:hAnsi="宋体" w:cs="宋体"/>
                <w:color w:val="auto"/>
                <w:szCs w:val="21"/>
                <w:highlight w:val="none"/>
              </w:rPr>
              <w:t>1</w:t>
            </w:r>
            <w:r>
              <w:rPr>
                <w:rFonts w:hint="eastAsia" w:ascii="宋体" w:hAnsi="宋体" w:cs="宋体"/>
                <w:color w:val="auto"/>
                <w:szCs w:val="21"/>
                <w:highlight w:val="none"/>
              </w:rPr>
              <w:t>分。</w:t>
            </w:r>
          </w:p>
        </w:tc>
        <w:tc>
          <w:tcPr>
            <w:tcW w:w="1301" w:type="dxa"/>
            <w:vAlign w:val="center"/>
          </w:tcPr>
          <w:p w14:paraId="27F77554">
            <w:pPr>
              <w:keepNext w:val="0"/>
              <w:keepLines w:val="0"/>
              <w:pageBreakBefore w:val="0"/>
              <w:widowControl/>
              <w:kinsoku/>
              <w:wordWrap/>
              <w:overflowPunct/>
              <w:topLinePunct w:val="0"/>
              <w:bidi w:val="0"/>
              <w:spacing w:line="360" w:lineRule="exact"/>
              <w:ind w:left="0" w:leftChars="0"/>
              <w:jc w:val="center"/>
              <w:textAlignment w:val="bottom"/>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2DFF3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46" w:type="dxa"/>
            <w:vMerge w:val="continue"/>
            <w:vAlign w:val="center"/>
          </w:tcPr>
          <w:p w14:paraId="6FA5FF0B">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vAlign w:val="center"/>
          </w:tcPr>
          <w:p w14:paraId="535FD48F">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cs="宋体"/>
                <w:b/>
                <w:bCs/>
                <w:color w:val="auto"/>
                <w:szCs w:val="21"/>
                <w:highlight w:val="none"/>
              </w:rPr>
              <w:t>对于突发事件</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如针对传染性疾病的防控</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的</w:t>
            </w:r>
            <w:r>
              <w:rPr>
                <w:rFonts w:hint="eastAsia" w:ascii="宋体" w:hAnsi="宋体" w:cs="宋体"/>
                <w:b/>
                <w:bCs/>
                <w:color w:val="auto"/>
                <w:szCs w:val="21"/>
                <w:highlight w:val="none"/>
                <w:lang w:val="en-US" w:eastAsia="zh-CN"/>
              </w:rPr>
              <w:t>应急</w:t>
            </w:r>
            <w:r>
              <w:rPr>
                <w:rFonts w:hint="eastAsia" w:ascii="宋体" w:hAnsi="宋体" w:eastAsia="宋体" w:cs="宋体"/>
                <w:b/>
                <w:bCs/>
                <w:color w:val="auto"/>
                <w:szCs w:val="21"/>
                <w:highlight w:val="none"/>
                <w:lang w:val="en-US" w:eastAsia="zh-CN"/>
              </w:rPr>
              <w:t>预案</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响应时间及处理办法的响应承诺情况进行评议</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5分</w:t>
            </w:r>
            <w:r>
              <w:rPr>
                <w:rFonts w:hint="eastAsia" w:ascii="宋体" w:hAnsi="宋体" w:cs="宋体"/>
                <w:b/>
                <w:bCs/>
                <w:color w:val="auto"/>
                <w:sz w:val="21"/>
                <w:szCs w:val="21"/>
                <w:highlight w:val="none"/>
                <w:lang w:eastAsia="zh-CN"/>
              </w:rPr>
              <w:t>）：</w:t>
            </w:r>
          </w:p>
          <w:p w14:paraId="2C67F1A9">
            <w:pPr>
              <w:keepNext w:val="0"/>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①有详尽的应急预案、响应及时迅速、处理办法专业、应对措施的合理性、完整符合采购人实际需求</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对于本项目的不利影响降到最低的得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3D6A13F1">
            <w:pPr>
              <w:keepNext w:val="0"/>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②应急预案</w:t>
            </w:r>
            <w:r>
              <w:rPr>
                <w:rFonts w:hint="eastAsia" w:ascii="宋体" w:hAnsi="宋体" w:cs="宋体"/>
                <w:color w:val="auto"/>
                <w:szCs w:val="21"/>
                <w:highlight w:val="none"/>
                <w:lang w:val="en-US" w:eastAsia="zh-CN"/>
              </w:rPr>
              <w:t>完善</w:t>
            </w:r>
            <w:r>
              <w:rPr>
                <w:rFonts w:hint="eastAsia" w:ascii="宋体" w:hAnsi="宋体" w:eastAsia="宋体" w:cs="宋体"/>
                <w:color w:val="auto"/>
                <w:szCs w:val="21"/>
                <w:highlight w:val="none"/>
              </w:rPr>
              <w:t>、响应速度基本满足采购人要求，但处理措施有效性略有不足，无明显优势的得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0ED7738D">
            <w:pPr>
              <w:keepNext w:val="0"/>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③应急预案</w:t>
            </w:r>
            <w:r>
              <w:rPr>
                <w:rFonts w:hint="eastAsia" w:ascii="宋体" w:hAnsi="宋体" w:cs="宋体"/>
                <w:color w:val="auto"/>
                <w:szCs w:val="21"/>
                <w:highlight w:val="none"/>
                <w:lang w:val="en-US" w:eastAsia="zh-CN"/>
              </w:rPr>
              <w:t>基本完善</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但</w:t>
            </w:r>
            <w:r>
              <w:rPr>
                <w:rFonts w:hint="eastAsia" w:ascii="宋体" w:hAnsi="宋体" w:eastAsia="宋体" w:cs="宋体"/>
                <w:color w:val="auto"/>
                <w:szCs w:val="21"/>
                <w:highlight w:val="none"/>
              </w:rPr>
              <w:t>响应及时性不足以满足采购人要求或承诺及措施存在缺陷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内容过于简单</w:t>
            </w:r>
            <w:r>
              <w:rPr>
                <w:rFonts w:hint="eastAsia" w:ascii="宋体" w:hAnsi="宋体" w:eastAsia="宋体" w:cs="宋体"/>
                <w:color w:val="auto"/>
                <w:szCs w:val="21"/>
                <w:highlight w:val="none"/>
              </w:rPr>
              <w:t>的得1分。</w:t>
            </w:r>
          </w:p>
        </w:tc>
        <w:tc>
          <w:tcPr>
            <w:tcW w:w="1301" w:type="dxa"/>
            <w:vAlign w:val="center"/>
          </w:tcPr>
          <w:p w14:paraId="6FA6A1C5">
            <w:pPr>
              <w:keepNext w:val="0"/>
              <w:keepLines w:val="0"/>
              <w:pageBreakBefore w:val="0"/>
              <w:widowControl w:val="0"/>
              <w:kinsoku/>
              <w:wordWrap/>
              <w:overflowPunct/>
              <w:topLinePunct w:val="0"/>
              <w:autoSpaceDE/>
              <w:autoSpaceDN/>
              <w:bidi w:val="0"/>
              <w:snapToGrid w:val="0"/>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484CC1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trPr>
        <w:tc>
          <w:tcPr>
            <w:tcW w:w="746" w:type="dxa"/>
            <w:vMerge w:val="continue"/>
            <w:vAlign w:val="center"/>
          </w:tcPr>
          <w:p w14:paraId="0A01DBD5">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vAlign w:val="center"/>
          </w:tcPr>
          <w:p w14:paraId="4F289BFF">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考虑到采购人就医群体不同于其他医院的特殊性，</w:t>
            </w:r>
            <w:r>
              <w:rPr>
                <w:rFonts w:hint="eastAsia" w:ascii="宋体" w:hAnsi="宋体" w:eastAsia="宋体" w:cs="宋体"/>
                <w:b/>
                <w:bCs/>
                <w:color w:val="auto"/>
                <w:szCs w:val="21"/>
                <w:highlight w:val="none"/>
              </w:rPr>
              <w:t>对</w:t>
            </w:r>
            <w:r>
              <w:rPr>
                <w:rFonts w:hint="eastAsia" w:ascii="宋体" w:hAnsi="宋体" w:cs="宋体"/>
                <w:b/>
                <w:bCs/>
                <w:color w:val="auto"/>
                <w:szCs w:val="21"/>
                <w:highlight w:val="none"/>
                <w:lang w:eastAsia="zh-CN"/>
              </w:rPr>
              <w:t>陪护服务管理外包（</w:t>
            </w:r>
            <w:r>
              <w:rPr>
                <w:rFonts w:hint="eastAsia" w:ascii="宋体" w:hAnsi="宋体" w:cs="宋体"/>
                <w:b/>
                <w:bCs/>
                <w:color w:val="auto"/>
                <w:szCs w:val="21"/>
                <w:highlight w:val="none"/>
                <w:lang w:val="en-US" w:eastAsia="zh-CN"/>
              </w:rPr>
              <w:t>需考虑到年龄、身体状况、精神状态等因素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的</w:t>
            </w:r>
            <w:r>
              <w:rPr>
                <w:rFonts w:hint="eastAsia" w:ascii="宋体" w:hAnsi="宋体" w:cs="宋体"/>
                <w:b/>
                <w:bCs/>
                <w:color w:val="auto"/>
                <w:szCs w:val="21"/>
                <w:highlight w:val="none"/>
                <w:lang w:val="en-US" w:eastAsia="zh-CN"/>
              </w:rPr>
              <w:t>应急救援</w:t>
            </w:r>
            <w:r>
              <w:rPr>
                <w:rFonts w:hint="eastAsia" w:ascii="宋体" w:hAnsi="宋体" w:eastAsia="宋体" w:cs="宋体"/>
                <w:b/>
                <w:bCs/>
                <w:color w:val="auto"/>
                <w:szCs w:val="21"/>
                <w:highlight w:val="none"/>
              </w:rPr>
              <w:t>措施进行评议（</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p w14:paraId="611894A9">
            <w:pPr>
              <w:keepNext w:val="0"/>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lang w:val="en-US" w:eastAsia="zh-CN"/>
              </w:rPr>
              <w:t>对本项目就医群体针对性强，</w:t>
            </w:r>
            <w:r>
              <w:rPr>
                <w:rFonts w:hint="eastAsia" w:ascii="宋体" w:hAnsi="宋体" w:eastAsia="宋体" w:cs="宋体"/>
                <w:color w:val="auto"/>
                <w:szCs w:val="21"/>
                <w:highlight w:val="none"/>
              </w:rPr>
              <w:t>有详尽的</w:t>
            </w:r>
            <w:r>
              <w:rPr>
                <w:rFonts w:hint="eastAsia" w:ascii="宋体" w:hAnsi="宋体" w:cs="宋体"/>
                <w:color w:val="auto"/>
                <w:szCs w:val="21"/>
                <w:highlight w:val="none"/>
                <w:lang w:val="en-US" w:eastAsia="zh-CN"/>
              </w:rPr>
              <w:t>陪护</w:t>
            </w:r>
            <w:r>
              <w:rPr>
                <w:rFonts w:hint="eastAsia" w:ascii="宋体" w:hAnsi="宋体" w:eastAsia="宋体" w:cs="宋体"/>
                <w:color w:val="auto"/>
                <w:szCs w:val="21"/>
                <w:highlight w:val="none"/>
              </w:rPr>
              <w:t>应急</w:t>
            </w:r>
            <w:r>
              <w:rPr>
                <w:rFonts w:hint="eastAsia" w:ascii="宋体" w:hAnsi="宋体" w:cs="宋体"/>
                <w:color w:val="auto"/>
                <w:szCs w:val="21"/>
                <w:highlight w:val="none"/>
                <w:lang w:val="en-US" w:eastAsia="zh-CN"/>
              </w:rPr>
              <w:t>救援</w:t>
            </w:r>
            <w:r>
              <w:rPr>
                <w:rFonts w:hint="eastAsia" w:ascii="宋体" w:hAnsi="宋体" w:eastAsia="宋体" w:cs="宋体"/>
                <w:color w:val="auto"/>
                <w:szCs w:val="21"/>
                <w:highlight w:val="none"/>
              </w:rPr>
              <w:t>预案、能解决特殊时期的实际问题，并把特殊事件对于本项目的不利影响降到最低得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5214FA5B">
            <w:pPr>
              <w:keepNext w:val="0"/>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②有应急</w:t>
            </w:r>
            <w:r>
              <w:rPr>
                <w:rFonts w:hint="eastAsia" w:ascii="宋体" w:hAnsi="宋体" w:cs="宋体"/>
                <w:color w:val="auto"/>
                <w:szCs w:val="21"/>
                <w:highlight w:val="none"/>
                <w:lang w:val="en-US" w:eastAsia="zh-CN"/>
              </w:rPr>
              <w:t>救援</w:t>
            </w:r>
            <w:r>
              <w:rPr>
                <w:rFonts w:hint="eastAsia" w:ascii="宋体" w:hAnsi="宋体" w:eastAsia="宋体" w:cs="宋体"/>
                <w:color w:val="auto"/>
                <w:szCs w:val="21"/>
                <w:highlight w:val="none"/>
              </w:rPr>
              <w:t>预案，</w:t>
            </w:r>
            <w:r>
              <w:rPr>
                <w:rFonts w:hint="eastAsia" w:ascii="宋体" w:hAnsi="宋体" w:cs="宋体"/>
                <w:color w:val="auto"/>
                <w:szCs w:val="21"/>
                <w:highlight w:val="none"/>
                <w:lang w:val="en-US" w:eastAsia="zh-CN"/>
              </w:rPr>
              <w:t>但对本项目就医群体针对性不强，较为通用，基本</w:t>
            </w:r>
            <w:r>
              <w:rPr>
                <w:rFonts w:hint="eastAsia" w:ascii="宋体" w:hAnsi="宋体" w:eastAsia="宋体" w:cs="宋体"/>
                <w:color w:val="auto"/>
                <w:szCs w:val="21"/>
                <w:highlight w:val="none"/>
              </w:rPr>
              <w:t>能解决特殊时期的部分问题的得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562F7CF1">
            <w:pPr>
              <w:keepNext w:val="0"/>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③应急</w:t>
            </w:r>
            <w:r>
              <w:rPr>
                <w:rFonts w:hint="eastAsia" w:ascii="宋体" w:hAnsi="宋体" w:cs="宋体"/>
                <w:color w:val="auto"/>
                <w:szCs w:val="21"/>
                <w:highlight w:val="none"/>
                <w:lang w:val="en-US" w:eastAsia="zh-CN"/>
              </w:rPr>
              <w:t>救援</w:t>
            </w:r>
            <w:r>
              <w:rPr>
                <w:rFonts w:hint="eastAsia" w:ascii="宋体" w:hAnsi="宋体" w:eastAsia="宋体" w:cs="宋体"/>
                <w:color w:val="auto"/>
                <w:szCs w:val="21"/>
                <w:highlight w:val="none"/>
              </w:rPr>
              <w:t>预案没有针对性或不能解决实际问题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整体方案过于简单</w:t>
            </w:r>
            <w:r>
              <w:rPr>
                <w:rFonts w:hint="eastAsia" w:ascii="宋体" w:hAnsi="宋体" w:eastAsia="宋体" w:cs="宋体"/>
                <w:color w:val="auto"/>
                <w:szCs w:val="21"/>
                <w:highlight w:val="none"/>
              </w:rPr>
              <w:t>的得1分。</w:t>
            </w:r>
          </w:p>
        </w:tc>
        <w:tc>
          <w:tcPr>
            <w:tcW w:w="1301" w:type="dxa"/>
            <w:vAlign w:val="center"/>
          </w:tcPr>
          <w:p w14:paraId="27448AB4">
            <w:pPr>
              <w:keepNext w:val="0"/>
              <w:keepLines w:val="0"/>
              <w:pageBreakBefore w:val="0"/>
              <w:widowControl w:val="0"/>
              <w:kinsoku/>
              <w:wordWrap/>
              <w:overflowPunct/>
              <w:topLinePunct w:val="0"/>
              <w:autoSpaceDE/>
              <w:autoSpaceDN/>
              <w:bidi w:val="0"/>
              <w:snapToGrid w:val="0"/>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AB272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46" w:type="dxa"/>
            <w:vMerge w:val="continue"/>
            <w:vAlign w:val="center"/>
          </w:tcPr>
          <w:p w14:paraId="40FEA60C">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1734" w:type="dxa"/>
            <w:vMerge w:val="restart"/>
            <w:vAlign w:val="center"/>
          </w:tcPr>
          <w:p w14:paraId="68B26518">
            <w:pPr>
              <w:keepNext w:val="0"/>
              <w:keepLines w:val="0"/>
              <w:pageBreakBefore w:val="0"/>
              <w:widowControl w:val="0"/>
              <w:kinsoku/>
              <w:wordWrap/>
              <w:overflowPunct/>
              <w:topLinePunct w:val="0"/>
              <w:autoSpaceDE/>
              <w:autoSpaceDN/>
              <w:bidi w:val="0"/>
              <w:adjustRightInd/>
              <w:spacing w:beforeAutospacing="0" w:afterAutospacing="0" w:line="4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拟派项目</w:t>
            </w:r>
            <w:r>
              <w:rPr>
                <w:rFonts w:hint="eastAsia" w:ascii="宋体" w:hAnsi="宋体" w:cs="宋体"/>
                <w:b/>
                <w:bCs/>
                <w:color w:val="auto"/>
                <w:sz w:val="21"/>
                <w:szCs w:val="21"/>
                <w:highlight w:val="none"/>
                <w:lang w:val="en-US" w:eastAsia="zh-CN"/>
              </w:rPr>
              <w:t>负责人</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2分</w:t>
            </w:r>
            <w:r>
              <w:rPr>
                <w:rFonts w:hint="eastAsia" w:ascii="宋体" w:hAnsi="宋体" w:cs="宋体"/>
                <w:b/>
                <w:bCs/>
                <w:color w:val="auto"/>
                <w:sz w:val="21"/>
                <w:szCs w:val="21"/>
                <w:highlight w:val="none"/>
                <w:lang w:eastAsia="zh-CN"/>
              </w:rPr>
              <w:t>）</w:t>
            </w:r>
          </w:p>
        </w:tc>
        <w:tc>
          <w:tcPr>
            <w:tcW w:w="5573" w:type="dxa"/>
            <w:vAlign w:val="center"/>
          </w:tcPr>
          <w:p w14:paraId="1576F1EE">
            <w:pPr>
              <w:keepNext w:val="0"/>
              <w:keepLines w:val="0"/>
              <w:pageBreakBefore w:val="0"/>
              <w:widowControl w:val="0"/>
              <w:kinsoku/>
              <w:wordWrap/>
              <w:overflowPunct/>
              <w:topLinePunct w:val="0"/>
              <w:autoSpaceDE/>
              <w:autoSpaceDN/>
              <w:bidi w:val="0"/>
              <w:adjustRightInd/>
              <w:spacing w:beforeAutospacing="0" w:afterAutospacing="0" w:line="42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负责人</w:t>
            </w: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lang w:eastAsia="zh-CN"/>
              </w:rPr>
              <w:t>陪护服务</w:t>
            </w:r>
            <w:r>
              <w:rPr>
                <w:rFonts w:hint="eastAsia" w:ascii="宋体" w:hAnsi="宋体" w:eastAsia="宋体" w:cs="宋体"/>
                <w:color w:val="auto"/>
                <w:sz w:val="21"/>
                <w:szCs w:val="21"/>
                <w:highlight w:val="none"/>
              </w:rPr>
              <w:t>类似经验的得2分，提供证明材料并加盖</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公章，未提供证明材料本项不得分。</w:t>
            </w:r>
            <w:r>
              <w:rPr>
                <w:rFonts w:hint="eastAsia" w:ascii="宋体" w:hAnsi="宋体" w:eastAsia="宋体" w:cs="宋体"/>
                <w:b/>
                <w:bCs/>
                <w:color w:val="auto"/>
                <w:sz w:val="21"/>
                <w:szCs w:val="21"/>
                <w:highlight w:val="none"/>
              </w:rPr>
              <w:t>（投</w:t>
            </w:r>
            <w:r>
              <w:rPr>
                <w:rFonts w:hint="eastAsia" w:ascii="宋体" w:hAnsi="宋体" w:eastAsia="宋体" w:cs="宋体"/>
                <w:b/>
                <w:bCs/>
                <w:color w:val="auto"/>
                <w:kern w:val="0"/>
                <w:sz w:val="21"/>
                <w:szCs w:val="21"/>
                <w:highlight w:val="none"/>
              </w:rPr>
              <w:t>标文件中提供</w:t>
            </w:r>
            <w:r>
              <w:rPr>
                <w:rFonts w:hint="eastAsia" w:ascii="宋体" w:hAnsi="宋体" w:eastAsia="宋体" w:cs="宋体"/>
                <w:b/>
                <w:bCs/>
                <w:color w:val="auto"/>
                <w:kern w:val="0"/>
                <w:sz w:val="21"/>
                <w:szCs w:val="21"/>
                <w:highlight w:val="none"/>
                <w:lang w:val="en-US"/>
              </w:rPr>
              <w:t>项目</w:t>
            </w:r>
            <w:r>
              <w:rPr>
                <w:rFonts w:hint="eastAsia" w:ascii="宋体" w:hAnsi="宋体" w:cs="宋体"/>
                <w:b/>
                <w:bCs/>
                <w:color w:val="auto"/>
                <w:kern w:val="0"/>
                <w:sz w:val="21"/>
                <w:szCs w:val="21"/>
                <w:highlight w:val="none"/>
                <w:lang w:val="en-US" w:eastAsia="zh-CN"/>
              </w:rPr>
              <w:t>负责人</w:t>
            </w:r>
            <w:r>
              <w:rPr>
                <w:rFonts w:hint="eastAsia" w:ascii="宋体" w:hAnsi="宋体" w:eastAsia="宋体" w:cs="宋体"/>
                <w:b/>
                <w:bCs/>
                <w:color w:val="auto"/>
                <w:kern w:val="0"/>
                <w:sz w:val="21"/>
                <w:szCs w:val="21"/>
                <w:highlight w:val="none"/>
                <w:lang w:val="en-US"/>
              </w:rPr>
              <w:t>经验证明材料</w:t>
            </w:r>
            <w:r>
              <w:rPr>
                <w:rFonts w:hint="eastAsia" w:ascii="宋体" w:hAnsi="宋体" w:eastAsia="宋体" w:cs="宋体"/>
                <w:b/>
                <w:bCs/>
                <w:color w:val="auto"/>
                <w:sz w:val="21"/>
                <w:szCs w:val="21"/>
                <w:highlight w:val="none"/>
              </w:rPr>
              <w:t>）</w:t>
            </w:r>
          </w:p>
        </w:tc>
        <w:tc>
          <w:tcPr>
            <w:tcW w:w="1301" w:type="dxa"/>
            <w:vAlign w:val="center"/>
          </w:tcPr>
          <w:p w14:paraId="172BB731">
            <w:pPr>
              <w:keepNext w:val="0"/>
              <w:keepLines w:val="0"/>
              <w:pageBreakBefore w:val="0"/>
              <w:widowControl w:val="0"/>
              <w:kinsoku/>
              <w:wordWrap/>
              <w:overflowPunct/>
              <w:topLinePunct w:val="0"/>
              <w:autoSpaceDE/>
              <w:autoSpaceDN/>
              <w:bidi w:val="0"/>
              <w:adjustRightInd/>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p>
        </w:tc>
      </w:tr>
      <w:tr w14:paraId="523F1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80" w:hRule="atLeast"/>
        </w:trPr>
        <w:tc>
          <w:tcPr>
            <w:tcW w:w="746" w:type="dxa"/>
            <w:vMerge w:val="continue"/>
            <w:vAlign w:val="center"/>
          </w:tcPr>
          <w:p w14:paraId="658ED6D1">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1734" w:type="dxa"/>
            <w:vMerge w:val="restart"/>
            <w:vAlign w:val="center"/>
          </w:tcPr>
          <w:p w14:paraId="4591C5C1">
            <w:pPr>
              <w:keepNext w:val="0"/>
              <w:keepLines w:val="0"/>
              <w:pageBreakBefore w:val="0"/>
              <w:widowControl w:val="0"/>
              <w:kinsoku/>
              <w:wordWrap/>
              <w:overflowPunct/>
              <w:topLinePunct w:val="0"/>
              <w:autoSpaceDE/>
              <w:autoSpaceDN/>
              <w:bidi w:val="0"/>
              <w:spacing w:beforeAutospacing="0" w:afterAutospacing="0" w:line="420" w:lineRule="exact"/>
              <w:jc w:val="center"/>
              <w:textAlignment w:val="auto"/>
              <w:rPr>
                <w:rFonts w:hint="eastAsia" w:ascii="宋体" w:hAnsi="宋体" w:eastAsia="仿宋" w:cs="宋体"/>
                <w:color w:val="auto"/>
                <w:sz w:val="21"/>
                <w:szCs w:val="21"/>
                <w:highlight w:val="none"/>
                <w:lang w:eastAsia="zh-CN"/>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拟投入其他人员情况</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tc>
        <w:tc>
          <w:tcPr>
            <w:tcW w:w="5573" w:type="dxa"/>
            <w:vAlign w:val="center"/>
          </w:tcPr>
          <w:p w14:paraId="709DBE8D">
            <w:pPr>
              <w:keepNext w:val="0"/>
              <w:keepLines w:val="0"/>
              <w:pageBreakBefore w:val="0"/>
              <w:kinsoku/>
              <w:wordWrap/>
              <w:overflowPunct/>
              <w:topLinePunct w:val="0"/>
              <w:bidi w:val="0"/>
              <w:spacing w:line="360" w:lineRule="exact"/>
              <w:ind w:left="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）根据“第三章招标内容与技术需求”中人员配备要求，主要考核相关人员的组成、人数是否符合采购需求，拟投入人员具有</w:t>
            </w:r>
            <w:r>
              <w:rPr>
                <w:rFonts w:hint="eastAsia" w:ascii="宋体" w:hAnsi="宋体" w:cs="宋体"/>
                <w:b/>
                <w:bCs/>
                <w:color w:val="auto"/>
                <w:szCs w:val="21"/>
                <w:highlight w:val="none"/>
                <w:lang w:val="en-US" w:eastAsia="zh-CN"/>
              </w:rPr>
              <w:t>陪护</w:t>
            </w:r>
            <w:r>
              <w:rPr>
                <w:rFonts w:hint="eastAsia" w:ascii="宋体" w:hAnsi="宋体" w:eastAsia="宋体" w:cs="宋体"/>
                <w:b/>
                <w:bCs/>
                <w:color w:val="auto"/>
                <w:szCs w:val="21"/>
                <w:highlight w:val="none"/>
                <w:lang w:val="en-US" w:eastAsia="zh-CN"/>
              </w:rPr>
              <w:t>的经验、资质和实力并提供现有团队的人员名单等进行评议</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分）</w:t>
            </w:r>
          </w:p>
          <w:p w14:paraId="5146FE86">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①</w:t>
            </w:r>
            <w:r>
              <w:rPr>
                <w:rFonts w:hint="eastAsia" w:ascii="宋体" w:hAnsi="宋体" w:cs="宋体"/>
                <w:color w:val="auto"/>
                <w:sz w:val="21"/>
                <w:szCs w:val="21"/>
                <w:highlight w:val="none"/>
                <w:lang w:val="en-US" w:eastAsia="zh-CN"/>
              </w:rPr>
              <w:t>陪护</w:t>
            </w:r>
            <w:r>
              <w:rPr>
                <w:rFonts w:hint="eastAsia" w:ascii="宋体" w:hAnsi="宋体" w:eastAsia="宋体" w:cs="宋体"/>
                <w:color w:val="auto"/>
                <w:sz w:val="21"/>
                <w:szCs w:val="21"/>
                <w:highlight w:val="none"/>
                <w:lang w:val="en-US"/>
              </w:rPr>
              <w:t>人员配备完整，人员经验丰富且人员整体素质良好，合同期间能顺利完成任务的得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rPr>
              <w:t>分；</w:t>
            </w:r>
          </w:p>
          <w:p w14:paraId="33853C6A">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②</w:t>
            </w:r>
            <w:r>
              <w:rPr>
                <w:rFonts w:hint="eastAsia" w:ascii="宋体" w:hAnsi="宋体" w:cs="宋体"/>
                <w:color w:val="auto"/>
                <w:sz w:val="21"/>
                <w:szCs w:val="21"/>
                <w:highlight w:val="none"/>
                <w:lang w:val="en-US" w:eastAsia="zh-CN"/>
              </w:rPr>
              <w:t>陪护</w:t>
            </w:r>
            <w:r>
              <w:rPr>
                <w:rFonts w:hint="eastAsia" w:ascii="宋体" w:hAnsi="宋体" w:eastAsia="宋体" w:cs="宋体"/>
                <w:color w:val="auto"/>
                <w:sz w:val="21"/>
                <w:szCs w:val="21"/>
                <w:highlight w:val="none"/>
                <w:lang w:val="en-US"/>
              </w:rPr>
              <w:t>人员</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lang w:val="en-US"/>
              </w:rPr>
              <w:t>能满足本项目的实际需求运营要求，但部分有待完善补充的，</w:t>
            </w:r>
            <w:r>
              <w:rPr>
                <w:rFonts w:hint="eastAsia" w:ascii="宋体" w:hAnsi="宋体" w:cs="宋体"/>
                <w:color w:val="auto"/>
                <w:sz w:val="21"/>
                <w:szCs w:val="21"/>
                <w:highlight w:val="none"/>
                <w:lang w:val="en-US" w:eastAsia="zh-CN"/>
              </w:rPr>
              <w:t>陪护</w:t>
            </w:r>
            <w:r>
              <w:rPr>
                <w:rFonts w:hint="eastAsia" w:ascii="宋体" w:hAnsi="宋体" w:eastAsia="宋体" w:cs="宋体"/>
                <w:color w:val="auto"/>
                <w:sz w:val="21"/>
                <w:szCs w:val="21"/>
                <w:highlight w:val="none"/>
                <w:lang w:val="en-US"/>
              </w:rPr>
              <w:t>人员配备基本符合采购人需求的得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w:t>
            </w:r>
          </w:p>
          <w:p w14:paraId="7DA5286A">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③</w:t>
            </w:r>
            <w:r>
              <w:rPr>
                <w:rFonts w:hint="eastAsia" w:ascii="宋体" w:hAnsi="宋体" w:cs="宋体"/>
                <w:color w:val="auto"/>
                <w:sz w:val="21"/>
                <w:szCs w:val="21"/>
                <w:highlight w:val="none"/>
                <w:lang w:val="en-US" w:eastAsia="zh-CN"/>
              </w:rPr>
              <w:t>陪护</w:t>
            </w:r>
            <w:r>
              <w:rPr>
                <w:rFonts w:hint="eastAsia" w:ascii="宋体" w:hAnsi="宋体" w:eastAsia="宋体" w:cs="宋体"/>
                <w:color w:val="auto"/>
                <w:sz w:val="21"/>
                <w:szCs w:val="21"/>
                <w:highlight w:val="none"/>
                <w:lang w:val="en-US"/>
              </w:rPr>
              <w:t>人员的配备存在缺漏项的得2分。</w:t>
            </w:r>
            <w:r>
              <w:rPr>
                <w:rFonts w:hint="eastAsia" w:ascii="宋体" w:hAnsi="宋体" w:eastAsia="宋体" w:cs="宋体"/>
                <w:b/>
                <w:bCs/>
                <w:color w:val="auto"/>
                <w:sz w:val="21"/>
                <w:szCs w:val="21"/>
                <w:highlight w:val="none"/>
                <w:lang w:val="en-US"/>
              </w:rPr>
              <w:t>（提供人员清单、技术人员证书及</w:t>
            </w:r>
            <w:r>
              <w:rPr>
                <w:rFonts w:hint="eastAsia" w:ascii="宋体" w:hAnsi="宋体" w:cs="宋体"/>
                <w:b/>
                <w:bCs/>
                <w:color w:val="auto"/>
                <w:kern w:val="0"/>
                <w:sz w:val="21"/>
                <w:szCs w:val="21"/>
                <w:highlight w:val="none"/>
                <w:lang w:val="en-US" w:eastAsia="zh-CN"/>
              </w:rPr>
              <w:t>开标前近三个</w:t>
            </w:r>
            <w:r>
              <w:rPr>
                <w:rFonts w:hint="eastAsia" w:ascii="宋体" w:hAnsi="宋体" w:eastAsia="宋体" w:cs="宋体"/>
                <w:b/>
                <w:bCs/>
                <w:color w:val="auto"/>
                <w:kern w:val="0"/>
                <w:sz w:val="21"/>
                <w:szCs w:val="21"/>
                <w:highlight w:val="none"/>
                <w:lang w:val="en-US"/>
              </w:rPr>
              <w:t>月</w:t>
            </w:r>
            <w:r>
              <w:rPr>
                <w:rFonts w:hint="eastAsia" w:ascii="宋体" w:hAnsi="宋体" w:eastAsia="宋体" w:cs="宋体"/>
                <w:b/>
                <w:bCs/>
                <w:color w:val="auto"/>
                <w:sz w:val="21"/>
                <w:szCs w:val="21"/>
                <w:highlight w:val="none"/>
                <w:lang w:val="en-US"/>
              </w:rPr>
              <w:t>为以上人员缴纳社保证明）</w:t>
            </w:r>
          </w:p>
        </w:tc>
        <w:tc>
          <w:tcPr>
            <w:tcW w:w="1301" w:type="dxa"/>
            <w:vAlign w:val="center"/>
          </w:tcPr>
          <w:p w14:paraId="2203F29F">
            <w:pPr>
              <w:keepNext w:val="0"/>
              <w:keepLines w:val="0"/>
              <w:pageBreakBefore w:val="0"/>
              <w:widowControl w:val="0"/>
              <w:kinsoku/>
              <w:wordWrap/>
              <w:overflowPunct/>
              <w:topLinePunct w:val="0"/>
              <w:autoSpaceDE/>
              <w:autoSpaceDN/>
              <w:bidi w:val="0"/>
              <w:adjustRightInd/>
              <w:snapToGrid w:val="0"/>
              <w:spacing w:beforeAutospacing="0" w:afterAutospacing="0" w:line="4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r>
      <w:tr w14:paraId="28A772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29C4598E">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1734" w:type="dxa"/>
            <w:vMerge w:val="continue"/>
            <w:vAlign w:val="center"/>
          </w:tcPr>
          <w:p w14:paraId="183313C7">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ascii="宋体" w:hAnsi="宋体" w:eastAsia="宋体" w:cs="宋体"/>
                <w:color w:val="auto"/>
                <w:sz w:val="21"/>
                <w:szCs w:val="21"/>
                <w:highlight w:val="none"/>
              </w:rPr>
            </w:pPr>
          </w:p>
        </w:tc>
        <w:tc>
          <w:tcPr>
            <w:tcW w:w="5573" w:type="dxa"/>
            <w:vAlign w:val="center"/>
          </w:tcPr>
          <w:p w14:paraId="69F96E4B">
            <w:pPr>
              <w:keepNext w:val="0"/>
              <w:keepLines w:val="0"/>
              <w:pageBreakBefore w:val="0"/>
              <w:kinsoku/>
              <w:wordWrap/>
              <w:overflowPunct/>
              <w:topLinePunct w:val="0"/>
              <w:bidi w:val="0"/>
              <w:spacing w:line="360" w:lineRule="exact"/>
              <w:ind w:lef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）根据供应商提供的人员培训方案，包括不仅限于培训目标、培训内容、培训方式等内容进行评议</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分）</w:t>
            </w:r>
          </w:p>
          <w:p w14:paraId="457B9D87">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①培训方案完整，培训内容与本项目契合，培训方式具有多样性的得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w:t>
            </w:r>
          </w:p>
          <w:p w14:paraId="48845CF2">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②培训方案基本到位，培训内容与本项目相关的得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分；</w:t>
            </w:r>
          </w:p>
          <w:p w14:paraId="216B0D4D">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③培训方案有缺陷，培训内容与本项目无关的得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分；</w:t>
            </w:r>
          </w:p>
        </w:tc>
        <w:tc>
          <w:tcPr>
            <w:tcW w:w="1301" w:type="dxa"/>
            <w:vAlign w:val="center"/>
          </w:tcPr>
          <w:p w14:paraId="1D13EBB1">
            <w:pPr>
              <w:keepNext w:val="0"/>
              <w:keepLines w:val="0"/>
              <w:pageBreakBefore w:val="0"/>
              <w:widowControl w:val="0"/>
              <w:kinsoku/>
              <w:wordWrap/>
              <w:overflowPunct/>
              <w:topLinePunct w:val="0"/>
              <w:autoSpaceDE/>
              <w:autoSpaceDN/>
              <w:bidi w:val="0"/>
              <w:adjustRightInd/>
              <w:snapToGrid w:val="0"/>
              <w:spacing w:beforeAutospacing="0" w:afterAutospacing="0" w:line="4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14:paraId="4E5B7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1E45697C">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tcPr>
          <w:p w14:paraId="1A64820A">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0</w:t>
            </w:r>
            <w:r>
              <w:rPr>
                <w:rFonts w:hint="eastAsia" w:ascii="宋体" w:hAnsi="宋体" w:eastAsia="宋体" w:cs="宋体"/>
                <w:b/>
                <w:bCs/>
                <w:color w:val="auto"/>
                <w:szCs w:val="21"/>
                <w:highlight w:val="none"/>
                <w:lang w:val="en-US" w:eastAsia="zh-CN"/>
              </w:rPr>
              <w:t>、根据供应商提供的针对本项目人员内部组织管理制度（工作考勤、监督管理机制及奖罚管理等）进行评议（</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lang w:val="en-US" w:eastAsia="zh-CN"/>
              </w:rPr>
              <w:t>分）</w:t>
            </w:r>
          </w:p>
          <w:p w14:paraId="0AE08524">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①规章制度完整、详细、切合本项目实际情况的得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C5D83F8">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②规章制度基本完整，内容略有瑕疵的得3分；</w:t>
            </w:r>
          </w:p>
          <w:p w14:paraId="2369D3CC">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color w:val="auto"/>
                <w:highlight w:val="none"/>
                <w:lang w:eastAsia="zh-CN"/>
              </w:rPr>
            </w:pPr>
            <w:r>
              <w:rPr>
                <w:rFonts w:hint="eastAsia" w:ascii="宋体" w:hAnsi="宋体" w:eastAsia="宋体" w:cs="宋体"/>
                <w:color w:val="auto"/>
                <w:sz w:val="21"/>
                <w:szCs w:val="21"/>
                <w:highlight w:val="none"/>
                <w:lang w:val="en-US" w:eastAsia="zh-CN"/>
              </w:rPr>
              <w:t>③规章制度不完整，或有明显不合理之处的得2分。</w:t>
            </w:r>
          </w:p>
        </w:tc>
        <w:tc>
          <w:tcPr>
            <w:tcW w:w="1301" w:type="dxa"/>
            <w:vAlign w:val="center"/>
          </w:tcPr>
          <w:p w14:paraId="447072BD">
            <w:pPr>
              <w:keepNext w:val="0"/>
              <w:keepLines w:val="0"/>
              <w:pageBreakBefore w:val="0"/>
              <w:widowControl w:val="0"/>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5273BE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79BAFE87">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tcPr>
          <w:p w14:paraId="7FC0467D">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、根据供应商提供的确保本项目员工工资福利、人员稳定及人员变动应急方案进行评议（</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lang w:val="en-US" w:eastAsia="zh-CN"/>
              </w:rPr>
              <w:t>分）</w:t>
            </w:r>
          </w:p>
          <w:p w14:paraId="66EBC872">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①方案完整合理，为本项目人员提供的工资福利等有利于维持本项目人员稳定、减少人员频繁流动的风险的得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9688913">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②方案基本完整，为本项目人员提供的工资福利对维持人员稳定有一定作用的得3分；</w:t>
            </w:r>
          </w:p>
          <w:p w14:paraId="6EA23A9B">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③方案不完整、为本项目人员提供的工资福利不能维持人员稳定、存在较大风险的得2分。</w:t>
            </w:r>
          </w:p>
        </w:tc>
        <w:tc>
          <w:tcPr>
            <w:tcW w:w="1301" w:type="dxa"/>
            <w:vAlign w:val="center"/>
          </w:tcPr>
          <w:p w14:paraId="1CB5EB20">
            <w:pPr>
              <w:keepNext w:val="0"/>
              <w:keepLines w:val="0"/>
              <w:pageBreakBefore w:val="0"/>
              <w:widowControl w:val="0"/>
              <w:kinsoku/>
              <w:wordWrap/>
              <w:overflowPunct/>
              <w:topLinePunct w:val="0"/>
              <w:autoSpaceDE/>
              <w:autoSpaceDN/>
              <w:bidi w:val="0"/>
              <w:spacing w:beforeAutospacing="0" w:afterAutospacing="0" w:line="42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048065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067D1857">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vAlign w:val="center"/>
          </w:tcPr>
          <w:p w14:paraId="27E8D721">
            <w:pPr>
              <w:keepNext w:val="0"/>
              <w:keepLines w:val="0"/>
              <w:pageBreakBefore w:val="0"/>
              <w:widowControl w:val="0"/>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、供应商的服务支撑能力，除派驻本院的服务团队外，投标人</w:t>
            </w:r>
            <w:r>
              <w:rPr>
                <w:rFonts w:hint="eastAsia" w:ascii="宋体" w:hAnsi="宋体" w:cs="宋体"/>
                <w:b/>
                <w:bCs/>
                <w:color w:val="auto"/>
                <w:kern w:val="2"/>
                <w:sz w:val="21"/>
                <w:szCs w:val="21"/>
                <w:highlight w:val="none"/>
                <w:lang w:val="en-US" w:eastAsia="zh-CN" w:bidi="ar-SA"/>
              </w:rPr>
              <w:t>具备</w:t>
            </w:r>
            <w:r>
              <w:rPr>
                <w:rFonts w:hint="eastAsia" w:ascii="宋体" w:hAnsi="宋体" w:eastAsia="宋体" w:cs="宋体"/>
                <w:b/>
                <w:bCs/>
                <w:color w:val="auto"/>
                <w:kern w:val="2"/>
                <w:sz w:val="21"/>
                <w:szCs w:val="21"/>
                <w:highlight w:val="none"/>
                <w:lang w:val="en-US" w:eastAsia="zh-CN" w:bidi="ar-SA"/>
              </w:rPr>
              <w:t>足够数量的</w:t>
            </w:r>
            <w:r>
              <w:rPr>
                <w:rFonts w:hint="eastAsia" w:ascii="宋体" w:hAnsi="宋体" w:cs="宋体"/>
                <w:b/>
                <w:bCs/>
                <w:color w:val="auto"/>
                <w:kern w:val="2"/>
                <w:sz w:val="21"/>
                <w:szCs w:val="21"/>
                <w:highlight w:val="none"/>
                <w:lang w:val="en-US" w:eastAsia="zh-CN" w:bidi="ar-SA"/>
              </w:rPr>
              <w:t>备用陪护</w:t>
            </w:r>
            <w:r>
              <w:rPr>
                <w:rFonts w:hint="eastAsia" w:ascii="宋体" w:hAnsi="宋体" w:eastAsia="宋体" w:cs="宋体"/>
                <w:b/>
                <w:bCs/>
                <w:color w:val="auto"/>
                <w:kern w:val="2"/>
                <w:sz w:val="21"/>
                <w:szCs w:val="21"/>
                <w:highlight w:val="none"/>
                <w:lang w:val="en-US" w:eastAsia="zh-CN" w:bidi="ar-SA"/>
              </w:rPr>
              <w:t>人员，投标人对具体方案进行阐述和承诺，由评标委员会进行评议（</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分）：</w:t>
            </w:r>
          </w:p>
          <w:p w14:paraId="24C6BE1F">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①方案详细完整，后备力量强大，完全符合或优于采购人要求的得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3274E4B">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②能配备</w:t>
            </w:r>
            <w:r>
              <w:rPr>
                <w:rFonts w:hint="eastAsia" w:ascii="宋体" w:hAnsi="宋体" w:cs="宋体"/>
                <w:color w:val="auto"/>
                <w:sz w:val="21"/>
                <w:szCs w:val="21"/>
                <w:highlight w:val="none"/>
                <w:lang w:val="en-US" w:eastAsia="zh-CN"/>
              </w:rPr>
              <w:t>备用陪护</w:t>
            </w:r>
            <w:r>
              <w:rPr>
                <w:rFonts w:hint="eastAsia" w:ascii="宋体" w:hAnsi="宋体" w:eastAsia="宋体" w:cs="宋体"/>
                <w:color w:val="auto"/>
                <w:sz w:val="21"/>
                <w:szCs w:val="21"/>
                <w:highlight w:val="none"/>
              </w:rPr>
              <w:t>人员，方案基本符合采购人要求的得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512EB0C">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Times New Roman" w:hAnsi="Times New Roman" w:eastAsia="仿宋" w:cs="Times New Roman"/>
                <w:color w:val="auto"/>
                <w:kern w:val="2"/>
                <w:sz w:val="28"/>
                <w:szCs w:val="28"/>
                <w:highlight w:val="none"/>
                <w:lang w:val="en-US" w:eastAsia="zh-CN" w:bidi="ar-SA"/>
              </w:rPr>
            </w:pPr>
            <w:r>
              <w:rPr>
                <w:rFonts w:hint="eastAsia" w:ascii="宋体" w:hAnsi="宋体" w:eastAsia="宋体" w:cs="宋体"/>
                <w:color w:val="auto"/>
                <w:sz w:val="21"/>
                <w:szCs w:val="21"/>
                <w:highlight w:val="none"/>
              </w:rPr>
              <w:t>③配备</w:t>
            </w:r>
            <w:r>
              <w:rPr>
                <w:rFonts w:hint="eastAsia" w:ascii="宋体" w:hAnsi="宋体" w:cs="宋体"/>
                <w:color w:val="auto"/>
                <w:sz w:val="21"/>
                <w:szCs w:val="21"/>
                <w:highlight w:val="none"/>
                <w:lang w:val="en-US" w:eastAsia="zh-CN"/>
              </w:rPr>
              <w:t>备用陪护</w:t>
            </w:r>
            <w:r>
              <w:rPr>
                <w:rFonts w:hint="eastAsia" w:ascii="宋体" w:hAnsi="宋体" w:eastAsia="宋体" w:cs="宋体"/>
                <w:color w:val="auto"/>
                <w:sz w:val="21"/>
                <w:szCs w:val="21"/>
                <w:highlight w:val="none"/>
              </w:rPr>
              <w:t>人员数量不足或方案存在不足或缺陷的得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1301" w:type="dxa"/>
            <w:vAlign w:val="center"/>
          </w:tcPr>
          <w:p w14:paraId="6FE7F463">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Times New Roman" w:hAnsi="Times New Roman" w:eastAsia="仿宋" w:cs="Times New Roman"/>
                <w:color w:val="auto"/>
                <w:kern w:val="2"/>
                <w:sz w:val="28"/>
                <w:szCs w:val="28"/>
                <w:highlight w:val="none"/>
                <w:lang w:val="en-US" w:eastAsia="zh-CN" w:bidi="ar-SA"/>
              </w:rPr>
            </w:pPr>
            <w:r>
              <w:rPr>
                <w:rFonts w:hint="eastAsia" w:ascii="宋体" w:hAnsi="宋体" w:cs="宋体"/>
                <w:color w:val="auto"/>
                <w:sz w:val="21"/>
                <w:szCs w:val="21"/>
                <w:highlight w:val="none"/>
                <w:lang w:val="en-US" w:eastAsia="zh-CN"/>
              </w:rPr>
              <w:t>5</w:t>
            </w:r>
          </w:p>
        </w:tc>
      </w:tr>
      <w:tr w14:paraId="788DA9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1FD82E66">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vAlign w:val="center"/>
          </w:tcPr>
          <w:p w14:paraId="44BEF765">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陪护</w:t>
            </w:r>
            <w:r>
              <w:rPr>
                <w:rFonts w:hint="eastAsia" w:ascii="宋体" w:hAnsi="宋体" w:eastAsia="宋体" w:cs="宋体"/>
                <w:b/>
                <w:bCs/>
                <w:color w:val="auto"/>
                <w:sz w:val="21"/>
                <w:szCs w:val="21"/>
                <w:highlight w:val="none"/>
                <w:lang w:val="en-US" w:eastAsia="zh-CN"/>
              </w:rPr>
              <w:t>用品、耗材等配置情况及管理方案(提供清单一览表，并且注明</w:t>
            </w:r>
            <w:r>
              <w:rPr>
                <w:rFonts w:hint="eastAsia" w:ascii="宋体" w:hAnsi="宋体" w:cs="宋体"/>
                <w:b/>
                <w:bCs/>
                <w:color w:val="auto"/>
                <w:sz w:val="21"/>
                <w:szCs w:val="21"/>
                <w:highlight w:val="none"/>
                <w:lang w:val="en-US" w:eastAsia="zh-CN"/>
              </w:rPr>
              <w:t>相关产品</w:t>
            </w:r>
            <w:r>
              <w:rPr>
                <w:rFonts w:hint="eastAsia" w:ascii="宋体" w:hAnsi="宋体" w:eastAsia="宋体" w:cs="宋体"/>
                <w:b/>
                <w:bCs/>
                <w:color w:val="auto"/>
                <w:sz w:val="21"/>
                <w:szCs w:val="21"/>
                <w:highlight w:val="none"/>
                <w:lang w:val="en-US" w:eastAsia="zh-CN"/>
              </w:rPr>
              <w:t>信息)进行评议</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49EF569C">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①提供的</w:t>
            </w:r>
            <w:r>
              <w:rPr>
                <w:rFonts w:hint="eastAsia" w:ascii="宋体" w:hAnsi="宋体" w:cs="宋体"/>
                <w:color w:val="auto"/>
                <w:sz w:val="21"/>
                <w:szCs w:val="21"/>
                <w:highlight w:val="none"/>
                <w:lang w:val="en-US" w:eastAsia="zh-CN"/>
              </w:rPr>
              <w:t>陪护</w:t>
            </w:r>
            <w:r>
              <w:rPr>
                <w:rFonts w:hint="eastAsia" w:ascii="宋体" w:hAnsi="宋体" w:eastAsia="宋体" w:cs="宋体"/>
                <w:color w:val="auto"/>
                <w:sz w:val="21"/>
                <w:szCs w:val="21"/>
                <w:highlight w:val="none"/>
              </w:rPr>
              <w:t>用品等种类齐全、数量充足，并满足项目实际需求的得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745B100">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②提供的</w:t>
            </w:r>
            <w:r>
              <w:rPr>
                <w:rFonts w:hint="eastAsia" w:ascii="宋体" w:hAnsi="宋体" w:cs="宋体"/>
                <w:color w:val="auto"/>
                <w:sz w:val="21"/>
                <w:szCs w:val="21"/>
                <w:highlight w:val="none"/>
                <w:lang w:val="en-US" w:eastAsia="zh-CN"/>
              </w:rPr>
              <w:t>陪护</w:t>
            </w:r>
            <w:r>
              <w:rPr>
                <w:rFonts w:hint="eastAsia" w:ascii="宋体" w:hAnsi="宋体" w:eastAsia="宋体" w:cs="宋体"/>
                <w:color w:val="auto"/>
                <w:sz w:val="21"/>
                <w:szCs w:val="21"/>
                <w:highlight w:val="none"/>
              </w:rPr>
              <w:t>用品等种类、数量基本能满足项目要求，略有欠缺但尚不影响履约的得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DCBFD19">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③提供的</w:t>
            </w:r>
            <w:r>
              <w:rPr>
                <w:rFonts w:hint="eastAsia" w:ascii="宋体" w:hAnsi="宋体" w:cs="宋体"/>
                <w:color w:val="auto"/>
                <w:sz w:val="21"/>
                <w:szCs w:val="21"/>
                <w:highlight w:val="none"/>
                <w:lang w:val="en-US" w:eastAsia="zh-CN"/>
              </w:rPr>
              <w:t>陪护</w:t>
            </w:r>
            <w:r>
              <w:rPr>
                <w:rFonts w:hint="eastAsia" w:ascii="宋体" w:hAnsi="宋体" w:eastAsia="宋体" w:cs="宋体"/>
                <w:color w:val="auto"/>
                <w:sz w:val="21"/>
                <w:szCs w:val="21"/>
                <w:highlight w:val="none"/>
              </w:rPr>
              <w:t>用品等种类不全、或数量不足</w:t>
            </w:r>
            <w:r>
              <w:rPr>
                <w:rFonts w:hint="eastAsia" w:ascii="宋体" w:hAnsi="宋体" w:cs="宋体"/>
                <w:color w:val="auto"/>
                <w:sz w:val="21"/>
                <w:szCs w:val="21"/>
                <w:highlight w:val="none"/>
                <w:lang w:val="en-US" w:eastAsia="zh-CN"/>
              </w:rPr>
              <w:t>或用品过于陈旧、针对性不强</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1301" w:type="dxa"/>
            <w:vAlign w:val="center"/>
          </w:tcPr>
          <w:p w14:paraId="1B3ED7E2">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p>
        </w:tc>
      </w:tr>
      <w:tr w14:paraId="091408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15B3F787">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vAlign w:val="center"/>
          </w:tcPr>
          <w:p w14:paraId="1E13F434">
            <w:pPr>
              <w:tabs>
                <w:tab w:val="left" w:pos="0"/>
              </w:tabs>
              <w:adjustRightInd w:val="0"/>
              <w:snapToGrid w:val="0"/>
              <w:spacing w:line="360" w:lineRule="exact"/>
              <w:rPr>
                <w:rFonts w:ascii="宋体" w:cs="宋体"/>
                <w:b/>
                <w:bCs/>
                <w:color w:val="auto"/>
                <w:kern w:val="0"/>
                <w:szCs w:val="21"/>
                <w:highlight w:val="none"/>
              </w:rPr>
            </w:pPr>
            <w:r>
              <w:rPr>
                <w:rFonts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、根据供应商提供的增值服务方案</w:t>
            </w:r>
            <w:r>
              <w:rPr>
                <w:rFonts w:hint="eastAsia" w:ascii="宋体" w:hAnsi="宋体" w:cs="宋体"/>
                <w:b/>
                <w:bCs/>
                <w:color w:val="auto"/>
                <w:szCs w:val="21"/>
                <w:highlight w:val="none"/>
              </w:rPr>
              <w:t>进行评议：（</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分）</w:t>
            </w:r>
          </w:p>
          <w:p w14:paraId="0FDB5B2C">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①增值服务力度强劲，涉及服务范围广，能提升用户体验，能提供有价值的建议或实质性的优惠，符合采购人实际需求的得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2D5CB82">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②增值服务力度</w:t>
            </w:r>
            <w:r>
              <w:rPr>
                <w:rFonts w:hint="eastAsia" w:ascii="宋体" w:hAnsi="宋体" w:cs="宋体"/>
                <w:color w:val="auto"/>
                <w:sz w:val="21"/>
                <w:szCs w:val="21"/>
                <w:highlight w:val="none"/>
                <w:lang w:val="en-US" w:eastAsia="zh-CN"/>
              </w:rPr>
              <w:t>较强，服务方案较为可靠、针对性较强，基本能够符合采购人实际需求的得2分</w:t>
            </w:r>
            <w:r>
              <w:rPr>
                <w:rFonts w:hint="eastAsia" w:ascii="宋体" w:hAnsi="宋体" w:eastAsia="宋体" w:cs="宋体"/>
                <w:color w:val="auto"/>
                <w:sz w:val="21"/>
                <w:szCs w:val="21"/>
                <w:highlight w:val="none"/>
              </w:rPr>
              <w:t>；</w:t>
            </w:r>
          </w:p>
          <w:p w14:paraId="1FE09497">
            <w:pPr>
              <w:pStyle w:val="195"/>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③增值服务具有延伸性，但无明显价值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且较为简单</w:t>
            </w:r>
            <w:r>
              <w:rPr>
                <w:rFonts w:hint="eastAsia" w:ascii="宋体" w:hAnsi="宋体" w:eastAsia="宋体" w:cs="宋体"/>
                <w:color w:val="auto"/>
                <w:sz w:val="21"/>
                <w:szCs w:val="21"/>
                <w:highlight w:val="none"/>
              </w:rPr>
              <w:t>的得1分。</w:t>
            </w:r>
          </w:p>
        </w:tc>
        <w:tc>
          <w:tcPr>
            <w:tcW w:w="1301" w:type="dxa"/>
            <w:vAlign w:val="center"/>
          </w:tcPr>
          <w:p w14:paraId="4595A033">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3152D8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3308528F">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vAlign w:val="center"/>
          </w:tcPr>
          <w:p w14:paraId="2137AD0D">
            <w:pPr>
              <w:keepNext w:val="0"/>
              <w:keepLines w:val="0"/>
              <w:pageBreakBefore w:val="0"/>
              <w:widowControl w:val="0"/>
              <w:kinsoku/>
              <w:wordWrap/>
              <w:overflowPunct/>
              <w:topLinePunct w:val="0"/>
              <w:autoSpaceDE/>
              <w:autoSpaceDN/>
              <w:bidi w:val="0"/>
              <w:spacing w:beforeAutospacing="0" w:afterAutospacing="0" w:line="420" w:lineRule="exact"/>
              <w:ind w:left="525" w:hanging="527" w:hangingChars="25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、资质证书（3分）：</w:t>
            </w:r>
          </w:p>
          <w:p w14:paraId="7F0CE252">
            <w:pPr>
              <w:keepNext w:val="0"/>
              <w:keepLines w:val="0"/>
              <w:pageBreakBefore w:val="0"/>
              <w:widowControl w:val="0"/>
              <w:kinsoku/>
              <w:wordWrap/>
              <w:overflowPunct/>
              <w:topLinePunct w:val="0"/>
              <w:autoSpaceDE/>
              <w:autoSpaceDN/>
              <w:bidi w:val="0"/>
              <w:spacing w:beforeAutospacing="0" w:afterAutospacing="0" w:line="420" w:lineRule="exact"/>
              <w:ind w:left="525"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（1）供应商具有质量管理体系认证证书的，得1分；</w:t>
            </w:r>
          </w:p>
          <w:p w14:paraId="7DCEC4CA">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（2）供应商具有环境管理体系认证证书的，得1分；</w:t>
            </w:r>
          </w:p>
          <w:p w14:paraId="4D1A8E64">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（3）供应商具有职业健康安全管理体系认证证书的，得1分；</w:t>
            </w:r>
          </w:p>
          <w:p w14:paraId="4813FBF8">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（投标文件中需提供有效期的认证证书复印件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w:t>
            </w:r>
          </w:p>
        </w:tc>
        <w:tc>
          <w:tcPr>
            <w:tcW w:w="1301" w:type="dxa"/>
            <w:vAlign w:val="center"/>
          </w:tcPr>
          <w:p w14:paraId="4FAC331D">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6881D4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Merge w:val="continue"/>
            <w:vAlign w:val="center"/>
          </w:tcPr>
          <w:p w14:paraId="6AC2699D">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rPr>
            </w:pPr>
          </w:p>
        </w:tc>
        <w:tc>
          <w:tcPr>
            <w:tcW w:w="7307" w:type="dxa"/>
            <w:gridSpan w:val="2"/>
            <w:vAlign w:val="center"/>
          </w:tcPr>
          <w:p w14:paraId="6D443052">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16、</w:t>
            </w:r>
            <w:r>
              <w:rPr>
                <w:rFonts w:hint="eastAsia" w:ascii="宋体" w:hAnsi="宋体" w:eastAsia="宋体" w:cs="宋体"/>
                <w:b/>
                <w:bCs/>
                <w:color w:val="auto"/>
                <w:kern w:val="0"/>
                <w:sz w:val="21"/>
                <w:szCs w:val="21"/>
                <w:highlight w:val="none"/>
              </w:rPr>
              <w:t>供应商业绩（1分）：</w:t>
            </w:r>
          </w:p>
          <w:p w14:paraId="3D37DEC4">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月1日</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lang w:val="en-US" w:eastAsia="zh-CN"/>
              </w:rPr>
              <w:t>签订日期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以来，投标人</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rPr>
              <w:t>同类</w:t>
            </w:r>
            <w:r>
              <w:rPr>
                <w:rFonts w:hint="eastAsia" w:ascii="宋体" w:hAnsi="宋体" w:cs="宋体"/>
                <w:color w:val="auto"/>
                <w:sz w:val="21"/>
                <w:szCs w:val="21"/>
                <w:highlight w:val="none"/>
                <w:lang w:val="en-US" w:eastAsia="zh-CN"/>
              </w:rPr>
              <w:t>陪护服务</w:t>
            </w:r>
            <w:r>
              <w:rPr>
                <w:rFonts w:hint="eastAsia" w:ascii="宋体" w:hAnsi="宋体" w:eastAsia="宋体" w:cs="宋体"/>
                <w:color w:val="auto"/>
                <w:sz w:val="21"/>
                <w:szCs w:val="21"/>
                <w:highlight w:val="none"/>
              </w:rPr>
              <w:t>项目业绩</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，每提供一个合同得0.5分，最高得1分。</w:t>
            </w:r>
          </w:p>
          <w:p w14:paraId="0AA08A82">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（投标文件中提供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中标通知书及</w:t>
            </w:r>
            <w:r>
              <w:rPr>
                <w:rFonts w:hint="eastAsia" w:ascii="宋体" w:hAnsi="宋体" w:eastAsia="宋体" w:cs="宋体"/>
                <w:b/>
                <w:bCs/>
                <w:color w:val="auto"/>
                <w:sz w:val="21"/>
                <w:szCs w:val="21"/>
                <w:highlight w:val="none"/>
              </w:rPr>
              <w:t>合同复印件并加盖</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w:t>
            </w:r>
          </w:p>
        </w:tc>
        <w:tc>
          <w:tcPr>
            <w:tcW w:w="1301" w:type="dxa"/>
            <w:vAlign w:val="center"/>
          </w:tcPr>
          <w:p w14:paraId="63BB4A6E">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748F2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6" w:type="dxa"/>
            <w:vAlign w:val="center"/>
          </w:tcPr>
          <w:p w14:paraId="0F2D09D3">
            <w:pPr>
              <w:keepNext w:val="0"/>
              <w:keepLines w:val="0"/>
              <w:pageBreakBefore w:val="0"/>
              <w:widowControl w:val="0"/>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7307" w:type="dxa"/>
            <w:gridSpan w:val="2"/>
            <w:vAlign w:val="center"/>
          </w:tcPr>
          <w:p w14:paraId="0BF65E93">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Cs w:val="21"/>
                <w:highlight w:val="none"/>
              </w:rPr>
              <w:t>、参与评审的价格=评标价</w:t>
            </w:r>
          </w:p>
          <w:p w14:paraId="31849A08">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ascii="宋体" w:hAnsi="宋体" w:eastAsia="宋体"/>
                <w:b/>
                <w:bCs/>
                <w:color w:val="auto"/>
                <w:szCs w:val="21"/>
                <w:highlight w:val="none"/>
                <w:lang w:eastAsia="zh-CN"/>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2D820647">
            <w:pPr>
              <w:spacing w:line="400" w:lineRule="exact"/>
              <w:rPr>
                <w:rFonts w:ascii="宋体" w:hAnsi="宋体"/>
                <w:color w:val="auto"/>
                <w:szCs w:val="21"/>
                <w:highlight w:val="none"/>
              </w:rPr>
            </w:pP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15</w:t>
            </w:r>
            <w:r>
              <w:rPr>
                <w:rFonts w:hint="eastAsia" w:ascii="宋体" w:hAnsi="宋体"/>
                <w:color w:val="auto"/>
                <w:szCs w:val="21"/>
                <w:highlight w:val="none"/>
              </w:rPr>
              <w:t>分，其他供应商报价得分计算公式如下：</w:t>
            </w:r>
          </w:p>
          <w:p w14:paraId="558D8589">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15</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1301" w:type="dxa"/>
            <w:vAlign w:val="center"/>
          </w:tcPr>
          <w:p w14:paraId="491B28CA">
            <w:pPr>
              <w:keepNext w:val="0"/>
              <w:keepLines w:val="0"/>
              <w:pageBreakBefore w:val="0"/>
              <w:widowControl w:val="0"/>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r>
      <w:tr w14:paraId="7F6D6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8053" w:type="dxa"/>
            <w:gridSpan w:val="3"/>
            <w:vAlign w:val="center"/>
          </w:tcPr>
          <w:p w14:paraId="7AA834BF">
            <w:pPr>
              <w:keepNext w:val="0"/>
              <w:keepLines w:val="0"/>
              <w:pageBreakBefore w:val="0"/>
              <w:widowControl w:val="0"/>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1301" w:type="dxa"/>
            <w:vAlign w:val="center"/>
          </w:tcPr>
          <w:p w14:paraId="3E3A260F">
            <w:pPr>
              <w:keepNext w:val="0"/>
              <w:keepLines w:val="0"/>
              <w:pageBreakBefore w:val="0"/>
              <w:widowControl w:val="0"/>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100</w:t>
            </w:r>
          </w:p>
        </w:tc>
      </w:tr>
    </w:tbl>
    <w:p w14:paraId="0A30F901">
      <w:pPr>
        <w:spacing w:line="4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、各评委成员自行按以上参考分值评分，评分小数点后保留一位数。</w:t>
      </w:r>
    </w:p>
    <w:p w14:paraId="53E916F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2、表内要求提供的资料，未按要求提供的均不得分。</w:t>
      </w:r>
    </w:p>
    <w:p w14:paraId="4F24BF3D">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评委签名：                                                         年  月  日</w:t>
      </w:r>
    </w:p>
    <w:p w14:paraId="172F4333">
      <w:pPr>
        <w:rPr>
          <w:color w:val="auto"/>
          <w:highlight w:val="none"/>
        </w:rPr>
      </w:pPr>
      <w:r>
        <w:rPr>
          <w:rFonts w:hint="eastAsia" w:asciiTheme="minorEastAsia" w:hAnsiTheme="minorEastAsia" w:eastAsiaTheme="minorEastAsia" w:cstheme="minorEastAsia"/>
          <w:b/>
          <w:bCs/>
          <w:color w:val="auto"/>
          <w:kern w:val="0"/>
          <w:szCs w:val="21"/>
          <w:highlight w:val="none"/>
        </w:rPr>
        <w:br w:type="page"/>
      </w:r>
    </w:p>
    <w:p w14:paraId="37D623C7">
      <w:pPr>
        <w:pStyle w:val="2"/>
        <w:ind w:firstLine="240"/>
        <w:rPr>
          <w:color w:val="auto"/>
          <w:highlight w:val="none"/>
        </w:rPr>
        <w:sectPr>
          <w:headerReference r:id="rId10" w:type="default"/>
          <w:footerReference r:id="rId11" w:type="default"/>
          <w:pgSz w:w="11907" w:h="16840"/>
          <w:pgMar w:top="851" w:right="1275" w:bottom="1134" w:left="1276" w:header="285" w:footer="418" w:gutter="0"/>
          <w:pgBorders>
            <w:top w:val="none" w:sz="0" w:space="0"/>
            <w:left w:val="none" w:sz="0" w:space="0"/>
            <w:bottom w:val="none" w:sz="0" w:space="0"/>
            <w:right w:val="none" w:sz="0" w:space="0"/>
          </w:pgBorders>
          <w:cols w:space="720" w:num="1"/>
          <w:docGrid w:linePitch="285" w:charSpace="0"/>
        </w:sectPr>
      </w:pPr>
    </w:p>
    <w:p w14:paraId="1B43427D">
      <w:pPr>
        <w:jc w:val="center"/>
        <w:rPr>
          <w:rFonts w:ascii="宋体" w:hAnsi="宋体"/>
          <w:b/>
          <w:color w:val="auto"/>
          <w:sz w:val="32"/>
          <w:highlight w:val="none"/>
        </w:rPr>
      </w:pPr>
      <w:bookmarkStart w:id="16" w:name="_Toc44162155"/>
      <w:r>
        <w:rPr>
          <w:rFonts w:hint="eastAsia" w:ascii="宋体" w:hAnsi="宋体"/>
          <w:b/>
          <w:color w:val="auto"/>
          <w:sz w:val="32"/>
          <w:highlight w:val="none"/>
        </w:rPr>
        <w:t>第六章  采购合同样本</w:t>
      </w:r>
    </w:p>
    <w:p w14:paraId="4879918C">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color w:val="auto"/>
          <w:sz w:val="21"/>
          <w:szCs w:val="21"/>
          <w:highlight w:val="none"/>
          <w:lang w:eastAsia="zh-CN"/>
        </w:rPr>
      </w:pPr>
    </w:p>
    <w:p w14:paraId="3737358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color w:val="auto"/>
          <w:sz w:val="21"/>
          <w:szCs w:val="21"/>
          <w:highlight w:val="none"/>
          <w:lang w:eastAsia="zh-CN"/>
        </w:rPr>
      </w:pPr>
      <w:r>
        <w:rPr>
          <w:rFonts w:hint="eastAsia"/>
          <w:b/>
          <w:color w:val="auto"/>
          <w:sz w:val="21"/>
          <w:szCs w:val="21"/>
          <w:highlight w:val="none"/>
        </w:rPr>
        <w:t>（本合同为合同样稿，最终稿由甲乙双方协商后确定）</w:t>
      </w:r>
    </w:p>
    <w:p w14:paraId="76813C8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color w:val="auto"/>
          <w:sz w:val="21"/>
          <w:szCs w:val="21"/>
          <w:highlight w:val="none"/>
          <w:lang w:eastAsia="zh-CN"/>
        </w:rPr>
      </w:pPr>
    </w:p>
    <w:p w14:paraId="37CF94E1">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宁波市精神病院</w:t>
      </w:r>
      <w:r>
        <w:rPr>
          <w:rFonts w:hint="eastAsia" w:ascii="宋体" w:hAnsi="宋体" w:cs="宋体"/>
          <w:b/>
          <w:bCs/>
          <w:color w:val="auto"/>
          <w:sz w:val="21"/>
          <w:szCs w:val="21"/>
          <w:highlight w:val="none"/>
          <w:lang w:eastAsia="zh-CN"/>
        </w:rPr>
        <w:t>陪护服务管理外包</w:t>
      </w:r>
      <w:r>
        <w:rPr>
          <w:rFonts w:hint="eastAsia" w:ascii="宋体" w:hAnsi="宋体" w:eastAsia="宋体" w:cs="宋体"/>
          <w:b/>
          <w:bCs/>
          <w:color w:val="auto"/>
          <w:sz w:val="21"/>
          <w:szCs w:val="21"/>
          <w:highlight w:val="none"/>
          <w:lang w:eastAsia="zh-CN"/>
        </w:rPr>
        <w:t>采购合同</w:t>
      </w:r>
    </w:p>
    <w:p w14:paraId="60EFDECD">
      <w:pPr>
        <w:keepNext w:val="0"/>
        <w:keepLines w:val="0"/>
        <w:pageBreakBefore w:val="0"/>
        <w:widowControl w:val="0"/>
        <w:kinsoku/>
        <w:wordWrap/>
        <w:overflowPunct/>
        <w:topLinePunct w:val="0"/>
        <w:autoSpaceDE/>
        <w:autoSpaceDN/>
        <w:bidi w:val="0"/>
        <w:adjustRightInd/>
        <w:snapToGrid/>
        <w:spacing w:before="286" w:beforeLines="100"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甲方（采购人）</w:t>
      </w:r>
      <w:r>
        <w:rPr>
          <w:rFonts w:hint="eastAsia" w:ascii="宋体" w:hAnsi="宋体" w:eastAsia="宋体" w:cs="宋体"/>
          <w:b/>
          <w:bCs/>
          <w:color w:val="auto"/>
          <w:sz w:val="21"/>
          <w:szCs w:val="21"/>
          <w:highlight w:val="none"/>
          <w:u w:val="single"/>
          <w:lang w:eastAsia="zh-CN"/>
        </w:rPr>
        <w:t xml:space="preserve">        宁波市精神病院        </w:t>
      </w:r>
    </w:p>
    <w:p w14:paraId="2A5D99C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乙方（中标人）</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 xml:space="preserve">        </w:t>
      </w:r>
    </w:p>
    <w:p w14:paraId="6DE8AA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根据《中华人民共和国民法典》等法律、法规的规定，甲、乙双方在平等、自愿的基础上，经协商一致，就</w:t>
      </w:r>
      <w:r>
        <w:rPr>
          <w:rFonts w:hint="eastAsia" w:ascii="宋体" w:hAnsi="宋体" w:cs="宋体"/>
          <w:color w:val="auto"/>
          <w:sz w:val="21"/>
          <w:szCs w:val="21"/>
          <w:highlight w:val="none"/>
          <w:lang w:eastAsia="zh-CN"/>
        </w:rPr>
        <w:t>宁波市精神病院医院陪护服务管理外包项目</w:t>
      </w:r>
      <w:r>
        <w:rPr>
          <w:rFonts w:hint="eastAsia" w:ascii="宋体" w:hAnsi="宋体" w:eastAsia="宋体" w:cs="宋体"/>
          <w:color w:val="auto"/>
          <w:sz w:val="21"/>
          <w:szCs w:val="21"/>
          <w:highlight w:val="none"/>
          <w:lang w:eastAsia="zh-CN"/>
        </w:rPr>
        <w:t>事项达成协议。</w:t>
      </w:r>
    </w:p>
    <w:p w14:paraId="383464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第一条 定义</w:t>
      </w:r>
    </w:p>
    <w:p w14:paraId="34DED4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“合同”即由甲乙方双方签订的合同格式中的文件，包括所有的附件、附录和组成合同部分的所有其他文件。</w:t>
      </w:r>
    </w:p>
    <w:p w14:paraId="131902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“合同价格”系指根据合同规定，在供应商全面正确地履行合同义务时，采购人应支付给供应商的总单价。</w:t>
      </w:r>
    </w:p>
    <w:p w14:paraId="4298CD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“管理服务” 系指供应商按采购文件规定，结合本项目的性质特点，提出关于服务对象陪护服务定位、目标，为宁波市精神病院提供优质的陪护服务。</w:t>
      </w:r>
    </w:p>
    <w:p w14:paraId="360DC8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“甲方”系指通过招标接受合同及服务的宁波市精神病院。</w:t>
      </w:r>
    </w:p>
    <w:p w14:paraId="5A25FC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“乙方”系指经评审最终确定的中标人。</w:t>
      </w:r>
    </w:p>
    <w:p w14:paraId="75B0A9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“现场”系指将要提供关于服务对象陪护服务与服务的地点。</w:t>
      </w:r>
    </w:p>
    <w:p w14:paraId="4A56B3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第二条 适用范围</w:t>
      </w:r>
    </w:p>
    <w:p w14:paraId="4177A8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本合同条款适用与本次招标活动。</w:t>
      </w:r>
    </w:p>
    <w:p w14:paraId="7C9103E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第三条 服务要求</w:t>
      </w:r>
    </w:p>
    <w:p w14:paraId="7F2557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1.陪护人员须具有相应</w:t>
      </w:r>
      <w:r>
        <w:rPr>
          <w:rFonts w:hint="eastAsia" w:ascii="宋体" w:hAnsi="宋体" w:cs="宋体"/>
          <w:color w:val="auto"/>
          <w:sz w:val="21"/>
          <w:szCs w:val="21"/>
          <w:highlight w:val="none"/>
          <w:lang w:val="zh-CN"/>
        </w:rPr>
        <w:t>陪护</w:t>
      </w:r>
      <w:r>
        <w:rPr>
          <w:rFonts w:hint="eastAsia" w:ascii="宋体" w:hAnsi="宋体" w:eastAsia="宋体" w:cs="宋体"/>
          <w:color w:val="auto"/>
          <w:sz w:val="21"/>
          <w:szCs w:val="21"/>
          <w:highlight w:val="none"/>
          <w:lang w:val="zh-CN"/>
        </w:rPr>
        <w:t>能力，陪护期间遵守医院各项规章制度，服从管理；</w:t>
      </w:r>
    </w:p>
    <w:p w14:paraId="277F6D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2.陪护公司建立陪护人员档案，并提交一份至医院备案。</w:t>
      </w:r>
    </w:p>
    <w:p w14:paraId="574876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3.陪护公司应建立培训制度，组织岗前培训和在职岗位培训，陪护人员考核合格后才能上岗；</w:t>
      </w:r>
    </w:p>
    <w:p w14:paraId="7D9A8F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4.陪护公司应对陪护人员统一服装管理；</w:t>
      </w:r>
    </w:p>
    <w:p w14:paraId="4EB4EA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5.陪护公司不得以医院名义开展诱导性宣传；</w:t>
      </w:r>
    </w:p>
    <w:p w14:paraId="408790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6.不得代替护士开展</w:t>
      </w:r>
      <w:r>
        <w:rPr>
          <w:rFonts w:hint="eastAsia" w:ascii="宋体" w:hAnsi="宋体" w:cs="宋体"/>
          <w:color w:val="auto"/>
          <w:sz w:val="21"/>
          <w:szCs w:val="21"/>
          <w:highlight w:val="none"/>
          <w:lang w:val="zh-CN"/>
        </w:rPr>
        <w:t>陪护</w:t>
      </w:r>
      <w:r>
        <w:rPr>
          <w:rFonts w:hint="eastAsia" w:ascii="宋体" w:hAnsi="宋体" w:eastAsia="宋体" w:cs="宋体"/>
          <w:color w:val="auto"/>
          <w:sz w:val="21"/>
          <w:szCs w:val="21"/>
          <w:highlight w:val="none"/>
          <w:lang w:val="zh-CN"/>
        </w:rPr>
        <w:t>技术性工作，陪护员在工作中应虚心接受医护人员的技术指导和质量监督，陪护员无权解释病情。</w:t>
      </w:r>
    </w:p>
    <w:p w14:paraId="141CE7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7.陪护人员无传染性疾病和心理性疾病，具有能胜任陪护服务工作需求的健康体质，工作中严格遵守规章制度，保护服务对象隐私，如因健康原因或泄露患者隐私等原因造成纠纷，由中标人负责。</w:t>
      </w:r>
    </w:p>
    <w:p w14:paraId="2B41B1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陪护人员陪护期间不得与医护人员发生争执，不得向服务对象评价医护人员的医疗行为；不得与服务对象发生争执，如因陪护人员言语不当引发医疗纠纷或意外，陪护公司应积极配合做好纠纷处置工作，并由中标人承担法律责任和经济赔偿，采购人不承担连带责任。</w:t>
      </w:r>
    </w:p>
    <w:p w14:paraId="6E198B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9.因护工的工作造成的病人跌伤、走失或其它严重伤害以及陪护自身的伤害、损失等，由中标人承担法律责任和经济赔偿，采购人不承担连带责任。</w:t>
      </w:r>
    </w:p>
    <w:p w14:paraId="6D6A19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陪护人员人为损坏或偷窃采购人或服务对象的物品，由中标人承担赔偿责任。陪护人员如在陪护职责范围内违规、失职、泄露服务对象隐私，造成服务对象意外伤害、信息泄露、纠纷或造成重大医疗事故的，由中标人承担法律责任和经济赔偿，并追究相关陪护人员民事责任，采购人不承担连带责任。</w:t>
      </w:r>
    </w:p>
    <w:p w14:paraId="53208B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11.不准私自接工作或接受他人工作，服从医院分配。</w:t>
      </w:r>
    </w:p>
    <w:p w14:paraId="030FBF8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12.陪护员每接受新的服务对象时，一定要向当班护士了解服务对象禁忌及注意事项。</w:t>
      </w:r>
    </w:p>
    <w:p w14:paraId="758F54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13.不得在白天上班时间干私活、睡觉，不得在病房抽烟、饮酒、下棋、打牌，不得坐、卧在病床上，不得大声喧哗，影响服务对象休息。</w:t>
      </w:r>
    </w:p>
    <w:p w14:paraId="0F4516D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14.不得在病房接待自己的客人、串门、煮食，不得随便吃、拿服务对象的食物和使用服务对象及医院的用品，不准在服务对象的床上睡觉。</w:t>
      </w:r>
    </w:p>
    <w:p w14:paraId="12AA6B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15.坚守岗位，工作期间不得擅离职守，如遇特殊情况，需经中标人管理人员同意。</w:t>
      </w:r>
    </w:p>
    <w:p w14:paraId="787AB5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16.爱护公物，节约水电，严禁开空调同时开门窗，损坏公物要赔偿。</w:t>
      </w:r>
    </w:p>
    <w:p w14:paraId="4F1D03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17.严禁交叉使用患者的个人用品。</w:t>
      </w:r>
    </w:p>
    <w:p w14:paraId="128B2C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18.医生查房时，陪护员应及时通报服务对象的休息和生活情况。密切注意服务对象病情变化，并及时向当班护士反映服务对象的病情变化。</w:t>
      </w:r>
    </w:p>
    <w:p w14:paraId="3C99753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19.中标人自雇工作人员，必须遵守劳动法规及有关用工规定，与陪护人员签订劳动合同。中标人陪护人员与医院无任何劳动用工和雇佣关系，陪护人员收入及工资福利由中标人与陪护人员协商确定，中标人与陪护人员之间的争议纠纷与医院无关。</w:t>
      </w:r>
    </w:p>
    <w:p w14:paraId="6F8141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20.中标人安排在院方的所有陪护人员必须遵纪守法不得从事非法活动。如有不熟悉操作或工作态度差的陪护人员，医院有权要求中标人辞退、更换。</w:t>
      </w:r>
    </w:p>
    <w:p w14:paraId="313981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21.不准向服务对象收取小费、食物或其他物品，中标人及陪护人员不得私自同服务对象讲价钱，提要求。</w:t>
      </w:r>
    </w:p>
    <w:p w14:paraId="67B20C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22.若中标人在工作中出现特别严重问题或违反相关法律法规，造成采购人经济损失、影响采购人社会形象，中标人应承担相应违约责任，且采购人有权终止中标人提供陪护服务。</w:t>
      </w:r>
    </w:p>
    <w:p w14:paraId="18C628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23.服务质量要求：保持病床整洁、服务对象无投诉；</w:t>
      </w:r>
    </w:p>
    <w:p w14:paraId="7D40763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24.其他要求：</w:t>
      </w:r>
    </w:p>
    <w:p w14:paraId="4C4840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24.1对待服务对象如亲人，态度诚恳、举止稳重、同情、关心和体贴服务对象，做到：（解释耐心、听取意见虚心），不出现冷、硬、顶、推现象。尽量满足患者需要，工作期间做到无投诉。</w:t>
      </w:r>
    </w:p>
    <w:p w14:paraId="433938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24.2严格执行遵守采购人各项规章制度、安全制度。</w:t>
      </w:r>
    </w:p>
    <w:p w14:paraId="1D2AB5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陪护服务的范围</w:t>
      </w:r>
    </w:p>
    <w:p w14:paraId="0B3128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在所管辖服务病区内服从医院安排，在护士长和注册护士指导下对住院病患开展生活陪护照料等采购人合理化需求；</w:t>
      </w:r>
    </w:p>
    <w:p w14:paraId="635045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第五条 合同期限</w:t>
      </w:r>
    </w:p>
    <w:p w14:paraId="1B837F6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C74A7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第六条 陪护装备、耗材的使用</w:t>
      </w:r>
    </w:p>
    <w:p w14:paraId="672675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用于服务对象陪护服务所需低值易耗品、清洁用品、用具、设备器材等由乙方承担。</w:t>
      </w:r>
    </w:p>
    <w:p w14:paraId="20BB00E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第七条 关于服务对象陪护服务收费</w:t>
      </w:r>
    </w:p>
    <w:p w14:paraId="55668A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p w14:paraId="77C2ABF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1、按月支付，合同生效后每月5日支付前月的实际到岗人数的实际金额，经审核无误后，</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zh-CN"/>
        </w:rPr>
        <w:t>提交考核报告及有效正规税务发票给</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zh-CN"/>
        </w:rPr>
        <w:t>作为付款凭据，支付时扣除前月</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zh-CN"/>
        </w:rPr>
        <w:t>应支付的违约金和应承担的赔偿款。</w:t>
      </w:r>
    </w:p>
    <w:p w14:paraId="7D53F7F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2、结算费用=（∑综合单价×配置人数）－当次乙方应支付的违约金和应承担的赔偿金额</w:t>
      </w:r>
    </w:p>
    <w:p w14:paraId="4B907A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第八条 其他说明</w:t>
      </w:r>
    </w:p>
    <w:p w14:paraId="087553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1、人员配备：需满足采购人需求；为确保陪护服务质量，单个陪护人员服务对象（床位数量）上限为4人；</w:t>
      </w:r>
    </w:p>
    <w:p w14:paraId="624D77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2、如采购人在所管辖服务病区外有陪护需求，中标人须积极予以配合；服务单价由采购人和中标人按不超过市场价的基础上另行协商确定；</w:t>
      </w:r>
    </w:p>
    <w:p w14:paraId="350241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第九条 履约保证金</w:t>
      </w:r>
    </w:p>
    <w:p w14:paraId="67E603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p w14:paraId="7ECA01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第十条</w:t>
      </w:r>
      <w:r>
        <w:rPr>
          <w:rFonts w:hint="eastAsia" w:ascii="宋体" w:hAnsi="宋体" w:eastAsia="宋体" w:cs="宋体"/>
          <w:color w:val="auto"/>
          <w:sz w:val="21"/>
          <w:szCs w:val="21"/>
          <w:highlight w:val="none"/>
        </w:rPr>
        <w:t xml:space="preserve"> 关于服务对象陪护质量的要求</w:t>
      </w:r>
      <w:r>
        <w:rPr>
          <w:rFonts w:hint="eastAsia" w:ascii="宋体" w:hAnsi="宋体" w:eastAsia="宋体" w:cs="宋体"/>
          <w:color w:val="auto"/>
          <w:sz w:val="21"/>
          <w:szCs w:val="21"/>
          <w:highlight w:val="none"/>
          <w:lang w:val="zh-CN"/>
        </w:rPr>
        <w:t>：</w:t>
      </w:r>
    </w:p>
    <w:p w14:paraId="090116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制订具体的质量保证措施及质量保证和相关服务承诺。乙方所有的工作除应按乙方的内部流程实施外，还应接受甲方或第三方的随时检查。如因质量未达到目标，甲方有权要求其整改，同时乙方应承担责任和经济赔偿（扣款或终止合同）。</w:t>
      </w:r>
    </w:p>
    <w:p w14:paraId="1D44C7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2、在履行合同过程中，乙方在不降低陪护质量的前提下，可以对现行的陪护方案作出合理的改进，但须征得甲方同意。</w:t>
      </w:r>
    </w:p>
    <w:p w14:paraId="70F043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3、甲方对乙方的服务质量进行考核，内容包括以下几个方面：</w:t>
      </w:r>
    </w:p>
    <w:p w14:paraId="3BCAC39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3.1人员配备</w:t>
      </w:r>
    </w:p>
    <w:p w14:paraId="0D90BD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w:t>
      </w:r>
      <w:bookmarkStart w:id="17" w:name="_Hlk86668457"/>
      <w:r>
        <w:rPr>
          <w:rFonts w:hint="eastAsia" w:ascii="宋体" w:hAnsi="宋体" w:eastAsia="宋体" w:cs="宋体"/>
          <w:color w:val="auto"/>
          <w:sz w:val="21"/>
          <w:szCs w:val="21"/>
          <w:highlight w:val="none"/>
        </w:rPr>
        <w:t>为确保陪护服务质量，</w:t>
      </w:r>
      <w:r>
        <w:rPr>
          <w:rFonts w:hint="eastAsia" w:ascii="宋体" w:hAnsi="宋体" w:eastAsia="宋体" w:cs="宋体"/>
          <w:color w:val="auto"/>
          <w:sz w:val="21"/>
          <w:szCs w:val="21"/>
          <w:highlight w:val="none"/>
          <w:lang w:val="en-US" w:eastAsia="zh-CN"/>
        </w:rPr>
        <w:t>单个陪护人员服务对象（床位数量）上限为4人</w:t>
      </w:r>
      <w:r>
        <w:rPr>
          <w:rFonts w:hint="eastAsia" w:ascii="宋体" w:hAnsi="宋体" w:eastAsia="宋体" w:cs="宋体"/>
          <w:color w:val="auto"/>
          <w:sz w:val="21"/>
          <w:szCs w:val="21"/>
          <w:highlight w:val="none"/>
        </w:rPr>
        <w:t>；所有人员的用餐均由乙方自行解决。</w:t>
      </w:r>
      <w:bookmarkEnd w:id="17"/>
    </w:p>
    <w:p w14:paraId="64C109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服务态度。</w:t>
      </w:r>
    </w:p>
    <w:p w14:paraId="74D9C3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3.2.1陪护人员如有打骂服务对象行为，一经发现甲方可以按情节轻重500-2000元/次累计扣除合同款。</w:t>
      </w:r>
    </w:p>
    <w:p w14:paraId="5AFF77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3.2.2发生工作人员克扣服务对象物资，吃拿服务对象的食物和财物，视情况每例扣除当月合同款500-2000元。</w:t>
      </w:r>
    </w:p>
    <w:p w14:paraId="1C891B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服务对象对陪护满意率90%以上（含90%）。如有服务对象投诉者，查明属实，按情节轻重500-2000元/次累计扣除当月合同款。如有因乙方服务不到位，或发生差错事故和意外事件，遭服务对象投诉引起纠纷索赔者，由乙方自行负责，相关费用乙方自行承担，甲方在服务对象索赔时不承担任何责任。</w:t>
      </w:r>
    </w:p>
    <w:p w14:paraId="080DDD9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 </w:t>
      </w:r>
      <w:r>
        <w:rPr>
          <w:rFonts w:hint="eastAsia" w:ascii="宋体" w:hAnsi="宋体" w:cs="宋体"/>
          <w:color w:val="auto"/>
          <w:sz w:val="21"/>
          <w:szCs w:val="21"/>
          <w:highlight w:val="none"/>
          <w:lang w:eastAsia="zh-CN"/>
        </w:rPr>
        <w:t>陪护</w:t>
      </w:r>
      <w:r>
        <w:rPr>
          <w:rFonts w:hint="eastAsia" w:ascii="宋体" w:hAnsi="宋体" w:eastAsia="宋体" w:cs="宋体"/>
          <w:color w:val="auto"/>
          <w:sz w:val="21"/>
          <w:szCs w:val="21"/>
          <w:highlight w:val="none"/>
        </w:rPr>
        <w:t>安全。</w:t>
      </w:r>
    </w:p>
    <w:p w14:paraId="3C148B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4.1.1发生重大安全责任事故（如因管理不善，致服务对象外流、死亡、重伤等），由中标人承担法律责任和经济赔偿，并追究相关陪护人员民事责任，甲方有解除合同的权利。</w:t>
      </w:r>
    </w:p>
    <w:p w14:paraId="6672FD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4.1.2服务对象发生烫伤、冻伤、坠床、跌倒、噎食等情况，视情节轻重每例扣除当月合同款500-2000元；</w:t>
      </w:r>
    </w:p>
    <w:p w14:paraId="12B16C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4.1.3因管理疏忽造成服务对象误食过期霉变食物引起食物中毒，按每例扣除当月合同款500-2000元。</w:t>
      </w:r>
    </w:p>
    <w:p w14:paraId="6384930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4.1.4加强危险物品管理，因管理不当引起的意外事件发生，视情节轻重扣除当月合同款500-2000元。</w:t>
      </w:r>
    </w:p>
    <w:p w14:paraId="4B8B55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4.1.5陪护人员能熟练掌握各项应急预案的处置技术（心肺复苏、噎食、癫痫、消防等）。因突发事件处置不及时到位视后果轻重扣除当月合同款500-2000元。</w:t>
      </w:r>
    </w:p>
    <w:p w14:paraId="08A748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4.1.6若乙方在工作中出现特别严重问题或违反相关法律法规，造成甲方经济损失、影响甲方社会形象，乙方应承担相应违约责任，并赔偿甲方经济损失，且甲方有权终止乙方提供陪护服务。</w:t>
      </w:r>
    </w:p>
    <w:p w14:paraId="49A5FC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其他约定根据双方协商确定并另行补充；</w:t>
      </w:r>
    </w:p>
    <w:p w14:paraId="0FE637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第十一条 经营制约</w:t>
      </w:r>
    </w:p>
    <w:p w14:paraId="3E3A13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未经甲方同意，乙方无权在服务区域中从事任何广告活动或类似宣传活动；</w:t>
      </w:r>
    </w:p>
    <w:p w14:paraId="1C598A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乙方不得以甲方的名义从事任何经济活动，且由此发生的一切债权、债务与甲方无关。</w:t>
      </w:r>
    </w:p>
    <w:p w14:paraId="1FF770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第十二条 乙方对甲方作出如下承诺：</w:t>
      </w:r>
    </w:p>
    <w:p w14:paraId="584476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1.不以任何形式将服务工作转包第三方。</w:t>
      </w:r>
    </w:p>
    <w:p w14:paraId="2253E2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2.乙方应允许甲方或其授权的人员对各项服务质量控制进行检查，有关费用由乙方承担。</w:t>
      </w:r>
    </w:p>
    <w:p w14:paraId="2F3771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3.乙方提供的各项服务，其工作时间必须满足甲方的工作要求，包括星期天及公众假期。如遇特殊情况，甲方可要求乙方调整工作时间直至全天二十四小时工作。</w:t>
      </w:r>
    </w:p>
    <w:p w14:paraId="1916FA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4.人员配备需满足医院需求，服务医院管理及安排。乙方聘用的工作人员必须符合劳动部门有关用工规定，并经相关专业考核合格后持证上岗，甲方有权进行审核，该类费用开支由乙方负担。</w:t>
      </w:r>
    </w:p>
    <w:p w14:paraId="1ED39EF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025F9C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6.乙方工作人员上岗穿着由甲方确认的制服及甲方许可的装饰物品，费用和制作均由乙方负担。</w:t>
      </w:r>
    </w:p>
    <w:p w14:paraId="6E6FB4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7.乙方必须出具或办妥法律及甲方规定的与经营业务有关的执照和许可证，方可从事经营并在经营中遵守一切有关条例和规定。自行缴纳有关税、费。</w:t>
      </w:r>
    </w:p>
    <w:p w14:paraId="48A60D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8.乙方必须确保为甲方提供优质、高效的专业服务，并根据甲方要求改变不满意的服务状况。接受有关部门监督与检查。同时，乙方自觉参加甲方认为有助提高甲方形象的宣传活动。</w:t>
      </w:r>
    </w:p>
    <w:p w14:paraId="20075D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9.未经甲方同意，不得上传声像等有关私密的文件。</w:t>
      </w:r>
    </w:p>
    <w:p w14:paraId="59512B0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服务管理期内乙方守法开展各项管理活动，有责任维护医院的社会形象。根据有关法律、法规政策及本项目的规定，制订各项管理办法、规章制度、实施细则。开展各项活动，不得损害医院、服务对象的合法权益，不能获取不当利益，如在服务管理期内有出现违规、违法行为，给医院、服务对象造成损失的，需向医院、服务对象作出相应的赔偿并承担相应的法律责任。</w:t>
      </w:r>
    </w:p>
    <w:p w14:paraId="0692F6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 禁止事项</w:t>
      </w:r>
    </w:p>
    <w:p w14:paraId="0F7540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10.1乙方不得服务区域从事非法活动，也不得从事有损甲方利益的活动，同时不允许在服务区域对甲方经营活动进行滋扰性的行为。</w:t>
      </w:r>
    </w:p>
    <w:p w14:paraId="66938A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 保险</w:t>
      </w:r>
    </w:p>
    <w:p w14:paraId="24FF46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11.1第三者责任保险</w:t>
      </w:r>
    </w:p>
    <w:p w14:paraId="587A1C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乙方应对乙方人员以及第三方全权负责(如乙方应投保第三责任险)，在乙方的责任区内由于乙方原因导致自己员工或第三方的事故由乙方负责，甲方不承担任何责任。</w:t>
      </w:r>
    </w:p>
    <w:p w14:paraId="28559C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11.2员工人身意外</w:t>
      </w:r>
    </w:p>
    <w:p w14:paraId="5DF2FB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在承包期内，乙方所有人员的事故由乙方自行全权负责(如乙方应对其员工投保人身意外险)，以保证甲方在乙方工作人员索赔时不受任何责任的约束。</w:t>
      </w:r>
    </w:p>
    <w:p w14:paraId="22D2DC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11.3其他保险及费用</w:t>
      </w:r>
    </w:p>
    <w:p w14:paraId="20C38E9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乙方须按《劳动合同法》和政府有关各部门规定为全体服务人员交纳所有相关的社会保险及其他相关费用。乙方对此全权负责。</w:t>
      </w:r>
    </w:p>
    <w:p w14:paraId="7F78819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11.4乙方须积极配合甲方对其进行的陪护服务综合考评。</w:t>
      </w:r>
    </w:p>
    <w:p w14:paraId="0D36C0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第十三条 甲方对乙方作出如下承诺：</w:t>
      </w:r>
    </w:p>
    <w:p w14:paraId="3EC825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1、甲方在职权范围内保证乙方的正常经营不受干扰。</w:t>
      </w:r>
    </w:p>
    <w:p w14:paraId="55D424E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2、保证乙方的员工按规定正常进入承包区域开展服务工作。</w:t>
      </w:r>
    </w:p>
    <w:p w14:paraId="6A8E94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第十四条 合同生效和终止：</w:t>
      </w:r>
    </w:p>
    <w:p w14:paraId="0BC338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本合同经甲乙双方法定代表人或其委托人签字盖章后生效。</w:t>
      </w:r>
    </w:p>
    <w:p w14:paraId="65B888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终止</w:t>
      </w:r>
    </w:p>
    <w:p w14:paraId="660EAC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2.1提前终止</w:t>
      </w:r>
    </w:p>
    <w:p w14:paraId="006150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2.1.1如果甲方在服务期内无理由终止合同，甲方须提前一个月向乙方发出书面通知终止承包，甲方支付给乙方月度承包服务款二倍金额的赔偿金。</w:t>
      </w:r>
    </w:p>
    <w:p w14:paraId="332CCC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2.1.2如甲方发现乙方出现转租、转让、抵押承包等情况，甲方可以单方面终止承包，且乙方须支付给甲方月度承包服务款二倍金额的赔偿金。</w:t>
      </w:r>
    </w:p>
    <w:p w14:paraId="5A0924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14:paraId="0C45DE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2.1.4如果乙方在服务期内由于乙方原因造成重大责任事故或安全事故，甲方可以单方面终止承包，且乙方须赔偿给甲方造成的经济损失，并须支付给甲方月度承包服务款五倍金额的赔偿金。</w:t>
      </w:r>
    </w:p>
    <w:p w14:paraId="6F3124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2.1.5提前终止承包期早于月底最后一天，应视为月底最后一天期满，此条适用于上述2.1.1、2.1.2、2.1.3、2.1.4四条。</w:t>
      </w:r>
    </w:p>
    <w:p w14:paraId="5118C28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2.1.6乙方未能履行合同和遵守有关规定，在甲方发出书面警告后一周内乙方仍无采取补救措施，甲方可立即终止承包。</w:t>
      </w:r>
    </w:p>
    <w:p w14:paraId="40F7648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2.1.7乙方破产清处、重组及兼并等事实发生，或被债权人接管经营，甲方不必通知乙方即可终止承包。</w:t>
      </w:r>
    </w:p>
    <w:p w14:paraId="00864C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协议终止</w:t>
      </w:r>
    </w:p>
    <w:p w14:paraId="5566D0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经双方协商同意，可在任何时候终止承包。</w:t>
      </w:r>
    </w:p>
    <w:p w14:paraId="055D755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自然终止</w:t>
      </w:r>
    </w:p>
    <w:p w14:paraId="009D00B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合同规定的承包服务期满，承包自然终止。</w:t>
      </w:r>
    </w:p>
    <w:p w14:paraId="555DF1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承包终止后果</w:t>
      </w:r>
    </w:p>
    <w:p w14:paraId="660399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3.1终止承包，不影响根据合同规定进行的赔偿、补偿，也不影响履约保证金的效力。</w:t>
      </w:r>
    </w:p>
    <w:p w14:paraId="0A82E1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3.2上述2.1.5、2.1.6二条的终止，乙方的履约保证金作为违约金支付给甲方。</w:t>
      </w:r>
    </w:p>
    <w:p w14:paraId="3E8F5C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3.3承包终止时，双方应进行结算，甲方同时进行乙方承包区域设施、设备状况检查并要求乙方三天内将乙方物品撤离承包区域，否则甲方将代理处理，乙方支付甲方代理费及10%的手续费。</w:t>
      </w:r>
    </w:p>
    <w:p w14:paraId="7BD3EB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不放弃权利</w:t>
      </w:r>
    </w:p>
    <w:p w14:paraId="19D5E7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甲方接受乙方的服务，但不放弃对乙方违约行为进行追究的权利；同时，若甲方对乙方某一违约行为放弃进行追究的权利，但不放弃对乙方其他违约行为进行追究的权利。</w:t>
      </w:r>
    </w:p>
    <w:p w14:paraId="7C550F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第十五条 双方权利义务</w:t>
      </w:r>
    </w:p>
    <w:p w14:paraId="141CC70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 甲方权利义务</w:t>
      </w:r>
    </w:p>
    <w:p w14:paraId="751ECC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（1）代表和维护产权人、使用人的合法权益；</w:t>
      </w:r>
    </w:p>
    <w:p w14:paraId="06BCBA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（2）检查监督乙方管理工作的实施及制度的执行情况；</w:t>
      </w:r>
    </w:p>
    <w:p w14:paraId="20BE50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（3）按期支付关于服务对象陪护服务费用；</w:t>
      </w:r>
    </w:p>
    <w:p w14:paraId="2024E4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  乙方权利义务</w:t>
      </w:r>
    </w:p>
    <w:p w14:paraId="344B72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（1）根据有关法律法规及本合同的约定，制订关于服务对象陪护服务制度、方案，自主开展</w:t>
      </w:r>
      <w:r>
        <w:rPr>
          <w:rFonts w:hint="eastAsia" w:ascii="宋体" w:hAnsi="宋体" w:cs="宋体"/>
          <w:color w:val="auto"/>
          <w:sz w:val="21"/>
          <w:szCs w:val="21"/>
          <w:highlight w:val="none"/>
          <w:lang w:eastAsia="zh-CN"/>
        </w:rPr>
        <w:t>陪护</w:t>
      </w:r>
      <w:r>
        <w:rPr>
          <w:rFonts w:hint="eastAsia" w:ascii="宋体" w:hAnsi="宋体" w:eastAsia="宋体" w:cs="宋体"/>
          <w:color w:val="auto"/>
          <w:sz w:val="21"/>
          <w:szCs w:val="21"/>
          <w:highlight w:val="none"/>
        </w:rPr>
        <w:t>日常管理服务活动；</w:t>
      </w:r>
    </w:p>
    <w:p w14:paraId="132495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（2）按甲方要求及时如实向甲方报告关于服务对象陪护服务实施情况；</w:t>
      </w:r>
    </w:p>
    <w:p w14:paraId="7571E4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（3）向甲方工作人员和其他使用人告知</w:t>
      </w:r>
      <w:r>
        <w:rPr>
          <w:rFonts w:hint="eastAsia" w:ascii="宋体" w:hAnsi="宋体" w:cs="宋体"/>
          <w:color w:val="auto"/>
          <w:sz w:val="21"/>
          <w:szCs w:val="21"/>
          <w:highlight w:val="none"/>
          <w:lang w:eastAsia="zh-CN"/>
        </w:rPr>
        <w:t>陪护</w:t>
      </w:r>
      <w:r>
        <w:rPr>
          <w:rFonts w:hint="eastAsia" w:ascii="宋体" w:hAnsi="宋体" w:eastAsia="宋体" w:cs="宋体"/>
          <w:color w:val="auto"/>
          <w:sz w:val="21"/>
          <w:szCs w:val="21"/>
          <w:highlight w:val="none"/>
        </w:rPr>
        <w:t>使用的有关规定，并负责监督；</w:t>
      </w:r>
    </w:p>
    <w:p w14:paraId="29DCB0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（4）建立、妥善保管和正确使用本</w:t>
      </w:r>
      <w:r>
        <w:rPr>
          <w:rFonts w:hint="eastAsia" w:ascii="宋体" w:hAnsi="宋体" w:cs="宋体"/>
          <w:color w:val="auto"/>
          <w:sz w:val="21"/>
          <w:szCs w:val="21"/>
          <w:highlight w:val="none"/>
          <w:lang w:eastAsia="zh-CN"/>
        </w:rPr>
        <w:t>陪护</w:t>
      </w:r>
      <w:r>
        <w:rPr>
          <w:rFonts w:hint="eastAsia" w:ascii="宋体" w:hAnsi="宋体" w:eastAsia="宋体" w:cs="宋体"/>
          <w:color w:val="auto"/>
          <w:sz w:val="21"/>
          <w:szCs w:val="21"/>
          <w:highlight w:val="none"/>
        </w:rPr>
        <w:t>相关的管理档案，并负责及时记载有关变更情况；</w:t>
      </w:r>
    </w:p>
    <w:p w14:paraId="78C049F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（5）因乙方在管理中的过错或违反本合同的约定进行管理造成甲方或第三人损失的，乙方应依法承担赔偿责任；</w:t>
      </w:r>
    </w:p>
    <w:p w14:paraId="4DB292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（6）本合同终止时，乙方必须向甲方移交全部管理用房及关于服务对象陪护服务的全部档案资料，确保移交的资料和设备、设施完好无缺。</w:t>
      </w:r>
    </w:p>
    <w:p w14:paraId="48A290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第十六条 乙方的人员配置</w:t>
      </w:r>
    </w:p>
    <w:p w14:paraId="082718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乙方的人员配置</w:t>
      </w:r>
    </w:p>
    <w:p w14:paraId="72AAFC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1.1乙方的项目主管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5E43FA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1.2乙方必须采取措施，确保乙方人员稳定，特别是骨干人员。骨干人员变动须经甲方同意，其他人员变动须甲方备案。</w:t>
      </w:r>
    </w:p>
    <w:p w14:paraId="78AEEF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1.3乙方项目总负责人须及时与甲方沟通，第一时间报告重大、紧急事件；每月须向甲方汇报上月工作情况，并提供相关报告。</w:t>
      </w:r>
    </w:p>
    <w:p w14:paraId="2C773C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2.陪护员要求：</w:t>
      </w:r>
    </w:p>
    <w:p w14:paraId="3011EE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（1）所有相关人员的配备须获得相关主管部门认证的，须配证并持证上岗，且根据不同岗位统一着装。</w:t>
      </w:r>
    </w:p>
    <w:p w14:paraId="74F57F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（2）所有相关人员要求政治上可靠，身体素质好，无不良行为记录。</w:t>
      </w:r>
    </w:p>
    <w:p w14:paraId="7336D80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（3）除乙方对服务人员的培训外，需接受甲方对服务人员的集中进行培训，培训费用由乙方承担。</w:t>
      </w:r>
    </w:p>
    <w:p w14:paraId="54726F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第十七条 争议处理</w:t>
      </w:r>
    </w:p>
    <w:p w14:paraId="15E158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1．合同在履行过程中发生争议时，甲方与乙方及时协商解决。协商不成时，提请宁波仲裁委员会根据仲裁规则仲裁。</w:t>
      </w:r>
    </w:p>
    <w:p w14:paraId="1D8350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2．对于因违反或终止合同而引起的损失、损害的赔偿，由甲方与乙方友好协商解决，经协商仍未能达成一致的，提交宁波仲裁委员会仲裁。</w:t>
      </w:r>
    </w:p>
    <w:p w14:paraId="48D361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第十八条 其他</w:t>
      </w:r>
    </w:p>
    <w:p w14:paraId="75DC2A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1．未经过甲方的书面同意，乙方不得转让其应履行的合同项下的义务，和将部分合同项下的义务分包给其他单位完成。</w:t>
      </w:r>
    </w:p>
    <w:p w14:paraId="23C5BA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2．乙方不得参与可能与合同规定的与甲方的利益相冲突的任何活动。</w:t>
      </w:r>
    </w:p>
    <w:p w14:paraId="672E33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3．乙方人员在甲方场地工作时，应遵守甲方相关规章、制度。</w:t>
      </w:r>
    </w:p>
    <w:p w14:paraId="3CB158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4．本合同任何一方给另一方的通知，都应以书面或电传/传真/电报的形式发送，而另一方应以书面形式确认并发送到对方明确的地址。</w:t>
      </w:r>
    </w:p>
    <w:p w14:paraId="2123A7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5．合同履行期内甲乙双方均不得随意变更或解除合同。合同若有未尽事宜，需经双方共同协商，并由招标代理机构鉴证，订立补充协议，补充协议与本合同有同等法律效力。</w:t>
      </w:r>
    </w:p>
    <w:p w14:paraId="1F76BC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NBITC-202411328G</w:t>
      </w:r>
      <w:r>
        <w:rPr>
          <w:rFonts w:hint="eastAsia" w:ascii="宋体" w:hAnsi="宋体" w:eastAsia="宋体" w:cs="宋体"/>
          <w:color w:val="auto"/>
          <w:sz w:val="21"/>
          <w:szCs w:val="21"/>
          <w:highlight w:val="none"/>
        </w:rPr>
        <w:t>）、投标文件及评标过程中形成的文字资料、询标纪要均作为本合同的组成部分，具有同等效力。</w:t>
      </w:r>
    </w:p>
    <w:p w14:paraId="4442FE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7．本合同一式四份，甲方、乙方各执二份。</w:t>
      </w:r>
    </w:p>
    <w:p w14:paraId="1D831E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8．适用法律：本合同应按照中华人民共和国的法律进行解释。</w:t>
      </w:r>
    </w:p>
    <w:p w14:paraId="17BCD1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p>
    <w:p w14:paraId="232470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甲方（盖章）：                             乙方（盖章）：        </w:t>
      </w:r>
    </w:p>
    <w:p w14:paraId="4D51D0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法定代表人或受委托人（签字）：             法定代表人或受委托人（签字）： </w:t>
      </w:r>
    </w:p>
    <w:p w14:paraId="58746C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                                   联系人：</w:t>
      </w:r>
    </w:p>
    <w:p w14:paraId="2A536E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地址：                                     地址： </w:t>
      </w:r>
    </w:p>
    <w:p w14:paraId="7D978E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电话和传真：                               电话传真：</w:t>
      </w:r>
    </w:p>
    <w:p w14:paraId="512555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开户银行：                                 开户银行： </w:t>
      </w:r>
    </w:p>
    <w:p w14:paraId="5DE716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帐号：                                     帐号： </w:t>
      </w:r>
    </w:p>
    <w:p w14:paraId="44CA8C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p>
    <w:p w14:paraId="247335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p>
    <w:p w14:paraId="312900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   月    日</w:t>
      </w:r>
    </w:p>
    <w:p w14:paraId="124F1B43">
      <w:pPr>
        <w:spacing w:line="276" w:lineRule="auto"/>
        <w:rPr>
          <w:color w:val="auto"/>
          <w:highlight w:val="none"/>
        </w:rPr>
      </w:pPr>
    </w:p>
    <w:p w14:paraId="3CC0E83B">
      <w:pPr>
        <w:spacing w:line="400" w:lineRule="exact"/>
        <w:rPr>
          <w:rFonts w:ascii="宋体" w:hAnsi="宋体" w:cs="宋体"/>
          <w:color w:val="auto"/>
          <w:szCs w:val="21"/>
          <w:highlight w:val="none"/>
        </w:rPr>
      </w:pPr>
    </w:p>
    <w:p w14:paraId="48F5B74F">
      <w:pPr>
        <w:widowControl/>
        <w:spacing w:line="360" w:lineRule="auto"/>
        <w:jc w:val="left"/>
        <w:rPr>
          <w:rFonts w:ascii="宋体" w:hAnsi="宋体" w:cs="宋体"/>
          <w:b/>
          <w:color w:val="auto"/>
          <w:szCs w:val="21"/>
          <w:highlight w:val="none"/>
        </w:rPr>
      </w:pPr>
    </w:p>
    <w:bookmarkEnd w:id="16"/>
    <w:p w14:paraId="35CD180E">
      <w:pPr>
        <w:spacing w:line="400" w:lineRule="exact"/>
        <w:jc w:val="center"/>
        <w:outlineLvl w:val="0"/>
        <w:rPr>
          <w:b/>
          <w:color w:val="auto"/>
          <w:sz w:val="32"/>
          <w:highlight w:val="none"/>
        </w:rPr>
      </w:pPr>
    </w:p>
    <w:p w14:paraId="4292F03B">
      <w:pPr>
        <w:spacing w:line="400" w:lineRule="exact"/>
        <w:jc w:val="center"/>
        <w:rPr>
          <w:rFonts w:ascii="宋体" w:hAnsi="宋体"/>
          <w:b/>
          <w:color w:val="auto"/>
          <w:sz w:val="32"/>
          <w:highlight w:val="none"/>
        </w:rPr>
        <w:sectPr>
          <w:pgSz w:w="11907" w:h="16840"/>
          <w:pgMar w:top="851" w:right="1275" w:bottom="1134" w:left="1276" w:header="285" w:footer="418" w:gutter="0"/>
          <w:pgBorders>
            <w:top w:val="none" w:sz="0" w:space="0"/>
            <w:left w:val="none" w:sz="0" w:space="0"/>
            <w:bottom w:val="none" w:sz="0" w:space="0"/>
            <w:right w:val="none" w:sz="0" w:space="0"/>
          </w:pgBorders>
          <w:cols w:space="720" w:num="1"/>
          <w:docGrid w:linePitch="285" w:charSpace="0"/>
        </w:sectPr>
      </w:pPr>
    </w:p>
    <w:bookmarkEnd w:id="15"/>
    <w:p w14:paraId="6F14C709">
      <w:pPr>
        <w:spacing w:line="400" w:lineRule="exact"/>
        <w:jc w:val="center"/>
        <w:outlineLvl w:val="0"/>
        <w:rPr>
          <w:rFonts w:ascii="宋体" w:hAnsi="宋体"/>
          <w:b/>
          <w:color w:val="auto"/>
          <w:sz w:val="32"/>
          <w:highlight w:val="none"/>
        </w:rPr>
      </w:pPr>
      <w:bookmarkStart w:id="18" w:name="_Toc44162156"/>
      <w:r>
        <w:rPr>
          <w:rFonts w:hint="eastAsia" w:ascii="宋体" w:hAnsi="宋体"/>
          <w:b/>
          <w:color w:val="auto"/>
          <w:sz w:val="32"/>
          <w:highlight w:val="none"/>
        </w:rPr>
        <w:t>第七章  附件</w:t>
      </w:r>
      <w:bookmarkEnd w:id="18"/>
    </w:p>
    <w:p w14:paraId="4319AC8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1、投标文件的组成：</w:t>
      </w:r>
    </w:p>
    <w:p w14:paraId="5B8C0FDB">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A、第一册：资格文件</w:t>
      </w:r>
    </w:p>
    <w:p w14:paraId="60B09AC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A1、关于资格的承诺函（</w:t>
      </w:r>
      <w:r>
        <w:rPr>
          <w:rFonts w:hint="eastAsia" w:ascii="宋体"/>
          <w:color w:val="auto"/>
          <w:szCs w:val="21"/>
          <w:highlight w:val="none"/>
        </w:rPr>
        <w:t>格式见附件</w:t>
      </w:r>
      <w:r>
        <w:rPr>
          <w:rFonts w:hint="eastAsia" w:ascii="宋体" w:hAnsi="宋体"/>
          <w:color w:val="auto"/>
          <w:szCs w:val="21"/>
          <w:highlight w:val="none"/>
        </w:rPr>
        <w:t>）；</w:t>
      </w:r>
    </w:p>
    <w:p w14:paraId="192802C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2、营业执照副本（或事业法人登记证副本或其他登记证明材料）扫描件加盖供应商公章（供应商如果有名称变更的，应提供由行政主管部门出具的变更证明文件扫描件加盖供应商公章）；</w:t>
      </w:r>
    </w:p>
    <w:p w14:paraId="1F47738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方正书宋简体" w:hAnsi="方正书宋简体"/>
          <w:color w:val="auto"/>
          <w:szCs w:val="21"/>
          <w:highlight w:val="none"/>
        </w:rPr>
        <w:t>中小企业声明函（详见附件）</w:t>
      </w:r>
      <w:r>
        <w:rPr>
          <w:rFonts w:hint="eastAsia" w:ascii="宋体" w:hAnsi="宋体"/>
          <w:color w:val="auto"/>
          <w:szCs w:val="21"/>
          <w:highlight w:val="none"/>
        </w:rPr>
        <w:t>；</w:t>
      </w:r>
    </w:p>
    <w:p w14:paraId="5B3BF16C">
      <w:pPr>
        <w:spacing w:line="400" w:lineRule="exact"/>
        <w:ind w:firstLine="420" w:firstLineChars="200"/>
        <w:jc w:val="left"/>
        <w:rPr>
          <w:rFonts w:hint="eastAsia" w:ascii="宋体" w:hAnsi="宋体"/>
          <w:b/>
          <w:bCs/>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4</w:t>
      </w:r>
      <w:r>
        <w:rPr>
          <w:rFonts w:hint="eastAsia" w:ascii="方正书宋简体" w:hAnsi="方正书宋简体"/>
          <w:color w:val="auto"/>
          <w:szCs w:val="21"/>
          <w:highlight w:val="none"/>
        </w:rPr>
        <w:t>、残疾人福利性单位声明函（详见附件）；</w:t>
      </w:r>
    </w:p>
    <w:p w14:paraId="2D6175ED">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B、第二册：商务和技术文件</w:t>
      </w:r>
    </w:p>
    <w:p w14:paraId="7A85381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B1、投标书；（格式见附件）</w:t>
      </w:r>
    </w:p>
    <w:p w14:paraId="4CE5E12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B2、法定代表人身份证明；</w:t>
      </w:r>
    </w:p>
    <w:p w14:paraId="28B608D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B3、法定代表人授权书（投标文件由授权代表签字的须提供）；</w:t>
      </w:r>
    </w:p>
    <w:p w14:paraId="305DD13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B4、供应商一般情况表；（格式见附件）</w:t>
      </w:r>
    </w:p>
    <w:p w14:paraId="3C73FF6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B5、招标需求响应表；（格式见附件）</w:t>
      </w:r>
    </w:p>
    <w:p w14:paraId="107556F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B6、商务条款响应表；</w:t>
      </w:r>
    </w:p>
    <w:p w14:paraId="33C8B9F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B7、第五章“评标办法及标准”中评分标准（兼评委打分表）要求提供的资料（如有需提供）；</w:t>
      </w:r>
    </w:p>
    <w:p w14:paraId="6B5B7C7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整体</w:t>
      </w:r>
      <w:r>
        <w:rPr>
          <w:rFonts w:hint="eastAsia" w:ascii="宋体" w:hAnsi="宋体"/>
          <w:color w:val="auto"/>
          <w:szCs w:val="21"/>
          <w:highlight w:val="none"/>
          <w:lang w:val="en-US" w:eastAsia="zh-CN"/>
        </w:rPr>
        <w:t>陪护</w:t>
      </w:r>
      <w:r>
        <w:rPr>
          <w:rFonts w:hint="eastAsia" w:ascii="宋体" w:hAnsi="宋体"/>
          <w:color w:val="auto"/>
          <w:szCs w:val="21"/>
          <w:highlight w:val="none"/>
        </w:rPr>
        <w:t>服务方案</w:t>
      </w:r>
      <w:r>
        <w:rPr>
          <w:rFonts w:hint="eastAsia" w:ascii="宋体" w:hAnsi="宋体"/>
          <w:color w:val="auto"/>
          <w:szCs w:val="21"/>
          <w:highlight w:val="none"/>
          <w:lang w:eastAsia="zh-CN"/>
        </w:rPr>
        <w:t>；</w:t>
      </w:r>
    </w:p>
    <w:p w14:paraId="37BA6DF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管理理念</w:t>
      </w:r>
      <w:r>
        <w:rPr>
          <w:rFonts w:hint="eastAsia" w:ascii="宋体" w:hAnsi="宋体"/>
          <w:color w:val="auto"/>
          <w:szCs w:val="21"/>
          <w:highlight w:val="none"/>
          <w:lang w:eastAsia="zh-CN"/>
        </w:rPr>
        <w:t>、</w:t>
      </w:r>
      <w:r>
        <w:rPr>
          <w:rFonts w:hint="eastAsia" w:ascii="宋体" w:hAnsi="宋体"/>
          <w:color w:val="auto"/>
          <w:szCs w:val="21"/>
          <w:highlight w:val="none"/>
        </w:rPr>
        <w:t>管理目标</w:t>
      </w:r>
      <w:r>
        <w:rPr>
          <w:rFonts w:hint="eastAsia" w:ascii="宋体" w:hAnsi="宋体"/>
          <w:color w:val="auto"/>
          <w:szCs w:val="21"/>
          <w:highlight w:val="none"/>
          <w:lang w:eastAsia="zh-CN"/>
        </w:rPr>
        <w:t>、</w:t>
      </w:r>
      <w:r>
        <w:rPr>
          <w:rFonts w:hint="eastAsia" w:ascii="宋体" w:hAnsi="宋体"/>
          <w:color w:val="auto"/>
          <w:szCs w:val="21"/>
          <w:highlight w:val="none"/>
        </w:rPr>
        <w:t>管理构架</w:t>
      </w:r>
      <w:r>
        <w:rPr>
          <w:rFonts w:hint="eastAsia" w:ascii="宋体" w:hAnsi="宋体"/>
          <w:color w:val="auto"/>
          <w:szCs w:val="21"/>
          <w:highlight w:val="none"/>
          <w:lang w:eastAsia="zh-CN"/>
        </w:rPr>
        <w:t>、</w:t>
      </w:r>
      <w:r>
        <w:rPr>
          <w:rFonts w:hint="eastAsia" w:ascii="宋体" w:hAnsi="宋体"/>
          <w:color w:val="auto"/>
          <w:szCs w:val="21"/>
          <w:highlight w:val="none"/>
        </w:rPr>
        <w:t>管理体系</w:t>
      </w:r>
      <w:r>
        <w:rPr>
          <w:rFonts w:hint="eastAsia" w:ascii="宋体" w:hAnsi="宋体"/>
          <w:color w:val="auto"/>
          <w:szCs w:val="21"/>
          <w:highlight w:val="none"/>
          <w:lang w:eastAsia="zh-CN"/>
        </w:rPr>
        <w:t>、</w:t>
      </w:r>
      <w:r>
        <w:rPr>
          <w:rFonts w:hint="eastAsia" w:ascii="宋体" w:hAnsi="宋体"/>
          <w:color w:val="auto"/>
          <w:szCs w:val="21"/>
          <w:highlight w:val="none"/>
        </w:rPr>
        <w:t>管理模式</w:t>
      </w:r>
      <w:r>
        <w:rPr>
          <w:rFonts w:hint="eastAsia" w:ascii="宋体" w:hAnsi="宋体"/>
          <w:color w:val="auto"/>
          <w:szCs w:val="21"/>
          <w:highlight w:val="none"/>
          <w:lang w:eastAsia="zh-CN"/>
        </w:rPr>
        <w:t>；</w:t>
      </w:r>
    </w:p>
    <w:p w14:paraId="3D2251A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3）陪护</w:t>
      </w:r>
      <w:r>
        <w:rPr>
          <w:rFonts w:hint="eastAsia" w:ascii="宋体" w:hAnsi="宋体"/>
          <w:color w:val="auto"/>
          <w:szCs w:val="21"/>
          <w:highlight w:val="none"/>
        </w:rPr>
        <w:t>服务过程中的重点难点问题的分析、解决方案及对本项目的合理化建议</w:t>
      </w:r>
      <w:r>
        <w:rPr>
          <w:rFonts w:hint="eastAsia" w:ascii="宋体" w:hAnsi="宋体"/>
          <w:color w:val="auto"/>
          <w:szCs w:val="21"/>
          <w:highlight w:val="none"/>
          <w:lang w:eastAsia="zh-CN"/>
        </w:rPr>
        <w:t>；</w:t>
      </w:r>
    </w:p>
    <w:p w14:paraId="690007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服务质量保障措施</w:t>
      </w:r>
      <w:r>
        <w:rPr>
          <w:rFonts w:hint="eastAsia" w:ascii="宋体" w:hAnsi="宋体"/>
          <w:color w:val="auto"/>
          <w:szCs w:val="21"/>
          <w:highlight w:val="none"/>
          <w:lang w:eastAsia="zh-CN"/>
        </w:rPr>
        <w:t>；</w:t>
      </w:r>
    </w:p>
    <w:p w14:paraId="1599E7E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对于突发事件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如针对传染性疾病的防控</w:t>
      </w:r>
      <w:r>
        <w:rPr>
          <w:rFonts w:hint="eastAsia" w:ascii="宋体" w:hAnsi="宋体"/>
          <w:color w:val="auto"/>
          <w:szCs w:val="21"/>
          <w:highlight w:val="none"/>
          <w:lang w:eastAsia="zh-CN"/>
        </w:rPr>
        <w:t>）</w:t>
      </w:r>
      <w:r>
        <w:rPr>
          <w:rFonts w:hint="eastAsia" w:ascii="宋体" w:hAnsi="宋体"/>
          <w:color w:val="auto"/>
          <w:szCs w:val="21"/>
          <w:highlight w:val="none"/>
        </w:rPr>
        <w:t>的</w:t>
      </w:r>
      <w:r>
        <w:rPr>
          <w:rFonts w:hint="eastAsia" w:ascii="宋体" w:hAnsi="宋体"/>
          <w:color w:val="auto"/>
          <w:szCs w:val="21"/>
          <w:highlight w:val="none"/>
          <w:lang w:val="en-US" w:eastAsia="zh-CN"/>
        </w:rPr>
        <w:t>应急预案、</w:t>
      </w:r>
      <w:r>
        <w:rPr>
          <w:rFonts w:hint="eastAsia" w:ascii="宋体" w:hAnsi="宋体"/>
          <w:color w:val="auto"/>
          <w:szCs w:val="21"/>
          <w:highlight w:val="none"/>
        </w:rPr>
        <w:t>响应时间及处理办法的响应承诺情况</w:t>
      </w:r>
      <w:r>
        <w:rPr>
          <w:rFonts w:hint="eastAsia" w:ascii="宋体" w:hAnsi="宋体"/>
          <w:color w:val="auto"/>
          <w:szCs w:val="21"/>
          <w:highlight w:val="none"/>
          <w:lang w:eastAsia="zh-CN"/>
        </w:rPr>
        <w:t>；</w:t>
      </w:r>
    </w:p>
    <w:p w14:paraId="09E0571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对</w:t>
      </w:r>
      <w:r>
        <w:rPr>
          <w:rFonts w:hint="eastAsia" w:ascii="宋体" w:hAnsi="宋体"/>
          <w:color w:val="auto"/>
          <w:szCs w:val="21"/>
          <w:highlight w:val="none"/>
          <w:lang w:eastAsia="zh-CN"/>
        </w:rPr>
        <w:t>陪护服务管理外包（</w:t>
      </w:r>
      <w:r>
        <w:rPr>
          <w:rFonts w:hint="eastAsia" w:ascii="宋体" w:hAnsi="宋体"/>
          <w:color w:val="auto"/>
          <w:szCs w:val="21"/>
          <w:highlight w:val="none"/>
          <w:lang w:val="en-US" w:eastAsia="zh-CN"/>
        </w:rPr>
        <w:t>需考虑到年龄、身体状况、精神状态等因素</w:t>
      </w:r>
      <w:r>
        <w:rPr>
          <w:rFonts w:hint="eastAsia" w:ascii="宋体" w:hAnsi="宋体"/>
          <w:color w:val="auto"/>
          <w:szCs w:val="21"/>
          <w:highlight w:val="none"/>
          <w:lang w:eastAsia="zh-CN"/>
        </w:rPr>
        <w:t>）</w:t>
      </w:r>
      <w:r>
        <w:rPr>
          <w:rFonts w:hint="eastAsia" w:ascii="宋体" w:hAnsi="宋体"/>
          <w:color w:val="auto"/>
          <w:szCs w:val="21"/>
          <w:highlight w:val="none"/>
        </w:rPr>
        <w:t>的</w:t>
      </w:r>
      <w:r>
        <w:rPr>
          <w:rFonts w:hint="eastAsia" w:ascii="宋体" w:hAnsi="宋体"/>
          <w:color w:val="auto"/>
          <w:szCs w:val="21"/>
          <w:highlight w:val="none"/>
          <w:lang w:val="en-US" w:eastAsia="zh-CN"/>
        </w:rPr>
        <w:t>应急</w:t>
      </w:r>
      <w:r>
        <w:rPr>
          <w:rFonts w:hint="eastAsia" w:ascii="宋体" w:hAnsi="宋体"/>
          <w:color w:val="auto"/>
          <w:szCs w:val="21"/>
          <w:highlight w:val="none"/>
        </w:rPr>
        <w:t>措施</w:t>
      </w:r>
      <w:r>
        <w:rPr>
          <w:rFonts w:hint="eastAsia" w:ascii="宋体" w:hAnsi="宋体"/>
          <w:color w:val="auto"/>
          <w:szCs w:val="21"/>
          <w:highlight w:val="none"/>
          <w:lang w:eastAsia="zh-CN"/>
        </w:rPr>
        <w:t>；</w:t>
      </w:r>
    </w:p>
    <w:p w14:paraId="2FEE1BE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拟投入人员情况</w:t>
      </w:r>
      <w:r>
        <w:rPr>
          <w:rFonts w:hint="eastAsia" w:ascii="宋体" w:hAnsi="宋体"/>
          <w:color w:val="auto"/>
          <w:szCs w:val="21"/>
          <w:highlight w:val="none"/>
          <w:lang w:eastAsia="zh-CN"/>
        </w:rPr>
        <w:t>；</w:t>
      </w:r>
    </w:p>
    <w:p w14:paraId="106E020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8）人员内部组织管理制度（工作考勤、监督管理机制及奖罚管理等）；</w:t>
      </w:r>
    </w:p>
    <w:p w14:paraId="3E7CDD3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9）确保本项目员工工资福利、人员稳定及人员变动应急方案；</w:t>
      </w:r>
    </w:p>
    <w:p w14:paraId="6A459FB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10）服务支撑能力，除派驻本院的服务团队外，投标人具备足够数量的陪护人员；</w:t>
      </w:r>
    </w:p>
    <w:p w14:paraId="7838E36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11）陪护用品、耗材等配置情况及管理方案(提供清单一览表，并且注明相关产品信息)；</w:t>
      </w:r>
    </w:p>
    <w:p w14:paraId="2EC6B8DE">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增值服务方案</w:t>
      </w:r>
      <w:r>
        <w:rPr>
          <w:rFonts w:hint="eastAsia" w:ascii="宋体" w:hAnsi="宋体"/>
          <w:color w:val="auto"/>
          <w:szCs w:val="21"/>
          <w:highlight w:val="none"/>
          <w:lang w:eastAsia="zh-CN"/>
        </w:rPr>
        <w:t>；</w:t>
      </w:r>
    </w:p>
    <w:p w14:paraId="6F3FF7B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B8、供应商认为需要的其他资料（如有需提供）；</w:t>
      </w:r>
    </w:p>
    <w:p w14:paraId="25E5D712">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14:paraId="3A778F5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、开标一览表（详见附件）；</w:t>
      </w:r>
    </w:p>
    <w:p w14:paraId="2EE69ED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C2、分项报价表（详见附件）；</w:t>
      </w:r>
    </w:p>
    <w:p w14:paraId="0D328D93">
      <w:pPr>
        <w:spacing w:line="400" w:lineRule="exact"/>
        <w:ind w:firstLine="420" w:firstLineChars="200"/>
        <w:jc w:val="left"/>
        <w:rPr>
          <w:rFonts w:ascii="方正书宋简体" w:hAnsi="方正书宋简体"/>
          <w:color w:val="auto"/>
          <w:szCs w:val="21"/>
          <w:highlight w:val="none"/>
        </w:rPr>
      </w:pPr>
      <w:r>
        <w:rPr>
          <w:rFonts w:hint="eastAsia" w:ascii="方正书宋简体" w:hAnsi="方正书宋简体"/>
          <w:color w:val="auto"/>
          <w:szCs w:val="21"/>
          <w:highlight w:val="none"/>
        </w:rPr>
        <w:t>C</w:t>
      </w:r>
      <w:r>
        <w:rPr>
          <w:rFonts w:hint="eastAsia" w:ascii="方正书宋简体" w:hAnsi="方正书宋简体"/>
          <w:color w:val="auto"/>
          <w:szCs w:val="21"/>
          <w:highlight w:val="none"/>
          <w:lang w:val="en-US" w:eastAsia="zh-CN"/>
        </w:rPr>
        <w:t>3</w:t>
      </w:r>
      <w:r>
        <w:rPr>
          <w:rFonts w:hint="eastAsia" w:ascii="方正书宋简体" w:hAnsi="方正书宋简体"/>
          <w:color w:val="auto"/>
          <w:szCs w:val="21"/>
          <w:highlight w:val="none"/>
        </w:rPr>
        <w:t>、供应商认为需要的其他资料（如有需提供）；</w:t>
      </w:r>
    </w:p>
    <w:p w14:paraId="7802F98B">
      <w:pPr>
        <w:rPr>
          <w:rStyle w:val="137"/>
          <w:rFonts w:ascii="宋体" w:hAnsi="宋体"/>
          <w:color w:val="auto"/>
          <w:sz w:val="32"/>
          <w:szCs w:val="32"/>
          <w:highlight w:val="none"/>
        </w:rPr>
      </w:pPr>
      <w:r>
        <w:rPr>
          <w:rStyle w:val="137"/>
          <w:rFonts w:ascii="宋体" w:hAnsi="宋体"/>
          <w:color w:val="auto"/>
          <w:sz w:val="32"/>
          <w:szCs w:val="32"/>
          <w:highlight w:val="none"/>
        </w:rPr>
        <w:br w:type="page"/>
      </w:r>
    </w:p>
    <w:p w14:paraId="613B725A">
      <w:pPr>
        <w:autoSpaceDE w:val="0"/>
        <w:autoSpaceDN w:val="0"/>
        <w:adjustRightInd w:val="0"/>
        <w:spacing w:beforeLines="400" w:line="420" w:lineRule="exact"/>
        <w:jc w:val="center"/>
        <w:rPr>
          <w:rStyle w:val="137"/>
          <w:rFonts w:ascii="宋体" w:hAnsi="宋体"/>
          <w:color w:val="auto"/>
          <w:sz w:val="32"/>
          <w:szCs w:val="32"/>
          <w:highlight w:val="none"/>
        </w:rPr>
      </w:pPr>
      <w:r>
        <w:rPr>
          <w:rStyle w:val="137"/>
          <w:rFonts w:ascii="宋体" w:hAnsi="宋体"/>
          <w:color w:val="auto"/>
          <w:sz w:val="32"/>
          <w:szCs w:val="32"/>
          <w:highlight w:val="none"/>
        </w:rPr>
        <w:t>A.</w:t>
      </w:r>
      <w:r>
        <w:rPr>
          <w:rStyle w:val="137"/>
          <w:rFonts w:hint="eastAsia" w:ascii="宋体" w:hAnsi="宋体"/>
          <w:color w:val="auto"/>
          <w:sz w:val="32"/>
          <w:szCs w:val="32"/>
          <w:highlight w:val="none"/>
        </w:rPr>
        <w:t>资格文件</w:t>
      </w:r>
    </w:p>
    <w:p w14:paraId="086AAB9A">
      <w:pPr>
        <w:spacing w:line="360" w:lineRule="auto"/>
        <w:ind w:firstLine="1120" w:firstLineChars="400"/>
        <w:rPr>
          <w:rFonts w:ascii="宋体" w:hAnsi="宋体"/>
          <w:color w:val="auto"/>
          <w:sz w:val="28"/>
          <w:highlight w:val="none"/>
        </w:rPr>
      </w:pPr>
    </w:p>
    <w:p w14:paraId="02FB86F6">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p>
    <w:p w14:paraId="1833812F">
      <w:pPr>
        <w:spacing w:line="360" w:lineRule="auto"/>
        <w:jc w:val="right"/>
        <w:rPr>
          <w:rFonts w:ascii="宋体" w:hAnsi="宋体"/>
          <w:b/>
          <w:color w:val="auto"/>
          <w:sz w:val="32"/>
          <w:szCs w:val="32"/>
          <w:highlight w:val="none"/>
        </w:rPr>
      </w:pPr>
      <w:r>
        <w:rPr>
          <w:rFonts w:hint="eastAsia" w:ascii="宋体" w:hAnsi="宋体"/>
          <w:b/>
          <w:color w:val="auto"/>
          <w:sz w:val="32"/>
          <w:szCs w:val="32"/>
          <w:highlight w:val="none"/>
        </w:rPr>
        <w:t>正（副）本</w:t>
      </w:r>
    </w:p>
    <w:p w14:paraId="4AEDFBA3">
      <w:pPr>
        <w:spacing w:line="360" w:lineRule="auto"/>
        <w:rPr>
          <w:rFonts w:ascii="宋体" w:hAnsi="宋体"/>
          <w:color w:val="auto"/>
          <w:sz w:val="28"/>
          <w:szCs w:val="28"/>
          <w:highlight w:val="none"/>
        </w:rPr>
      </w:pPr>
    </w:p>
    <w:p w14:paraId="0F3D17C9">
      <w:pPr>
        <w:spacing w:line="360" w:lineRule="auto"/>
        <w:jc w:val="center"/>
        <w:rPr>
          <w:rFonts w:hint="eastAsia" w:ascii="宋体" w:hAnsi="宋体" w:eastAsia="宋体"/>
          <w:color w:val="auto"/>
          <w:sz w:val="42"/>
          <w:szCs w:val="52"/>
          <w:highlight w:val="none"/>
          <w:lang w:eastAsia="zh-CN"/>
        </w:rPr>
      </w:pPr>
      <w:r>
        <w:rPr>
          <w:rFonts w:hint="eastAsia" w:ascii="宋体" w:hAnsi="宋体"/>
          <w:b/>
          <w:color w:val="auto"/>
          <w:sz w:val="42"/>
          <w:szCs w:val="52"/>
          <w:highlight w:val="none"/>
          <w:lang w:eastAsia="zh-CN"/>
        </w:rPr>
        <w:t>宁波市精神病院医院陪护服务管理外包项目</w:t>
      </w:r>
    </w:p>
    <w:p w14:paraId="70C7FC6A">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rPr>
        <w:t>采购编号：</w:t>
      </w:r>
      <w:r>
        <w:rPr>
          <w:rFonts w:hint="eastAsia" w:ascii="宋体" w:hAnsi="宋体"/>
          <w:color w:val="auto"/>
          <w:sz w:val="36"/>
          <w:szCs w:val="36"/>
          <w:highlight w:val="none"/>
          <w:u w:val="single"/>
        </w:rPr>
        <w:t>NBITC-</w:t>
      </w:r>
      <w:r>
        <w:rPr>
          <w:rFonts w:hint="eastAsia" w:ascii="宋体" w:hAnsi="宋体"/>
          <w:color w:val="auto"/>
          <w:sz w:val="36"/>
          <w:szCs w:val="36"/>
          <w:highlight w:val="none"/>
          <w:u w:val="single"/>
          <w:lang w:eastAsia="zh-CN"/>
        </w:rPr>
        <w:t>202411328G</w:t>
      </w:r>
    </w:p>
    <w:p w14:paraId="0542379F">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标项号：</w:t>
      </w:r>
      <w:r>
        <w:rPr>
          <w:rFonts w:hint="eastAsia" w:ascii="宋体" w:hAnsi="宋体"/>
          <w:color w:val="auto"/>
          <w:sz w:val="36"/>
          <w:szCs w:val="36"/>
          <w:highlight w:val="none"/>
          <w:u w:val="single"/>
        </w:rPr>
        <w:t>（如有多个标项）</w:t>
      </w:r>
    </w:p>
    <w:p w14:paraId="4453F149">
      <w:pPr>
        <w:rPr>
          <w:rFonts w:ascii="宋体" w:hAnsi="宋体"/>
          <w:color w:val="auto"/>
          <w:sz w:val="28"/>
          <w:szCs w:val="28"/>
          <w:highlight w:val="none"/>
        </w:rPr>
      </w:pPr>
    </w:p>
    <w:p w14:paraId="31E8381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49378866">
      <w:pPr>
        <w:jc w:val="center"/>
        <w:rPr>
          <w:rFonts w:ascii="宋体" w:hAnsi="宋体"/>
          <w:color w:val="auto"/>
          <w:sz w:val="28"/>
          <w:szCs w:val="28"/>
          <w:highlight w:val="none"/>
        </w:rPr>
      </w:pPr>
    </w:p>
    <w:p w14:paraId="0676203C">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4ABBACCB">
      <w:pPr>
        <w:spacing w:line="360" w:lineRule="auto"/>
        <w:jc w:val="center"/>
        <w:rPr>
          <w:rFonts w:ascii="宋体" w:hAnsi="宋体"/>
          <w:color w:val="auto"/>
          <w:sz w:val="36"/>
          <w:szCs w:val="36"/>
          <w:highlight w:val="none"/>
        </w:rPr>
      </w:pPr>
    </w:p>
    <w:p w14:paraId="5326FAD7">
      <w:pPr>
        <w:spacing w:line="360" w:lineRule="auto"/>
        <w:jc w:val="center"/>
        <w:rPr>
          <w:rFonts w:ascii="宋体" w:hAnsi="宋体"/>
          <w:color w:val="auto"/>
          <w:sz w:val="36"/>
          <w:szCs w:val="36"/>
          <w:highlight w:val="none"/>
        </w:rPr>
      </w:pPr>
    </w:p>
    <w:p w14:paraId="5D8DE3DC">
      <w:pPr>
        <w:spacing w:line="360" w:lineRule="auto"/>
        <w:jc w:val="center"/>
        <w:rPr>
          <w:rFonts w:ascii="宋体" w:hAnsi="宋体"/>
          <w:color w:val="auto"/>
          <w:sz w:val="36"/>
          <w:szCs w:val="36"/>
          <w:highlight w:val="none"/>
        </w:rPr>
      </w:pPr>
    </w:p>
    <w:p w14:paraId="3E010F15">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3F029A43">
      <w:pPr>
        <w:pStyle w:val="29"/>
        <w:ind w:left="101" w:leftChars="48" w:firstLine="1920" w:firstLineChars="800"/>
        <w:jc w:val="left"/>
        <w:rPr>
          <w:rFonts w:hAnsi="宋体"/>
          <w:color w:val="auto"/>
          <w:kern w:val="2"/>
          <w:szCs w:val="28"/>
          <w:highlight w:val="none"/>
          <w:u w:val="single"/>
        </w:rPr>
      </w:pPr>
    </w:p>
    <w:p w14:paraId="55CB0EC3">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年月日</w:t>
      </w:r>
    </w:p>
    <w:p w14:paraId="0390AA2B">
      <w:pPr>
        <w:spacing w:line="360" w:lineRule="auto"/>
        <w:rPr>
          <w:rStyle w:val="137"/>
          <w:rFonts w:ascii="宋体" w:hAnsi="宋体"/>
          <w:color w:val="auto"/>
          <w:szCs w:val="21"/>
          <w:highlight w:val="none"/>
        </w:rPr>
      </w:pPr>
      <w:r>
        <w:rPr>
          <w:rStyle w:val="137"/>
          <w:rFonts w:ascii="宋体" w:hAnsi="宋体"/>
          <w:color w:val="auto"/>
          <w:szCs w:val="21"/>
          <w:highlight w:val="none"/>
        </w:rPr>
        <w:br w:type="page"/>
      </w:r>
    </w:p>
    <w:p w14:paraId="753A88B9">
      <w:pPr>
        <w:spacing w:line="400" w:lineRule="exact"/>
        <w:jc w:val="center"/>
        <w:rPr>
          <w:rFonts w:ascii="宋体" w:hAnsi="宋体"/>
          <w:b/>
          <w:color w:val="auto"/>
          <w:szCs w:val="21"/>
          <w:highlight w:val="none"/>
        </w:rPr>
      </w:pPr>
      <w:r>
        <w:rPr>
          <w:rFonts w:ascii="宋体" w:hAnsi="宋体"/>
          <w:b/>
          <w:color w:val="auto"/>
          <w:szCs w:val="21"/>
          <w:highlight w:val="none"/>
        </w:rPr>
        <w:t>A1</w:t>
      </w:r>
      <w:r>
        <w:rPr>
          <w:rFonts w:hint="eastAsia" w:ascii="宋体" w:hAnsi="宋体"/>
          <w:b/>
          <w:color w:val="auto"/>
          <w:szCs w:val="21"/>
          <w:highlight w:val="none"/>
        </w:rPr>
        <w:t>、</w:t>
      </w:r>
      <w:r>
        <w:rPr>
          <w:rStyle w:val="137"/>
          <w:rFonts w:hint="eastAsia" w:ascii="宋体" w:hAnsi="宋体"/>
          <w:color w:val="auto"/>
          <w:sz w:val="21"/>
          <w:szCs w:val="21"/>
          <w:highlight w:val="none"/>
        </w:rPr>
        <w:t>关于</w:t>
      </w:r>
      <w:r>
        <w:rPr>
          <w:rFonts w:hint="eastAsia" w:ascii="宋体" w:hAnsi="宋体"/>
          <w:b/>
          <w:color w:val="auto"/>
          <w:szCs w:val="21"/>
          <w:highlight w:val="none"/>
        </w:rPr>
        <w:t>资格的承诺函</w:t>
      </w:r>
    </w:p>
    <w:p w14:paraId="1D343994">
      <w:pPr>
        <w:spacing w:line="400" w:lineRule="exact"/>
        <w:rPr>
          <w:rFonts w:ascii="宋体" w:hAnsi="宋体"/>
          <w:b/>
          <w:color w:val="auto"/>
          <w:szCs w:val="21"/>
          <w:highlight w:val="none"/>
        </w:rPr>
      </w:pPr>
      <w:r>
        <w:rPr>
          <w:rFonts w:hint="eastAsia" w:ascii="宋体" w:hAnsi="宋体"/>
          <w:color w:val="auto"/>
          <w:szCs w:val="21"/>
          <w:highlight w:val="none"/>
        </w:rPr>
        <w:t>致：采购人</w:t>
      </w:r>
    </w:p>
    <w:p w14:paraId="4B2182B5">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14:paraId="10D490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14:paraId="296F601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14:paraId="244728F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14:paraId="287399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14:paraId="0EEA6D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14:paraId="709F7D1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1A979C4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（六）法律、行政法规规定的其他条件。</w:t>
      </w:r>
    </w:p>
    <w:p w14:paraId="02F13E55">
      <w:pPr>
        <w:spacing w:line="400" w:lineRule="exact"/>
        <w:ind w:firstLine="420" w:firstLineChars="200"/>
        <w:rPr>
          <w:rFonts w:ascii="宋体" w:hAnsi="宋体"/>
          <w:color w:val="auto"/>
          <w:szCs w:val="21"/>
          <w:highlight w:val="none"/>
        </w:rPr>
      </w:pPr>
    </w:p>
    <w:p w14:paraId="0554DA0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3A8E85B8">
      <w:pPr>
        <w:spacing w:line="400" w:lineRule="exact"/>
        <w:ind w:firstLine="420" w:firstLineChars="200"/>
        <w:rPr>
          <w:rFonts w:ascii="宋体" w:hAnsi="宋体"/>
          <w:color w:val="auto"/>
          <w:szCs w:val="21"/>
          <w:highlight w:val="none"/>
        </w:rPr>
      </w:pPr>
    </w:p>
    <w:p w14:paraId="60B0EC72">
      <w:pPr>
        <w:spacing w:line="400" w:lineRule="exact"/>
        <w:ind w:firstLine="420" w:firstLineChars="200"/>
        <w:rPr>
          <w:rFonts w:ascii="宋体" w:hAnsi="宋体"/>
          <w:color w:val="auto"/>
          <w:szCs w:val="21"/>
          <w:highlight w:val="none"/>
        </w:rPr>
      </w:pPr>
    </w:p>
    <w:p w14:paraId="0BFC043F">
      <w:pPr>
        <w:spacing w:line="400" w:lineRule="exact"/>
        <w:ind w:firstLine="420" w:firstLineChars="200"/>
        <w:rPr>
          <w:rFonts w:ascii="宋体" w:hAnsi="宋体"/>
          <w:color w:val="auto"/>
          <w:szCs w:val="21"/>
          <w:highlight w:val="none"/>
        </w:rPr>
      </w:pPr>
    </w:p>
    <w:p w14:paraId="7A670C48">
      <w:pPr>
        <w:spacing w:line="400" w:lineRule="exact"/>
        <w:ind w:firstLine="420" w:firstLineChars="200"/>
        <w:rPr>
          <w:rFonts w:ascii="宋体" w:hAnsi="宋体"/>
          <w:color w:val="auto"/>
          <w:szCs w:val="21"/>
          <w:highlight w:val="none"/>
        </w:rPr>
      </w:pPr>
    </w:p>
    <w:p w14:paraId="57B9320B">
      <w:pPr>
        <w:spacing w:line="400" w:lineRule="exact"/>
        <w:ind w:firstLine="420" w:firstLineChars="200"/>
        <w:rPr>
          <w:rFonts w:ascii="宋体" w:hAnsi="宋体"/>
          <w:color w:val="auto"/>
          <w:szCs w:val="21"/>
          <w:highlight w:val="none"/>
        </w:rPr>
      </w:pPr>
    </w:p>
    <w:p w14:paraId="2D65774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供应商（盖章）：</w:t>
      </w:r>
    </w:p>
    <w:p w14:paraId="6092D41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日期：</w:t>
      </w:r>
    </w:p>
    <w:p w14:paraId="39AF338B">
      <w:pPr>
        <w:spacing w:line="400" w:lineRule="exact"/>
        <w:rPr>
          <w:rFonts w:ascii="宋体" w:hAnsi="宋体"/>
          <w:b/>
          <w:color w:val="auto"/>
          <w:szCs w:val="21"/>
          <w:highlight w:val="none"/>
        </w:rPr>
      </w:pPr>
    </w:p>
    <w:p w14:paraId="3F0645C1">
      <w:pPr>
        <w:spacing w:line="400" w:lineRule="exact"/>
        <w:jc w:val="center"/>
        <w:rPr>
          <w:rFonts w:ascii="宋体" w:hAnsi="宋体"/>
          <w:b/>
          <w:color w:val="auto"/>
          <w:szCs w:val="21"/>
          <w:highlight w:val="none"/>
        </w:rPr>
      </w:pPr>
    </w:p>
    <w:p w14:paraId="4D67D327">
      <w:pPr>
        <w:spacing w:line="400" w:lineRule="exact"/>
        <w:ind w:firstLine="474" w:firstLineChars="200"/>
        <w:jc w:val="left"/>
        <w:rPr>
          <w:rFonts w:ascii="宋体" w:hAnsi="宋体"/>
          <w:b/>
          <w:bCs/>
          <w:color w:val="auto"/>
          <w:szCs w:val="21"/>
          <w:highlight w:val="none"/>
        </w:rPr>
      </w:pPr>
      <w:r>
        <w:rPr>
          <w:rStyle w:val="137"/>
          <w:rFonts w:ascii="宋体" w:hAnsi="宋体"/>
          <w:color w:val="auto"/>
          <w:szCs w:val="21"/>
          <w:highlight w:val="none"/>
        </w:rPr>
        <w:br w:type="page"/>
      </w:r>
      <w:r>
        <w:rPr>
          <w:rFonts w:ascii="宋体" w:hAnsi="宋体"/>
          <w:b/>
          <w:bCs/>
          <w:color w:val="auto"/>
          <w:szCs w:val="21"/>
          <w:highlight w:val="none"/>
        </w:rPr>
        <w:t>A</w:t>
      </w:r>
      <w:r>
        <w:rPr>
          <w:rFonts w:hint="eastAsia" w:ascii="宋体" w:hAnsi="宋体"/>
          <w:b/>
          <w:bCs/>
          <w:color w:val="auto"/>
          <w:szCs w:val="21"/>
          <w:highlight w:val="none"/>
        </w:rPr>
        <w:t>2、营业执照副本（或事业法人登记证副本或其他登记证明材料）扫描件加盖供应商公章（供应商如果有名称变更的，应提供由行政主管部门出具的变更证明文件扫描件加盖供应商公章）；</w:t>
      </w:r>
    </w:p>
    <w:p w14:paraId="7727ED58">
      <w:pPr>
        <w:spacing w:line="400" w:lineRule="exact"/>
        <w:ind w:firstLine="422" w:firstLineChars="200"/>
        <w:jc w:val="left"/>
        <w:rPr>
          <w:rFonts w:ascii="宋体" w:hAnsi="宋体"/>
          <w:b/>
          <w:bCs/>
          <w:color w:val="auto"/>
          <w:szCs w:val="21"/>
          <w:highlight w:val="none"/>
        </w:rPr>
      </w:pPr>
    </w:p>
    <w:p w14:paraId="5CC53873">
      <w:pPr>
        <w:rPr>
          <w:rStyle w:val="137"/>
          <w:rFonts w:ascii="宋体" w:hAnsi="宋体"/>
          <w:color w:val="auto"/>
          <w:szCs w:val="21"/>
          <w:highlight w:val="none"/>
        </w:rPr>
      </w:pPr>
      <w:r>
        <w:rPr>
          <w:rStyle w:val="137"/>
          <w:rFonts w:ascii="宋体" w:hAnsi="宋体"/>
          <w:color w:val="auto"/>
          <w:szCs w:val="21"/>
          <w:highlight w:val="none"/>
        </w:rPr>
        <w:br w:type="page"/>
      </w:r>
    </w:p>
    <w:p w14:paraId="2EE874D6">
      <w:pPr>
        <w:spacing w:line="400" w:lineRule="exact"/>
        <w:jc w:val="center"/>
        <w:rPr>
          <w:rFonts w:ascii="宋体" w:hAnsi="宋体"/>
          <w:b/>
          <w:color w:val="auto"/>
          <w:szCs w:val="21"/>
          <w:highlight w:val="none"/>
        </w:rPr>
      </w:pPr>
      <w:r>
        <w:rPr>
          <w:rStyle w:val="137"/>
          <w:rFonts w:hint="eastAsia" w:ascii="宋体" w:hAnsi="宋体"/>
          <w:color w:val="auto"/>
          <w:szCs w:val="21"/>
          <w:highlight w:val="none"/>
        </w:rPr>
        <w:t>A</w:t>
      </w:r>
      <w:r>
        <w:rPr>
          <w:rStyle w:val="137"/>
          <w:rFonts w:hint="eastAsia" w:ascii="宋体" w:hAnsi="宋体"/>
          <w:color w:val="auto"/>
          <w:szCs w:val="21"/>
          <w:highlight w:val="none"/>
          <w:lang w:val="en-US"/>
        </w:rPr>
        <w:t>3</w:t>
      </w:r>
      <w:r>
        <w:rPr>
          <w:rStyle w:val="137"/>
          <w:rFonts w:hint="eastAsia" w:ascii="宋体" w:hAnsi="宋体"/>
          <w:color w:val="auto"/>
          <w:szCs w:val="21"/>
          <w:highlight w:val="none"/>
        </w:rPr>
        <w:t>、</w:t>
      </w:r>
      <w:r>
        <w:rPr>
          <w:rFonts w:hint="eastAsia" w:ascii="宋体" w:hAnsi="宋体"/>
          <w:b/>
          <w:color w:val="auto"/>
          <w:szCs w:val="21"/>
          <w:highlight w:val="none"/>
        </w:rPr>
        <w:t>中小企业声明函</w:t>
      </w:r>
    </w:p>
    <w:p w14:paraId="728501FF">
      <w:pPr>
        <w:spacing w:line="400" w:lineRule="exact"/>
        <w:rPr>
          <w:rFonts w:ascii="宋体" w:hAnsi="宋体"/>
          <w:b/>
          <w:color w:val="auto"/>
          <w:szCs w:val="21"/>
          <w:highlight w:val="none"/>
        </w:rPr>
      </w:pPr>
    </w:p>
    <w:p w14:paraId="6DFEC73F">
      <w:pPr>
        <w:spacing w:line="440" w:lineRule="exact"/>
        <w:jc w:val="center"/>
        <w:rPr>
          <w:rFonts w:ascii="宋体" w:hAnsi="宋体"/>
          <w:b/>
          <w:color w:val="auto"/>
          <w:szCs w:val="21"/>
          <w:highlight w:val="none"/>
        </w:rPr>
      </w:pPr>
      <w:r>
        <w:rPr>
          <w:rFonts w:hint="eastAsia" w:ascii="宋体" w:hAnsi="宋体"/>
          <w:b/>
          <w:color w:val="auto"/>
          <w:highlight w:val="none"/>
        </w:rPr>
        <w:t>中小企业声明函（服务）</w:t>
      </w:r>
    </w:p>
    <w:p w14:paraId="1EBBD084">
      <w:pPr>
        <w:spacing w:line="400" w:lineRule="exact"/>
        <w:rPr>
          <w:rFonts w:ascii="宋体" w:hAnsi="宋体"/>
          <w:b/>
          <w:color w:val="auto"/>
          <w:szCs w:val="21"/>
          <w:highlight w:val="none"/>
        </w:rPr>
      </w:pPr>
    </w:p>
    <w:p w14:paraId="3054C253">
      <w:pPr>
        <w:pStyle w:val="3"/>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i/>
          <w:iCs/>
          <w:color w:val="auto"/>
          <w:sz w:val="21"/>
          <w:szCs w:val="21"/>
          <w:highlight w:val="none"/>
          <w:u w:val="single"/>
        </w:rPr>
        <w:t>（单位名称）</w:t>
      </w:r>
      <w:r>
        <w:rPr>
          <w:rFonts w:hint="eastAsia" w:cs="宋体"/>
          <w:color w:val="auto"/>
          <w:sz w:val="21"/>
          <w:szCs w:val="21"/>
          <w:highlight w:val="none"/>
        </w:rPr>
        <w:t>的</w:t>
      </w:r>
      <w:r>
        <w:rPr>
          <w:rFonts w:hint="eastAsia" w:cs="宋体"/>
          <w:i/>
          <w:iCs/>
          <w:color w:val="auto"/>
          <w:sz w:val="21"/>
          <w:szCs w:val="21"/>
          <w:highlight w:val="none"/>
          <w:u w:val="single"/>
        </w:rPr>
        <w:t>（项目名称）</w:t>
      </w:r>
      <w:r>
        <w:rPr>
          <w:rFonts w:hint="eastAsia" w:cs="宋体"/>
          <w:color w:val="auto"/>
          <w:sz w:val="21"/>
          <w:szCs w:val="21"/>
          <w:highlight w:val="none"/>
        </w:rPr>
        <w:t>采购活动，服务全部由符合政策要求的中小企业承接。相关企业（含联合体中的中小企业、签订分包意向协议的中小企业）的具体情况如下：</w:t>
      </w:r>
    </w:p>
    <w:p w14:paraId="5FFF5F97">
      <w:pPr>
        <w:pStyle w:val="3"/>
        <w:spacing w:line="400" w:lineRule="exact"/>
        <w:ind w:firstLine="420" w:firstLineChars="200"/>
        <w:rPr>
          <w:rFonts w:cs="宋体"/>
          <w:color w:val="auto"/>
          <w:sz w:val="21"/>
          <w:szCs w:val="21"/>
          <w:highlight w:val="none"/>
        </w:rPr>
      </w:pPr>
      <w:r>
        <w:rPr>
          <w:rFonts w:hint="eastAsia" w:cs="宋体"/>
          <w:color w:val="auto"/>
          <w:sz w:val="21"/>
          <w:szCs w:val="21"/>
          <w:highlight w:val="none"/>
        </w:rPr>
        <w:t>1.</w:t>
      </w:r>
      <w:r>
        <w:rPr>
          <w:rFonts w:hint="eastAsia" w:cs="宋体"/>
          <w:b/>
          <w:bCs/>
          <w:color w:val="auto"/>
          <w:sz w:val="21"/>
          <w:szCs w:val="21"/>
          <w:highlight w:val="none"/>
          <w:u w:val="single"/>
          <w:lang w:eastAsia="zh-CN"/>
        </w:rPr>
        <w:t>陪护服务管理外包</w:t>
      </w:r>
      <w:r>
        <w:rPr>
          <w:rFonts w:hint="eastAsia" w:cs="宋体"/>
          <w:b/>
          <w:bCs/>
          <w:color w:val="auto"/>
          <w:sz w:val="21"/>
          <w:szCs w:val="21"/>
          <w:highlight w:val="none"/>
          <w:u w:val="single"/>
        </w:rPr>
        <w:t>采购</w:t>
      </w:r>
      <w:r>
        <w:rPr>
          <w:rFonts w:hint="eastAsia" w:cs="宋体"/>
          <w:color w:val="auto"/>
          <w:sz w:val="21"/>
          <w:szCs w:val="21"/>
          <w:highlight w:val="none"/>
        </w:rPr>
        <w:t>，属于</w:t>
      </w:r>
      <w:r>
        <w:rPr>
          <w:rFonts w:hint="eastAsia" w:cs="宋体"/>
          <w:b/>
          <w:bCs/>
          <w:i w:val="0"/>
          <w:iCs w:val="0"/>
          <w:color w:val="auto"/>
          <w:sz w:val="21"/>
          <w:szCs w:val="21"/>
          <w:highlight w:val="none"/>
          <w:u w:val="single"/>
        </w:rPr>
        <w:t>（租赁和商务服务业）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 xml:space="preserve"> 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rFonts w:hint="eastAsia" w:cs="宋体"/>
          <w:color w:val="auto"/>
          <w:sz w:val="21"/>
          <w:szCs w:val="21"/>
          <w:highlight w:val="none"/>
          <w:vertAlign w:val="superscript"/>
        </w:rPr>
        <w:t>1</w:t>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73ABB46D">
      <w:pPr>
        <w:pStyle w:val="3"/>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 </w:t>
      </w:r>
    </w:p>
    <w:p w14:paraId="229D9AA9">
      <w:pPr>
        <w:pStyle w:val="3"/>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784DC19E">
      <w:pPr>
        <w:pStyle w:val="3"/>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679A3669">
      <w:pPr>
        <w:pStyle w:val="3"/>
        <w:spacing w:line="400" w:lineRule="exact"/>
        <w:ind w:firstLine="3360" w:firstLineChars="1600"/>
        <w:jc w:val="left"/>
        <w:rPr>
          <w:rFonts w:cs="宋体"/>
          <w:color w:val="auto"/>
          <w:sz w:val="21"/>
          <w:szCs w:val="21"/>
          <w:highlight w:val="none"/>
        </w:rPr>
      </w:pPr>
    </w:p>
    <w:p w14:paraId="4CB2706B">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14:paraId="558528FD">
      <w:pPr>
        <w:spacing w:line="400" w:lineRule="exact"/>
        <w:rPr>
          <w:rFonts w:ascii="宋体" w:hAnsi="宋体" w:cs="宋体"/>
          <w:color w:val="auto"/>
          <w:kern w:val="0"/>
          <w:szCs w:val="21"/>
          <w:highlight w:val="none"/>
        </w:rPr>
      </w:pPr>
    </w:p>
    <w:p w14:paraId="65873892">
      <w:pPr>
        <w:spacing w:line="400" w:lineRule="exact"/>
        <w:rPr>
          <w:rFonts w:ascii="宋体" w:hAnsi="宋体" w:cs="宋体"/>
          <w:color w:val="auto"/>
          <w:kern w:val="0"/>
          <w:szCs w:val="21"/>
          <w:highlight w:val="none"/>
        </w:rPr>
      </w:pPr>
    </w:p>
    <w:p w14:paraId="656D4BEB">
      <w:pPr>
        <w:spacing w:line="400" w:lineRule="exact"/>
        <w:rPr>
          <w:rFonts w:ascii="宋体" w:hAnsi="宋体"/>
          <w:color w:val="auto"/>
          <w:kern w:val="0"/>
          <w:szCs w:val="21"/>
          <w:highlight w:val="none"/>
        </w:rPr>
      </w:pPr>
      <w:r>
        <w:rPr>
          <w:rFonts w:ascii="宋体" w:hAnsi="宋体"/>
          <w:color w:val="auto"/>
          <w:kern w:val="0"/>
          <w:szCs w:val="21"/>
          <w:highlight w:val="none"/>
        </w:rPr>
        <w:t>供应商：（盖单位公章）</w:t>
      </w:r>
    </w:p>
    <w:p w14:paraId="13E16584">
      <w:pPr>
        <w:spacing w:line="400" w:lineRule="exact"/>
        <w:rPr>
          <w:rFonts w:ascii="宋体" w:hAnsi="宋体"/>
          <w:color w:val="auto"/>
          <w:szCs w:val="21"/>
          <w:highlight w:val="none"/>
        </w:rPr>
      </w:pPr>
    </w:p>
    <w:p w14:paraId="250D36FE">
      <w:pPr>
        <w:spacing w:line="400" w:lineRule="exact"/>
        <w:rPr>
          <w:rFonts w:ascii="宋体" w:hAnsi="宋体"/>
          <w:color w:val="auto"/>
          <w:szCs w:val="21"/>
          <w:highlight w:val="none"/>
        </w:rPr>
      </w:pPr>
      <w:r>
        <w:rPr>
          <w:rFonts w:ascii="宋体" w:hAnsi="宋体"/>
          <w:color w:val="auto"/>
          <w:szCs w:val="21"/>
          <w:highlight w:val="none"/>
        </w:rPr>
        <w:t xml:space="preserve">日期：    年    月  </w:t>
      </w:r>
      <w:r>
        <w:rPr>
          <w:rFonts w:hint="eastAsia" w:ascii="宋体" w:hAnsi="宋体"/>
          <w:color w:val="auto"/>
          <w:szCs w:val="21"/>
          <w:highlight w:val="none"/>
        </w:rPr>
        <w:t xml:space="preserve">  日</w:t>
      </w:r>
    </w:p>
    <w:p w14:paraId="02117FE5">
      <w:pPr>
        <w:spacing w:line="400" w:lineRule="exact"/>
        <w:jc w:val="center"/>
        <w:rPr>
          <w:rFonts w:ascii="宋体" w:hAnsi="宋体"/>
          <w:b/>
          <w:color w:val="auto"/>
          <w:szCs w:val="21"/>
          <w:highlight w:val="none"/>
        </w:rPr>
      </w:pPr>
      <w:r>
        <w:rPr>
          <w:rFonts w:ascii="宋体" w:hAnsi="宋体"/>
          <w:color w:val="auto"/>
          <w:szCs w:val="21"/>
          <w:highlight w:val="none"/>
        </w:rPr>
        <w:br w:type="page"/>
      </w:r>
      <w:r>
        <w:rPr>
          <w:rStyle w:val="137"/>
          <w:rFonts w:hint="eastAsia" w:ascii="宋体" w:hAnsi="宋体"/>
          <w:color w:val="auto"/>
          <w:szCs w:val="21"/>
          <w:highlight w:val="none"/>
        </w:rPr>
        <w:t>A</w:t>
      </w:r>
      <w:r>
        <w:rPr>
          <w:rStyle w:val="137"/>
          <w:rFonts w:hint="eastAsia" w:ascii="宋体" w:hAnsi="宋体"/>
          <w:color w:val="auto"/>
          <w:szCs w:val="21"/>
          <w:highlight w:val="none"/>
          <w:lang w:val="en-US"/>
        </w:rPr>
        <w:t>4</w:t>
      </w:r>
      <w:r>
        <w:rPr>
          <w:rStyle w:val="137"/>
          <w:rFonts w:hint="eastAsia" w:ascii="宋体" w:hAnsi="宋体"/>
          <w:color w:val="auto"/>
          <w:szCs w:val="21"/>
          <w:highlight w:val="none"/>
        </w:rPr>
        <w:t>、</w:t>
      </w:r>
      <w:r>
        <w:rPr>
          <w:rFonts w:hint="eastAsia" w:ascii="宋体" w:hAnsi="宋体"/>
          <w:b/>
          <w:color w:val="auto"/>
          <w:szCs w:val="21"/>
          <w:highlight w:val="none"/>
        </w:rPr>
        <w:t>残疾人福利性单位声明函（如有需提供）</w:t>
      </w:r>
    </w:p>
    <w:p w14:paraId="69EDCD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7650875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21F970CE">
      <w:pPr>
        <w:spacing w:line="400" w:lineRule="exact"/>
        <w:rPr>
          <w:rFonts w:ascii="宋体" w:hAnsi="宋体"/>
          <w:color w:val="auto"/>
          <w:szCs w:val="21"/>
          <w:highlight w:val="none"/>
        </w:rPr>
      </w:pPr>
    </w:p>
    <w:p w14:paraId="6BBE3946">
      <w:pPr>
        <w:spacing w:line="400" w:lineRule="exact"/>
        <w:rPr>
          <w:rFonts w:ascii="宋体" w:hAnsi="宋体"/>
          <w:color w:val="auto"/>
          <w:szCs w:val="21"/>
          <w:highlight w:val="none"/>
        </w:rPr>
      </w:pPr>
    </w:p>
    <w:p w14:paraId="419F2463">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4A1E3B19">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7187FA59">
      <w:pPr>
        <w:spacing w:line="400" w:lineRule="exact"/>
        <w:rPr>
          <w:rFonts w:ascii="宋体" w:hAnsi="宋体"/>
          <w:b/>
          <w:color w:val="auto"/>
          <w:szCs w:val="21"/>
          <w:highlight w:val="none"/>
        </w:rPr>
      </w:pPr>
    </w:p>
    <w:p w14:paraId="7DDC07A7">
      <w:pPr>
        <w:pStyle w:val="7"/>
        <w:rPr>
          <w:rFonts w:eastAsia="等线"/>
          <w:color w:val="auto"/>
          <w:highlight w:val="none"/>
        </w:rPr>
      </w:pPr>
    </w:p>
    <w:p w14:paraId="34D08F86">
      <w:pPr>
        <w:rPr>
          <w:color w:val="auto"/>
          <w:highlight w:val="none"/>
        </w:rPr>
      </w:pPr>
    </w:p>
    <w:p w14:paraId="3B5E3AE9">
      <w:pPr>
        <w:spacing w:line="400" w:lineRule="exact"/>
        <w:rPr>
          <w:rFonts w:ascii="宋体" w:hAnsi="宋体"/>
          <w:color w:val="auto"/>
          <w:szCs w:val="21"/>
          <w:highlight w:val="none"/>
        </w:rPr>
      </w:pPr>
      <w:r>
        <w:rPr>
          <w:rFonts w:hint="eastAsia" w:ascii="宋体" w:hAnsi="宋体"/>
          <w:color w:val="auto"/>
          <w:szCs w:val="21"/>
          <w:highlight w:val="none"/>
        </w:rPr>
        <w:t>注：</w:t>
      </w:r>
    </w:p>
    <w:p w14:paraId="09F6F0E9">
      <w:pPr>
        <w:spacing w:line="400" w:lineRule="exact"/>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32E57C09">
      <w:pPr>
        <w:spacing w:line="400" w:lineRule="exact"/>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5A2AA772">
      <w:pPr>
        <w:spacing w:line="400" w:lineRule="exact"/>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068B357C">
      <w:pPr>
        <w:spacing w:line="400" w:lineRule="exact"/>
        <w:rPr>
          <w:rFonts w:hint="eastAsia"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3FDC9ED3">
      <w:pPr>
        <w:spacing w:line="400" w:lineRule="exact"/>
        <w:rPr>
          <w:rFonts w:hint="eastAsia"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72228FCD">
      <w:pPr>
        <w:spacing w:line="400" w:lineRule="exact"/>
        <w:rPr>
          <w:rFonts w:hint="eastAsia"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7BC19A38">
      <w:pPr>
        <w:spacing w:line="400" w:lineRule="exact"/>
        <w:rPr>
          <w:rFonts w:hint="eastAsia"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E9A2566">
      <w:pPr>
        <w:rPr>
          <w:rStyle w:val="137"/>
          <w:rFonts w:ascii="宋体" w:hAnsi="宋体"/>
          <w:color w:val="auto"/>
          <w:szCs w:val="21"/>
          <w:highlight w:val="none"/>
        </w:rPr>
      </w:pPr>
      <w:r>
        <w:rPr>
          <w:rStyle w:val="137"/>
          <w:rFonts w:ascii="宋体" w:hAnsi="宋体"/>
          <w:color w:val="auto"/>
          <w:szCs w:val="21"/>
          <w:highlight w:val="none"/>
        </w:rPr>
        <w:br w:type="page"/>
      </w:r>
    </w:p>
    <w:p w14:paraId="229E0591">
      <w:pPr>
        <w:rPr>
          <w:rStyle w:val="137"/>
          <w:rFonts w:ascii="宋体" w:hAnsi="宋体"/>
          <w:color w:val="auto"/>
          <w:szCs w:val="21"/>
          <w:highlight w:val="none"/>
        </w:rPr>
      </w:pPr>
    </w:p>
    <w:p w14:paraId="5236F2D7">
      <w:pPr>
        <w:autoSpaceDE w:val="0"/>
        <w:autoSpaceDN w:val="0"/>
        <w:adjustRightInd w:val="0"/>
        <w:spacing w:line="400" w:lineRule="exact"/>
        <w:outlineLvl w:val="0"/>
        <w:rPr>
          <w:rFonts w:ascii="宋体" w:hAnsi="宋体"/>
          <w:color w:val="auto"/>
          <w:sz w:val="44"/>
          <w:szCs w:val="44"/>
          <w:highlight w:val="none"/>
        </w:rPr>
      </w:pPr>
    </w:p>
    <w:p w14:paraId="32496CE5">
      <w:pPr>
        <w:spacing w:line="440" w:lineRule="exact"/>
        <w:jc w:val="center"/>
        <w:rPr>
          <w:rStyle w:val="137"/>
          <w:rFonts w:ascii="宋体" w:hAnsi="宋体"/>
          <w:color w:val="auto"/>
          <w:szCs w:val="21"/>
          <w:highlight w:val="none"/>
        </w:rPr>
      </w:pPr>
    </w:p>
    <w:p w14:paraId="59234364">
      <w:pPr>
        <w:spacing w:line="400" w:lineRule="exact"/>
        <w:jc w:val="left"/>
        <w:rPr>
          <w:rStyle w:val="137"/>
          <w:rFonts w:ascii="宋体" w:hAnsi="宋体"/>
          <w:color w:val="auto"/>
          <w:sz w:val="28"/>
          <w:szCs w:val="28"/>
          <w:highlight w:val="none"/>
        </w:rPr>
      </w:pPr>
    </w:p>
    <w:p w14:paraId="02D98DA9">
      <w:pPr>
        <w:autoSpaceDE w:val="0"/>
        <w:autoSpaceDN w:val="0"/>
        <w:adjustRightInd w:val="0"/>
        <w:spacing w:beforeLines="100" w:line="400" w:lineRule="exact"/>
        <w:jc w:val="center"/>
        <w:outlineLvl w:val="0"/>
        <w:rPr>
          <w:rStyle w:val="137"/>
          <w:rFonts w:ascii="宋体" w:hAnsi="宋体"/>
          <w:color w:val="auto"/>
          <w:sz w:val="32"/>
          <w:szCs w:val="32"/>
          <w:highlight w:val="none"/>
        </w:rPr>
      </w:pPr>
      <w:bookmarkStart w:id="19" w:name="_Toc16913"/>
      <w:bookmarkStart w:id="20" w:name="_Toc21541026"/>
      <w:bookmarkStart w:id="21" w:name="_Toc44162157"/>
      <w:r>
        <w:rPr>
          <w:rStyle w:val="137"/>
          <w:rFonts w:ascii="宋体" w:hAnsi="宋体"/>
          <w:color w:val="auto"/>
          <w:sz w:val="32"/>
          <w:szCs w:val="32"/>
          <w:highlight w:val="none"/>
        </w:rPr>
        <w:t>B.</w:t>
      </w:r>
      <w:r>
        <w:rPr>
          <w:rStyle w:val="137"/>
          <w:rFonts w:hint="eastAsia" w:ascii="宋体" w:hAnsi="宋体"/>
          <w:color w:val="auto"/>
          <w:sz w:val="32"/>
          <w:szCs w:val="32"/>
          <w:highlight w:val="none"/>
        </w:rPr>
        <w:t>商务和技术文件</w:t>
      </w:r>
      <w:bookmarkEnd w:id="19"/>
      <w:bookmarkEnd w:id="20"/>
      <w:bookmarkEnd w:id="21"/>
    </w:p>
    <w:p w14:paraId="09F42AA5">
      <w:pPr>
        <w:autoSpaceDE w:val="0"/>
        <w:autoSpaceDN w:val="0"/>
        <w:adjustRightInd w:val="0"/>
        <w:spacing w:line="420" w:lineRule="exact"/>
        <w:rPr>
          <w:rStyle w:val="137"/>
          <w:rFonts w:ascii="宋体" w:hAnsi="宋体"/>
          <w:b w:val="0"/>
          <w:color w:val="auto"/>
          <w:highlight w:val="none"/>
          <w:lang w:val="zh-CN"/>
        </w:rPr>
      </w:pPr>
      <w:r>
        <w:rPr>
          <w:rStyle w:val="137"/>
          <w:rFonts w:ascii="宋体" w:hAnsi="宋体"/>
          <w:color w:val="auto"/>
          <w:sz w:val="32"/>
          <w:szCs w:val="32"/>
          <w:highlight w:val="none"/>
        </w:rPr>
        <w:br w:type="page"/>
      </w:r>
      <w:r>
        <w:rPr>
          <w:rStyle w:val="137"/>
          <w:rFonts w:hint="eastAsia" w:ascii="宋体" w:hAnsi="宋体"/>
          <w:color w:val="auto"/>
          <w:szCs w:val="21"/>
          <w:highlight w:val="none"/>
        </w:rPr>
        <w:t>封面</w:t>
      </w:r>
    </w:p>
    <w:p w14:paraId="4E36C415">
      <w:pPr>
        <w:spacing w:line="360" w:lineRule="auto"/>
        <w:ind w:firstLine="1285" w:firstLineChars="400"/>
        <w:jc w:val="right"/>
        <w:rPr>
          <w:rFonts w:ascii="宋体" w:hAnsi="宋体"/>
          <w:b/>
          <w:color w:val="auto"/>
          <w:sz w:val="32"/>
          <w:szCs w:val="32"/>
          <w:highlight w:val="none"/>
        </w:rPr>
      </w:pPr>
      <w:r>
        <w:rPr>
          <w:rFonts w:hint="eastAsia" w:ascii="宋体" w:hAnsi="宋体"/>
          <w:b/>
          <w:color w:val="auto"/>
          <w:sz w:val="32"/>
          <w:szCs w:val="32"/>
          <w:highlight w:val="none"/>
        </w:rPr>
        <w:t>正本</w:t>
      </w:r>
    </w:p>
    <w:p w14:paraId="2E14C0A1">
      <w:pPr>
        <w:spacing w:line="360" w:lineRule="auto"/>
        <w:rPr>
          <w:rFonts w:ascii="宋体" w:hAnsi="宋体"/>
          <w:color w:val="auto"/>
          <w:sz w:val="28"/>
          <w:szCs w:val="28"/>
          <w:highlight w:val="none"/>
        </w:rPr>
      </w:pPr>
    </w:p>
    <w:p w14:paraId="5DE41302">
      <w:pPr>
        <w:spacing w:after="120" w:line="900" w:lineRule="exact"/>
        <w:jc w:val="center"/>
        <w:rPr>
          <w:rFonts w:hint="eastAsia" w:ascii="宋体" w:hAnsi="宋体" w:eastAsia="宋体"/>
          <w:b/>
          <w:color w:val="auto"/>
          <w:sz w:val="44"/>
          <w:szCs w:val="50"/>
          <w:highlight w:val="none"/>
          <w:lang w:eastAsia="zh-CN"/>
        </w:rPr>
      </w:pPr>
      <w:r>
        <w:rPr>
          <w:rFonts w:hint="eastAsia" w:ascii="宋体" w:hAnsi="宋体"/>
          <w:b/>
          <w:color w:val="auto"/>
          <w:sz w:val="44"/>
          <w:szCs w:val="50"/>
          <w:highlight w:val="none"/>
          <w:lang w:eastAsia="zh-CN"/>
        </w:rPr>
        <w:t>宁波市精神病院医院陪护服务管理外包项目</w:t>
      </w:r>
    </w:p>
    <w:p w14:paraId="43BCA073">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采购编号：NBITC-</w:t>
      </w:r>
      <w:r>
        <w:rPr>
          <w:rFonts w:hint="eastAsia" w:ascii="宋体" w:hAnsi="宋体"/>
          <w:color w:val="auto"/>
          <w:sz w:val="36"/>
          <w:szCs w:val="36"/>
          <w:highlight w:val="none"/>
          <w:u w:val="single"/>
          <w:lang w:eastAsia="zh-CN"/>
        </w:rPr>
        <w:t>202411328G</w:t>
      </w:r>
    </w:p>
    <w:p w14:paraId="4B7F6D2E">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标项号：（如有多个标项）</w:t>
      </w:r>
    </w:p>
    <w:p w14:paraId="68A3F062">
      <w:pPr>
        <w:rPr>
          <w:rFonts w:ascii="宋体" w:hAnsi="宋体"/>
          <w:color w:val="auto"/>
          <w:sz w:val="28"/>
          <w:szCs w:val="28"/>
          <w:highlight w:val="none"/>
        </w:rPr>
      </w:pPr>
    </w:p>
    <w:p w14:paraId="098744BA">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69C0C5C7">
      <w:pPr>
        <w:jc w:val="center"/>
        <w:rPr>
          <w:rFonts w:ascii="宋体" w:hAnsi="宋体"/>
          <w:color w:val="auto"/>
          <w:sz w:val="28"/>
          <w:szCs w:val="28"/>
          <w:highlight w:val="none"/>
        </w:rPr>
      </w:pPr>
    </w:p>
    <w:p w14:paraId="78FEC002">
      <w:pPr>
        <w:spacing w:line="360" w:lineRule="auto"/>
        <w:jc w:val="center"/>
        <w:rPr>
          <w:rFonts w:ascii="宋体" w:hAnsi="宋体"/>
          <w:b/>
          <w:color w:val="auto"/>
          <w:sz w:val="72"/>
          <w:szCs w:val="72"/>
          <w:highlight w:val="none"/>
        </w:rPr>
      </w:pPr>
    </w:p>
    <w:p w14:paraId="68666C54">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53A0D172">
      <w:pPr>
        <w:spacing w:line="360" w:lineRule="auto"/>
        <w:jc w:val="center"/>
        <w:rPr>
          <w:rFonts w:ascii="宋体" w:hAnsi="宋体"/>
          <w:color w:val="auto"/>
          <w:sz w:val="36"/>
          <w:szCs w:val="36"/>
          <w:highlight w:val="none"/>
        </w:rPr>
      </w:pPr>
    </w:p>
    <w:p w14:paraId="7863E817">
      <w:pPr>
        <w:spacing w:line="360" w:lineRule="auto"/>
        <w:jc w:val="center"/>
        <w:rPr>
          <w:rFonts w:ascii="宋体" w:hAnsi="宋体"/>
          <w:color w:val="auto"/>
          <w:sz w:val="36"/>
          <w:szCs w:val="36"/>
          <w:highlight w:val="none"/>
        </w:rPr>
      </w:pPr>
    </w:p>
    <w:p w14:paraId="2377EC4D">
      <w:pPr>
        <w:spacing w:line="360" w:lineRule="auto"/>
        <w:jc w:val="center"/>
        <w:rPr>
          <w:rFonts w:ascii="宋体" w:hAnsi="宋体"/>
          <w:color w:val="auto"/>
          <w:sz w:val="36"/>
          <w:szCs w:val="36"/>
          <w:highlight w:val="none"/>
        </w:rPr>
      </w:pPr>
    </w:p>
    <w:p w14:paraId="365CECE7">
      <w:pPr>
        <w:spacing w:line="360" w:lineRule="auto"/>
        <w:jc w:val="center"/>
        <w:rPr>
          <w:rFonts w:ascii="宋体" w:hAnsi="宋体"/>
          <w:color w:val="auto"/>
          <w:sz w:val="36"/>
          <w:szCs w:val="36"/>
          <w:highlight w:val="none"/>
        </w:rPr>
      </w:pPr>
    </w:p>
    <w:p w14:paraId="45ABAC68">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064E195F">
      <w:pPr>
        <w:pStyle w:val="29"/>
        <w:ind w:left="101" w:leftChars="48" w:firstLine="1920" w:firstLineChars="800"/>
        <w:jc w:val="left"/>
        <w:rPr>
          <w:rFonts w:hAnsi="宋体"/>
          <w:color w:val="auto"/>
          <w:kern w:val="2"/>
          <w:szCs w:val="28"/>
          <w:highlight w:val="none"/>
          <w:u w:val="single"/>
        </w:rPr>
      </w:pPr>
    </w:p>
    <w:p w14:paraId="2716DDE4">
      <w:pPr>
        <w:autoSpaceDE w:val="0"/>
        <w:autoSpaceDN w:val="0"/>
        <w:adjustRightInd w:val="0"/>
        <w:spacing w:line="400" w:lineRule="exact"/>
        <w:jc w:val="center"/>
        <w:outlineLvl w:val="0"/>
        <w:rPr>
          <w:rStyle w:val="137"/>
          <w:rFonts w:ascii="宋体" w:hAnsi="宋体"/>
          <w:color w:val="auto"/>
          <w:sz w:val="28"/>
          <w:szCs w:val="28"/>
          <w:highlight w:val="none"/>
        </w:rPr>
      </w:pPr>
      <w:bookmarkStart w:id="22" w:name="_Toc44162158"/>
      <w:bookmarkStart w:id="23" w:name="_Toc21541027"/>
      <w:bookmarkStart w:id="24" w:name="_Toc12534"/>
      <w:r>
        <w:rPr>
          <w:rFonts w:hint="eastAsia" w:ascii="宋体" w:hAnsi="宋体"/>
          <w:color w:val="auto"/>
          <w:sz w:val="36"/>
          <w:szCs w:val="36"/>
          <w:highlight w:val="none"/>
        </w:rPr>
        <w:t>年  月  日</w:t>
      </w:r>
      <w:bookmarkEnd w:id="22"/>
      <w:bookmarkEnd w:id="23"/>
      <w:bookmarkEnd w:id="24"/>
    </w:p>
    <w:p w14:paraId="79B9B88E">
      <w:pPr>
        <w:spacing w:line="360" w:lineRule="auto"/>
        <w:ind w:firstLine="4200" w:firstLineChars="2000"/>
        <w:jc w:val="left"/>
        <w:rPr>
          <w:rFonts w:ascii="宋体" w:hAnsi="宋体"/>
          <w:color w:val="auto"/>
          <w:szCs w:val="21"/>
          <w:highlight w:val="none"/>
        </w:rPr>
      </w:pPr>
    </w:p>
    <w:p w14:paraId="0C4C012E">
      <w:pPr>
        <w:spacing w:line="360" w:lineRule="auto"/>
        <w:jc w:val="center"/>
        <w:rPr>
          <w:rFonts w:ascii="宋体" w:hAnsi="宋体"/>
          <w:b/>
          <w:color w:val="auto"/>
          <w:szCs w:val="21"/>
          <w:highlight w:val="none"/>
        </w:rPr>
      </w:pPr>
      <w:r>
        <w:rPr>
          <w:rStyle w:val="137"/>
          <w:rFonts w:ascii="宋体" w:hAnsi="宋体"/>
          <w:color w:val="auto"/>
          <w:szCs w:val="21"/>
          <w:highlight w:val="none"/>
        </w:rPr>
        <w:br w:type="page"/>
      </w:r>
      <w:r>
        <w:rPr>
          <w:rFonts w:hint="eastAsia" w:ascii="宋体" w:hAnsi="宋体"/>
          <w:b/>
          <w:color w:val="auto"/>
          <w:szCs w:val="21"/>
          <w:highlight w:val="none"/>
        </w:rPr>
        <w:t>B1投标书</w:t>
      </w:r>
    </w:p>
    <w:p w14:paraId="215EFC3A">
      <w:pPr>
        <w:spacing w:line="400" w:lineRule="exact"/>
        <w:rPr>
          <w:rFonts w:ascii="宋体" w:hAnsi="宋体"/>
          <w:color w:val="auto"/>
          <w:szCs w:val="21"/>
          <w:highlight w:val="none"/>
        </w:rPr>
      </w:pPr>
      <w:r>
        <w:rPr>
          <w:rFonts w:hint="eastAsia" w:ascii="宋体" w:hAnsi="宋体"/>
          <w:color w:val="auto"/>
          <w:szCs w:val="21"/>
          <w:highlight w:val="none"/>
        </w:rPr>
        <w:t>致：宁波市国际招标有限公司</w:t>
      </w:r>
    </w:p>
    <w:p w14:paraId="76AB13D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宁波市精神病院医院陪护服务管理外包项目</w:t>
      </w:r>
      <w:r>
        <w:rPr>
          <w:rFonts w:hint="eastAsia" w:ascii="宋体" w:hAnsi="宋体"/>
          <w:color w:val="auto"/>
          <w:szCs w:val="21"/>
          <w:highlight w:val="none"/>
        </w:rPr>
        <w:t>（采购编号：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202411328G</w:t>
      </w:r>
      <w:r>
        <w:rPr>
          <w:rFonts w:hint="eastAsia" w:ascii="宋体" w:hAnsi="宋体"/>
          <w:color w:val="auto"/>
          <w:szCs w:val="21"/>
          <w:highlight w:val="none"/>
        </w:rPr>
        <w:t>）招标活动并投标，为便于采购人公正、择优地确定中标供应商及其服务，采购人就本次投标有关事项郑重声明如下：</w:t>
      </w:r>
    </w:p>
    <w:p w14:paraId="4DC687A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1、采购人提交的所有投标文件、资料都是准确的和真实的。如有虚假或隐瞒，采购人愿意承担一切后果，并不再寻求任何旨在减轻或免除法律责任的辩解。</w:t>
      </w:r>
    </w:p>
    <w:p w14:paraId="204E5D4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2、采购人不是为本项目提供整体设计、规范编制或者项目管理、监理、检测等服务的供应商。</w:t>
      </w:r>
    </w:p>
    <w:p w14:paraId="6CF3AFF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58C420A9">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color w:val="auto"/>
          <w:highlight w:val="none"/>
        </w:rPr>
        <w:t>保证遵守招标文件有关条款规定。</w:t>
      </w:r>
    </w:p>
    <w:p w14:paraId="260422A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1C37B9F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5913ADD1">
      <w:pPr>
        <w:spacing w:line="400" w:lineRule="exact"/>
        <w:ind w:firstLine="420" w:firstLineChars="200"/>
        <w:jc w:val="left"/>
        <w:rPr>
          <w:rFonts w:asci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color w:val="auto"/>
          <w:highlight w:val="none"/>
        </w:rPr>
        <w:t>保证在中标后忠实地执行与采购人所签署的合同，并承担合同规定的责任义务。</w:t>
      </w:r>
    </w:p>
    <w:p w14:paraId="7C66D32F">
      <w:pPr>
        <w:spacing w:line="400" w:lineRule="exact"/>
        <w:ind w:firstLine="420" w:firstLineChars="200"/>
        <w:jc w:val="left"/>
        <w:rPr>
          <w:rFonts w:ascii="宋体" w:hAnsi="宋体"/>
          <w:color w:val="auto"/>
          <w:szCs w:val="21"/>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采购人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14207D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、与本投标有关的一切正式来往通讯请寄：</w:t>
      </w:r>
    </w:p>
    <w:p w14:paraId="57FD651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            邮编：</w:t>
      </w:r>
    </w:p>
    <w:p w14:paraId="0918760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            传真：</w:t>
      </w:r>
    </w:p>
    <w:p w14:paraId="12A8CDCB">
      <w:pPr>
        <w:spacing w:line="400" w:lineRule="exact"/>
        <w:ind w:left="540" w:firstLine="30"/>
        <w:jc w:val="left"/>
        <w:rPr>
          <w:rFonts w:ascii="宋体" w:hAnsi="宋体"/>
          <w:color w:val="auto"/>
          <w:szCs w:val="21"/>
          <w:highlight w:val="none"/>
        </w:rPr>
      </w:pPr>
    </w:p>
    <w:p w14:paraId="1475E804">
      <w:pPr>
        <w:spacing w:line="400" w:lineRule="exact"/>
        <w:jc w:val="left"/>
        <w:rPr>
          <w:rFonts w:ascii="宋体" w:hAnsi="宋体"/>
          <w:color w:val="auto"/>
          <w:szCs w:val="21"/>
          <w:highlight w:val="none"/>
        </w:rPr>
      </w:pPr>
    </w:p>
    <w:p w14:paraId="47255B75">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14:paraId="30B409F9">
      <w:pPr>
        <w:spacing w:line="400" w:lineRule="exact"/>
        <w:rPr>
          <w:rFonts w:ascii="宋体" w:hAnsi="宋体"/>
          <w:b/>
          <w:bCs/>
          <w:color w:val="auto"/>
          <w:kern w:val="0"/>
          <w:szCs w:val="21"/>
          <w:highlight w:val="none"/>
        </w:rPr>
      </w:pPr>
    </w:p>
    <w:p w14:paraId="096E2544">
      <w:pPr>
        <w:spacing w:line="400" w:lineRule="exact"/>
        <w:rPr>
          <w:rFonts w:ascii="宋体" w:hAnsi="宋体"/>
          <w:b/>
          <w:bCs/>
          <w:color w:val="auto"/>
          <w:szCs w:val="21"/>
          <w:highlight w:val="none"/>
        </w:rPr>
      </w:pPr>
      <w:r>
        <w:rPr>
          <w:rFonts w:ascii="宋体" w:hAnsi="宋体"/>
          <w:b/>
          <w:bCs/>
          <w:color w:val="auto"/>
          <w:kern w:val="0"/>
          <w:szCs w:val="21"/>
          <w:highlight w:val="none"/>
        </w:rPr>
        <w:t>法定代表人或其委托代理人：（签字</w:t>
      </w:r>
      <w:r>
        <w:rPr>
          <w:rFonts w:hint="eastAsia" w:ascii="宋体" w:hAnsi="宋体"/>
          <w:b/>
          <w:bCs/>
          <w:color w:val="auto"/>
          <w:kern w:val="0"/>
          <w:szCs w:val="21"/>
          <w:highlight w:val="none"/>
        </w:rPr>
        <w:t>或盖章</w:t>
      </w:r>
      <w:r>
        <w:rPr>
          <w:rFonts w:ascii="宋体" w:hAnsi="宋体"/>
          <w:b/>
          <w:bCs/>
          <w:color w:val="auto"/>
          <w:kern w:val="0"/>
          <w:szCs w:val="21"/>
          <w:highlight w:val="none"/>
        </w:rPr>
        <w:t xml:space="preserve">）    </w:t>
      </w:r>
    </w:p>
    <w:p w14:paraId="4574BABA">
      <w:pPr>
        <w:spacing w:line="400" w:lineRule="exact"/>
        <w:rPr>
          <w:rFonts w:ascii="宋体" w:hAnsi="宋体"/>
          <w:color w:val="auto"/>
          <w:szCs w:val="21"/>
          <w:highlight w:val="none"/>
        </w:rPr>
      </w:pPr>
    </w:p>
    <w:p w14:paraId="3282C6B1">
      <w:pPr>
        <w:spacing w:line="400" w:lineRule="exact"/>
        <w:rPr>
          <w:rFonts w:ascii="宋体" w:hAnsi="宋体"/>
          <w:color w:val="auto"/>
          <w:szCs w:val="21"/>
          <w:highlight w:val="none"/>
          <w:u w:val="single"/>
        </w:rPr>
      </w:pPr>
      <w:r>
        <w:rPr>
          <w:rFonts w:hint="eastAsia" w:ascii="宋体" w:hAnsi="宋体"/>
          <w:color w:val="auto"/>
          <w:szCs w:val="21"/>
          <w:highlight w:val="none"/>
        </w:rPr>
        <w:t>日  期：</w:t>
      </w:r>
    </w:p>
    <w:p w14:paraId="288A8180">
      <w:pPr>
        <w:spacing w:line="360" w:lineRule="auto"/>
        <w:jc w:val="center"/>
        <w:rPr>
          <w:rFonts w:ascii="宋体" w:hAnsi="宋体"/>
          <w:b/>
          <w:bCs/>
          <w:color w:val="auto"/>
          <w:szCs w:val="21"/>
          <w:highlight w:val="none"/>
        </w:rPr>
      </w:pPr>
      <w:r>
        <w:rPr>
          <w:rStyle w:val="137"/>
          <w:rFonts w:ascii="宋体" w:hAnsi="宋体"/>
          <w:color w:val="auto"/>
          <w:szCs w:val="21"/>
          <w:highlight w:val="none"/>
        </w:rPr>
        <w:br w:type="page"/>
      </w:r>
      <w:r>
        <w:rPr>
          <w:rFonts w:hint="eastAsia" w:ascii="宋体" w:hAnsi="宋体"/>
          <w:b/>
          <w:bCs/>
          <w:color w:val="auto"/>
          <w:highlight w:val="none"/>
        </w:rPr>
        <w:t>B</w:t>
      </w:r>
      <w:r>
        <w:rPr>
          <w:rFonts w:ascii="宋体" w:hAnsi="宋体"/>
          <w:b/>
          <w:bCs/>
          <w:color w:val="auto"/>
          <w:szCs w:val="21"/>
          <w:highlight w:val="none"/>
        </w:rPr>
        <w:t>2</w:t>
      </w:r>
      <w:r>
        <w:rPr>
          <w:rFonts w:hint="eastAsia" w:ascii="宋体" w:hAnsi="宋体"/>
          <w:b/>
          <w:bCs/>
          <w:color w:val="auto"/>
          <w:szCs w:val="21"/>
          <w:highlight w:val="none"/>
        </w:rPr>
        <w:t>法定代表人身份证明</w:t>
      </w:r>
    </w:p>
    <w:p w14:paraId="6C10544D">
      <w:pPr>
        <w:spacing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14:paraId="58BC292F">
      <w:pPr>
        <w:spacing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14:paraId="2A2816C6">
      <w:pPr>
        <w:spacing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14:paraId="7784F206">
      <w:pPr>
        <w:spacing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276E01C7">
      <w:pPr>
        <w:spacing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0A76018C">
      <w:pPr>
        <w:spacing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5C9AD43B">
      <w:pPr>
        <w:spacing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39656FB5">
      <w:pPr>
        <w:spacing w:line="400" w:lineRule="exact"/>
        <w:ind w:firstLine="560"/>
        <w:rPr>
          <w:rFonts w:ascii="宋体" w:hAnsi="宋体"/>
          <w:color w:val="auto"/>
          <w:szCs w:val="21"/>
          <w:highlight w:val="none"/>
        </w:rPr>
      </w:pPr>
    </w:p>
    <w:p w14:paraId="737BB309">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14:paraId="0CDE5F4A">
      <w:pPr>
        <w:spacing w:line="400" w:lineRule="exact"/>
        <w:ind w:firstLine="560"/>
        <w:rPr>
          <w:rFonts w:ascii="宋体" w:hAnsi="宋体"/>
          <w:color w:val="auto"/>
          <w:szCs w:val="21"/>
          <w:highlight w:val="none"/>
        </w:rPr>
      </w:pPr>
    </w:p>
    <w:p w14:paraId="206DB0CD">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54951C33">
      <w:pPr>
        <w:spacing w:line="400" w:lineRule="atLeast"/>
        <w:rPr>
          <w:rFonts w:ascii="宋体" w:hAnsi="宋体"/>
          <w:color w:val="auto"/>
          <w:szCs w:val="21"/>
          <w:highlight w:val="none"/>
          <w:u w:val="single"/>
        </w:rPr>
      </w:pPr>
    </w:p>
    <w:p w14:paraId="66563EF7">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091A6F46">
      <w:pPr>
        <w:spacing w:line="400" w:lineRule="atLeast"/>
        <w:rPr>
          <w:rFonts w:ascii="宋体" w:hAnsi="宋体"/>
          <w:color w:val="auto"/>
          <w:szCs w:val="21"/>
          <w:highlight w:val="none"/>
        </w:rPr>
      </w:pPr>
    </w:p>
    <w:p w14:paraId="41B5AC3F">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60217459">
      <w:pPr>
        <w:spacing w:line="400" w:lineRule="atLeast"/>
        <w:rPr>
          <w:rFonts w:ascii="宋体" w:hAnsi="宋体"/>
          <w:color w:val="auto"/>
          <w:szCs w:val="21"/>
          <w:highlight w:val="none"/>
          <w:u w:val="single"/>
        </w:rPr>
      </w:pPr>
    </w:p>
    <w:p w14:paraId="5DEB9FEE">
      <w:pPr>
        <w:spacing w:line="400" w:lineRule="atLeast"/>
        <w:rPr>
          <w:rFonts w:ascii="宋体" w:hAnsi="宋体"/>
          <w:color w:val="auto"/>
          <w:szCs w:val="21"/>
          <w:highlight w:val="none"/>
          <w:u w:val="single"/>
        </w:rPr>
      </w:pPr>
    </w:p>
    <w:p w14:paraId="273A9850">
      <w:pPr>
        <w:spacing w:line="360" w:lineRule="auto"/>
        <w:rPr>
          <w:rFonts w:ascii="宋体" w:hAnsi="宋体"/>
          <w:color w:val="auto"/>
          <w:szCs w:val="21"/>
          <w:highlight w:val="none"/>
        </w:rPr>
      </w:pPr>
    </w:p>
    <w:p w14:paraId="2516FD4B">
      <w:pPr>
        <w:spacing w:line="400" w:lineRule="atLeast"/>
        <w:rPr>
          <w:rFonts w:ascii="宋体" w:hAnsi="宋体"/>
          <w:color w:val="auto"/>
          <w:szCs w:val="21"/>
          <w:highlight w:val="none"/>
          <w:u w:val="single"/>
        </w:rPr>
      </w:pPr>
    </w:p>
    <w:p w14:paraId="12D03F93">
      <w:pPr>
        <w:spacing w:line="360" w:lineRule="auto"/>
        <w:rPr>
          <w:rFonts w:ascii="宋体" w:hAnsi="宋体"/>
          <w:color w:val="auto"/>
          <w:szCs w:val="21"/>
          <w:highlight w:val="none"/>
        </w:rPr>
      </w:pPr>
    </w:p>
    <w:p w14:paraId="497132B1">
      <w:pPr>
        <w:spacing w:line="360" w:lineRule="auto"/>
        <w:rPr>
          <w:rFonts w:ascii="宋体" w:hAnsi="宋体"/>
          <w:color w:val="auto"/>
          <w:szCs w:val="21"/>
          <w:highlight w:val="none"/>
        </w:rPr>
      </w:pPr>
      <w:r>
        <w:rPr>
          <w:rFonts w:hint="eastAsia" w:ascii="宋体" w:hAnsi="宋体"/>
          <w:color w:val="auto"/>
          <w:szCs w:val="21"/>
          <w:highlight w:val="none"/>
        </w:rPr>
        <w:t>后附：</w:t>
      </w:r>
      <w:r>
        <w:rPr>
          <w:rFonts w:hint="eastAsia" w:ascii="宋体" w:hAnsi="宋体"/>
          <w:b/>
          <w:bCs/>
          <w:color w:val="auto"/>
          <w:szCs w:val="21"/>
          <w:highlight w:val="none"/>
        </w:rPr>
        <w:t>法定代表人身份证复印件加盖供应商公章。</w:t>
      </w:r>
    </w:p>
    <w:p w14:paraId="7643A032">
      <w:pPr>
        <w:spacing w:line="400" w:lineRule="atLeast"/>
        <w:rPr>
          <w:rFonts w:ascii="宋体" w:hAnsi="宋体"/>
          <w:color w:val="auto"/>
          <w:szCs w:val="21"/>
          <w:highlight w:val="none"/>
          <w:u w:val="single"/>
        </w:rPr>
      </w:pPr>
    </w:p>
    <w:p w14:paraId="0A9FC591">
      <w:pPr>
        <w:spacing w:line="400" w:lineRule="exact"/>
        <w:jc w:val="center"/>
        <w:rPr>
          <w:rFonts w:ascii="宋体" w:hAnsi="宋体"/>
          <w:b/>
          <w:color w:val="auto"/>
          <w:szCs w:val="21"/>
          <w:highlight w:val="none"/>
        </w:rPr>
      </w:pPr>
      <w:r>
        <w:rPr>
          <w:rStyle w:val="137"/>
          <w:rFonts w:ascii="宋体" w:hAnsi="宋体"/>
          <w:color w:val="auto"/>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14:paraId="5197D6D8">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21B1CB73">
      <w:pPr>
        <w:spacing w:line="360" w:lineRule="auto"/>
        <w:rPr>
          <w:rFonts w:ascii="宋体" w:hAnsi="宋体"/>
          <w:color w:val="auto"/>
          <w:szCs w:val="21"/>
          <w:highlight w:val="none"/>
        </w:rPr>
      </w:pPr>
      <w:r>
        <w:rPr>
          <w:rFonts w:hint="eastAsia" w:ascii="宋体" w:hAnsi="宋体"/>
          <w:color w:val="auto"/>
          <w:szCs w:val="21"/>
          <w:highlight w:val="none"/>
        </w:rPr>
        <w:t>致：采购人</w:t>
      </w:r>
    </w:p>
    <w:p w14:paraId="7D45BE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宁波市精神病院医院陪护服务管理外包项目</w:t>
      </w:r>
      <w:r>
        <w:rPr>
          <w:rFonts w:hint="eastAsia" w:ascii="宋体" w:hAnsi="宋体"/>
          <w:color w:val="auto"/>
          <w:szCs w:val="21"/>
          <w:highlight w:val="none"/>
        </w:rPr>
        <w:t>，采购编号为</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202411328G</w:t>
      </w:r>
      <w:r>
        <w:rPr>
          <w:rFonts w:hint="eastAsia" w:ascii="宋体" w:hAnsi="宋体"/>
          <w:color w:val="auto"/>
          <w:szCs w:val="21"/>
          <w:highlight w:val="none"/>
        </w:rPr>
        <w:t>，其在招投标活动中的一切活动本公司均予承认。</w:t>
      </w:r>
    </w:p>
    <w:p w14:paraId="440027C3">
      <w:pPr>
        <w:spacing w:line="400" w:lineRule="atLeast"/>
        <w:jc w:val="left"/>
        <w:rPr>
          <w:rFonts w:ascii="宋体" w:hAnsi="宋体"/>
          <w:color w:val="auto"/>
          <w:szCs w:val="21"/>
          <w:highlight w:val="none"/>
        </w:rPr>
      </w:pPr>
    </w:p>
    <w:p w14:paraId="25DBD9C1">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31E7D21E">
      <w:pPr>
        <w:spacing w:line="400" w:lineRule="atLeast"/>
        <w:jc w:val="left"/>
        <w:rPr>
          <w:rFonts w:ascii="宋体" w:hAnsi="宋体"/>
          <w:b/>
          <w:bCs/>
          <w:color w:val="auto"/>
          <w:szCs w:val="21"/>
          <w:highlight w:val="none"/>
        </w:rPr>
      </w:pPr>
      <w:r>
        <w:rPr>
          <w:rFonts w:hint="eastAsia" w:ascii="宋体" w:hAnsi="宋体"/>
          <w:b/>
          <w:bCs/>
          <w:color w:val="auto"/>
          <w:szCs w:val="21"/>
          <w:highlight w:val="none"/>
        </w:rPr>
        <w:t>法定代表人（签字或盖章）：</w:t>
      </w:r>
    </w:p>
    <w:p w14:paraId="5F9C0840">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29BA7ECF">
      <w:pPr>
        <w:spacing w:line="360" w:lineRule="auto"/>
        <w:rPr>
          <w:rFonts w:ascii="宋体" w:hAnsi="宋体"/>
          <w:color w:val="auto"/>
          <w:szCs w:val="21"/>
          <w:highlight w:val="none"/>
        </w:rPr>
      </w:pPr>
    </w:p>
    <w:p w14:paraId="44131E97">
      <w:pPr>
        <w:spacing w:line="360" w:lineRule="auto"/>
        <w:rPr>
          <w:rFonts w:ascii="宋体" w:hAnsi="宋体"/>
          <w:color w:val="auto"/>
          <w:szCs w:val="21"/>
          <w:highlight w:val="none"/>
        </w:rPr>
      </w:pPr>
    </w:p>
    <w:p w14:paraId="63195E18">
      <w:pPr>
        <w:spacing w:line="360" w:lineRule="auto"/>
        <w:rPr>
          <w:rFonts w:ascii="宋体" w:hAnsi="宋体"/>
          <w:color w:val="auto"/>
          <w:szCs w:val="21"/>
          <w:highlight w:val="none"/>
        </w:rPr>
      </w:pPr>
      <w:r>
        <w:rPr>
          <w:rFonts w:hint="eastAsia" w:ascii="宋体" w:hAnsi="宋体"/>
          <w:color w:val="auto"/>
          <w:szCs w:val="21"/>
          <w:highlight w:val="none"/>
        </w:rPr>
        <w:t>附：</w:t>
      </w:r>
    </w:p>
    <w:p w14:paraId="356774D7">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0298974">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14:paraId="3A4E8D9E">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F0640A2">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A3B8FF5">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C5F9747">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FE999B9">
      <w:pPr>
        <w:spacing w:line="360" w:lineRule="auto"/>
        <w:ind w:firstLine="555"/>
        <w:rPr>
          <w:rFonts w:ascii="宋体" w:hAnsi="宋体"/>
          <w:color w:val="auto"/>
          <w:szCs w:val="21"/>
          <w:highlight w:val="none"/>
          <w:u w:val="single"/>
        </w:rPr>
      </w:pPr>
    </w:p>
    <w:p w14:paraId="10D7E9DC">
      <w:pPr>
        <w:spacing w:line="360" w:lineRule="auto"/>
        <w:ind w:firstLine="525" w:firstLineChars="250"/>
        <w:rPr>
          <w:rFonts w:ascii="宋体" w:hAnsi="宋体"/>
          <w:color w:val="auto"/>
          <w:szCs w:val="21"/>
          <w:highlight w:val="none"/>
          <w:u w:val="single"/>
        </w:rPr>
      </w:pPr>
    </w:p>
    <w:p w14:paraId="323B194D">
      <w:pPr>
        <w:spacing w:line="360" w:lineRule="auto"/>
        <w:ind w:firstLine="525" w:firstLineChars="250"/>
        <w:rPr>
          <w:rFonts w:ascii="宋体" w:hAnsi="宋体"/>
          <w:color w:val="auto"/>
          <w:szCs w:val="21"/>
          <w:highlight w:val="none"/>
          <w:u w:val="single"/>
        </w:rPr>
      </w:pPr>
    </w:p>
    <w:p w14:paraId="1ACD12E5">
      <w:pPr>
        <w:spacing w:line="360" w:lineRule="auto"/>
        <w:ind w:firstLine="525" w:firstLineChars="250"/>
        <w:rPr>
          <w:rFonts w:ascii="宋体" w:hAnsi="宋体"/>
          <w:color w:val="auto"/>
          <w:szCs w:val="21"/>
          <w:highlight w:val="none"/>
          <w:u w:val="single"/>
        </w:rPr>
      </w:pPr>
    </w:p>
    <w:p w14:paraId="0FDEBE00">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095FEFF3">
      <w:pPr>
        <w:spacing w:line="360" w:lineRule="auto"/>
        <w:ind w:firstLine="527" w:firstLineChars="250"/>
        <w:rPr>
          <w:rFonts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、授权代表身份证复印件加盖供应商公章；</w:t>
      </w:r>
    </w:p>
    <w:p w14:paraId="2B7FDC4F">
      <w:pPr>
        <w:spacing w:line="360" w:lineRule="auto"/>
        <w:ind w:firstLine="592" w:firstLineChars="250"/>
        <w:rPr>
          <w:rFonts w:ascii="宋体" w:hAnsi="宋体"/>
          <w:b/>
          <w:color w:val="auto"/>
          <w:szCs w:val="21"/>
          <w:highlight w:val="none"/>
        </w:rPr>
      </w:pPr>
      <w:r>
        <w:rPr>
          <w:rStyle w:val="137"/>
          <w:rFonts w:ascii="宋体" w:hAnsi="宋体"/>
          <w:color w:val="auto"/>
          <w:szCs w:val="21"/>
          <w:highlight w:val="none"/>
        </w:rPr>
        <w:br w:type="page"/>
      </w:r>
    </w:p>
    <w:p w14:paraId="4290F36D">
      <w:pPr>
        <w:spacing w:line="44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供应商一般情况表</w:t>
      </w:r>
    </w:p>
    <w:tbl>
      <w:tblPr>
        <w:tblStyle w:val="5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6C3D85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75EEB70">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noWrap/>
            <w:vAlign w:val="center"/>
          </w:tcPr>
          <w:p w14:paraId="3952DD3D">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125B53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74AA7035">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noWrap/>
            <w:vAlign w:val="center"/>
          </w:tcPr>
          <w:p w14:paraId="7A8A6112">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6AC890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75AF4F6">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noWrap/>
            <w:vAlign w:val="center"/>
          </w:tcPr>
          <w:p w14:paraId="2B85B45E">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58741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6F3A7646">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noWrap/>
            <w:vAlign w:val="center"/>
          </w:tcPr>
          <w:p w14:paraId="390C370D">
            <w:pPr>
              <w:spacing w:line="400" w:lineRule="exact"/>
              <w:rPr>
                <w:rFonts w:ascii="宋体" w:hAnsi="宋体"/>
                <w:color w:val="auto"/>
                <w:szCs w:val="21"/>
                <w:highlight w:val="none"/>
              </w:rPr>
            </w:pPr>
            <w:r>
              <w:rPr>
                <w:rFonts w:hint="eastAsia" w:ascii="宋体" w:hAnsi="宋体"/>
                <w:color w:val="auto"/>
                <w:szCs w:val="21"/>
                <w:highlight w:val="none"/>
              </w:rPr>
              <w:t>电话：</w:t>
            </w:r>
          </w:p>
        </w:tc>
        <w:tc>
          <w:tcPr>
            <w:tcW w:w="3842" w:type="dxa"/>
            <w:gridSpan w:val="2"/>
            <w:noWrap/>
            <w:vAlign w:val="center"/>
          </w:tcPr>
          <w:p w14:paraId="7EADA6F2">
            <w:pPr>
              <w:spacing w:line="400" w:lineRule="exact"/>
              <w:rPr>
                <w:rFonts w:ascii="宋体" w:hAnsi="宋体"/>
                <w:color w:val="auto"/>
                <w:szCs w:val="21"/>
                <w:highlight w:val="none"/>
              </w:rPr>
            </w:pPr>
            <w:r>
              <w:rPr>
                <w:rFonts w:hint="eastAsia" w:ascii="宋体" w:hAnsi="宋体"/>
                <w:color w:val="auto"/>
                <w:szCs w:val="21"/>
                <w:highlight w:val="none"/>
              </w:rPr>
              <w:t>联系人：</w:t>
            </w:r>
          </w:p>
        </w:tc>
      </w:tr>
      <w:tr w14:paraId="703E8C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15F30C2B">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noWrap/>
            <w:vAlign w:val="center"/>
          </w:tcPr>
          <w:p w14:paraId="77FC41C6">
            <w:pPr>
              <w:spacing w:line="400" w:lineRule="exact"/>
              <w:rPr>
                <w:rFonts w:ascii="宋体" w:hAnsi="宋体"/>
                <w:color w:val="auto"/>
                <w:szCs w:val="21"/>
                <w:highlight w:val="none"/>
              </w:rPr>
            </w:pPr>
            <w:r>
              <w:rPr>
                <w:rFonts w:hint="eastAsia" w:ascii="宋体" w:hAnsi="宋体"/>
                <w:color w:val="auto"/>
                <w:szCs w:val="21"/>
                <w:highlight w:val="none"/>
              </w:rPr>
              <w:t>传真：</w:t>
            </w:r>
          </w:p>
        </w:tc>
        <w:tc>
          <w:tcPr>
            <w:tcW w:w="3842" w:type="dxa"/>
            <w:gridSpan w:val="2"/>
            <w:noWrap/>
            <w:vAlign w:val="center"/>
          </w:tcPr>
          <w:p w14:paraId="2D9BF2CE">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417C9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02B7C21">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noWrap/>
            <w:vAlign w:val="center"/>
          </w:tcPr>
          <w:p w14:paraId="43FFF0C5">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noWrap/>
            <w:vAlign w:val="center"/>
          </w:tcPr>
          <w:p w14:paraId="44BA53BD">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3955CB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16D7474">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noWrap/>
            <w:vAlign w:val="center"/>
          </w:tcPr>
          <w:p w14:paraId="6876FD10">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公司的资质等级（请附上有关证书的复印件）</w:t>
            </w:r>
          </w:p>
        </w:tc>
      </w:tr>
      <w:tr w14:paraId="73FEF2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05029EF5">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noWrap/>
            <w:vAlign w:val="center"/>
          </w:tcPr>
          <w:p w14:paraId="6E7781D3">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公司（是否通过，何种）质量保证体系认证（如通过请附相关证书复印件，提供认证机构年审监督报告）</w:t>
            </w:r>
          </w:p>
        </w:tc>
      </w:tr>
      <w:tr w14:paraId="3DDAEA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FB7B42C">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noWrap/>
            <w:vAlign w:val="center"/>
          </w:tcPr>
          <w:p w14:paraId="2633FFB2">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noWrap/>
            <w:vAlign w:val="center"/>
          </w:tcPr>
          <w:p w14:paraId="0E7E51C5">
            <w:pPr>
              <w:spacing w:line="400" w:lineRule="exact"/>
              <w:rPr>
                <w:rFonts w:ascii="宋体" w:hAnsi="宋体"/>
                <w:color w:val="auto"/>
                <w:szCs w:val="21"/>
                <w:highlight w:val="none"/>
              </w:rPr>
            </w:pPr>
          </w:p>
        </w:tc>
      </w:tr>
      <w:tr w14:paraId="26C08E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52539C2C">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noWrap/>
            <w:vAlign w:val="center"/>
          </w:tcPr>
          <w:p w14:paraId="55144525">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noWrap/>
            <w:vAlign w:val="center"/>
          </w:tcPr>
          <w:p w14:paraId="0953B58F">
            <w:pPr>
              <w:spacing w:line="400" w:lineRule="exact"/>
              <w:rPr>
                <w:rFonts w:ascii="宋体" w:hAnsi="宋体"/>
                <w:color w:val="auto"/>
                <w:szCs w:val="21"/>
                <w:highlight w:val="none"/>
              </w:rPr>
            </w:pPr>
          </w:p>
        </w:tc>
      </w:tr>
      <w:tr w14:paraId="5B553F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FBD1A57">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noWrap/>
            <w:vAlign w:val="center"/>
          </w:tcPr>
          <w:p w14:paraId="38FB4D9C">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noWrap/>
            <w:vAlign w:val="center"/>
          </w:tcPr>
          <w:p w14:paraId="63E4955E">
            <w:pPr>
              <w:spacing w:line="400" w:lineRule="exact"/>
              <w:rPr>
                <w:rFonts w:ascii="宋体" w:hAnsi="宋体"/>
                <w:color w:val="auto"/>
                <w:szCs w:val="21"/>
                <w:highlight w:val="none"/>
              </w:rPr>
            </w:pPr>
          </w:p>
        </w:tc>
      </w:tr>
    </w:tbl>
    <w:p w14:paraId="582EC58E">
      <w:pPr>
        <w:spacing w:line="400" w:lineRule="atLeast"/>
        <w:jc w:val="left"/>
        <w:rPr>
          <w:rFonts w:ascii="宋体" w:hAnsi="宋体"/>
          <w:color w:val="auto"/>
          <w:szCs w:val="21"/>
          <w:highlight w:val="none"/>
        </w:rPr>
      </w:pPr>
    </w:p>
    <w:p w14:paraId="1CD7EF3B">
      <w:pPr>
        <w:spacing w:line="400" w:lineRule="atLeast"/>
        <w:jc w:val="left"/>
        <w:rPr>
          <w:rFonts w:ascii="宋体" w:hAnsi="宋体"/>
          <w:color w:val="auto"/>
          <w:szCs w:val="21"/>
          <w:highlight w:val="none"/>
        </w:rPr>
      </w:pPr>
    </w:p>
    <w:p w14:paraId="4B6F1715">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31953A13">
      <w:pPr>
        <w:spacing w:line="400" w:lineRule="atLeast"/>
        <w:rPr>
          <w:rFonts w:ascii="宋体" w:hAnsi="宋体"/>
          <w:color w:val="auto"/>
          <w:szCs w:val="21"/>
          <w:highlight w:val="none"/>
        </w:rPr>
      </w:pPr>
    </w:p>
    <w:p w14:paraId="4800AC61">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35CEC282">
      <w:pPr>
        <w:spacing w:line="360" w:lineRule="auto"/>
        <w:rPr>
          <w:rFonts w:ascii="宋体" w:hAnsi="宋体"/>
          <w:color w:val="auto"/>
          <w:szCs w:val="21"/>
          <w:highlight w:val="none"/>
        </w:rPr>
      </w:pPr>
      <w:r>
        <w:rPr>
          <w:rFonts w:ascii="宋体" w:hAnsi="宋体"/>
          <w:color w:val="auto"/>
          <w:szCs w:val="21"/>
          <w:highlight w:val="none"/>
        </w:rPr>
        <w:br w:type="page"/>
      </w:r>
    </w:p>
    <w:p w14:paraId="2B8E8866">
      <w:pPr>
        <w:spacing w:line="400" w:lineRule="exact"/>
        <w:jc w:val="center"/>
        <w:rPr>
          <w:rFonts w:ascii="宋体"/>
          <w:b/>
          <w:color w:val="auto"/>
          <w:szCs w:val="21"/>
          <w:highlight w:val="none"/>
        </w:rPr>
      </w:pPr>
      <w:bookmarkStart w:id="25" w:name="_Toc10852"/>
      <w:r>
        <w:rPr>
          <w:rFonts w:hint="eastAsia" w:ascii="宋体" w:hAnsi="宋体"/>
          <w:b/>
          <w:color w:val="auto"/>
          <w:szCs w:val="21"/>
          <w:highlight w:val="none"/>
        </w:rPr>
        <w:t>B5</w:t>
      </w:r>
      <w:r>
        <w:rPr>
          <w:rFonts w:hint="eastAsia" w:ascii="宋体"/>
          <w:b/>
          <w:color w:val="auto"/>
          <w:szCs w:val="21"/>
          <w:highlight w:val="none"/>
        </w:rPr>
        <w:t>招标需求响应表</w:t>
      </w:r>
      <w:bookmarkEnd w:id="25"/>
    </w:p>
    <w:p w14:paraId="7EF2CB30">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宁波市精神病院医院陪护服务管理外包项目</w:t>
      </w:r>
    </w:p>
    <w:p w14:paraId="0CA1C751">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202411328G</w:t>
      </w:r>
    </w:p>
    <w:p w14:paraId="6E95E46C">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标项号：</w:t>
      </w:r>
    </w:p>
    <w:tbl>
      <w:tblPr>
        <w:tblStyle w:val="50"/>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14:paraId="7529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top w:val="double" w:color="auto" w:sz="4" w:space="0"/>
              <w:left w:val="double" w:color="auto" w:sz="4" w:space="0"/>
            </w:tcBorders>
            <w:noWrap/>
            <w:vAlign w:val="center"/>
          </w:tcPr>
          <w:p w14:paraId="7986541E">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序号</w:t>
            </w:r>
          </w:p>
        </w:tc>
        <w:tc>
          <w:tcPr>
            <w:tcW w:w="1717" w:type="dxa"/>
            <w:tcBorders>
              <w:top w:val="double" w:color="auto" w:sz="4" w:space="0"/>
            </w:tcBorders>
            <w:noWrap/>
            <w:vAlign w:val="center"/>
          </w:tcPr>
          <w:p w14:paraId="4620E75B">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招标要求</w:t>
            </w:r>
          </w:p>
        </w:tc>
        <w:tc>
          <w:tcPr>
            <w:tcW w:w="1794" w:type="dxa"/>
            <w:tcBorders>
              <w:top w:val="double" w:color="auto" w:sz="4" w:space="0"/>
            </w:tcBorders>
            <w:noWrap/>
            <w:vAlign w:val="center"/>
          </w:tcPr>
          <w:p w14:paraId="7E1E3137">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投标响应</w:t>
            </w:r>
          </w:p>
        </w:tc>
        <w:tc>
          <w:tcPr>
            <w:tcW w:w="4694" w:type="dxa"/>
            <w:tcBorders>
              <w:top w:val="double" w:color="auto" w:sz="4" w:space="0"/>
              <w:right w:val="double" w:color="auto" w:sz="4" w:space="0"/>
            </w:tcBorders>
            <w:noWrap/>
            <w:vAlign w:val="center"/>
          </w:tcPr>
          <w:p w14:paraId="5CF134EF">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偏离说明</w:t>
            </w:r>
          </w:p>
        </w:tc>
      </w:tr>
      <w:tr w14:paraId="3D18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33BC741D">
            <w:pPr>
              <w:adjustRightInd w:val="0"/>
              <w:snapToGrid w:val="0"/>
              <w:spacing w:line="400" w:lineRule="exact"/>
              <w:jc w:val="center"/>
              <w:rPr>
                <w:rFonts w:ascii="宋体"/>
                <w:color w:val="auto"/>
                <w:spacing w:val="20"/>
                <w:szCs w:val="21"/>
                <w:highlight w:val="none"/>
              </w:rPr>
            </w:pPr>
          </w:p>
        </w:tc>
        <w:tc>
          <w:tcPr>
            <w:tcW w:w="1717" w:type="dxa"/>
            <w:noWrap/>
            <w:vAlign w:val="center"/>
          </w:tcPr>
          <w:p w14:paraId="0452050F">
            <w:pPr>
              <w:adjustRightInd w:val="0"/>
              <w:snapToGrid w:val="0"/>
              <w:spacing w:line="400" w:lineRule="exact"/>
              <w:jc w:val="center"/>
              <w:rPr>
                <w:rFonts w:ascii="宋体"/>
                <w:color w:val="auto"/>
                <w:spacing w:val="20"/>
                <w:szCs w:val="21"/>
                <w:highlight w:val="none"/>
              </w:rPr>
            </w:pPr>
          </w:p>
        </w:tc>
        <w:tc>
          <w:tcPr>
            <w:tcW w:w="1794" w:type="dxa"/>
            <w:noWrap/>
            <w:vAlign w:val="center"/>
          </w:tcPr>
          <w:p w14:paraId="181906BC">
            <w:pPr>
              <w:adjustRightInd w:val="0"/>
              <w:snapToGrid w:val="0"/>
              <w:spacing w:line="400" w:lineRule="exact"/>
              <w:jc w:val="center"/>
              <w:rPr>
                <w:rFonts w:ascii="宋体"/>
                <w:color w:val="auto"/>
                <w:spacing w:val="20"/>
                <w:szCs w:val="21"/>
                <w:highlight w:val="none"/>
              </w:rPr>
            </w:pPr>
          </w:p>
        </w:tc>
        <w:tc>
          <w:tcPr>
            <w:tcW w:w="4694" w:type="dxa"/>
            <w:tcBorders>
              <w:right w:val="double" w:color="auto" w:sz="4" w:space="0"/>
            </w:tcBorders>
            <w:noWrap/>
            <w:vAlign w:val="center"/>
          </w:tcPr>
          <w:p w14:paraId="7CA4FA02">
            <w:pPr>
              <w:adjustRightInd w:val="0"/>
              <w:snapToGrid w:val="0"/>
              <w:spacing w:line="400" w:lineRule="exact"/>
              <w:jc w:val="center"/>
              <w:rPr>
                <w:rFonts w:ascii="宋体"/>
                <w:color w:val="auto"/>
                <w:spacing w:val="20"/>
                <w:szCs w:val="21"/>
                <w:highlight w:val="none"/>
              </w:rPr>
            </w:pPr>
          </w:p>
        </w:tc>
      </w:tr>
      <w:tr w14:paraId="5D72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538F198B">
            <w:pPr>
              <w:adjustRightInd w:val="0"/>
              <w:snapToGrid w:val="0"/>
              <w:spacing w:line="400" w:lineRule="exact"/>
              <w:jc w:val="center"/>
              <w:rPr>
                <w:rFonts w:ascii="宋体"/>
                <w:color w:val="auto"/>
                <w:spacing w:val="20"/>
                <w:szCs w:val="21"/>
                <w:highlight w:val="none"/>
              </w:rPr>
            </w:pPr>
          </w:p>
        </w:tc>
        <w:tc>
          <w:tcPr>
            <w:tcW w:w="1717" w:type="dxa"/>
            <w:noWrap/>
            <w:vAlign w:val="center"/>
          </w:tcPr>
          <w:p w14:paraId="6E560F75">
            <w:pPr>
              <w:adjustRightInd w:val="0"/>
              <w:snapToGrid w:val="0"/>
              <w:spacing w:line="400" w:lineRule="exact"/>
              <w:jc w:val="center"/>
              <w:rPr>
                <w:rFonts w:ascii="宋体"/>
                <w:color w:val="auto"/>
                <w:spacing w:val="20"/>
                <w:szCs w:val="21"/>
                <w:highlight w:val="none"/>
              </w:rPr>
            </w:pPr>
          </w:p>
        </w:tc>
        <w:tc>
          <w:tcPr>
            <w:tcW w:w="1794" w:type="dxa"/>
            <w:noWrap/>
            <w:vAlign w:val="center"/>
          </w:tcPr>
          <w:p w14:paraId="01A86E8C">
            <w:pPr>
              <w:adjustRightInd w:val="0"/>
              <w:snapToGrid w:val="0"/>
              <w:spacing w:line="400" w:lineRule="exact"/>
              <w:jc w:val="center"/>
              <w:rPr>
                <w:rFonts w:ascii="宋体"/>
                <w:color w:val="auto"/>
                <w:spacing w:val="20"/>
                <w:szCs w:val="21"/>
                <w:highlight w:val="none"/>
              </w:rPr>
            </w:pPr>
          </w:p>
        </w:tc>
        <w:tc>
          <w:tcPr>
            <w:tcW w:w="4694" w:type="dxa"/>
            <w:tcBorders>
              <w:right w:val="double" w:color="auto" w:sz="4" w:space="0"/>
            </w:tcBorders>
            <w:noWrap/>
            <w:vAlign w:val="center"/>
          </w:tcPr>
          <w:p w14:paraId="6906F56B">
            <w:pPr>
              <w:adjustRightInd w:val="0"/>
              <w:snapToGrid w:val="0"/>
              <w:spacing w:line="400" w:lineRule="exact"/>
              <w:jc w:val="center"/>
              <w:rPr>
                <w:rFonts w:ascii="宋体"/>
                <w:color w:val="auto"/>
                <w:spacing w:val="20"/>
                <w:szCs w:val="21"/>
                <w:highlight w:val="none"/>
              </w:rPr>
            </w:pPr>
          </w:p>
        </w:tc>
      </w:tr>
      <w:tr w14:paraId="60F8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15873C0B">
            <w:pPr>
              <w:adjustRightInd w:val="0"/>
              <w:snapToGrid w:val="0"/>
              <w:spacing w:line="400" w:lineRule="exact"/>
              <w:jc w:val="center"/>
              <w:rPr>
                <w:rFonts w:ascii="宋体"/>
                <w:color w:val="auto"/>
                <w:spacing w:val="20"/>
                <w:szCs w:val="21"/>
                <w:highlight w:val="none"/>
              </w:rPr>
            </w:pPr>
          </w:p>
        </w:tc>
        <w:tc>
          <w:tcPr>
            <w:tcW w:w="1717" w:type="dxa"/>
            <w:noWrap/>
            <w:vAlign w:val="center"/>
          </w:tcPr>
          <w:p w14:paraId="5EB57081">
            <w:pPr>
              <w:adjustRightInd w:val="0"/>
              <w:snapToGrid w:val="0"/>
              <w:spacing w:line="400" w:lineRule="exact"/>
              <w:jc w:val="center"/>
              <w:rPr>
                <w:rFonts w:ascii="宋体"/>
                <w:color w:val="auto"/>
                <w:spacing w:val="20"/>
                <w:szCs w:val="21"/>
                <w:highlight w:val="none"/>
              </w:rPr>
            </w:pPr>
          </w:p>
        </w:tc>
        <w:tc>
          <w:tcPr>
            <w:tcW w:w="1794" w:type="dxa"/>
            <w:noWrap/>
            <w:vAlign w:val="center"/>
          </w:tcPr>
          <w:p w14:paraId="31E0C657">
            <w:pPr>
              <w:adjustRightInd w:val="0"/>
              <w:snapToGrid w:val="0"/>
              <w:spacing w:line="400" w:lineRule="exact"/>
              <w:jc w:val="center"/>
              <w:rPr>
                <w:rFonts w:ascii="宋体"/>
                <w:color w:val="auto"/>
                <w:spacing w:val="20"/>
                <w:szCs w:val="21"/>
                <w:highlight w:val="none"/>
              </w:rPr>
            </w:pPr>
          </w:p>
        </w:tc>
        <w:tc>
          <w:tcPr>
            <w:tcW w:w="4694" w:type="dxa"/>
            <w:tcBorders>
              <w:right w:val="double" w:color="auto" w:sz="4" w:space="0"/>
            </w:tcBorders>
            <w:noWrap/>
            <w:vAlign w:val="center"/>
          </w:tcPr>
          <w:p w14:paraId="146F93C5">
            <w:pPr>
              <w:adjustRightInd w:val="0"/>
              <w:snapToGrid w:val="0"/>
              <w:spacing w:line="400" w:lineRule="exact"/>
              <w:jc w:val="center"/>
              <w:rPr>
                <w:rFonts w:ascii="宋体"/>
                <w:color w:val="auto"/>
                <w:spacing w:val="20"/>
                <w:szCs w:val="21"/>
                <w:highlight w:val="none"/>
              </w:rPr>
            </w:pPr>
          </w:p>
        </w:tc>
      </w:tr>
      <w:tr w14:paraId="5405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6809AFB8">
            <w:pPr>
              <w:adjustRightInd w:val="0"/>
              <w:snapToGrid w:val="0"/>
              <w:spacing w:line="400" w:lineRule="exact"/>
              <w:jc w:val="center"/>
              <w:rPr>
                <w:rFonts w:ascii="宋体"/>
                <w:color w:val="auto"/>
                <w:spacing w:val="20"/>
                <w:szCs w:val="21"/>
                <w:highlight w:val="none"/>
              </w:rPr>
            </w:pPr>
          </w:p>
        </w:tc>
        <w:tc>
          <w:tcPr>
            <w:tcW w:w="1717" w:type="dxa"/>
            <w:noWrap/>
            <w:vAlign w:val="center"/>
          </w:tcPr>
          <w:p w14:paraId="27EA8F87">
            <w:pPr>
              <w:adjustRightInd w:val="0"/>
              <w:snapToGrid w:val="0"/>
              <w:spacing w:line="400" w:lineRule="exact"/>
              <w:jc w:val="center"/>
              <w:rPr>
                <w:rFonts w:ascii="宋体"/>
                <w:color w:val="auto"/>
                <w:spacing w:val="20"/>
                <w:szCs w:val="21"/>
                <w:highlight w:val="none"/>
              </w:rPr>
            </w:pPr>
          </w:p>
        </w:tc>
        <w:tc>
          <w:tcPr>
            <w:tcW w:w="1794" w:type="dxa"/>
            <w:noWrap/>
            <w:vAlign w:val="center"/>
          </w:tcPr>
          <w:p w14:paraId="1A73CF82">
            <w:pPr>
              <w:adjustRightInd w:val="0"/>
              <w:snapToGrid w:val="0"/>
              <w:spacing w:line="400" w:lineRule="exact"/>
              <w:jc w:val="center"/>
              <w:rPr>
                <w:rFonts w:ascii="宋体"/>
                <w:color w:val="auto"/>
                <w:spacing w:val="20"/>
                <w:szCs w:val="21"/>
                <w:highlight w:val="none"/>
              </w:rPr>
            </w:pPr>
          </w:p>
        </w:tc>
        <w:tc>
          <w:tcPr>
            <w:tcW w:w="4694" w:type="dxa"/>
            <w:tcBorders>
              <w:right w:val="double" w:color="auto" w:sz="4" w:space="0"/>
            </w:tcBorders>
            <w:noWrap/>
            <w:vAlign w:val="center"/>
          </w:tcPr>
          <w:p w14:paraId="4CB640F9">
            <w:pPr>
              <w:adjustRightInd w:val="0"/>
              <w:snapToGrid w:val="0"/>
              <w:spacing w:line="400" w:lineRule="exact"/>
              <w:jc w:val="center"/>
              <w:rPr>
                <w:rFonts w:ascii="宋体"/>
                <w:color w:val="auto"/>
                <w:spacing w:val="20"/>
                <w:szCs w:val="21"/>
                <w:highlight w:val="none"/>
              </w:rPr>
            </w:pPr>
          </w:p>
        </w:tc>
      </w:tr>
      <w:tr w14:paraId="7C3F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bottom w:val="double" w:color="auto" w:sz="4" w:space="0"/>
            </w:tcBorders>
            <w:noWrap/>
            <w:vAlign w:val="center"/>
          </w:tcPr>
          <w:p w14:paraId="355F304D">
            <w:pPr>
              <w:adjustRightInd w:val="0"/>
              <w:snapToGrid w:val="0"/>
              <w:spacing w:line="400" w:lineRule="exact"/>
              <w:jc w:val="center"/>
              <w:rPr>
                <w:rFonts w:ascii="宋体"/>
                <w:color w:val="auto"/>
                <w:spacing w:val="20"/>
                <w:szCs w:val="21"/>
                <w:highlight w:val="none"/>
              </w:rPr>
            </w:pPr>
          </w:p>
        </w:tc>
        <w:tc>
          <w:tcPr>
            <w:tcW w:w="1717" w:type="dxa"/>
            <w:tcBorders>
              <w:bottom w:val="double" w:color="auto" w:sz="4" w:space="0"/>
            </w:tcBorders>
            <w:noWrap/>
            <w:vAlign w:val="center"/>
          </w:tcPr>
          <w:p w14:paraId="70F93364">
            <w:pPr>
              <w:adjustRightInd w:val="0"/>
              <w:snapToGrid w:val="0"/>
              <w:spacing w:line="400" w:lineRule="exact"/>
              <w:jc w:val="center"/>
              <w:rPr>
                <w:rFonts w:ascii="宋体"/>
                <w:color w:val="auto"/>
                <w:spacing w:val="20"/>
                <w:szCs w:val="21"/>
                <w:highlight w:val="none"/>
              </w:rPr>
            </w:pPr>
          </w:p>
        </w:tc>
        <w:tc>
          <w:tcPr>
            <w:tcW w:w="1794" w:type="dxa"/>
            <w:tcBorders>
              <w:bottom w:val="double" w:color="auto" w:sz="4" w:space="0"/>
            </w:tcBorders>
            <w:noWrap/>
            <w:vAlign w:val="center"/>
          </w:tcPr>
          <w:p w14:paraId="44D04598">
            <w:pPr>
              <w:adjustRightInd w:val="0"/>
              <w:snapToGrid w:val="0"/>
              <w:spacing w:line="400" w:lineRule="exact"/>
              <w:jc w:val="center"/>
              <w:rPr>
                <w:rFonts w:ascii="宋体"/>
                <w:color w:val="auto"/>
                <w:spacing w:val="20"/>
                <w:szCs w:val="21"/>
                <w:highlight w:val="none"/>
              </w:rPr>
            </w:pPr>
          </w:p>
        </w:tc>
        <w:tc>
          <w:tcPr>
            <w:tcW w:w="4694" w:type="dxa"/>
            <w:tcBorders>
              <w:bottom w:val="double" w:color="auto" w:sz="4" w:space="0"/>
              <w:right w:val="double" w:color="auto" w:sz="4" w:space="0"/>
            </w:tcBorders>
            <w:noWrap/>
            <w:vAlign w:val="center"/>
          </w:tcPr>
          <w:p w14:paraId="3B02DB9E">
            <w:pPr>
              <w:adjustRightInd w:val="0"/>
              <w:snapToGrid w:val="0"/>
              <w:spacing w:line="400" w:lineRule="exact"/>
              <w:jc w:val="center"/>
              <w:rPr>
                <w:rFonts w:ascii="宋体"/>
                <w:color w:val="auto"/>
                <w:spacing w:val="20"/>
                <w:szCs w:val="21"/>
                <w:highlight w:val="none"/>
              </w:rPr>
            </w:pPr>
          </w:p>
        </w:tc>
      </w:tr>
    </w:tbl>
    <w:p w14:paraId="1BC75BD1">
      <w:pPr>
        <w:adjustRightInd w:val="0"/>
        <w:snapToGrid w:val="0"/>
        <w:spacing w:line="400" w:lineRule="exact"/>
        <w:rPr>
          <w:rFonts w:ascii="宋体"/>
          <w:color w:val="auto"/>
          <w:spacing w:val="20"/>
          <w:szCs w:val="21"/>
          <w:highlight w:val="none"/>
        </w:rPr>
      </w:pPr>
      <w:r>
        <w:rPr>
          <w:rFonts w:hint="eastAsia" w:ascii="宋体" w:hAnsi="宋体"/>
          <w:color w:val="auto"/>
          <w:szCs w:val="21"/>
          <w:highlight w:val="none"/>
        </w:rPr>
        <w:t>注：须与“第三章招标内容与技术需求”中招标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2F2214A4">
      <w:pPr>
        <w:adjustRightInd w:val="0"/>
        <w:snapToGrid w:val="0"/>
        <w:spacing w:line="400" w:lineRule="exact"/>
        <w:rPr>
          <w:rFonts w:ascii="宋体"/>
          <w:color w:val="auto"/>
          <w:spacing w:val="20"/>
          <w:szCs w:val="21"/>
          <w:highlight w:val="none"/>
        </w:rPr>
      </w:pPr>
    </w:p>
    <w:p w14:paraId="6F534B58">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5E08465C">
      <w:pPr>
        <w:spacing w:line="400" w:lineRule="atLeast"/>
        <w:rPr>
          <w:rFonts w:ascii="宋体" w:hAnsi="宋体"/>
          <w:color w:val="auto"/>
          <w:szCs w:val="21"/>
          <w:highlight w:val="none"/>
        </w:rPr>
      </w:pPr>
    </w:p>
    <w:p w14:paraId="4B51456F">
      <w:pPr>
        <w:spacing w:line="400" w:lineRule="atLeast"/>
        <w:rPr>
          <w:rFonts w:ascii="宋体" w:hAnsi="宋体"/>
          <w:color w:val="auto"/>
          <w:szCs w:val="21"/>
          <w:highlight w:val="none"/>
        </w:rPr>
      </w:pPr>
      <w:r>
        <w:rPr>
          <w:rFonts w:hint="eastAsia" w:ascii="宋体" w:hAnsi="宋体"/>
          <w:color w:val="auto"/>
          <w:szCs w:val="21"/>
          <w:highlight w:val="none"/>
        </w:rPr>
        <w:t>日期：</w:t>
      </w:r>
    </w:p>
    <w:p w14:paraId="1DC8316F">
      <w:pPr>
        <w:snapToGrid w:val="0"/>
        <w:spacing w:line="400" w:lineRule="exact"/>
        <w:ind w:firstLine="4095" w:firstLineChars="1950"/>
        <w:jc w:val="left"/>
        <w:rPr>
          <w:rFonts w:ascii="宋体"/>
          <w:color w:val="auto"/>
          <w:szCs w:val="21"/>
          <w:highlight w:val="none"/>
        </w:rPr>
      </w:pPr>
    </w:p>
    <w:p w14:paraId="6792FA22">
      <w:pPr>
        <w:spacing w:line="400" w:lineRule="exact"/>
        <w:ind w:firstLine="4095" w:firstLineChars="1950"/>
        <w:jc w:val="left"/>
        <w:rPr>
          <w:rFonts w:ascii="宋体"/>
          <w:color w:val="auto"/>
          <w:szCs w:val="21"/>
          <w:highlight w:val="none"/>
        </w:rPr>
      </w:pPr>
    </w:p>
    <w:p w14:paraId="68B30E13">
      <w:pPr>
        <w:snapToGrid w:val="0"/>
        <w:spacing w:line="400" w:lineRule="exact"/>
        <w:jc w:val="left"/>
        <w:rPr>
          <w:rFonts w:ascii="宋体"/>
          <w:color w:val="auto"/>
          <w:szCs w:val="21"/>
          <w:highlight w:val="none"/>
          <w:u w:val="single"/>
        </w:rPr>
      </w:pPr>
    </w:p>
    <w:p w14:paraId="7E34D1BD">
      <w:pPr>
        <w:spacing w:line="360" w:lineRule="auto"/>
        <w:rPr>
          <w:rFonts w:ascii="宋体" w:hAnsi="宋体"/>
          <w:color w:val="auto"/>
          <w:szCs w:val="21"/>
          <w:highlight w:val="none"/>
        </w:rPr>
      </w:pPr>
    </w:p>
    <w:p w14:paraId="60F9DA1A">
      <w:pPr>
        <w:spacing w:line="360" w:lineRule="auto"/>
        <w:rPr>
          <w:rFonts w:ascii="宋体" w:hAnsi="宋体"/>
          <w:color w:val="auto"/>
          <w:szCs w:val="21"/>
          <w:highlight w:val="none"/>
        </w:rPr>
      </w:pPr>
    </w:p>
    <w:p w14:paraId="7C59856D">
      <w:pPr>
        <w:spacing w:line="360" w:lineRule="auto"/>
        <w:rPr>
          <w:rStyle w:val="137"/>
          <w:rFonts w:ascii="宋体" w:hAnsi="宋体"/>
          <w:color w:val="auto"/>
          <w:szCs w:val="21"/>
          <w:highlight w:val="none"/>
        </w:rPr>
      </w:pPr>
      <w:r>
        <w:rPr>
          <w:rFonts w:ascii="宋体" w:hAnsi="宋体"/>
          <w:color w:val="auto"/>
          <w:szCs w:val="21"/>
          <w:highlight w:val="none"/>
        </w:rPr>
        <w:br w:type="page"/>
      </w:r>
    </w:p>
    <w:p w14:paraId="32E5AC89">
      <w:pPr>
        <w:spacing w:line="400" w:lineRule="exact"/>
        <w:jc w:val="center"/>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6商务条款响应表</w:t>
      </w:r>
    </w:p>
    <w:p w14:paraId="40862941">
      <w:pPr>
        <w:spacing w:line="360" w:lineRule="auto"/>
        <w:ind w:left="540"/>
        <w:jc w:val="center"/>
        <w:rPr>
          <w:rFonts w:ascii="宋体" w:hAnsi="宋体"/>
          <w:b/>
          <w:color w:val="auto"/>
          <w:szCs w:val="21"/>
          <w:highlight w:val="none"/>
        </w:rPr>
      </w:pPr>
    </w:p>
    <w:p w14:paraId="1930A439">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宁波市精神病院医院陪护服务管理外包项目</w:t>
      </w:r>
    </w:p>
    <w:p w14:paraId="218E24DA">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202411328G</w:t>
      </w:r>
    </w:p>
    <w:p w14:paraId="641AC943">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标项号：</w:t>
      </w:r>
    </w:p>
    <w:tbl>
      <w:tblPr>
        <w:tblStyle w:val="50"/>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14:paraId="5672CB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6D9F719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260" w:type="dxa"/>
            <w:noWrap/>
            <w:vAlign w:val="center"/>
          </w:tcPr>
          <w:p w14:paraId="4416DBC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693" w:type="dxa"/>
            <w:noWrap/>
            <w:vAlign w:val="center"/>
          </w:tcPr>
          <w:p w14:paraId="120080FF">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noWrap/>
            <w:vAlign w:val="center"/>
          </w:tcPr>
          <w:p w14:paraId="79DAEE8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619C09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3C440A9E">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1</w:t>
            </w:r>
          </w:p>
        </w:tc>
        <w:tc>
          <w:tcPr>
            <w:tcW w:w="3260" w:type="dxa"/>
            <w:noWrap/>
            <w:vAlign w:val="center"/>
          </w:tcPr>
          <w:p w14:paraId="396CA126">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68C31109">
            <w:pPr>
              <w:adjustRightInd w:val="0"/>
              <w:snapToGrid w:val="0"/>
              <w:spacing w:line="400" w:lineRule="exact"/>
              <w:jc w:val="center"/>
              <w:rPr>
                <w:rFonts w:ascii="宋体" w:hAnsi="宋体"/>
                <w:color w:val="auto"/>
                <w:szCs w:val="21"/>
                <w:highlight w:val="none"/>
              </w:rPr>
            </w:pPr>
          </w:p>
        </w:tc>
        <w:tc>
          <w:tcPr>
            <w:tcW w:w="2369" w:type="dxa"/>
            <w:noWrap/>
            <w:vAlign w:val="center"/>
          </w:tcPr>
          <w:p w14:paraId="2375C8FE">
            <w:pPr>
              <w:adjustRightInd w:val="0"/>
              <w:snapToGrid w:val="0"/>
              <w:spacing w:line="400" w:lineRule="exact"/>
              <w:jc w:val="center"/>
              <w:rPr>
                <w:rFonts w:ascii="宋体" w:hAnsi="宋体"/>
                <w:color w:val="auto"/>
                <w:szCs w:val="21"/>
                <w:highlight w:val="none"/>
              </w:rPr>
            </w:pPr>
          </w:p>
        </w:tc>
      </w:tr>
      <w:tr w14:paraId="297A6C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5CEBA8C5">
            <w:pPr>
              <w:autoSpaceDE w:val="0"/>
              <w:autoSpaceDN w:val="0"/>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2</w:t>
            </w:r>
          </w:p>
        </w:tc>
        <w:tc>
          <w:tcPr>
            <w:tcW w:w="3260" w:type="dxa"/>
            <w:noWrap/>
            <w:vAlign w:val="center"/>
          </w:tcPr>
          <w:p w14:paraId="573697B8">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575BC866">
            <w:pPr>
              <w:adjustRightInd w:val="0"/>
              <w:snapToGrid w:val="0"/>
              <w:spacing w:line="400" w:lineRule="exact"/>
              <w:jc w:val="center"/>
              <w:rPr>
                <w:rFonts w:ascii="宋体" w:hAnsi="宋体"/>
                <w:color w:val="auto"/>
                <w:szCs w:val="21"/>
                <w:highlight w:val="none"/>
              </w:rPr>
            </w:pPr>
          </w:p>
        </w:tc>
        <w:tc>
          <w:tcPr>
            <w:tcW w:w="2369" w:type="dxa"/>
            <w:noWrap/>
            <w:vAlign w:val="center"/>
          </w:tcPr>
          <w:p w14:paraId="447840B9">
            <w:pPr>
              <w:adjustRightInd w:val="0"/>
              <w:snapToGrid w:val="0"/>
              <w:spacing w:line="400" w:lineRule="exact"/>
              <w:jc w:val="center"/>
              <w:rPr>
                <w:rFonts w:ascii="宋体" w:hAnsi="宋体"/>
                <w:color w:val="auto"/>
                <w:szCs w:val="21"/>
                <w:highlight w:val="none"/>
              </w:rPr>
            </w:pPr>
          </w:p>
        </w:tc>
      </w:tr>
      <w:tr w14:paraId="48BE33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2F9972B4">
            <w:pPr>
              <w:autoSpaceDE w:val="0"/>
              <w:autoSpaceDN w:val="0"/>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3</w:t>
            </w:r>
          </w:p>
        </w:tc>
        <w:tc>
          <w:tcPr>
            <w:tcW w:w="3260" w:type="dxa"/>
            <w:noWrap/>
            <w:vAlign w:val="center"/>
          </w:tcPr>
          <w:p w14:paraId="5E4789AD">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4E114C3C">
            <w:pPr>
              <w:adjustRightInd w:val="0"/>
              <w:snapToGrid w:val="0"/>
              <w:spacing w:line="400" w:lineRule="exact"/>
              <w:jc w:val="center"/>
              <w:rPr>
                <w:rFonts w:ascii="宋体" w:hAnsi="宋体"/>
                <w:color w:val="auto"/>
                <w:szCs w:val="21"/>
                <w:highlight w:val="none"/>
              </w:rPr>
            </w:pPr>
          </w:p>
        </w:tc>
        <w:tc>
          <w:tcPr>
            <w:tcW w:w="2369" w:type="dxa"/>
            <w:noWrap/>
            <w:vAlign w:val="center"/>
          </w:tcPr>
          <w:p w14:paraId="1786D11B">
            <w:pPr>
              <w:adjustRightInd w:val="0"/>
              <w:snapToGrid w:val="0"/>
              <w:spacing w:line="400" w:lineRule="exact"/>
              <w:jc w:val="center"/>
              <w:rPr>
                <w:rFonts w:ascii="宋体" w:hAnsi="宋体"/>
                <w:color w:val="auto"/>
                <w:szCs w:val="21"/>
                <w:highlight w:val="none"/>
              </w:rPr>
            </w:pPr>
          </w:p>
        </w:tc>
      </w:tr>
      <w:tr w14:paraId="2194E9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7E32DAE0">
            <w:pPr>
              <w:autoSpaceDE w:val="0"/>
              <w:autoSpaceDN w:val="0"/>
              <w:adjustRightInd w:val="0"/>
              <w:spacing w:line="400" w:lineRule="exact"/>
              <w:jc w:val="center"/>
              <w:rPr>
                <w:rFonts w:ascii="宋体"/>
                <w:color w:val="auto"/>
                <w:szCs w:val="21"/>
                <w:highlight w:val="none"/>
                <w:lang w:val="zh-CN"/>
              </w:rPr>
            </w:pPr>
            <w:r>
              <w:rPr>
                <w:rFonts w:hint="eastAsia" w:ascii="宋体" w:hAnsi="宋体" w:cs="Arial"/>
                <w:color w:val="auto"/>
                <w:szCs w:val="21"/>
                <w:highlight w:val="none"/>
              </w:rPr>
              <w:t>4</w:t>
            </w:r>
          </w:p>
        </w:tc>
        <w:tc>
          <w:tcPr>
            <w:tcW w:w="3260" w:type="dxa"/>
            <w:noWrap/>
            <w:vAlign w:val="center"/>
          </w:tcPr>
          <w:p w14:paraId="17E333B9">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022DC759">
            <w:pPr>
              <w:adjustRightInd w:val="0"/>
              <w:snapToGrid w:val="0"/>
              <w:spacing w:line="400" w:lineRule="exact"/>
              <w:jc w:val="center"/>
              <w:rPr>
                <w:rFonts w:ascii="宋体" w:hAnsi="宋体"/>
                <w:color w:val="auto"/>
                <w:szCs w:val="21"/>
                <w:highlight w:val="none"/>
              </w:rPr>
            </w:pPr>
          </w:p>
        </w:tc>
        <w:tc>
          <w:tcPr>
            <w:tcW w:w="2369" w:type="dxa"/>
            <w:noWrap/>
            <w:vAlign w:val="center"/>
          </w:tcPr>
          <w:p w14:paraId="42E140EF">
            <w:pPr>
              <w:adjustRightInd w:val="0"/>
              <w:snapToGrid w:val="0"/>
              <w:spacing w:line="400" w:lineRule="exact"/>
              <w:jc w:val="center"/>
              <w:rPr>
                <w:rFonts w:ascii="宋体" w:hAnsi="宋体"/>
                <w:color w:val="auto"/>
                <w:szCs w:val="21"/>
                <w:highlight w:val="none"/>
              </w:rPr>
            </w:pPr>
          </w:p>
        </w:tc>
      </w:tr>
      <w:tr w14:paraId="787F4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60EC4D0B">
            <w:pPr>
              <w:autoSpaceDE w:val="0"/>
              <w:autoSpaceDN w:val="0"/>
              <w:adjustRightInd w:val="0"/>
              <w:spacing w:line="400" w:lineRule="exact"/>
              <w:jc w:val="center"/>
              <w:rPr>
                <w:rFonts w:ascii="宋体"/>
                <w:color w:val="auto"/>
                <w:szCs w:val="21"/>
                <w:highlight w:val="none"/>
                <w:lang w:val="zh-CN"/>
              </w:rPr>
            </w:pPr>
            <w:r>
              <w:rPr>
                <w:rFonts w:hint="eastAsia" w:ascii="宋体" w:hAnsi="宋体" w:cs="Arial"/>
                <w:color w:val="auto"/>
                <w:szCs w:val="21"/>
                <w:highlight w:val="none"/>
              </w:rPr>
              <w:t>5</w:t>
            </w:r>
          </w:p>
        </w:tc>
        <w:tc>
          <w:tcPr>
            <w:tcW w:w="3260" w:type="dxa"/>
            <w:noWrap/>
            <w:vAlign w:val="center"/>
          </w:tcPr>
          <w:p w14:paraId="41E4B14D">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50A63B7B">
            <w:pPr>
              <w:adjustRightInd w:val="0"/>
              <w:snapToGrid w:val="0"/>
              <w:spacing w:line="400" w:lineRule="exact"/>
              <w:jc w:val="center"/>
              <w:rPr>
                <w:rFonts w:ascii="宋体" w:hAnsi="宋体"/>
                <w:color w:val="auto"/>
                <w:szCs w:val="21"/>
                <w:highlight w:val="none"/>
              </w:rPr>
            </w:pPr>
          </w:p>
        </w:tc>
        <w:tc>
          <w:tcPr>
            <w:tcW w:w="2369" w:type="dxa"/>
            <w:noWrap/>
            <w:vAlign w:val="center"/>
          </w:tcPr>
          <w:p w14:paraId="23D75D4D">
            <w:pPr>
              <w:adjustRightInd w:val="0"/>
              <w:snapToGrid w:val="0"/>
              <w:spacing w:line="400" w:lineRule="exact"/>
              <w:jc w:val="center"/>
              <w:rPr>
                <w:rFonts w:ascii="宋体" w:hAnsi="宋体"/>
                <w:color w:val="auto"/>
                <w:szCs w:val="21"/>
                <w:highlight w:val="none"/>
              </w:rPr>
            </w:pPr>
          </w:p>
        </w:tc>
      </w:tr>
      <w:tr w14:paraId="6A186E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5F058AC">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6</w:t>
            </w:r>
          </w:p>
        </w:tc>
        <w:tc>
          <w:tcPr>
            <w:tcW w:w="3260" w:type="dxa"/>
            <w:noWrap/>
            <w:vAlign w:val="center"/>
          </w:tcPr>
          <w:p w14:paraId="0A691ED0">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710D40CA">
            <w:pPr>
              <w:adjustRightInd w:val="0"/>
              <w:snapToGrid w:val="0"/>
              <w:spacing w:line="400" w:lineRule="exact"/>
              <w:jc w:val="center"/>
              <w:rPr>
                <w:rFonts w:ascii="宋体" w:hAnsi="宋体"/>
                <w:color w:val="auto"/>
                <w:szCs w:val="21"/>
                <w:highlight w:val="none"/>
              </w:rPr>
            </w:pPr>
          </w:p>
        </w:tc>
        <w:tc>
          <w:tcPr>
            <w:tcW w:w="2369" w:type="dxa"/>
            <w:noWrap/>
            <w:vAlign w:val="center"/>
          </w:tcPr>
          <w:p w14:paraId="63FC2122">
            <w:pPr>
              <w:adjustRightInd w:val="0"/>
              <w:snapToGrid w:val="0"/>
              <w:spacing w:line="400" w:lineRule="exact"/>
              <w:jc w:val="center"/>
              <w:rPr>
                <w:rFonts w:ascii="宋体" w:hAnsi="宋体"/>
                <w:color w:val="auto"/>
                <w:szCs w:val="21"/>
                <w:highlight w:val="none"/>
              </w:rPr>
            </w:pPr>
          </w:p>
        </w:tc>
      </w:tr>
      <w:tr w14:paraId="13404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189DC283">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7</w:t>
            </w:r>
          </w:p>
        </w:tc>
        <w:tc>
          <w:tcPr>
            <w:tcW w:w="3260" w:type="dxa"/>
            <w:noWrap/>
            <w:vAlign w:val="center"/>
          </w:tcPr>
          <w:p w14:paraId="48F5D85C">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1CA94DE6">
            <w:pPr>
              <w:adjustRightInd w:val="0"/>
              <w:snapToGrid w:val="0"/>
              <w:spacing w:line="400" w:lineRule="exact"/>
              <w:jc w:val="center"/>
              <w:rPr>
                <w:rFonts w:ascii="宋体" w:hAnsi="宋体"/>
                <w:color w:val="auto"/>
                <w:szCs w:val="21"/>
                <w:highlight w:val="none"/>
              </w:rPr>
            </w:pPr>
          </w:p>
        </w:tc>
        <w:tc>
          <w:tcPr>
            <w:tcW w:w="2369" w:type="dxa"/>
            <w:noWrap/>
            <w:vAlign w:val="center"/>
          </w:tcPr>
          <w:p w14:paraId="58B2915A">
            <w:pPr>
              <w:adjustRightInd w:val="0"/>
              <w:snapToGrid w:val="0"/>
              <w:spacing w:line="400" w:lineRule="exact"/>
              <w:jc w:val="center"/>
              <w:rPr>
                <w:rFonts w:ascii="宋体" w:hAnsi="宋体"/>
                <w:color w:val="auto"/>
                <w:szCs w:val="21"/>
                <w:highlight w:val="none"/>
              </w:rPr>
            </w:pPr>
          </w:p>
        </w:tc>
      </w:tr>
      <w:tr w14:paraId="7E29F8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3AB51124">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8</w:t>
            </w:r>
          </w:p>
        </w:tc>
        <w:tc>
          <w:tcPr>
            <w:tcW w:w="3260" w:type="dxa"/>
            <w:noWrap/>
            <w:vAlign w:val="center"/>
          </w:tcPr>
          <w:p w14:paraId="78547704">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51F299F1">
            <w:pPr>
              <w:adjustRightInd w:val="0"/>
              <w:snapToGrid w:val="0"/>
              <w:spacing w:line="400" w:lineRule="exact"/>
              <w:jc w:val="center"/>
              <w:rPr>
                <w:rFonts w:ascii="宋体" w:hAnsi="宋体"/>
                <w:color w:val="auto"/>
                <w:szCs w:val="21"/>
                <w:highlight w:val="none"/>
              </w:rPr>
            </w:pPr>
          </w:p>
        </w:tc>
        <w:tc>
          <w:tcPr>
            <w:tcW w:w="2369" w:type="dxa"/>
            <w:noWrap/>
            <w:vAlign w:val="center"/>
          </w:tcPr>
          <w:p w14:paraId="264B04DC">
            <w:pPr>
              <w:adjustRightInd w:val="0"/>
              <w:snapToGrid w:val="0"/>
              <w:spacing w:line="400" w:lineRule="exact"/>
              <w:jc w:val="center"/>
              <w:rPr>
                <w:rFonts w:ascii="宋体" w:hAnsi="宋体"/>
                <w:color w:val="auto"/>
                <w:szCs w:val="21"/>
                <w:highlight w:val="none"/>
              </w:rPr>
            </w:pPr>
          </w:p>
        </w:tc>
      </w:tr>
    </w:tbl>
    <w:p w14:paraId="05775A20">
      <w:pPr>
        <w:adjustRightInd w:val="0"/>
        <w:snapToGrid w:val="0"/>
        <w:spacing w:line="360" w:lineRule="auto"/>
        <w:ind w:left="250" w:hanging="250" w:hangingChars="100"/>
        <w:rPr>
          <w:rFonts w:ascii="宋体" w:hAnsi="宋体"/>
          <w:color w:val="auto"/>
          <w:szCs w:val="21"/>
          <w:highlight w:val="none"/>
        </w:rPr>
      </w:pPr>
      <w:r>
        <w:rPr>
          <w:rFonts w:hint="eastAsia" w:ascii="宋体" w:hAnsi="宋体"/>
          <w:color w:val="auto"/>
          <w:spacing w:val="20"/>
          <w:szCs w:val="21"/>
          <w:highlight w:val="none"/>
        </w:rPr>
        <w:t>注：</w:t>
      </w:r>
      <w:r>
        <w:rPr>
          <w:rFonts w:ascii="宋体" w:hAnsi="宋体"/>
          <w:color w:val="auto"/>
          <w:spacing w:val="20"/>
          <w:szCs w:val="21"/>
          <w:highlight w:val="none"/>
        </w:rPr>
        <w:t>1</w:t>
      </w:r>
      <w:r>
        <w:rPr>
          <w:rFonts w:hint="eastAsia" w:ascii="宋体" w:hAnsi="宋体"/>
          <w:color w:val="auto"/>
          <w:spacing w:val="20"/>
          <w:szCs w:val="21"/>
          <w:highlight w:val="none"/>
        </w:rPr>
        <w:t>、</w:t>
      </w:r>
      <w:r>
        <w:rPr>
          <w:rFonts w:hint="eastAsia" w:ascii="宋体" w:hAnsi="宋体"/>
          <w:color w:val="auto"/>
          <w:szCs w:val="21"/>
          <w:highlight w:val="none"/>
        </w:rPr>
        <w:t>须与“第四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61E52297">
      <w:pPr>
        <w:adjustRightInd w:val="0"/>
        <w:snapToGrid w:val="0"/>
        <w:spacing w:line="360" w:lineRule="auto"/>
        <w:rPr>
          <w:rFonts w:ascii="宋体" w:hAnsi="宋体"/>
          <w:color w:val="auto"/>
          <w:szCs w:val="21"/>
          <w:highlight w:val="none"/>
        </w:rPr>
      </w:pPr>
    </w:p>
    <w:p w14:paraId="4F6EC73C">
      <w:pPr>
        <w:spacing w:line="400" w:lineRule="atLeast"/>
        <w:jc w:val="left"/>
        <w:rPr>
          <w:rFonts w:ascii="宋体" w:hAnsi="宋体"/>
          <w:color w:val="auto"/>
          <w:szCs w:val="21"/>
          <w:highlight w:val="none"/>
        </w:rPr>
      </w:pPr>
      <w:bookmarkStart w:id="26" w:name="_Toc436408720"/>
      <w:bookmarkStart w:id="27" w:name="_Toc441316563"/>
      <w:r>
        <w:rPr>
          <w:rFonts w:hint="eastAsia" w:ascii="宋体" w:hAnsi="宋体"/>
          <w:color w:val="auto"/>
          <w:szCs w:val="21"/>
          <w:highlight w:val="none"/>
        </w:rPr>
        <w:t>供应商（盖章）：</w:t>
      </w:r>
    </w:p>
    <w:p w14:paraId="05EBF53E">
      <w:pPr>
        <w:spacing w:line="400" w:lineRule="atLeast"/>
        <w:rPr>
          <w:rFonts w:ascii="宋体" w:hAnsi="宋体"/>
          <w:color w:val="auto"/>
          <w:szCs w:val="21"/>
          <w:highlight w:val="none"/>
        </w:rPr>
      </w:pPr>
    </w:p>
    <w:p w14:paraId="08BE0B83">
      <w:pPr>
        <w:spacing w:line="400" w:lineRule="atLeast"/>
        <w:rPr>
          <w:rFonts w:ascii="宋体" w:hAnsi="宋体"/>
          <w:color w:val="auto"/>
          <w:szCs w:val="21"/>
          <w:highlight w:val="none"/>
        </w:rPr>
      </w:pPr>
      <w:r>
        <w:rPr>
          <w:rFonts w:hint="eastAsia" w:ascii="宋体" w:hAnsi="宋体"/>
          <w:color w:val="auto"/>
          <w:szCs w:val="21"/>
          <w:highlight w:val="none"/>
        </w:rPr>
        <w:t>日期：</w:t>
      </w:r>
    </w:p>
    <w:p w14:paraId="5DC8F95A">
      <w:pPr>
        <w:spacing w:line="400" w:lineRule="exact"/>
        <w:jc w:val="left"/>
        <w:rPr>
          <w:rFonts w:ascii="宋体" w:hAnsi="宋体"/>
          <w:b/>
          <w:color w:val="auto"/>
          <w:highlight w:val="none"/>
        </w:rPr>
      </w:pPr>
      <w:r>
        <w:rPr>
          <w:rFonts w:ascii="宋体" w:hAnsi="宋体"/>
          <w:color w:val="auto"/>
          <w:szCs w:val="21"/>
          <w:highlight w:val="none"/>
        </w:rPr>
        <w:br w:type="page"/>
      </w:r>
      <w:bookmarkEnd w:id="26"/>
      <w:bookmarkStart w:id="28" w:name="_Toc441316564"/>
      <w:r>
        <w:rPr>
          <w:rFonts w:hint="eastAsia" w:ascii="宋体" w:hAnsi="宋体"/>
          <w:b/>
          <w:color w:val="auto"/>
          <w:highlight w:val="none"/>
        </w:rPr>
        <w:t>B7、</w:t>
      </w:r>
      <w:r>
        <w:rPr>
          <w:rFonts w:hint="eastAsia" w:ascii="宋体" w:hAnsi="宋体"/>
          <w:b/>
          <w:color w:val="auto"/>
          <w:szCs w:val="21"/>
          <w:highlight w:val="none"/>
        </w:rPr>
        <w:t>第五章“评标办法及标准”中评分标准（兼评委打分表）</w:t>
      </w:r>
      <w:r>
        <w:rPr>
          <w:rFonts w:hint="eastAsia" w:ascii="宋体" w:hAnsi="宋体"/>
          <w:b/>
          <w:color w:val="auto"/>
          <w:highlight w:val="none"/>
        </w:rPr>
        <w:t>要求提供的资料（如有需提供）；</w:t>
      </w:r>
    </w:p>
    <w:p w14:paraId="6237DE04">
      <w:pPr>
        <w:spacing w:line="400" w:lineRule="exact"/>
        <w:ind w:firstLine="422" w:firstLineChars="200"/>
        <w:jc w:val="left"/>
        <w:rPr>
          <w:rFonts w:ascii="宋体" w:hAnsi="宋体"/>
          <w:b/>
          <w:color w:val="auto"/>
          <w:highlight w:val="none"/>
        </w:rPr>
      </w:pPr>
    </w:p>
    <w:p w14:paraId="7558C2F6">
      <w:pPr>
        <w:spacing w:line="400" w:lineRule="exact"/>
        <w:ind w:firstLine="422" w:firstLineChars="200"/>
        <w:jc w:val="left"/>
        <w:rPr>
          <w:rFonts w:ascii="宋体" w:hAnsi="宋体"/>
          <w:b/>
          <w:color w:val="auto"/>
          <w:highlight w:val="none"/>
        </w:rPr>
      </w:pPr>
    </w:p>
    <w:p w14:paraId="411EFD7D">
      <w:pPr>
        <w:spacing w:line="400" w:lineRule="exact"/>
        <w:ind w:firstLine="420" w:firstLineChars="200"/>
        <w:jc w:val="left"/>
        <w:rPr>
          <w:rFonts w:ascii="宋体" w:hAnsi="宋体"/>
          <w:color w:val="auto"/>
          <w:szCs w:val="21"/>
          <w:highlight w:val="none"/>
        </w:rPr>
      </w:pPr>
    </w:p>
    <w:p w14:paraId="1001D054">
      <w:pPr>
        <w:rPr>
          <w:rFonts w:ascii="宋体" w:hAnsi="宋体"/>
          <w:b/>
          <w:color w:val="auto"/>
          <w:highlight w:val="none"/>
        </w:rPr>
      </w:pPr>
      <w:r>
        <w:rPr>
          <w:rFonts w:hint="eastAsia" w:ascii="宋体" w:hAnsi="宋体"/>
          <w:b/>
          <w:color w:val="auto"/>
          <w:highlight w:val="none"/>
        </w:rPr>
        <w:br w:type="page"/>
      </w:r>
    </w:p>
    <w:p w14:paraId="63343E65">
      <w:pPr>
        <w:spacing w:line="400" w:lineRule="exact"/>
        <w:jc w:val="left"/>
        <w:rPr>
          <w:rFonts w:ascii="宋体" w:hAnsi="宋体"/>
          <w:b/>
          <w:color w:val="auto"/>
          <w:highlight w:val="none"/>
        </w:rPr>
      </w:pPr>
      <w:r>
        <w:rPr>
          <w:rFonts w:hint="eastAsia" w:ascii="宋体" w:hAnsi="宋体"/>
          <w:b/>
          <w:color w:val="auto"/>
          <w:highlight w:val="none"/>
        </w:rPr>
        <w:t>B8、供应商认为需要的其他资料（如有需提供）。</w:t>
      </w:r>
    </w:p>
    <w:p w14:paraId="16657C14">
      <w:pPr>
        <w:spacing w:line="400" w:lineRule="exact"/>
        <w:jc w:val="left"/>
        <w:rPr>
          <w:rFonts w:ascii="宋体" w:hAnsi="宋体"/>
          <w:b/>
          <w:color w:val="auto"/>
          <w:highlight w:val="none"/>
        </w:rPr>
      </w:pPr>
    </w:p>
    <w:p w14:paraId="1968F83C">
      <w:pPr>
        <w:spacing w:line="400" w:lineRule="exact"/>
        <w:jc w:val="center"/>
        <w:rPr>
          <w:rFonts w:ascii="宋体" w:hAnsi="宋体"/>
          <w:b/>
          <w:color w:val="auto"/>
          <w:highlight w:val="none"/>
        </w:rPr>
      </w:pPr>
      <w:r>
        <w:rPr>
          <w:rFonts w:hint="eastAsia" w:ascii="宋体" w:hAnsi="宋体"/>
          <w:b/>
          <w:color w:val="auto"/>
          <w:highlight w:val="none"/>
        </w:rPr>
        <w:br w:type="page"/>
      </w:r>
    </w:p>
    <w:p w14:paraId="70CF952E">
      <w:pPr>
        <w:spacing w:line="400" w:lineRule="exact"/>
        <w:jc w:val="left"/>
        <w:rPr>
          <w:rFonts w:ascii="宋体" w:hAnsi="宋体"/>
          <w:b/>
          <w:color w:val="auto"/>
          <w:sz w:val="28"/>
          <w:szCs w:val="28"/>
          <w:highlight w:val="none"/>
        </w:rPr>
      </w:pPr>
      <w:r>
        <w:rPr>
          <w:rFonts w:hint="eastAsia" w:ascii="宋体" w:hAnsi="宋体"/>
          <w:b/>
          <w:color w:val="auto"/>
          <w:sz w:val="28"/>
          <w:szCs w:val="28"/>
          <w:highlight w:val="none"/>
        </w:rPr>
        <w:t>部分格式如下：</w:t>
      </w:r>
    </w:p>
    <w:p w14:paraId="6555D187">
      <w:pPr>
        <w:spacing w:line="360" w:lineRule="auto"/>
        <w:jc w:val="center"/>
        <w:rPr>
          <w:rFonts w:ascii="宋体" w:hAnsi="宋体"/>
          <w:b/>
          <w:color w:val="auto"/>
          <w:szCs w:val="21"/>
          <w:highlight w:val="none"/>
        </w:rPr>
      </w:pPr>
      <w:r>
        <w:rPr>
          <w:rFonts w:hint="eastAsia" w:ascii="宋体" w:hAnsi="宋体"/>
          <w:b/>
          <w:color w:val="auto"/>
          <w:szCs w:val="21"/>
          <w:highlight w:val="none"/>
        </w:rPr>
        <w:t>人员配置方案（方案自拟，部分格式如下）</w:t>
      </w:r>
    </w:p>
    <w:p w14:paraId="4A036D59">
      <w:pPr>
        <w:spacing w:line="360" w:lineRule="auto"/>
        <w:rPr>
          <w:b/>
          <w:color w:val="auto"/>
          <w:szCs w:val="21"/>
          <w:highlight w:val="none"/>
        </w:rPr>
      </w:pPr>
    </w:p>
    <w:p w14:paraId="7A0A5D87">
      <w:pPr>
        <w:spacing w:line="360" w:lineRule="auto"/>
        <w:rPr>
          <w:b/>
          <w:color w:val="auto"/>
          <w:szCs w:val="21"/>
          <w:highlight w:val="none"/>
        </w:rPr>
      </w:pPr>
    </w:p>
    <w:p w14:paraId="7673F0EE">
      <w:pPr>
        <w:spacing w:line="360" w:lineRule="auto"/>
        <w:jc w:val="center"/>
        <w:rPr>
          <w:rFonts w:ascii="宋体" w:hAnsi="宋体"/>
          <w:b/>
          <w:color w:val="auto"/>
          <w:spacing w:val="20"/>
          <w:szCs w:val="21"/>
          <w:highlight w:val="none"/>
        </w:rPr>
      </w:pPr>
      <w:r>
        <w:rPr>
          <w:rFonts w:hint="eastAsia" w:ascii="宋体" w:hAnsi="宋体"/>
          <w:b/>
          <w:color w:val="auto"/>
          <w:szCs w:val="21"/>
          <w:highlight w:val="none"/>
          <w:lang w:val="en-US" w:eastAsia="zh-CN"/>
        </w:rPr>
        <w:t>10</w:t>
      </w:r>
      <w:r>
        <w:rPr>
          <w:rFonts w:hint="eastAsia" w:ascii="宋体" w:hAnsi="宋体"/>
          <w:b/>
          <w:color w:val="auto"/>
          <w:szCs w:val="21"/>
          <w:highlight w:val="none"/>
        </w:rPr>
        <w:t>.1、拟派往本项目的</w:t>
      </w:r>
      <w:r>
        <w:rPr>
          <w:rFonts w:hint="eastAsia" w:ascii="宋体" w:hAnsi="宋体"/>
          <w:b/>
          <w:color w:val="auto"/>
          <w:szCs w:val="21"/>
          <w:highlight w:val="none"/>
          <w:lang w:val="en-US" w:eastAsia="zh-CN"/>
        </w:rPr>
        <w:t>项目负责人</w:t>
      </w:r>
      <w:r>
        <w:rPr>
          <w:rFonts w:hint="eastAsia" w:ascii="宋体" w:hAnsi="宋体"/>
          <w:b/>
          <w:color w:val="auto"/>
          <w:szCs w:val="21"/>
          <w:highlight w:val="none"/>
        </w:rPr>
        <w:t>简历表</w:t>
      </w:r>
    </w:p>
    <w:p w14:paraId="28279EE7">
      <w:pPr>
        <w:pStyle w:val="3"/>
        <w:rPr>
          <w:color w:val="auto"/>
          <w:highlight w:val="none"/>
        </w:rPr>
      </w:pPr>
    </w:p>
    <w:p w14:paraId="434D1AC9">
      <w:pPr>
        <w:spacing w:line="400" w:lineRule="exact"/>
        <w:ind w:left="540"/>
        <w:jc w:val="center"/>
        <w:rPr>
          <w:rFonts w:ascii="宋体" w:hAnsi="宋体"/>
          <w:b/>
          <w:color w:val="auto"/>
          <w:szCs w:val="21"/>
          <w:highlight w:val="none"/>
        </w:rPr>
      </w:pPr>
    </w:p>
    <w:p w14:paraId="698EDC3E">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宁波市精神病院医院陪护服务管理外包项目</w:t>
      </w:r>
    </w:p>
    <w:p w14:paraId="49B071E3">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202411328G</w:t>
      </w:r>
    </w:p>
    <w:p w14:paraId="050E555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标项号：</w:t>
      </w:r>
    </w:p>
    <w:tbl>
      <w:tblPr>
        <w:tblStyle w:val="50"/>
        <w:tblW w:w="93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631"/>
        <w:gridCol w:w="2418"/>
        <w:gridCol w:w="2902"/>
      </w:tblGrid>
      <w:tr w14:paraId="4977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57240C8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r>
              <w:rPr>
                <w:rFonts w:hint="eastAsia" w:ascii="宋体" w:hAnsi="宋体"/>
                <w:color w:val="auto"/>
                <w:szCs w:val="21"/>
                <w:highlight w:val="none"/>
              </w:rPr>
              <w:t>人员资料</w:t>
            </w:r>
          </w:p>
        </w:tc>
        <w:tc>
          <w:tcPr>
            <w:tcW w:w="2631" w:type="dxa"/>
            <w:tcBorders>
              <w:top w:val="single" w:color="auto" w:sz="4" w:space="0"/>
              <w:left w:val="single" w:color="auto" w:sz="4" w:space="0"/>
              <w:bottom w:val="single" w:color="auto" w:sz="4" w:space="0"/>
              <w:right w:val="single" w:color="auto" w:sz="4" w:space="0"/>
            </w:tcBorders>
            <w:vAlign w:val="center"/>
          </w:tcPr>
          <w:p w14:paraId="76C87222">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姓名：</w:t>
            </w:r>
          </w:p>
        </w:tc>
        <w:tc>
          <w:tcPr>
            <w:tcW w:w="2418" w:type="dxa"/>
            <w:tcBorders>
              <w:top w:val="single" w:color="auto" w:sz="4" w:space="0"/>
              <w:left w:val="single" w:color="auto" w:sz="4" w:space="0"/>
              <w:bottom w:val="single" w:color="auto" w:sz="4" w:space="0"/>
              <w:right w:val="single" w:color="auto" w:sz="4" w:space="0"/>
            </w:tcBorders>
            <w:vAlign w:val="center"/>
          </w:tcPr>
          <w:p w14:paraId="7FF8A1FE">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出生年月：</w:t>
            </w:r>
          </w:p>
        </w:tc>
        <w:tc>
          <w:tcPr>
            <w:tcW w:w="2902" w:type="dxa"/>
            <w:tcBorders>
              <w:top w:val="single" w:color="auto" w:sz="4" w:space="0"/>
              <w:left w:val="single" w:color="auto" w:sz="4" w:space="0"/>
              <w:bottom w:val="single" w:color="auto" w:sz="4" w:space="0"/>
              <w:right w:val="single" w:color="auto" w:sz="4" w:space="0"/>
            </w:tcBorders>
            <w:vAlign w:val="center"/>
          </w:tcPr>
          <w:p w14:paraId="22860968">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性别：</w:t>
            </w:r>
          </w:p>
        </w:tc>
      </w:tr>
      <w:tr w14:paraId="70FBA7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right w:val="single" w:color="auto" w:sz="4" w:space="0"/>
            </w:tcBorders>
            <w:vAlign w:val="center"/>
          </w:tcPr>
          <w:p w14:paraId="48865EB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c>
          <w:tcPr>
            <w:tcW w:w="7951" w:type="dxa"/>
            <w:gridSpan w:val="3"/>
            <w:tcBorders>
              <w:top w:val="single" w:color="auto" w:sz="4" w:space="0"/>
              <w:left w:val="single" w:color="auto" w:sz="4" w:space="0"/>
              <w:bottom w:val="single" w:color="auto" w:sz="4" w:space="0"/>
              <w:right w:val="single" w:color="auto" w:sz="4" w:space="0"/>
            </w:tcBorders>
            <w:vAlign w:val="center"/>
          </w:tcPr>
          <w:p w14:paraId="11CD75CF">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执业或职业资格：</w:t>
            </w:r>
          </w:p>
        </w:tc>
      </w:tr>
      <w:tr w14:paraId="2D2BA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69DCAE5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c>
          <w:tcPr>
            <w:tcW w:w="2631" w:type="dxa"/>
            <w:tcBorders>
              <w:top w:val="single" w:color="auto" w:sz="4" w:space="0"/>
              <w:bottom w:val="single" w:color="auto" w:sz="4" w:space="0"/>
            </w:tcBorders>
            <w:vAlign w:val="center"/>
          </w:tcPr>
          <w:p w14:paraId="345BCBFB">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学历：</w:t>
            </w:r>
          </w:p>
        </w:tc>
        <w:tc>
          <w:tcPr>
            <w:tcW w:w="5320" w:type="dxa"/>
            <w:gridSpan w:val="2"/>
            <w:tcBorders>
              <w:top w:val="single" w:color="auto" w:sz="4" w:space="0"/>
              <w:bottom w:val="single" w:color="auto" w:sz="4" w:space="0"/>
              <w:right w:val="single" w:color="auto" w:sz="4" w:space="0"/>
            </w:tcBorders>
            <w:vAlign w:val="center"/>
          </w:tcPr>
          <w:p w14:paraId="4CA48A0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职称：</w:t>
            </w:r>
          </w:p>
        </w:tc>
      </w:tr>
      <w:tr w14:paraId="0BA037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63FB06E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c>
          <w:tcPr>
            <w:tcW w:w="2631" w:type="dxa"/>
            <w:tcBorders>
              <w:top w:val="single" w:color="auto" w:sz="4" w:space="0"/>
              <w:bottom w:val="single" w:color="auto" w:sz="4" w:space="0"/>
            </w:tcBorders>
            <w:vAlign w:val="center"/>
          </w:tcPr>
          <w:p w14:paraId="40B361A6">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工作年限：</w:t>
            </w:r>
          </w:p>
        </w:tc>
        <w:tc>
          <w:tcPr>
            <w:tcW w:w="5320" w:type="dxa"/>
            <w:gridSpan w:val="2"/>
            <w:tcBorders>
              <w:top w:val="single" w:color="auto" w:sz="4" w:space="0"/>
              <w:bottom w:val="single" w:color="auto" w:sz="4" w:space="0"/>
              <w:right w:val="single" w:color="auto" w:sz="4" w:space="0"/>
            </w:tcBorders>
            <w:vAlign w:val="center"/>
          </w:tcPr>
          <w:p w14:paraId="4BA35F66">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其他证书情况：</w:t>
            </w:r>
          </w:p>
        </w:tc>
      </w:tr>
      <w:tr w14:paraId="7E7A0E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0F52BB9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color w:val="auto"/>
                <w:szCs w:val="21"/>
                <w:highlight w:val="none"/>
              </w:rPr>
            </w:pPr>
            <w:r>
              <w:rPr>
                <w:rFonts w:hint="eastAsia" w:ascii="宋体" w:hAnsi="宋体"/>
                <w:b/>
                <w:color w:val="auto"/>
                <w:szCs w:val="21"/>
                <w:highlight w:val="none"/>
              </w:rPr>
              <w:t>自</w:t>
            </w:r>
          </w:p>
        </w:tc>
        <w:tc>
          <w:tcPr>
            <w:tcW w:w="2631" w:type="dxa"/>
            <w:tcBorders>
              <w:top w:val="single" w:color="auto" w:sz="4" w:space="0"/>
              <w:bottom w:val="single" w:color="auto" w:sz="4" w:space="0"/>
            </w:tcBorders>
            <w:vAlign w:val="center"/>
          </w:tcPr>
          <w:p w14:paraId="0EE0801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color w:val="auto"/>
                <w:szCs w:val="21"/>
                <w:highlight w:val="none"/>
              </w:rPr>
            </w:pPr>
            <w:r>
              <w:rPr>
                <w:rFonts w:hint="eastAsia" w:ascii="宋体" w:hAnsi="宋体"/>
                <w:b/>
                <w:color w:val="auto"/>
                <w:szCs w:val="21"/>
                <w:highlight w:val="none"/>
              </w:rPr>
              <w:t>至</w:t>
            </w:r>
          </w:p>
        </w:tc>
        <w:tc>
          <w:tcPr>
            <w:tcW w:w="5320" w:type="dxa"/>
            <w:gridSpan w:val="2"/>
            <w:tcBorders>
              <w:top w:val="single" w:color="auto" w:sz="4" w:space="0"/>
              <w:bottom w:val="single" w:color="auto" w:sz="4" w:space="0"/>
              <w:right w:val="single" w:color="auto" w:sz="4" w:space="0"/>
            </w:tcBorders>
            <w:vAlign w:val="center"/>
          </w:tcPr>
          <w:p w14:paraId="10B221E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color w:val="auto"/>
                <w:szCs w:val="21"/>
                <w:highlight w:val="none"/>
              </w:rPr>
            </w:pPr>
            <w:r>
              <w:rPr>
                <w:rFonts w:hint="eastAsia" w:ascii="宋体" w:hAnsi="宋体"/>
                <w:b/>
                <w:color w:val="auto"/>
                <w:szCs w:val="21"/>
                <w:highlight w:val="none"/>
                <w:lang w:val="en-US" w:eastAsia="zh-CN"/>
              </w:rPr>
              <w:t>项目</w:t>
            </w:r>
            <w:r>
              <w:rPr>
                <w:rFonts w:hint="eastAsia" w:ascii="宋体" w:hAnsi="宋体"/>
                <w:b/>
                <w:color w:val="auto"/>
                <w:szCs w:val="21"/>
                <w:highlight w:val="none"/>
              </w:rPr>
              <w:t>经验</w:t>
            </w:r>
          </w:p>
        </w:tc>
      </w:tr>
      <w:tr w14:paraId="1C5DDF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2B327941">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0CA984C2">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27FD901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19059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23FC3F0D">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0601FF19">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077E515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28135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52A8DD4E">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6E4BB88B">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7BEFBB8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29EC92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75EFF5C">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78DA6135">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22C0830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5F5946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2A962A92">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341D465D">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2785B21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3069E6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5DF52727">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51A09F55">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6CFFDD3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bl>
    <w:p w14:paraId="3F9AD077">
      <w:pPr>
        <w:spacing w:line="400" w:lineRule="exact"/>
        <w:jc w:val="left"/>
        <w:rPr>
          <w:rFonts w:ascii="宋体" w:hAnsi="宋体"/>
          <w:bCs/>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w:t>
      </w:r>
      <w:r>
        <w:rPr>
          <w:rFonts w:hint="eastAsia" w:ascii="宋体" w:hAnsi="宋体"/>
          <w:bCs/>
          <w:color w:val="auto"/>
          <w:szCs w:val="21"/>
          <w:highlight w:val="none"/>
        </w:rPr>
        <w:t>以上人员一经确认，不得随意更换，如需更换，必须征得采购人同意。擅自更换或不到位属违约行为；</w:t>
      </w:r>
    </w:p>
    <w:p w14:paraId="64A7CB60">
      <w:pPr>
        <w:spacing w:line="400" w:lineRule="exact"/>
        <w:ind w:firstLine="630" w:firstLineChars="300"/>
        <w:jc w:val="left"/>
        <w:rPr>
          <w:rFonts w:ascii="宋体" w:hAnsi="宋体" w:cs="宋体"/>
          <w:bCs/>
          <w:color w:val="auto"/>
          <w:highlight w:val="none"/>
        </w:rPr>
      </w:pPr>
      <w:r>
        <w:rPr>
          <w:rFonts w:hint="eastAsia" w:ascii="宋体" w:hAnsi="宋体" w:cs="宋体"/>
          <w:bCs/>
          <w:color w:val="auto"/>
          <w:highlight w:val="none"/>
        </w:rPr>
        <w:t>2、相关证书及证明资料后附。</w:t>
      </w:r>
    </w:p>
    <w:p w14:paraId="5E04983A">
      <w:pPr>
        <w:spacing w:line="400" w:lineRule="exact"/>
        <w:ind w:firstLine="632" w:firstLineChars="300"/>
        <w:jc w:val="left"/>
        <w:rPr>
          <w:rFonts w:ascii="宋体" w:hAnsi="宋体" w:cs="宋体"/>
          <w:b/>
          <w:bCs w:val="0"/>
          <w:color w:val="auto"/>
          <w:highlight w:val="none"/>
        </w:rPr>
      </w:pPr>
      <w:r>
        <w:rPr>
          <w:rFonts w:hint="eastAsia" w:ascii="宋体" w:hAnsi="宋体" w:cs="宋体"/>
          <w:b/>
          <w:bCs w:val="0"/>
          <w:color w:val="auto"/>
          <w:highlight w:val="none"/>
        </w:rPr>
        <w:t>3、提供供应商为上述人员</w:t>
      </w:r>
      <w:r>
        <w:rPr>
          <w:rFonts w:hint="eastAsia" w:ascii="宋体" w:hAnsi="宋体" w:cs="宋体"/>
          <w:b/>
          <w:bCs w:val="0"/>
          <w:color w:val="auto"/>
          <w:szCs w:val="21"/>
          <w:highlight w:val="none"/>
          <w:lang w:val="en-US" w:eastAsia="zh-CN"/>
        </w:rPr>
        <w:t>开标前近三个</w:t>
      </w:r>
      <w:r>
        <w:rPr>
          <w:rFonts w:hint="eastAsia" w:ascii="宋体" w:hAnsi="宋体" w:cs="宋体"/>
          <w:b/>
          <w:bCs w:val="0"/>
          <w:color w:val="auto"/>
          <w:szCs w:val="21"/>
          <w:highlight w:val="none"/>
          <w:lang w:eastAsia="zh-CN"/>
        </w:rPr>
        <w:t>月</w:t>
      </w:r>
      <w:r>
        <w:rPr>
          <w:rFonts w:hint="eastAsia" w:ascii="宋体" w:hAnsi="宋体" w:cs="宋体"/>
          <w:b/>
          <w:bCs w:val="0"/>
          <w:color w:val="auto"/>
          <w:highlight w:val="none"/>
        </w:rPr>
        <w:t>缴纳社保证明加盖供应商公章。</w:t>
      </w:r>
    </w:p>
    <w:p w14:paraId="66E4792D">
      <w:pPr>
        <w:spacing w:line="400" w:lineRule="exact"/>
        <w:ind w:firstLine="630" w:firstLineChars="300"/>
        <w:jc w:val="left"/>
        <w:rPr>
          <w:rFonts w:ascii="宋体" w:hAnsi="宋体" w:cs="宋体"/>
          <w:bCs/>
          <w:color w:val="auto"/>
          <w:highlight w:val="none"/>
        </w:rPr>
      </w:pPr>
    </w:p>
    <w:p w14:paraId="1A33B5C6">
      <w:pPr>
        <w:pStyle w:val="14"/>
        <w:ind w:firstLine="536"/>
        <w:rPr>
          <w:color w:val="auto"/>
          <w:highlight w:val="none"/>
        </w:rPr>
      </w:pPr>
    </w:p>
    <w:p w14:paraId="5840B38B">
      <w:pPr>
        <w:spacing w:line="400" w:lineRule="exact"/>
        <w:jc w:val="left"/>
        <w:rPr>
          <w:rFonts w:ascii="宋体" w:hAnsi="宋体"/>
          <w:color w:val="auto"/>
          <w:szCs w:val="21"/>
          <w:highlight w:val="none"/>
        </w:rPr>
      </w:pPr>
    </w:p>
    <w:p w14:paraId="21D1DF20">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14:paraId="61062D1F">
      <w:pPr>
        <w:spacing w:line="400" w:lineRule="exact"/>
        <w:rPr>
          <w:rFonts w:ascii="宋体" w:hAnsi="宋体"/>
          <w:color w:val="auto"/>
          <w:szCs w:val="21"/>
          <w:highlight w:val="none"/>
        </w:rPr>
      </w:pPr>
    </w:p>
    <w:p w14:paraId="27D4A4B1">
      <w:pPr>
        <w:pStyle w:val="3"/>
        <w:rPr>
          <w:color w:val="auto"/>
          <w:highlight w:val="none"/>
        </w:rPr>
      </w:pPr>
    </w:p>
    <w:p w14:paraId="293DBC5A">
      <w:pPr>
        <w:spacing w:line="400" w:lineRule="exact"/>
        <w:rPr>
          <w:rFonts w:ascii="宋体" w:hAnsi="宋体"/>
          <w:color w:val="auto"/>
          <w:szCs w:val="21"/>
          <w:highlight w:val="none"/>
          <w:u w:val="single"/>
        </w:rPr>
      </w:pPr>
      <w:r>
        <w:rPr>
          <w:rFonts w:hint="eastAsia" w:ascii="宋体" w:hAnsi="宋体"/>
          <w:color w:val="auto"/>
          <w:szCs w:val="21"/>
          <w:highlight w:val="none"/>
        </w:rPr>
        <w:t>日   期：</w:t>
      </w:r>
    </w:p>
    <w:p w14:paraId="6C2EEC8B">
      <w:pPr>
        <w:rPr>
          <w:rFonts w:ascii="宋体" w:hAnsi="宋体"/>
          <w:b/>
          <w:color w:val="auto"/>
          <w:szCs w:val="21"/>
          <w:highlight w:val="none"/>
        </w:rPr>
      </w:pPr>
      <w:r>
        <w:rPr>
          <w:rFonts w:ascii="宋体" w:hAnsi="宋体"/>
          <w:b/>
          <w:color w:val="auto"/>
          <w:szCs w:val="21"/>
          <w:highlight w:val="none"/>
        </w:rPr>
        <w:br w:type="page"/>
      </w:r>
    </w:p>
    <w:p w14:paraId="15211C47">
      <w:pPr>
        <w:spacing w:line="400" w:lineRule="exact"/>
        <w:jc w:val="left"/>
        <w:rPr>
          <w:rFonts w:ascii="宋体" w:hAnsi="宋体"/>
          <w:b/>
          <w:color w:val="auto"/>
          <w:szCs w:val="21"/>
          <w:highlight w:val="none"/>
        </w:rPr>
      </w:pPr>
    </w:p>
    <w:p w14:paraId="28CD181C">
      <w:pPr>
        <w:spacing w:line="360" w:lineRule="auto"/>
        <w:jc w:val="center"/>
        <w:rPr>
          <w:rFonts w:ascii="宋体" w:hAnsi="宋体"/>
          <w:b/>
          <w:color w:val="auto"/>
          <w:spacing w:val="20"/>
          <w:szCs w:val="21"/>
          <w:highlight w:val="none"/>
        </w:rPr>
      </w:pPr>
      <w:r>
        <w:rPr>
          <w:rFonts w:hint="eastAsia" w:ascii="宋体" w:hAnsi="宋体" w:cs="Arial"/>
          <w:b/>
          <w:color w:val="auto"/>
          <w:kern w:val="0"/>
          <w:szCs w:val="21"/>
          <w:highlight w:val="none"/>
          <w:lang w:val="en-US" w:eastAsia="zh-CN"/>
        </w:rPr>
        <w:t>10</w:t>
      </w:r>
      <w:r>
        <w:rPr>
          <w:rFonts w:hint="eastAsia" w:ascii="宋体" w:hAnsi="宋体" w:cs="Arial"/>
          <w:b/>
          <w:color w:val="auto"/>
          <w:kern w:val="0"/>
          <w:szCs w:val="21"/>
          <w:highlight w:val="none"/>
        </w:rPr>
        <w:t>.2服务人员投入计划表</w:t>
      </w:r>
    </w:p>
    <w:p w14:paraId="7080DDEB">
      <w:pPr>
        <w:spacing w:line="360" w:lineRule="auto"/>
        <w:ind w:left="540"/>
        <w:jc w:val="center"/>
        <w:rPr>
          <w:rFonts w:ascii="宋体" w:hAnsi="宋体"/>
          <w:b/>
          <w:color w:val="auto"/>
          <w:szCs w:val="21"/>
          <w:highlight w:val="none"/>
        </w:rPr>
      </w:pPr>
    </w:p>
    <w:p w14:paraId="03C2BB7E">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宁波市精神病院医院陪护服务管理外包项目</w:t>
      </w:r>
    </w:p>
    <w:p w14:paraId="4B5A7DF0">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202411328G</w:t>
      </w:r>
    </w:p>
    <w:p w14:paraId="0909A6FC">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标项号：</w:t>
      </w:r>
    </w:p>
    <w:tbl>
      <w:tblPr>
        <w:tblStyle w:val="5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55"/>
        <w:gridCol w:w="809"/>
        <w:gridCol w:w="809"/>
        <w:gridCol w:w="809"/>
        <w:gridCol w:w="809"/>
        <w:gridCol w:w="926"/>
        <w:gridCol w:w="756"/>
        <w:gridCol w:w="1513"/>
        <w:gridCol w:w="826"/>
      </w:tblGrid>
      <w:tr w14:paraId="101B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32CEFF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姓名</w:t>
            </w:r>
          </w:p>
        </w:tc>
        <w:tc>
          <w:tcPr>
            <w:tcW w:w="1355" w:type="dxa"/>
            <w:vAlign w:val="center"/>
          </w:tcPr>
          <w:p w14:paraId="2E80E1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本项目拟任岗位</w:t>
            </w:r>
          </w:p>
        </w:tc>
        <w:tc>
          <w:tcPr>
            <w:tcW w:w="809" w:type="dxa"/>
            <w:vAlign w:val="center"/>
          </w:tcPr>
          <w:p w14:paraId="10151C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性别</w:t>
            </w:r>
          </w:p>
        </w:tc>
        <w:tc>
          <w:tcPr>
            <w:tcW w:w="809" w:type="dxa"/>
            <w:vAlign w:val="center"/>
          </w:tcPr>
          <w:p w14:paraId="18731D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年龄</w:t>
            </w:r>
          </w:p>
        </w:tc>
        <w:tc>
          <w:tcPr>
            <w:tcW w:w="809" w:type="dxa"/>
            <w:vAlign w:val="center"/>
          </w:tcPr>
          <w:p w14:paraId="1148E4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学历</w:t>
            </w:r>
          </w:p>
        </w:tc>
        <w:tc>
          <w:tcPr>
            <w:tcW w:w="809" w:type="dxa"/>
            <w:vAlign w:val="center"/>
          </w:tcPr>
          <w:p w14:paraId="224B8D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专业</w:t>
            </w:r>
          </w:p>
        </w:tc>
        <w:tc>
          <w:tcPr>
            <w:tcW w:w="926" w:type="dxa"/>
            <w:vAlign w:val="center"/>
          </w:tcPr>
          <w:p w14:paraId="3BF02B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职务</w:t>
            </w:r>
          </w:p>
          <w:p w14:paraId="5A1E1F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/职称</w:t>
            </w:r>
          </w:p>
        </w:tc>
        <w:tc>
          <w:tcPr>
            <w:tcW w:w="756" w:type="dxa"/>
            <w:vAlign w:val="center"/>
          </w:tcPr>
          <w:p w14:paraId="392872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工作年限</w:t>
            </w:r>
          </w:p>
        </w:tc>
        <w:tc>
          <w:tcPr>
            <w:tcW w:w="1513" w:type="dxa"/>
            <w:vAlign w:val="center"/>
          </w:tcPr>
          <w:p w14:paraId="7645B5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经验及业绩</w:t>
            </w:r>
          </w:p>
        </w:tc>
        <w:tc>
          <w:tcPr>
            <w:tcW w:w="826" w:type="dxa"/>
            <w:vAlign w:val="center"/>
          </w:tcPr>
          <w:p w14:paraId="4DBD23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备注</w:t>
            </w:r>
          </w:p>
        </w:tc>
      </w:tr>
      <w:tr w14:paraId="7D11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26" w:type="dxa"/>
            <w:vAlign w:val="center"/>
          </w:tcPr>
          <w:p w14:paraId="60374A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200586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5488C9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10AA15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13A92F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2260F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78B8E0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0F690A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5D2B0D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0349CF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411B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2AD6B7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623D61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E91B9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54DB64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5675AE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0E8048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3A063D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7A58E9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5F0EFA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0AA55F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1362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5F4E4D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1D624C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752984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3C4638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472385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51C5E6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659782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5D4036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6A4ED9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54C438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72D3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2B93C6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4371E7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791739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3E49CC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1F17AD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758D40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4AEE9F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408925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25492D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297EB4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0928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376A76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76F7F4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1929F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F3977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70BBD7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20D01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7B6CD5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7C3180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7D002A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681377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3960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1A0FF3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0FBD29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309C77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178209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51605C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0ADC91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1D8F9D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6C40B8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0EA0DB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0A20A5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bl>
    <w:p w14:paraId="3341B891">
      <w:pPr>
        <w:spacing w:line="400" w:lineRule="exact"/>
        <w:jc w:val="left"/>
        <w:rPr>
          <w:rFonts w:ascii="宋体" w:hAnsi="宋体"/>
          <w:bCs/>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w:t>
      </w:r>
      <w:r>
        <w:rPr>
          <w:rFonts w:hint="eastAsia" w:ascii="宋体" w:hAnsi="宋体"/>
          <w:bCs/>
          <w:color w:val="auto"/>
          <w:szCs w:val="21"/>
          <w:highlight w:val="none"/>
        </w:rPr>
        <w:t>以上人员一经确认，不得随意更换，如需更换，必须征得采购人同意。擅自更换或不到位属违约行为；</w:t>
      </w:r>
    </w:p>
    <w:p w14:paraId="57D41E5C">
      <w:pPr>
        <w:spacing w:line="400" w:lineRule="exact"/>
        <w:ind w:firstLine="630" w:firstLineChars="300"/>
        <w:jc w:val="left"/>
        <w:rPr>
          <w:rFonts w:ascii="宋体" w:hAnsi="宋体" w:cs="宋体"/>
          <w:bCs/>
          <w:color w:val="auto"/>
          <w:highlight w:val="none"/>
        </w:rPr>
      </w:pPr>
      <w:r>
        <w:rPr>
          <w:rFonts w:hint="eastAsia" w:ascii="宋体" w:hAnsi="宋体" w:cs="宋体"/>
          <w:bCs/>
          <w:color w:val="auto"/>
          <w:highlight w:val="none"/>
        </w:rPr>
        <w:t>2、相关证书及证明资料后附。</w:t>
      </w:r>
    </w:p>
    <w:p w14:paraId="58ECDE2A">
      <w:pPr>
        <w:spacing w:line="400" w:lineRule="exact"/>
        <w:ind w:firstLine="632" w:firstLineChars="300"/>
        <w:jc w:val="left"/>
        <w:rPr>
          <w:rFonts w:ascii="宋体" w:hAnsi="宋体" w:cs="宋体"/>
          <w:b/>
          <w:bCs w:val="0"/>
          <w:color w:val="auto"/>
          <w:highlight w:val="none"/>
        </w:rPr>
      </w:pPr>
      <w:r>
        <w:rPr>
          <w:rFonts w:hint="eastAsia" w:ascii="宋体" w:hAnsi="宋体" w:cs="宋体"/>
          <w:b/>
          <w:bCs w:val="0"/>
          <w:color w:val="auto"/>
          <w:highlight w:val="none"/>
        </w:rPr>
        <w:t>3、提供供应商</w:t>
      </w:r>
      <w:r>
        <w:rPr>
          <w:rFonts w:hint="eastAsia" w:ascii="宋体" w:hAnsi="宋体" w:cs="宋体"/>
          <w:b/>
          <w:bCs/>
          <w:color w:val="auto"/>
          <w:kern w:val="0"/>
          <w:sz w:val="21"/>
          <w:szCs w:val="21"/>
          <w:highlight w:val="none"/>
          <w:lang w:val="en-US" w:eastAsia="zh-CN"/>
        </w:rPr>
        <w:t>开标前近三个</w:t>
      </w:r>
      <w:r>
        <w:rPr>
          <w:rFonts w:hint="eastAsia" w:ascii="宋体" w:hAnsi="宋体" w:eastAsia="宋体" w:cs="宋体"/>
          <w:b/>
          <w:bCs/>
          <w:color w:val="auto"/>
          <w:kern w:val="0"/>
          <w:sz w:val="21"/>
          <w:szCs w:val="21"/>
          <w:highlight w:val="none"/>
          <w:lang w:val="en-US"/>
        </w:rPr>
        <w:t>月</w:t>
      </w:r>
      <w:r>
        <w:rPr>
          <w:rFonts w:hint="eastAsia" w:ascii="宋体" w:hAnsi="宋体" w:cs="宋体"/>
          <w:b/>
          <w:bCs w:val="0"/>
          <w:color w:val="auto"/>
          <w:szCs w:val="21"/>
          <w:highlight w:val="none"/>
        </w:rPr>
        <w:t>为上述人员缴纳社保的证明资料</w:t>
      </w:r>
      <w:r>
        <w:rPr>
          <w:rFonts w:hint="eastAsia" w:ascii="宋体" w:hAnsi="宋体" w:cs="宋体"/>
          <w:b/>
          <w:bCs w:val="0"/>
          <w:color w:val="auto"/>
          <w:highlight w:val="none"/>
        </w:rPr>
        <w:t>。</w:t>
      </w:r>
    </w:p>
    <w:p w14:paraId="43E5F306">
      <w:pPr>
        <w:spacing w:line="360" w:lineRule="auto"/>
        <w:jc w:val="left"/>
        <w:rPr>
          <w:rFonts w:ascii="宋体" w:hAnsi="宋体"/>
          <w:color w:val="auto"/>
          <w:szCs w:val="21"/>
          <w:highlight w:val="none"/>
        </w:rPr>
      </w:pPr>
    </w:p>
    <w:p w14:paraId="72085DF0">
      <w:pPr>
        <w:spacing w:line="360" w:lineRule="auto"/>
        <w:jc w:val="left"/>
        <w:rPr>
          <w:rFonts w:ascii="宋体" w:hAnsi="宋体"/>
          <w:color w:val="auto"/>
          <w:szCs w:val="21"/>
          <w:highlight w:val="none"/>
        </w:rPr>
      </w:pPr>
      <w:r>
        <w:rPr>
          <w:rFonts w:hint="eastAsia" w:ascii="宋体" w:hAnsi="宋体"/>
          <w:color w:val="auto"/>
          <w:szCs w:val="21"/>
          <w:highlight w:val="none"/>
        </w:rPr>
        <w:t>供应商（盖章）：</w:t>
      </w:r>
    </w:p>
    <w:p w14:paraId="1FD37ED6">
      <w:pPr>
        <w:spacing w:line="360" w:lineRule="auto"/>
        <w:rPr>
          <w:rFonts w:ascii="宋体" w:hAnsi="宋体"/>
          <w:color w:val="auto"/>
          <w:szCs w:val="21"/>
          <w:highlight w:val="none"/>
        </w:rPr>
      </w:pPr>
    </w:p>
    <w:p w14:paraId="45CBFB9A">
      <w:pPr>
        <w:spacing w:line="360" w:lineRule="auto"/>
        <w:rPr>
          <w:rFonts w:ascii="宋体" w:hAnsi="宋体"/>
          <w:color w:val="auto"/>
          <w:szCs w:val="21"/>
          <w:highlight w:val="none"/>
        </w:rPr>
      </w:pPr>
      <w:r>
        <w:rPr>
          <w:rFonts w:hint="eastAsia" w:ascii="宋体" w:hAnsi="宋体"/>
          <w:color w:val="auto"/>
          <w:szCs w:val="21"/>
          <w:highlight w:val="none"/>
        </w:rPr>
        <w:t>日            期：</w:t>
      </w:r>
    </w:p>
    <w:p w14:paraId="741A3DFD">
      <w:pPr>
        <w:rPr>
          <w:color w:val="auto"/>
          <w:highlight w:val="none"/>
        </w:rPr>
      </w:pPr>
    </w:p>
    <w:p w14:paraId="54B2121A">
      <w:pPr>
        <w:pStyle w:val="2"/>
        <w:ind w:firstLine="240"/>
        <w:rPr>
          <w:color w:val="auto"/>
          <w:highlight w:val="none"/>
        </w:rPr>
      </w:pPr>
    </w:p>
    <w:p w14:paraId="0EFAEF61">
      <w:pPr>
        <w:pStyle w:val="2"/>
        <w:ind w:firstLine="240"/>
        <w:rPr>
          <w:color w:val="auto"/>
          <w:highlight w:val="none"/>
        </w:rPr>
        <w:sectPr>
          <w:headerReference r:id="rId12" w:type="default"/>
          <w:footerReference r:id="rId13" w:type="default"/>
          <w:pgSz w:w="11907" w:h="16840"/>
          <w:pgMar w:top="1138" w:right="1308" w:bottom="1423" w:left="1379" w:header="285" w:footer="990" w:gutter="0"/>
          <w:pgBorders>
            <w:top w:val="none" w:sz="0" w:space="0"/>
            <w:left w:val="none" w:sz="0" w:space="0"/>
            <w:bottom w:val="none" w:sz="0" w:space="0"/>
            <w:right w:val="none" w:sz="0" w:space="0"/>
          </w:pgBorders>
          <w:cols w:space="720" w:num="1"/>
          <w:docGrid w:linePitch="285" w:charSpace="0"/>
        </w:sectPr>
      </w:pPr>
    </w:p>
    <w:p w14:paraId="7DB4D1F7">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相关</w:t>
      </w:r>
      <w:r>
        <w:rPr>
          <w:rFonts w:hint="eastAsia" w:ascii="宋体" w:hAnsi="宋体"/>
          <w:b/>
          <w:color w:val="auto"/>
          <w:szCs w:val="21"/>
          <w:highlight w:val="none"/>
        </w:rPr>
        <w:t>证书情况表</w:t>
      </w:r>
    </w:p>
    <w:p w14:paraId="7D4091B2">
      <w:pPr>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宁波市精神病院医院陪护服务管理外包项目</w:t>
      </w:r>
    </w:p>
    <w:p w14:paraId="595FCDC1">
      <w:pPr>
        <w:adjustRightInd w:val="0"/>
        <w:snapToGrid w:val="0"/>
        <w:spacing w:line="40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202411328G</w:t>
      </w:r>
    </w:p>
    <w:p w14:paraId="53B85128">
      <w:pPr>
        <w:adjustRightInd w:val="0"/>
        <w:snapToGrid w:val="0"/>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标项号：</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957"/>
        <w:gridCol w:w="1649"/>
        <w:gridCol w:w="1614"/>
        <w:gridCol w:w="1697"/>
        <w:gridCol w:w="1697"/>
      </w:tblGrid>
      <w:tr w14:paraId="7B30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pct"/>
            <w:vAlign w:val="center"/>
          </w:tcPr>
          <w:p w14:paraId="226C4F68">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020" w:type="pct"/>
            <w:vAlign w:val="center"/>
          </w:tcPr>
          <w:p w14:paraId="500153B2">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证书名称</w:t>
            </w:r>
          </w:p>
        </w:tc>
        <w:tc>
          <w:tcPr>
            <w:tcW w:w="859" w:type="pct"/>
            <w:vAlign w:val="center"/>
          </w:tcPr>
          <w:p w14:paraId="261CA32F">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颁证机构</w:t>
            </w:r>
          </w:p>
        </w:tc>
        <w:tc>
          <w:tcPr>
            <w:tcW w:w="841" w:type="pct"/>
            <w:vAlign w:val="center"/>
          </w:tcPr>
          <w:p w14:paraId="3A0198C2">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证书有效期</w:t>
            </w:r>
          </w:p>
          <w:p w14:paraId="3B2C7F19">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（起止年月）</w:t>
            </w:r>
          </w:p>
        </w:tc>
        <w:tc>
          <w:tcPr>
            <w:tcW w:w="884" w:type="pct"/>
            <w:vAlign w:val="center"/>
          </w:tcPr>
          <w:p w14:paraId="76C3E9E2">
            <w:pPr>
              <w:spacing w:line="400" w:lineRule="exact"/>
              <w:jc w:val="center"/>
              <w:rPr>
                <w:rFonts w:ascii="宋体" w:hAnsi="宋体"/>
                <w:b/>
                <w:color w:val="auto"/>
                <w:szCs w:val="21"/>
                <w:highlight w:val="none"/>
              </w:rPr>
            </w:pPr>
            <w:r>
              <w:rPr>
                <w:rFonts w:hint="eastAsia" w:ascii="宋体" w:hAnsi="宋体"/>
                <w:b/>
                <w:color w:val="auto"/>
                <w:szCs w:val="21"/>
                <w:highlight w:val="none"/>
              </w:rPr>
              <w:t>证书复印件所在页码</w:t>
            </w:r>
          </w:p>
        </w:tc>
        <w:tc>
          <w:tcPr>
            <w:tcW w:w="884" w:type="pct"/>
            <w:vAlign w:val="center"/>
          </w:tcPr>
          <w:p w14:paraId="30C864D5">
            <w:pPr>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2662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pct"/>
            <w:vAlign w:val="center"/>
          </w:tcPr>
          <w:p w14:paraId="0EB10560">
            <w:pPr>
              <w:adjustRightInd w:val="0"/>
              <w:snapToGrid w:val="0"/>
              <w:spacing w:line="400" w:lineRule="exact"/>
              <w:jc w:val="center"/>
              <w:rPr>
                <w:rFonts w:ascii="宋体" w:hAnsi="宋体"/>
                <w:b/>
                <w:color w:val="auto"/>
                <w:szCs w:val="21"/>
                <w:highlight w:val="none"/>
              </w:rPr>
            </w:pPr>
          </w:p>
        </w:tc>
        <w:tc>
          <w:tcPr>
            <w:tcW w:w="1020" w:type="pct"/>
            <w:vAlign w:val="center"/>
          </w:tcPr>
          <w:p w14:paraId="683C5E46">
            <w:pPr>
              <w:adjustRightInd w:val="0"/>
              <w:snapToGrid w:val="0"/>
              <w:spacing w:line="400" w:lineRule="exact"/>
              <w:jc w:val="center"/>
              <w:rPr>
                <w:rFonts w:ascii="宋体" w:hAnsi="宋体"/>
                <w:b/>
                <w:color w:val="auto"/>
                <w:szCs w:val="21"/>
                <w:highlight w:val="none"/>
              </w:rPr>
            </w:pPr>
          </w:p>
        </w:tc>
        <w:tc>
          <w:tcPr>
            <w:tcW w:w="859" w:type="pct"/>
            <w:vAlign w:val="center"/>
          </w:tcPr>
          <w:p w14:paraId="57040470">
            <w:pPr>
              <w:adjustRightInd w:val="0"/>
              <w:snapToGrid w:val="0"/>
              <w:spacing w:line="400" w:lineRule="exact"/>
              <w:jc w:val="center"/>
              <w:rPr>
                <w:rFonts w:ascii="宋体" w:hAnsi="宋体"/>
                <w:b/>
                <w:color w:val="auto"/>
                <w:szCs w:val="21"/>
                <w:highlight w:val="none"/>
              </w:rPr>
            </w:pPr>
          </w:p>
        </w:tc>
        <w:tc>
          <w:tcPr>
            <w:tcW w:w="841" w:type="pct"/>
            <w:vAlign w:val="center"/>
          </w:tcPr>
          <w:p w14:paraId="5595F2DB">
            <w:pPr>
              <w:adjustRightInd w:val="0"/>
              <w:snapToGrid w:val="0"/>
              <w:spacing w:line="400" w:lineRule="exact"/>
              <w:jc w:val="center"/>
              <w:rPr>
                <w:rFonts w:ascii="宋体" w:hAnsi="宋体"/>
                <w:b/>
                <w:color w:val="auto"/>
                <w:szCs w:val="21"/>
                <w:highlight w:val="none"/>
              </w:rPr>
            </w:pPr>
          </w:p>
        </w:tc>
        <w:tc>
          <w:tcPr>
            <w:tcW w:w="884" w:type="pct"/>
            <w:vAlign w:val="center"/>
          </w:tcPr>
          <w:p w14:paraId="4FFD4326">
            <w:pPr>
              <w:adjustRightInd w:val="0"/>
              <w:snapToGrid w:val="0"/>
              <w:spacing w:line="400" w:lineRule="exact"/>
              <w:jc w:val="center"/>
              <w:rPr>
                <w:rFonts w:ascii="宋体" w:hAnsi="宋体"/>
                <w:b/>
                <w:color w:val="auto"/>
                <w:szCs w:val="21"/>
                <w:highlight w:val="none"/>
              </w:rPr>
            </w:pPr>
          </w:p>
        </w:tc>
        <w:tc>
          <w:tcPr>
            <w:tcW w:w="884" w:type="pct"/>
            <w:vAlign w:val="center"/>
          </w:tcPr>
          <w:p w14:paraId="706B91BE">
            <w:pPr>
              <w:adjustRightInd w:val="0"/>
              <w:snapToGrid w:val="0"/>
              <w:spacing w:line="400" w:lineRule="exact"/>
              <w:jc w:val="center"/>
              <w:rPr>
                <w:rFonts w:ascii="宋体" w:hAnsi="宋体"/>
                <w:b/>
                <w:color w:val="auto"/>
                <w:szCs w:val="21"/>
                <w:highlight w:val="none"/>
              </w:rPr>
            </w:pPr>
          </w:p>
        </w:tc>
      </w:tr>
      <w:tr w14:paraId="53AE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pct"/>
            <w:vAlign w:val="center"/>
          </w:tcPr>
          <w:p w14:paraId="77D47464">
            <w:pPr>
              <w:adjustRightInd w:val="0"/>
              <w:snapToGrid w:val="0"/>
              <w:spacing w:line="400" w:lineRule="exact"/>
              <w:jc w:val="center"/>
              <w:rPr>
                <w:rFonts w:ascii="宋体" w:hAnsi="宋体"/>
                <w:b/>
                <w:color w:val="auto"/>
                <w:szCs w:val="21"/>
                <w:highlight w:val="none"/>
              </w:rPr>
            </w:pPr>
          </w:p>
        </w:tc>
        <w:tc>
          <w:tcPr>
            <w:tcW w:w="1020" w:type="pct"/>
            <w:vAlign w:val="center"/>
          </w:tcPr>
          <w:p w14:paraId="29070617">
            <w:pPr>
              <w:adjustRightInd w:val="0"/>
              <w:snapToGrid w:val="0"/>
              <w:spacing w:line="400" w:lineRule="exact"/>
              <w:jc w:val="center"/>
              <w:rPr>
                <w:rFonts w:ascii="宋体" w:hAnsi="宋体"/>
                <w:b/>
                <w:color w:val="auto"/>
                <w:szCs w:val="21"/>
                <w:highlight w:val="none"/>
              </w:rPr>
            </w:pPr>
          </w:p>
        </w:tc>
        <w:tc>
          <w:tcPr>
            <w:tcW w:w="859" w:type="pct"/>
            <w:vAlign w:val="center"/>
          </w:tcPr>
          <w:p w14:paraId="2F6EBBF4">
            <w:pPr>
              <w:adjustRightInd w:val="0"/>
              <w:snapToGrid w:val="0"/>
              <w:spacing w:line="400" w:lineRule="exact"/>
              <w:jc w:val="center"/>
              <w:rPr>
                <w:rFonts w:ascii="宋体" w:hAnsi="宋体"/>
                <w:b/>
                <w:color w:val="auto"/>
                <w:szCs w:val="21"/>
                <w:highlight w:val="none"/>
              </w:rPr>
            </w:pPr>
          </w:p>
        </w:tc>
        <w:tc>
          <w:tcPr>
            <w:tcW w:w="841" w:type="pct"/>
            <w:vAlign w:val="center"/>
          </w:tcPr>
          <w:p w14:paraId="7ED2755F">
            <w:pPr>
              <w:adjustRightInd w:val="0"/>
              <w:snapToGrid w:val="0"/>
              <w:spacing w:line="400" w:lineRule="exact"/>
              <w:jc w:val="center"/>
              <w:rPr>
                <w:rFonts w:ascii="宋体" w:hAnsi="宋体"/>
                <w:b/>
                <w:color w:val="auto"/>
                <w:szCs w:val="21"/>
                <w:highlight w:val="none"/>
              </w:rPr>
            </w:pPr>
          </w:p>
        </w:tc>
        <w:tc>
          <w:tcPr>
            <w:tcW w:w="884" w:type="pct"/>
            <w:vAlign w:val="center"/>
          </w:tcPr>
          <w:p w14:paraId="0AE39BD2">
            <w:pPr>
              <w:adjustRightInd w:val="0"/>
              <w:snapToGrid w:val="0"/>
              <w:spacing w:line="400" w:lineRule="exact"/>
              <w:jc w:val="center"/>
              <w:rPr>
                <w:rFonts w:ascii="宋体" w:hAnsi="宋体"/>
                <w:b/>
                <w:color w:val="auto"/>
                <w:szCs w:val="21"/>
                <w:highlight w:val="none"/>
              </w:rPr>
            </w:pPr>
          </w:p>
        </w:tc>
        <w:tc>
          <w:tcPr>
            <w:tcW w:w="884" w:type="pct"/>
            <w:vAlign w:val="center"/>
          </w:tcPr>
          <w:p w14:paraId="56B76FDF">
            <w:pPr>
              <w:adjustRightInd w:val="0"/>
              <w:snapToGrid w:val="0"/>
              <w:spacing w:line="400" w:lineRule="exact"/>
              <w:jc w:val="center"/>
              <w:rPr>
                <w:rFonts w:ascii="宋体" w:hAnsi="宋体"/>
                <w:b/>
                <w:color w:val="auto"/>
                <w:szCs w:val="21"/>
                <w:highlight w:val="none"/>
              </w:rPr>
            </w:pPr>
          </w:p>
        </w:tc>
      </w:tr>
      <w:tr w14:paraId="1206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pct"/>
            <w:vAlign w:val="center"/>
          </w:tcPr>
          <w:p w14:paraId="17ED9815">
            <w:pPr>
              <w:adjustRightInd w:val="0"/>
              <w:snapToGrid w:val="0"/>
              <w:spacing w:line="400" w:lineRule="exact"/>
              <w:jc w:val="center"/>
              <w:rPr>
                <w:rFonts w:ascii="宋体" w:hAnsi="宋体"/>
                <w:b/>
                <w:color w:val="auto"/>
                <w:szCs w:val="21"/>
                <w:highlight w:val="none"/>
              </w:rPr>
            </w:pPr>
          </w:p>
        </w:tc>
        <w:tc>
          <w:tcPr>
            <w:tcW w:w="1020" w:type="pct"/>
            <w:vAlign w:val="center"/>
          </w:tcPr>
          <w:p w14:paraId="68289904">
            <w:pPr>
              <w:adjustRightInd w:val="0"/>
              <w:snapToGrid w:val="0"/>
              <w:spacing w:line="400" w:lineRule="exact"/>
              <w:jc w:val="center"/>
              <w:rPr>
                <w:rFonts w:ascii="宋体" w:hAnsi="宋体"/>
                <w:b/>
                <w:color w:val="auto"/>
                <w:szCs w:val="21"/>
                <w:highlight w:val="none"/>
              </w:rPr>
            </w:pPr>
          </w:p>
        </w:tc>
        <w:tc>
          <w:tcPr>
            <w:tcW w:w="859" w:type="pct"/>
            <w:vAlign w:val="center"/>
          </w:tcPr>
          <w:p w14:paraId="408B46F4">
            <w:pPr>
              <w:adjustRightInd w:val="0"/>
              <w:snapToGrid w:val="0"/>
              <w:spacing w:line="400" w:lineRule="exact"/>
              <w:jc w:val="center"/>
              <w:rPr>
                <w:rFonts w:ascii="宋体" w:hAnsi="宋体"/>
                <w:b/>
                <w:color w:val="auto"/>
                <w:szCs w:val="21"/>
                <w:highlight w:val="none"/>
              </w:rPr>
            </w:pPr>
          </w:p>
        </w:tc>
        <w:tc>
          <w:tcPr>
            <w:tcW w:w="841" w:type="pct"/>
            <w:vAlign w:val="center"/>
          </w:tcPr>
          <w:p w14:paraId="4907519B">
            <w:pPr>
              <w:adjustRightInd w:val="0"/>
              <w:snapToGrid w:val="0"/>
              <w:spacing w:line="400" w:lineRule="exact"/>
              <w:jc w:val="center"/>
              <w:rPr>
                <w:rFonts w:ascii="宋体" w:hAnsi="宋体"/>
                <w:b/>
                <w:color w:val="auto"/>
                <w:szCs w:val="21"/>
                <w:highlight w:val="none"/>
              </w:rPr>
            </w:pPr>
          </w:p>
        </w:tc>
        <w:tc>
          <w:tcPr>
            <w:tcW w:w="884" w:type="pct"/>
            <w:vAlign w:val="center"/>
          </w:tcPr>
          <w:p w14:paraId="2B567342">
            <w:pPr>
              <w:adjustRightInd w:val="0"/>
              <w:snapToGrid w:val="0"/>
              <w:spacing w:line="400" w:lineRule="exact"/>
              <w:jc w:val="center"/>
              <w:rPr>
                <w:rFonts w:ascii="宋体" w:hAnsi="宋体"/>
                <w:b/>
                <w:color w:val="auto"/>
                <w:szCs w:val="21"/>
                <w:highlight w:val="none"/>
              </w:rPr>
            </w:pPr>
          </w:p>
        </w:tc>
        <w:tc>
          <w:tcPr>
            <w:tcW w:w="884" w:type="pct"/>
            <w:vAlign w:val="center"/>
          </w:tcPr>
          <w:p w14:paraId="30F543D7">
            <w:pPr>
              <w:adjustRightInd w:val="0"/>
              <w:snapToGrid w:val="0"/>
              <w:spacing w:line="400" w:lineRule="exact"/>
              <w:jc w:val="center"/>
              <w:rPr>
                <w:rFonts w:ascii="宋体" w:hAnsi="宋体"/>
                <w:b/>
                <w:color w:val="auto"/>
                <w:szCs w:val="21"/>
                <w:highlight w:val="none"/>
              </w:rPr>
            </w:pPr>
          </w:p>
        </w:tc>
      </w:tr>
    </w:tbl>
    <w:p w14:paraId="3E4A03B8">
      <w:pPr>
        <w:spacing w:line="400" w:lineRule="exact"/>
        <w:rPr>
          <w:rFonts w:ascii="宋体" w:hAnsi="宋体"/>
          <w:b/>
          <w:bCs/>
          <w:color w:val="auto"/>
          <w:szCs w:val="21"/>
          <w:highlight w:val="none"/>
        </w:rPr>
      </w:pPr>
      <w:r>
        <w:rPr>
          <w:rFonts w:hint="eastAsia" w:ascii="宋体" w:hAnsi="宋体"/>
          <w:b/>
          <w:bCs/>
          <w:color w:val="auto"/>
          <w:szCs w:val="21"/>
          <w:highlight w:val="none"/>
        </w:rPr>
        <w:t>注：后附证书复印件加盖供应商公章。</w:t>
      </w:r>
    </w:p>
    <w:p w14:paraId="41BA5CD3">
      <w:pPr>
        <w:spacing w:line="400" w:lineRule="exact"/>
        <w:rPr>
          <w:rFonts w:ascii="宋体" w:hAnsi="宋体"/>
          <w:b/>
          <w:bCs/>
          <w:color w:val="auto"/>
          <w:szCs w:val="21"/>
          <w:highlight w:val="none"/>
        </w:rPr>
      </w:pPr>
    </w:p>
    <w:p w14:paraId="64CFC4AC">
      <w:pPr>
        <w:spacing w:line="400" w:lineRule="exact"/>
        <w:rPr>
          <w:rFonts w:ascii="宋体" w:hAnsi="宋体"/>
          <w:b/>
          <w:bCs/>
          <w:color w:val="auto"/>
          <w:szCs w:val="21"/>
          <w:highlight w:val="none"/>
        </w:rPr>
      </w:pPr>
    </w:p>
    <w:p w14:paraId="2E3D6C95">
      <w:pPr>
        <w:spacing w:line="400" w:lineRule="exact"/>
        <w:rPr>
          <w:rFonts w:ascii="宋体" w:hAnsi="宋体"/>
          <w:b/>
          <w:bCs/>
          <w:color w:val="auto"/>
          <w:szCs w:val="21"/>
          <w:highlight w:val="none"/>
        </w:rPr>
      </w:pPr>
    </w:p>
    <w:p w14:paraId="4DD2D4B1">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AAAF7FE">
      <w:pPr>
        <w:spacing w:line="400" w:lineRule="exact"/>
        <w:jc w:val="left"/>
        <w:rPr>
          <w:rFonts w:ascii="宋体" w:hAnsi="宋体"/>
          <w:color w:val="auto"/>
          <w:szCs w:val="21"/>
          <w:highlight w:val="none"/>
        </w:rPr>
      </w:pPr>
    </w:p>
    <w:p w14:paraId="26D7674C">
      <w:pPr>
        <w:spacing w:line="400" w:lineRule="exact"/>
        <w:jc w:val="lef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6AD83D3">
      <w:pPr>
        <w:rPr>
          <w:rFonts w:ascii="宋体" w:hAnsi="宋体"/>
          <w:b/>
          <w:color w:val="auto"/>
          <w:szCs w:val="21"/>
          <w:highlight w:val="none"/>
        </w:rPr>
      </w:pPr>
      <w:r>
        <w:rPr>
          <w:rFonts w:hint="eastAsia" w:ascii="宋体" w:hAnsi="宋体"/>
          <w:b/>
          <w:color w:val="auto"/>
          <w:szCs w:val="21"/>
          <w:highlight w:val="none"/>
        </w:rPr>
        <w:br w:type="page"/>
      </w:r>
    </w:p>
    <w:p w14:paraId="796AEFFA">
      <w:pPr>
        <w:spacing w:line="400" w:lineRule="exact"/>
        <w:jc w:val="center"/>
        <w:rPr>
          <w:rFonts w:ascii="宋体" w:hAnsi="宋体"/>
          <w:b/>
          <w:bCs/>
          <w:color w:val="auto"/>
          <w:szCs w:val="21"/>
          <w:highlight w:val="none"/>
        </w:rPr>
      </w:pPr>
      <w:r>
        <w:rPr>
          <w:rFonts w:hint="eastAsia" w:ascii="宋体" w:hAnsi="宋体"/>
          <w:b/>
          <w:color w:val="auto"/>
          <w:szCs w:val="21"/>
          <w:highlight w:val="none"/>
        </w:rPr>
        <w:t>业绩表</w:t>
      </w:r>
    </w:p>
    <w:p w14:paraId="6A760D00">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宁波市精神病院医院陪护服务管理外包项目</w:t>
      </w:r>
    </w:p>
    <w:p w14:paraId="6B36CBE6">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202411328G</w:t>
      </w:r>
    </w:p>
    <w:p w14:paraId="314115C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标项号：</w:t>
      </w:r>
    </w:p>
    <w:p w14:paraId="7CBCBE37">
      <w:pPr>
        <w:spacing w:line="400" w:lineRule="exact"/>
        <w:jc w:val="center"/>
        <w:rPr>
          <w:rFonts w:ascii="宋体" w:hAnsi="宋体"/>
          <w:b/>
          <w:color w:val="auto"/>
          <w:szCs w:val="21"/>
          <w:highlight w:val="none"/>
        </w:rPr>
      </w:pPr>
    </w:p>
    <w:tbl>
      <w:tblPr>
        <w:tblStyle w:val="5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14:paraId="2EB9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22" w:type="dxa"/>
            <w:noWrap/>
            <w:vAlign w:val="center"/>
          </w:tcPr>
          <w:p w14:paraId="6D21AF65">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876" w:type="dxa"/>
            <w:noWrap/>
            <w:vAlign w:val="center"/>
          </w:tcPr>
          <w:p w14:paraId="7668BD7A">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用户单位</w:t>
            </w:r>
          </w:p>
        </w:tc>
        <w:tc>
          <w:tcPr>
            <w:tcW w:w="1439" w:type="dxa"/>
            <w:noWrap/>
            <w:vAlign w:val="center"/>
          </w:tcPr>
          <w:p w14:paraId="58578E7F">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合同内容</w:t>
            </w:r>
          </w:p>
        </w:tc>
        <w:tc>
          <w:tcPr>
            <w:tcW w:w="1870" w:type="dxa"/>
            <w:noWrap/>
            <w:vAlign w:val="center"/>
          </w:tcPr>
          <w:p w14:paraId="0946D061">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签订合同时间</w:t>
            </w:r>
          </w:p>
        </w:tc>
        <w:tc>
          <w:tcPr>
            <w:tcW w:w="1078" w:type="dxa"/>
            <w:noWrap/>
            <w:vAlign w:val="center"/>
          </w:tcPr>
          <w:p w14:paraId="3E78138D">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联系人及方式</w:t>
            </w:r>
          </w:p>
        </w:tc>
        <w:tc>
          <w:tcPr>
            <w:tcW w:w="2253" w:type="dxa"/>
            <w:noWrap/>
            <w:vAlign w:val="center"/>
          </w:tcPr>
          <w:p w14:paraId="1A939ED9">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合同扫描件所在页码</w:t>
            </w:r>
          </w:p>
        </w:tc>
      </w:tr>
      <w:tr w14:paraId="38FB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14:paraId="6BF62D9E">
            <w:pPr>
              <w:adjustRightInd w:val="0"/>
              <w:snapToGrid w:val="0"/>
              <w:spacing w:line="400" w:lineRule="exact"/>
              <w:jc w:val="center"/>
              <w:rPr>
                <w:rFonts w:ascii="宋体" w:hAnsi="宋体"/>
                <w:b/>
                <w:color w:val="auto"/>
                <w:szCs w:val="21"/>
                <w:highlight w:val="none"/>
              </w:rPr>
            </w:pPr>
          </w:p>
        </w:tc>
        <w:tc>
          <w:tcPr>
            <w:tcW w:w="1876" w:type="dxa"/>
            <w:noWrap/>
            <w:vAlign w:val="center"/>
          </w:tcPr>
          <w:p w14:paraId="7A3CB71C">
            <w:pPr>
              <w:adjustRightInd w:val="0"/>
              <w:snapToGrid w:val="0"/>
              <w:spacing w:line="400" w:lineRule="exact"/>
              <w:jc w:val="center"/>
              <w:rPr>
                <w:rFonts w:ascii="宋体" w:hAnsi="宋体"/>
                <w:b/>
                <w:color w:val="auto"/>
                <w:szCs w:val="21"/>
                <w:highlight w:val="none"/>
              </w:rPr>
            </w:pPr>
          </w:p>
        </w:tc>
        <w:tc>
          <w:tcPr>
            <w:tcW w:w="1439" w:type="dxa"/>
            <w:noWrap/>
            <w:vAlign w:val="center"/>
          </w:tcPr>
          <w:p w14:paraId="57E16B93">
            <w:pPr>
              <w:adjustRightInd w:val="0"/>
              <w:snapToGrid w:val="0"/>
              <w:spacing w:line="400" w:lineRule="exact"/>
              <w:jc w:val="center"/>
              <w:rPr>
                <w:rFonts w:ascii="宋体" w:hAnsi="宋体"/>
                <w:b/>
                <w:color w:val="auto"/>
                <w:szCs w:val="21"/>
                <w:highlight w:val="none"/>
              </w:rPr>
            </w:pPr>
          </w:p>
        </w:tc>
        <w:tc>
          <w:tcPr>
            <w:tcW w:w="1870" w:type="dxa"/>
            <w:noWrap/>
            <w:vAlign w:val="center"/>
          </w:tcPr>
          <w:p w14:paraId="74CB6A7A">
            <w:pPr>
              <w:adjustRightInd w:val="0"/>
              <w:snapToGrid w:val="0"/>
              <w:spacing w:line="400" w:lineRule="exact"/>
              <w:jc w:val="center"/>
              <w:rPr>
                <w:rFonts w:ascii="宋体" w:hAnsi="宋体"/>
                <w:b/>
                <w:color w:val="auto"/>
                <w:szCs w:val="21"/>
                <w:highlight w:val="none"/>
              </w:rPr>
            </w:pPr>
          </w:p>
        </w:tc>
        <w:tc>
          <w:tcPr>
            <w:tcW w:w="1078" w:type="dxa"/>
            <w:noWrap/>
            <w:vAlign w:val="center"/>
          </w:tcPr>
          <w:p w14:paraId="4175B3C9">
            <w:pPr>
              <w:adjustRightInd w:val="0"/>
              <w:snapToGrid w:val="0"/>
              <w:spacing w:line="400" w:lineRule="exact"/>
              <w:jc w:val="center"/>
              <w:rPr>
                <w:rFonts w:ascii="宋体" w:hAnsi="宋体"/>
                <w:b/>
                <w:color w:val="auto"/>
                <w:szCs w:val="21"/>
                <w:highlight w:val="none"/>
              </w:rPr>
            </w:pPr>
          </w:p>
        </w:tc>
        <w:tc>
          <w:tcPr>
            <w:tcW w:w="2253" w:type="dxa"/>
            <w:noWrap/>
            <w:vAlign w:val="center"/>
          </w:tcPr>
          <w:p w14:paraId="32B1526A">
            <w:pPr>
              <w:adjustRightInd w:val="0"/>
              <w:snapToGrid w:val="0"/>
              <w:spacing w:line="400" w:lineRule="exact"/>
              <w:jc w:val="center"/>
              <w:rPr>
                <w:rFonts w:ascii="宋体" w:hAnsi="宋体"/>
                <w:b/>
                <w:color w:val="auto"/>
                <w:szCs w:val="21"/>
                <w:highlight w:val="none"/>
              </w:rPr>
            </w:pPr>
          </w:p>
        </w:tc>
      </w:tr>
      <w:tr w14:paraId="1372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14:paraId="68963212">
            <w:pPr>
              <w:adjustRightInd w:val="0"/>
              <w:snapToGrid w:val="0"/>
              <w:spacing w:line="400" w:lineRule="exact"/>
              <w:jc w:val="center"/>
              <w:rPr>
                <w:rFonts w:ascii="宋体" w:hAnsi="宋体"/>
                <w:b/>
                <w:color w:val="auto"/>
                <w:szCs w:val="21"/>
                <w:highlight w:val="none"/>
              </w:rPr>
            </w:pPr>
          </w:p>
        </w:tc>
        <w:tc>
          <w:tcPr>
            <w:tcW w:w="1876" w:type="dxa"/>
            <w:noWrap/>
            <w:vAlign w:val="center"/>
          </w:tcPr>
          <w:p w14:paraId="0BC7AB6A">
            <w:pPr>
              <w:adjustRightInd w:val="0"/>
              <w:snapToGrid w:val="0"/>
              <w:spacing w:line="400" w:lineRule="exact"/>
              <w:jc w:val="center"/>
              <w:rPr>
                <w:rFonts w:ascii="宋体" w:hAnsi="宋体"/>
                <w:b/>
                <w:color w:val="auto"/>
                <w:szCs w:val="21"/>
                <w:highlight w:val="none"/>
              </w:rPr>
            </w:pPr>
          </w:p>
        </w:tc>
        <w:tc>
          <w:tcPr>
            <w:tcW w:w="1439" w:type="dxa"/>
            <w:noWrap/>
            <w:vAlign w:val="center"/>
          </w:tcPr>
          <w:p w14:paraId="08E1A306">
            <w:pPr>
              <w:adjustRightInd w:val="0"/>
              <w:snapToGrid w:val="0"/>
              <w:spacing w:line="400" w:lineRule="exact"/>
              <w:jc w:val="center"/>
              <w:rPr>
                <w:rFonts w:ascii="宋体" w:hAnsi="宋体"/>
                <w:b/>
                <w:color w:val="auto"/>
                <w:szCs w:val="21"/>
                <w:highlight w:val="none"/>
              </w:rPr>
            </w:pPr>
          </w:p>
        </w:tc>
        <w:tc>
          <w:tcPr>
            <w:tcW w:w="1870" w:type="dxa"/>
            <w:noWrap/>
            <w:vAlign w:val="center"/>
          </w:tcPr>
          <w:p w14:paraId="714F1041">
            <w:pPr>
              <w:adjustRightInd w:val="0"/>
              <w:snapToGrid w:val="0"/>
              <w:spacing w:line="400" w:lineRule="exact"/>
              <w:jc w:val="center"/>
              <w:rPr>
                <w:rFonts w:ascii="宋体" w:hAnsi="宋体"/>
                <w:b/>
                <w:color w:val="auto"/>
                <w:szCs w:val="21"/>
                <w:highlight w:val="none"/>
              </w:rPr>
            </w:pPr>
          </w:p>
        </w:tc>
        <w:tc>
          <w:tcPr>
            <w:tcW w:w="1078" w:type="dxa"/>
            <w:noWrap/>
            <w:vAlign w:val="center"/>
          </w:tcPr>
          <w:p w14:paraId="6E10F7E7">
            <w:pPr>
              <w:adjustRightInd w:val="0"/>
              <w:snapToGrid w:val="0"/>
              <w:spacing w:line="400" w:lineRule="exact"/>
              <w:jc w:val="center"/>
              <w:rPr>
                <w:rFonts w:ascii="宋体" w:hAnsi="宋体"/>
                <w:b/>
                <w:color w:val="auto"/>
                <w:szCs w:val="21"/>
                <w:highlight w:val="none"/>
              </w:rPr>
            </w:pPr>
          </w:p>
        </w:tc>
        <w:tc>
          <w:tcPr>
            <w:tcW w:w="2253" w:type="dxa"/>
            <w:noWrap/>
            <w:vAlign w:val="center"/>
          </w:tcPr>
          <w:p w14:paraId="7F5B5E0E">
            <w:pPr>
              <w:adjustRightInd w:val="0"/>
              <w:snapToGrid w:val="0"/>
              <w:spacing w:line="400" w:lineRule="exact"/>
              <w:jc w:val="center"/>
              <w:rPr>
                <w:rFonts w:ascii="宋体" w:hAnsi="宋体"/>
                <w:b/>
                <w:color w:val="auto"/>
                <w:szCs w:val="21"/>
                <w:highlight w:val="none"/>
              </w:rPr>
            </w:pPr>
          </w:p>
        </w:tc>
      </w:tr>
    </w:tbl>
    <w:p w14:paraId="130988F0">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注：投标文件中同时提供合同扫描件加盖供应商单位公章</w:t>
      </w:r>
      <w:r>
        <w:rPr>
          <w:rFonts w:hint="eastAsia" w:ascii="宋体" w:hAnsi="宋体" w:cs="宋体"/>
          <w:b/>
          <w:bCs/>
          <w:color w:val="auto"/>
          <w:szCs w:val="21"/>
          <w:highlight w:val="none"/>
        </w:rPr>
        <w:t>。</w:t>
      </w:r>
    </w:p>
    <w:p w14:paraId="706F5D5D">
      <w:pPr>
        <w:spacing w:line="400" w:lineRule="exact"/>
        <w:jc w:val="center"/>
        <w:rPr>
          <w:rFonts w:ascii="宋体" w:hAnsi="宋体"/>
          <w:b/>
          <w:color w:val="auto"/>
          <w:szCs w:val="21"/>
          <w:highlight w:val="none"/>
        </w:rPr>
      </w:pPr>
    </w:p>
    <w:p w14:paraId="2A831298">
      <w:pPr>
        <w:spacing w:line="360" w:lineRule="auto"/>
        <w:jc w:val="left"/>
        <w:rPr>
          <w:rFonts w:ascii="宋体" w:hAnsi="宋体"/>
          <w:color w:val="auto"/>
          <w:szCs w:val="21"/>
          <w:highlight w:val="none"/>
        </w:rPr>
      </w:pPr>
    </w:p>
    <w:p w14:paraId="3811945F">
      <w:pPr>
        <w:spacing w:line="360" w:lineRule="auto"/>
        <w:jc w:val="left"/>
        <w:rPr>
          <w:rFonts w:ascii="宋体" w:hAnsi="宋体"/>
          <w:color w:val="auto"/>
          <w:szCs w:val="21"/>
          <w:highlight w:val="none"/>
        </w:rPr>
      </w:pPr>
      <w:r>
        <w:rPr>
          <w:rFonts w:hint="eastAsia" w:ascii="宋体" w:hAnsi="宋体"/>
          <w:color w:val="auto"/>
          <w:szCs w:val="21"/>
          <w:highlight w:val="none"/>
        </w:rPr>
        <w:t>供应商（盖章）：</w:t>
      </w:r>
    </w:p>
    <w:p w14:paraId="1C27FCD6">
      <w:pPr>
        <w:spacing w:line="360" w:lineRule="auto"/>
        <w:rPr>
          <w:rFonts w:ascii="宋体" w:hAnsi="宋体"/>
          <w:color w:val="auto"/>
          <w:szCs w:val="21"/>
          <w:highlight w:val="none"/>
        </w:rPr>
      </w:pPr>
    </w:p>
    <w:p w14:paraId="73C62F54">
      <w:pPr>
        <w:spacing w:line="360" w:lineRule="auto"/>
        <w:rPr>
          <w:rFonts w:ascii="宋体" w:hAnsi="宋体"/>
          <w:color w:val="auto"/>
          <w:szCs w:val="21"/>
          <w:highlight w:val="none"/>
        </w:rPr>
      </w:pPr>
      <w:r>
        <w:rPr>
          <w:rFonts w:hint="eastAsia" w:ascii="宋体" w:hAnsi="宋体"/>
          <w:color w:val="auto"/>
          <w:szCs w:val="21"/>
          <w:highlight w:val="none"/>
        </w:rPr>
        <w:t>日            期：</w:t>
      </w:r>
    </w:p>
    <w:p w14:paraId="07E4FB69">
      <w:pPr>
        <w:rPr>
          <w:rFonts w:ascii="宋体" w:hAnsi="宋体"/>
          <w:b/>
          <w:color w:val="auto"/>
          <w:szCs w:val="21"/>
          <w:highlight w:val="none"/>
        </w:rPr>
      </w:pPr>
      <w:r>
        <w:rPr>
          <w:rFonts w:hint="eastAsia" w:ascii="宋体" w:hAnsi="宋体"/>
          <w:b/>
          <w:color w:val="auto"/>
          <w:szCs w:val="21"/>
          <w:highlight w:val="none"/>
        </w:rPr>
        <w:br w:type="page"/>
      </w:r>
    </w:p>
    <w:p w14:paraId="61AF9E75">
      <w:pPr>
        <w:pStyle w:val="2"/>
        <w:ind w:firstLine="240"/>
        <w:rPr>
          <w:color w:val="auto"/>
          <w:highlight w:val="none"/>
        </w:rPr>
      </w:pPr>
    </w:p>
    <w:p w14:paraId="3B371C22">
      <w:pPr>
        <w:spacing w:line="400" w:lineRule="exact"/>
        <w:ind w:firstLine="474" w:firstLineChars="200"/>
        <w:jc w:val="left"/>
        <w:rPr>
          <w:rStyle w:val="137"/>
          <w:rFonts w:ascii="宋体" w:hAnsi="宋体"/>
          <w:color w:val="auto"/>
          <w:szCs w:val="21"/>
          <w:highlight w:val="none"/>
        </w:rPr>
      </w:pPr>
    </w:p>
    <w:p w14:paraId="6D6801D7">
      <w:pPr>
        <w:spacing w:line="400" w:lineRule="exact"/>
        <w:jc w:val="left"/>
        <w:rPr>
          <w:rStyle w:val="137"/>
          <w:rFonts w:ascii="宋体" w:hAnsi="宋体"/>
          <w:color w:val="auto"/>
          <w:sz w:val="28"/>
          <w:szCs w:val="28"/>
          <w:highlight w:val="none"/>
        </w:rPr>
      </w:pPr>
    </w:p>
    <w:p w14:paraId="1EF8898F">
      <w:pPr>
        <w:autoSpaceDE w:val="0"/>
        <w:autoSpaceDN w:val="0"/>
        <w:adjustRightInd w:val="0"/>
        <w:spacing w:beforeLines="100" w:line="400" w:lineRule="exact"/>
        <w:jc w:val="center"/>
        <w:outlineLvl w:val="0"/>
        <w:rPr>
          <w:rStyle w:val="137"/>
          <w:rFonts w:ascii="宋体" w:hAnsi="宋体"/>
          <w:color w:val="auto"/>
          <w:sz w:val="32"/>
          <w:szCs w:val="32"/>
          <w:highlight w:val="none"/>
        </w:rPr>
      </w:pPr>
      <w:bookmarkStart w:id="29" w:name="_Toc21541028"/>
      <w:bookmarkStart w:id="30" w:name="_Toc44162159"/>
      <w:bookmarkStart w:id="31" w:name="_Toc443468293"/>
      <w:bookmarkStart w:id="32" w:name="_Toc8677"/>
      <w:r>
        <w:rPr>
          <w:rStyle w:val="137"/>
          <w:rFonts w:ascii="宋体" w:hAnsi="宋体"/>
          <w:color w:val="auto"/>
          <w:sz w:val="32"/>
          <w:szCs w:val="32"/>
          <w:highlight w:val="none"/>
        </w:rPr>
        <w:t>C.</w:t>
      </w:r>
      <w:r>
        <w:rPr>
          <w:rStyle w:val="137"/>
          <w:rFonts w:hint="eastAsia" w:ascii="宋体" w:hAnsi="宋体"/>
          <w:color w:val="auto"/>
          <w:sz w:val="32"/>
          <w:szCs w:val="32"/>
          <w:highlight w:val="none"/>
        </w:rPr>
        <w:t>报价文件</w:t>
      </w:r>
      <w:bookmarkEnd w:id="29"/>
      <w:bookmarkEnd w:id="30"/>
      <w:bookmarkEnd w:id="31"/>
      <w:bookmarkEnd w:id="32"/>
    </w:p>
    <w:p w14:paraId="4C5E9235">
      <w:pPr>
        <w:autoSpaceDE w:val="0"/>
        <w:autoSpaceDN w:val="0"/>
        <w:adjustRightInd w:val="0"/>
        <w:spacing w:line="420" w:lineRule="exact"/>
        <w:rPr>
          <w:rStyle w:val="137"/>
          <w:rFonts w:ascii="宋体" w:hAnsi="宋体"/>
          <w:b w:val="0"/>
          <w:color w:val="auto"/>
          <w:highlight w:val="none"/>
          <w:lang w:val="zh-CN"/>
        </w:rPr>
      </w:pPr>
      <w:r>
        <w:rPr>
          <w:rStyle w:val="137"/>
          <w:rFonts w:ascii="宋体" w:hAnsi="宋体"/>
          <w:color w:val="auto"/>
          <w:sz w:val="32"/>
          <w:szCs w:val="32"/>
          <w:highlight w:val="none"/>
        </w:rPr>
        <w:br w:type="page"/>
      </w:r>
      <w:r>
        <w:rPr>
          <w:rStyle w:val="137"/>
          <w:rFonts w:hint="eastAsia" w:ascii="宋体" w:hAnsi="宋体"/>
          <w:color w:val="auto"/>
          <w:szCs w:val="21"/>
          <w:highlight w:val="none"/>
        </w:rPr>
        <w:t>封面</w:t>
      </w:r>
    </w:p>
    <w:p w14:paraId="65810071">
      <w:pPr>
        <w:spacing w:line="360" w:lineRule="auto"/>
        <w:ind w:firstLine="1285" w:firstLineChars="400"/>
        <w:jc w:val="right"/>
        <w:rPr>
          <w:rFonts w:ascii="宋体" w:hAnsi="宋体"/>
          <w:b/>
          <w:color w:val="auto"/>
          <w:sz w:val="32"/>
          <w:szCs w:val="32"/>
          <w:highlight w:val="none"/>
        </w:rPr>
      </w:pPr>
      <w:r>
        <w:rPr>
          <w:rFonts w:hint="eastAsia" w:ascii="宋体" w:hAnsi="宋体"/>
          <w:b/>
          <w:color w:val="auto"/>
          <w:sz w:val="32"/>
          <w:szCs w:val="32"/>
          <w:highlight w:val="none"/>
        </w:rPr>
        <w:t>正（副）本</w:t>
      </w:r>
    </w:p>
    <w:p w14:paraId="206C76AD">
      <w:pPr>
        <w:spacing w:line="360" w:lineRule="auto"/>
        <w:rPr>
          <w:rFonts w:ascii="宋体" w:hAnsi="宋体"/>
          <w:color w:val="auto"/>
          <w:sz w:val="28"/>
          <w:szCs w:val="28"/>
          <w:highlight w:val="none"/>
        </w:rPr>
      </w:pPr>
    </w:p>
    <w:p w14:paraId="085FC87D">
      <w:pPr>
        <w:spacing w:after="120" w:line="900" w:lineRule="exact"/>
        <w:jc w:val="center"/>
        <w:rPr>
          <w:rFonts w:hint="eastAsia" w:ascii="宋体" w:hAnsi="宋体" w:eastAsia="宋体"/>
          <w:b/>
          <w:color w:val="auto"/>
          <w:sz w:val="44"/>
          <w:szCs w:val="50"/>
          <w:highlight w:val="none"/>
          <w:lang w:eastAsia="zh-CN"/>
        </w:rPr>
      </w:pPr>
      <w:r>
        <w:rPr>
          <w:rFonts w:hint="eastAsia" w:ascii="宋体" w:hAnsi="宋体"/>
          <w:b/>
          <w:color w:val="auto"/>
          <w:sz w:val="44"/>
          <w:szCs w:val="50"/>
          <w:highlight w:val="none"/>
          <w:lang w:eastAsia="zh-CN"/>
        </w:rPr>
        <w:t>宁波市精神病院医院陪护服务管理外包项目</w:t>
      </w:r>
    </w:p>
    <w:p w14:paraId="1F6AF309">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采购编号：NBITC-</w:t>
      </w:r>
      <w:r>
        <w:rPr>
          <w:rFonts w:hint="eastAsia" w:ascii="宋体" w:hAnsi="宋体"/>
          <w:color w:val="auto"/>
          <w:sz w:val="36"/>
          <w:szCs w:val="36"/>
          <w:highlight w:val="none"/>
          <w:u w:val="single"/>
          <w:lang w:eastAsia="zh-CN"/>
        </w:rPr>
        <w:t>202411328G</w:t>
      </w:r>
    </w:p>
    <w:p w14:paraId="4795BB75">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标项号：（如有多个标项）</w:t>
      </w:r>
    </w:p>
    <w:p w14:paraId="5F8F53EA">
      <w:pPr>
        <w:rPr>
          <w:rFonts w:ascii="宋体" w:hAnsi="宋体"/>
          <w:color w:val="auto"/>
          <w:sz w:val="28"/>
          <w:szCs w:val="28"/>
          <w:highlight w:val="none"/>
        </w:rPr>
      </w:pPr>
    </w:p>
    <w:p w14:paraId="4B8B7F4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3C17A727">
      <w:pPr>
        <w:jc w:val="center"/>
        <w:rPr>
          <w:rFonts w:ascii="宋体" w:hAnsi="宋体"/>
          <w:color w:val="auto"/>
          <w:sz w:val="28"/>
          <w:szCs w:val="28"/>
          <w:highlight w:val="none"/>
        </w:rPr>
      </w:pPr>
    </w:p>
    <w:p w14:paraId="0767DA94">
      <w:pPr>
        <w:spacing w:line="360" w:lineRule="auto"/>
        <w:jc w:val="center"/>
        <w:rPr>
          <w:rFonts w:ascii="宋体" w:hAnsi="宋体"/>
          <w:b/>
          <w:color w:val="auto"/>
          <w:sz w:val="72"/>
          <w:szCs w:val="72"/>
          <w:highlight w:val="none"/>
        </w:rPr>
      </w:pPr>
    </w:p>
    <w:p w14:paraId="3E133F92">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1570D364">
      <w:pPr>
        <w:spacing w:line="360" w:lineRule="auto"/>
        <w:jc w:val="center"/>
        <w:rPr>
          <w:rFonts w:ascii="宋体" w:hAnsi="宋体"/>
          <w:color w:val="auto"/>
          <w:sz w:val="36"/>
          <w:szCs w:val="36"/>
          <w:highlight w:val="none"/>
        </w:rPr>
      </w:pPr>
    </w:p>
    <w:p w14:paraId="50FEB0FB">
      <w:pPr>
        <w:spacing w:line="360" w:lineRule="auto"/>
        <w:jc w:val="center"/>
        <w:rPr>
          <w:rFonts w:ascii="宋体" w:hAnsi="宋体"/>
          <w:color w:val="auto"/>
          <w:sz w:val="36"/>
          <w:szCs w:val="36"/>
          <w:highlight w:val="none"/>
        </w:rPr>
      </w:pPr>
    </w:p>
    <w:p w14:paraId="75320B12">
      <w:pPr>
        <w:spacing w:line="360" w:lineRule="auto"/>
        <w:jc w:val="center"/>
        <w:rPr>
          <w:rFonts w:ascii="宋体" w:hAnsi="宋体"/>
          <w:color w:val="auto"/>
          <w:sz w:val="36"/>
          <w:szCs w:val="36"/>
          <w:highlight w:val="none"/>
        </w:rPr>
      </w:pPr>
    </w:p>
    <w:p w14:paraId="1937F171">
      <w:pPr>
        <w:spacing w:line="360" w:lineRule="auto"/>
        <w:jc w:val="center"/>
        <w:rPr>
          <w:rFonts w:ascii="宋体" w:hAnsi="宋体"/>
          <w:color w:val="auto"/>
          <w:sz w:val="36"/>
          <w:szCs w:val="36"/>
          <w:highlight w:val="none"/>
        </w:rPr>
      </w:pPr>
    </w:p>
    <w:p w14:paraId="72CBD3CE">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3C74A408">
      <w:pPr>
        <w:pStyle w:val="29"/>
        <w:ind w:left="101" w:leftChars="48" w:firstLine="1920" w:firstLineChars="800"/>
        <w:jc w:val="left"/>
        <w:rPr>
          <w:rFonts w:hAnsi="宋体"/>
          <w:color w:val="auto"/>
          <w:kern w:val="2"/>
          <w:szCs w:val="28"/>
          <w:highlight w:val="none"/>
          <w:u w:val="single"/>
        </w:rPr>
      </w:pPr>
    </w:p>
    <w:p w14:paraId="7EFA6BA3">
      <w:pPr>
        <w:autoSpaceDE w:val="0"/>
        <w:autoSpaceDN w:val="0"/>
        <w:adjustRightInd w:val="0"/>
        <w:spacing w:line="400" w:lineRule="exact"/>
        <w:jc w:val="center"/>
        <w:outlineLvl w:val="0"/>
        <w:rPr>
          <w:rStyle w:val="137"/>
          <w:rFonts w:ascii="宋体" w:hAnsi="宋体"/>
          <w:color w:val="auto"/>
          <w:sz w:val="28"/>
          <w:szCs w:val="28"/>
          <w:highlight w:val="none"/>
        </w:rPr>
      </w:pPr>
      <w:bookmarkStart w:id="33" w:name="_Toc443468294"/>
      <w:bookmarkStart w:id="34" w:name="_Toc21541029"/>
      <w:bookmarkStart w:id="35" w:name="_Toc4975"/>
      <w:bookmarkStart w:id="36" w:name="_Toc44162160"/>
      <w:r>
        <w:rPr>
          <w:rFonts w:hint="eastAsia" w:ascii="宋体" w:hAnsi="宋体"/>
          <w:color w:val="auto"/>
          <w:sz w:val="36"/>
          <w:szCs w:val="36"/>
          <w:highlight w:val="none"/>
        </w:rPr>
        <w:t>年  月  日</w:t>
      </w:r>
      <w:bookmarkEnd w:id="33"/>
      <w:bookmarkEnd w:id="34"/>
      <w:bookmarkEnd w:id="35"/>
      <w:bookmarkEnd w:id="36"/>
    </w:p>
    <w:p w14:paraId="38CA0663">
      <w:pPr>
        <w:autoSpaceDE w:val="0"/>
        <w:autoSpaceDN w:val="0"/>
        <w:adjustRightInd w:val="0"/>
        <w:spacing w:line="400" w:lineRule="exact"/>
        <w:jc w:val="center"/>
        <w:outlineLvl w:val="0"/>
        <w:rPr>
          <w:rStyle w:val="137"/>
          <w:rFonts w:ascii="宋体" w:hAnsi="宋体"/>
          <w:color w:val="auto"/>
          <w:sz w:val="28"/>
          <w:szCs w:val="28"/>
          <w:highlight w:val="none"/>
        </w:rPr>
      </w:pPr>
    </w:p>
    <w:p w14:paraId="5561F43E">
      <w:pPr>
        <w:autoSpaceDE w:val="0"/>
        <w:autoSpaceDN w:val="0"/>
        <w:adjustRightInd w:val="0"/>
        <w:spacing w:line="400" w:lineRule="exact"/>
        <w:jc w:val="center"/>
        <w:outlineLvl w:val="0"/>
        <w:rPr>
          <w:rStyle w:val="137"/>
          <w:rFonts w:ascii="宋体" w:hAnsi="宋体"/>
          <w:color w:val="auto"/>
          <w:sz w:val="28"/>
          <w:szCs w:val="28"/>
          <w:highlight w:val="none"/>
        </w:rPr>
      </w:pPr>
    </w:p>
    <w:p w14:paraId="37378D87">
      <w:pPr>
        <w:spacing w:line="400" w:lineRule="exact"/>
        <w:jc w:val="center"/>
        <w:rPr>
          <w:rFonts w:ascii="宋体" w:hAnsi="宋体"/>
          <w:b/>
          <w:color w:val="auto"/>
          <w:szCs w:val="21"/>
          <w:highlight w:val="none"/>
        </w:rPr>
      </w:pPr>
      <w:r>
        <w:rPr>
          <w:rStyle w:val="137"/>
          <w:rFonts w:ascii="宋体" w:hAnsi="宋体"/>
          <w:color w:val="auto"/>
          <w:sz w:val="28"/>
          <w:szCs w:val="28"/>
          <w:highlight w:val="none"/>
        </w:rPr>
        <w:br w:type="page"/>
      </w:r>
      <w:bookmarkEnd w:id="27"/>
      <w:bookmarkEnd w:id="28"/>
      <w:bookmarkStart w:id="37" w:name="_Toc44162161"/>
      <w:bookmarkStart w:id="38" w:name="_Toc14907"/>
      <w:bookmarkStart w:id="39" w:name="_Toc21541030"/>
      <w:r>
        <w:rPr>
          <w:rFonts w:ascii="宋体" w:hAnsi="宋体"/>
          <w:b/>
          <w:color w:val="auto"/>
          <w:szCs w:val="21"/>
          <w:highlight w:val="none"/>
        </w:rPr>
        <w:t>C1</w:t>
      </w:r>
      <w:bookmarkEnd w:id="37"/>
      <w:bookmarkEnd w:id="38"/>
      <w:bookmarkEnd w:id="39"/>
      <w:bookmarkStart w:id="40" w:name="_Toc14922"/>
      <w:bookmarkStart w:id="41" w:name="_Toc44162162"/>
      <w:bookmarkStart w:id="42" w:name="_Toc21541032"/>
      <w:r>
        <w:rPr>
          <w:rFonts w:hint="eastAsia" w:ascii="宋体" w:hAnsi="宋体"/>
          <w:b/>
          <w:color w:val="auto"/>
          <w:szCs w:val="21"/>
          <w:highlight w:val="none"/>
        </w:rPr>
        <w:t>开标一览表</w:t>
      </w:r>
    </w:p>
    <w:p w14:paraId="0DB8A71F">
      <w:pPr>
        <w:pStyle w:val="20"/>
        <w:spacing w:line="400" w:lineRule="exact"/>
        <w:ind w:firstLine="0"/>
        <w:rPr>
          <w:rFonts w:ascii="宋体" w:hAnsi="宋体" w:eastAsia="宋体"/>
          <w:color w:val="auto"/>
          <w:sz w:val="21"/>
          <w:szCs w:val="21"/>
          <w:highlight w:val="none"/>
        </w:rPr>
      </w:pPr>
    </w:p>
    <w:p w14:paraId="4A29FB5D">
      <w:pPr>
        <w:pStyle w:val="20"/>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宁波市精神病院医院陪护服务管理外包项目</w:t>
      </w:r>
    </w:p>
    <w:p w14:paraId="2B97CCC1">
      <w:pPr>
        <w:pStyle w:val="20"/>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NBITC-</w:t>
      </w:r>
      <w:r>
        <w:rPr>
          <w:rFonts w:hint="eastAsia" w:ascii="宋体" w:hAnsi="宋体" w:eastAsia="宋体"/>
          <w:color w:val="auto"/>
          <w:sz w:val="21"/>
          <w:szCs w:val="21"/>
          <w:highlight w:val="none"/>
          <w:u w:val="single"/>
          <w:lang w:eastAsia="zh-CN"/>
        </w:rPr>
        <w:t>202411328G</w:t>
      </w:r>
    </w:p>
    <w:p w14:paraId="66A2B993">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标项号：</w:t>
      </w:r>
    </w:p>
    <w:tbl>
      <w:tblPr>
        <w:tblStyle w:val="5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4538"/>
        <w:gridCol w:w="3599"/>
      </w:tblGrid>
      <w:tr w14:paraId="4655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59" w:type="pct"/>
            <w:vAlign w:val="center"/>
          </w:tcPr>
          <w:p w14:paraId="3D405D73">
            <w:pPr>
              <w:spacing w:line="400" w:lineRule="exact"/>
              <w:ind w:right="25" w:rightChars="12"/>
              <w:jc w:val="center"/>
              <w:rPr>
                <w:rFonts w:ascii="宋体" w:hAnsi="宋体" w:cs="仿宋_GB2312"/>
                <w:b/>
                <w:color w:val="auto"/>
                <w:szCs w:val="21"/>
                <w:highlight w:val="none"/>
              </w:rPr>
            </w:pPr>
            <w:r>
              <w:rPr>
                <w:rFonts w:hint="eastAsia" w:ascii="宋体" w:hAnsi="宋体" w:cs="仿宋_GB2312"/>
                <w:b/>
                <w:color w:val="auto"/>
                <w:szCs w:val="21"/>
                <w:highlight w:val="none"/>
              </w:rPr>
              <w:t>子包</w:t>
            </w:r>
          </w:p>
        </w:tc>
        <w:tc>
          <w:tcPr>
            <w:tcW w:w="2364" w:type="pct"/>
            <w:vAlign w:val="center"/>
          </w:tcPr>
          <w:p w14:paraId="6AA037AF">
            <w:pPr>
              <w:spacing w:line="400" w:lineRule="exact"/>
              <w:jc w:val="center"/>
              <w:rPr>
                <w:rFonts w:ascii="宋体" w:hAnsi="宋体"/>
                <w:b/>
                <w:color w:val="auto"/>
                <w:szCs w:val="21"/>
                <w:highlight w:val="none"/>
              </w:rPr>
            </w:pPr>
            <w:r>
              <w:rPr>
                <w:rFonts w:hint="eastAsia" w:ascii="宋体" w:hAnsi="宋体"/>
                <w:b/>
                <w:color w:val="auto"/>
                <w:szCs w:val="21"/>
                <w:highlight w:val="none"/>
              </w:rPr>
              <w:t>服务名称</w:t>
            </w:r>
          </w:p>
        </w:tc>
        <w:tc>
          <w:tcPr>
            <w:tcW w:w="1875" w:type="pct"/>
            <w:vAlign w:val="center"/>
          </w:tcPr>
          <w:p w14:paraId="78226A19">
            <w:pPr>
              <w:spacing w:line="400" w:lineRule="exact"/>
              <w:ind w:right="25" w:rightChars="12"/>
              <w:jc w:val="center"/>
              <w:rPr>
                <w:rFonts w:ascii="宋体" w:hAnsi="宋体" w:cs="仿宋_GB2312"/>
                <w:b/>
                <w:color w:val="auto"/>
                <w:szCs w:val="21"/>
                <w:highlight w:val="none"/>
              </w:rPr>
            </w:pPr>
            <w:r>
              <w:rPr>
                <w:rFonts w:hint="eastAsia" w:ascii="宋体" w:hAnsi="宋体" w:cs="仿宋_GB2312"/>
                <w:b/>
                <w:color w:val="auto"/>
                <w:szCs w:val="21"/>
                <w:highlight w:val="none"/>
              </w:rPr>
              <w:t>投标报价（元/</w:t>
            </w:r>
            <w:r>
              <w:rPr>
                <w:rFonts w:hint="eastAsia" w:ascii="宋体" w:hAnsi="宋体" w:cs="仿宋_GB2312"/>
                <w:b/>
                <w:color w:val="auto"/>
                <w:szCs w:val="21"/>
                <w:highlight w:val="none"/>
                <w:lang w:val="en-US" w:eastAsia="zh-CN"/>
              </w:rPr>
              <w:t>年</w:t>
            </w:r>
            <w:r>
              <w:rPr>
                <w:rFonts w:hint="eastAsia" w:ascii="宋体" w:hAnsi="宋体" w:cs="仿宋_GB2312"/>
                <w:b/>
                <w:color w:val="auto"/>
                <w:szCs w:val="21"/>
                <w:highlight w:val="none"/>
              </w:rPr>
              <w:t>）</w:t>
            </w:r>
          </w:p>
        </w:tc>
      </w:tr>
      <w:tr w14:paraId="4A59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59" w:type="pct"/>
            <w:vAlign w:val="center"/>
          </w:tcPr>
          <w:p w14:paraId="23170FAE">
            <w:pPr>
              <w:spacing w:line="400" w:lineRule="exact"/>
              <w:ind w:right="25" w:rightChars="12"/>
              <w:jc w:val="center"/>
              <w:rPr>
                <w:rFonts w:ascii="宋体" w:hAnsi="宋体" w:cs="仿宋_GB2312"/>
                <w:color w:val="auto"/>
                <w:szCs w:val="21"/>
                <w:highlight w:val="none"/>
              </w:rPr>
            </w:pPr>
            <w:r>
              <w:rPr>
                <w:rFonts w:hint="eastAsia" w:ascii="宋体" w:hAnsi="宋体" w:cs="仿宋_GB2312"/>
                <w:color w:val="auto"/>
                <w:szCs w:val="21"/>
                <w:highlight w:val="none"/>
              </w:rPr>
              <w:t>1</w:t>
            </w:r>
          </w:p>
        </w:tc>
        <w:tc>
          <w:tcPr>
            <w:tcW w:w="2364" w:type="pct"/>
            <w:vAlign w:val="center"/>
          </w:tcPr>
          <w:p w14:paraId="2B7FAACF">
            <w:pPr>
              <w:spacing w:line="400" w:lineRule="exac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宁波市精神病院</w:t>
            </w:r>
            <w:r>
              <w:rPr>
                <w:rFonts w:hint="eastAsia" w:ascii="宋体" w:hAnsi="宋体"/>
                <w:color w:val="auto"/>
                <w:szCs w:val="21"/>
                <w:highlight w:val="none"/>
                <w:lang w:eastAsia="zh-CN"/>
              </w:rPr>
              <w:t>陪护服务管理外包</w:t>
            </w:r>
          </w:p>
        </w:tc>
        <w:tc>
          <w:tcPr>
            <w:tcW w:w="1875" w:type="pct"/>
            <w:vAlign w:val="center"/>
          </w:tcPr>
          <w:p w14:paraId="4AEE2A04">
            <w:pPr>
              <w:spacing w:line="400" w:lineRule="exact"/>
              <w:rPr>
                <w:color w:val="auto"/>
                <w:szCs w:val="21"/>
                <w:highlight w:val="none"/>
              </w:rPr>
            </w:pPr>
            <w:r>
              <w:rPr>
                <w:rFonts w:hint="eastAsia"/>
                <w:color w:val="auto"/>
                <w:szCs w:val="21"/>
                <w:highlight w:val="none"/>
              </w:rPr>
              <w:t>小写：</w:t>
            </w:r>
          </w:p>
          <w:p w14:paraId="2F407597">
            <w:pPr>
              <w:spacing w:line="400" w:lineRule="exact"/>
              <w:ind w:right="25" w:rightChars="12"/>
              <w:rPr>
                <w:rFonts w:ascii="宋体" w:hAnsi="宋体" w:cs="仿宋_GB2312"/>
                <w:color w:val="auto"/>
                <w:szCs w:val="21"/>
                <w:highlight w:val="none"/>
              </w:rPr>
            </w:pPr>
            <w:r>
              <w:rPr>
                <w:rFonts w:hint="eastAsia" w:cs="仿宋_GB2312"/>
                <w:color w:val="auto"/>
                <w:szCs w:val="21"/>
                <w:highlight w:val="none"/>
              </w:rPr>
              <w:t>大写：</w:t>
            </w:r>
          </w:p>
        </w:tc>
      </w:tr>
    </w:tbl>
    <w:p w14:paraId="391410B4">
      <w:pPr>
        <w:snapToGrid w:val="0"/>
        <w:spacing w:line="400" w:lineRule="exact"/>
        <w:rPr>
          <w:rFonts w:ascii="宋体" w:hAnsi="宋体" w:cs="宋体"/>
          <w:color w:val="auto"/>
          <w:highlight w:val="none"/>
        </w:rPr>
      </w:pPr>
      <w:r>
        <w:rPr>
          <w:rFonts w:hint="eastAsia" w:ascii="宋体" w:hAnsi="宋体" w:cs="宋体"/>
          <w:color w:val="auto"/>
          <w:highlight w:val="none"/>
        </w:rPr>
        <w:t>注: （1）以上</w:t>
      </w:r>
      <w:r>
        <w:rPr>
          <w:rFonts w:hint="eastAsia" w:ascii="宋体" w:hAnsi="宋体" w:cs="宋体"/>
          <w:color w:val="auto"/>
          <w:highlight w:val="none"/>
          <w:lang w:val="en-US" w:eastAsia="zh-CN"/>
        </w:rPr>
        <w:t>投标报价</w:t>
      </w:r>
      <w:r>
        <w:rPr>
          <w:rFonts w:hint="eastAsia" w:ascii="宋体" w:hAnsi="宋体" w:cs="宋体"/>
          <w:color w:val="auto"/>
          <w:highlight w:val="none"/>
        </w:rPr>
        <w:t>应与“分项报价表”中的“投标报价”相一致。</w:t>
      </w:r>
    </w:p>
    <w:p w14:paraId="1F7E8A7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（2）投标文件中开标一览表内容与政采云系统“开标一览表”中录入的报价内容不一致的，以投标文件中开标一览表为准；</w:t>
      </w:r>
    </w:p>
    <w:p w14:paraId="4BE8BE57">
      <w:pPr>
        <w:spacing w:line="400" w:lineRule="exact"/>
        <w:jc w:val="left"/>
        <w:rPr>
          <w:rFonts w:ascii="宋体" w:hAnsi="宋体"/>
          <w:color w:val="auto"/>
          <w:szCs w:val="21"/>
          <w:highlight w:val="none"/>
        </w:rPr>
      </w:pPr>
    </w:p>
    <w:p w14:paraId="0CB4EDA7">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14:paraId="5C3D32FD">
      <w:pPr>
        <w:spacing w:line="400" w:lineRule="exact"/>
        <w:rPr>
          <w:rFonts w:ascii="宋体" w:hAnsi="宋体"/>
          <w:color w:val="auto"/>
          <w:szCs w:val="21"/>
          <w:highlight w:val="none"/>
        </w:rPr>
      </w:pPr>
    </w:p>
    <w:p w14:paraId="267E3220">
      <w:pPr>
        <w:spacing w:line="400" w:lineRule="exact"/>
        <w:rPr>
          <w:rFonts w:ascii="宋体" w:hAnsi="宋体"/>
          <w:color w:val="auto"/>
          <w:szCs w:val="21"/>
          <w:highlight w:val="none"/>
          <w:u w:val="single"/>
        </w:rPr>
      </w:pPr>
      <w:r>
        <w:rPr>
          <w:rFonts w:hint="eastAsia" w:ascii="宋体" w:hAnsi="宋体"/>
          <w:color w:val="auto"/>
          <w:szCs w:val="21"/>
          <w:highlight w:val="none"/>
        </w:rPr>
        <w:t>日          期：</w:t>
      </w:r>
    </w:p>
    <w:p w14:paraId="7686E637">
      <w:pPr>
        <w:rPr>
          <w:rFonts w:ascii="宋体" w:hAnsi="宋体"/>
          <w:b/>
          <w:color w:val="auto"/>
          <w:szCs w:val="21"/>
          <w:highlight w:val="none"/>
        </w:rPr>
      </w:pPr>
      <w:r>
        <w:rPr>
          <w:rFonts w:ascii="宋体" w:hAnsi="宋体"/>
          <w:b/>
          <w:color w:val="auto"/>
          <w:szCs w:val="21"/>
          <w:highlight w:val="none"/>
        </w:rPr>
        <w:br w:type="page"/>
      </w:r>
    </w:p>
    <w:p w14:paraId="7399CCCA">
      <w:pPr>
        <w:pStyle w:val="27"/>
        <w:snapToGrid w:val="0"/>
        <w:spacing w:line="400" w:lineRule="exact"/>
        <w:jc w:val="center"/>
        <w:rPr>
          <w:b/>
          <w:color w:val="auto"/>
          <w:kern w:val="2"/>
          <w:sz w:val="21"/>
          <w:szCs w:val="21"/>
          <w:highlight w:val="none"/>
        </w:rPr>
      </w:pPr>
      <w:r>
        <w:rPr>
          <w:rFonts w:hAnsi="宋体"/>
          <w:b/>
          <w:color w:val="auto"/>
          <w:szCs w:val="21"/>
          <w:highlight w:val="none"/>
        </w:rPr>
        <w:t>C</w:t>
      </w:r>
      <w:r>
        <w:rPr>
          <w:rFonts w:hint="eastAsia" w:hAnsi="宋体"/>
          <w:b/>
          <w:color w:val="auto"/>
          <w:szCs w:val="21"/>
          <w:highlight w:val="none"/>
        </w:rPr>
        <w:t>2</w:t>
      </w:r>
      <w:r>
        <w:rPr>
          <w:rFonts w:hint="eastAsia"/>
          <w:b/>
          <w:color w:val="auto"/>
          <w:kern w:val="2"/>
          <w:sz w:val="21"/>
          <w:szCs w:val="21"/>
          <w:highlight w:val="none"/>
        </w:rPr>
        <w:t>分项报价表</w:t>
      </w:r>
    </w:p>
    <w:p w14:paraId="6EF34C0C">
      <w:pPr>
        <w:pStyle w:val="27"/>
        <w:snapToGrid w:val="0"/>
        <w:spacing w:line="400" w:lineRule="exact"/>
        <w:jc w:val="center"/>
        <w:rPr>
          <w:b/>
          <w:color w:val="auto"/>
          <w:kern w:val="2"/>
          <w:sz w:val="21"/>
          <w:szCs w:val="21"/>
          <w:highlight w:val="none"/>
        </w:rPr>
      </w:pPr>
      <w:r>
        <w:rPr>
          <w:rFonts w:hint="eastAsia"/>
          <w:b/>
          <w:color w:val="auto"/>
          <w:sz w:val="21"/>
          <w:szCs w:val="21"/>
          <w:highlight w:val="none"/>
        </w:rPr>
        <w:t>1、投标报价分析表</w:t>
      </w:r>
    </w:p>
    <w:p w14:paraId="6C93BB6A">
      <w:pPr>
        <w:pStyle w:val="20"/>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宁波市精神病院医院陪护服务管理外包项目</w:t>
      </w:r>
    </w:p>
    <w:p w14:paraId="7AD6A166">
      <w:pPr>
        <w:pStyle w:val="20"/>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NBITC-</w:t>
      </w:r>
      <w:r>
        <w:rPr>
          <w:rFonts w:hint="eastAsia" w:ascii="宋体" w:hAnsi="宋体" w:eastAsia="宋体"/>
          <w:color w:val="auto"/>
          <w:sz w:val="21"/>
          <w:szCs w:val="21"/>
          <w:highlight w:val="none"/>
          <w:u w:val="single"/>
          <w:lang w:eastAsia="zh-CN"/>
        </w:rPr>
        <w:t>202411328G</w:t>
      </w:r>
    </w:p>
    <w:p w14:paraId="315D6FA6">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标项号：</w:t>
      </w:r>
    </w:p>
    <w:p w14:paraId="6D2B36AE">
      <w:pPr>
        <w:pStyle w:val="20"/>
        <w:spacing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  </w:t>
      </w:r>
      <w:r>
        <w:rPr>
          <w:rFonts w:hint="eastAsia"/>
          <w:color w:val="auto"/>
          <w:sz w:val="21"/>
          <w:szCs w:val="21"/>
          <w:highlight w:val="none"/>
        </w:rPr>
        <w:t xml:space="preserve">                                                            </w:t>
      </w:r>
      <w:r>
        <w:rPr>
          <w:rFonts w:hint="eastAsia" w:ascii="宋体" w:hAnsi="宋体"/>
          <w:color w:val="auto"/>
          <w:sz w:val="21"/>
          <w:szCs w:val="21"/>
          <w:highlight w:val="none"/>
        </w:rPr>
        <w:t>货币单位：人民币元</w:t>
      </w:r>
    </w:p>
    <w:tbl>
      <w:tblPr>
        <w:tblStyle w:val="50"/>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619"/>
        <w:gridCol w:w="1166"/>
        <w:gridCol w:w="1115"/>
        <w:gridCol w:w="2327"/>
        <w:gridCol w:w="2431"/>
      </w:tblGrid>
      <w:tr w14:paraId="516E2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86" w:type="pct"/>
            <w:tcBorders>
              <w:top w:val="single" w:color="auto" w:sz="4" w:space="0"/>
              <w:left w:val="single" w:color="auto" w:sz="4" w:space="0"/>
            </w:tcBorders>
            <w:vAlign w:val="center"/>
          </w:tcPr>
          <w:p w14:paraId="5AA8DF1E">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843" w:type="pct"/>
            <w:tcBorders>
              <w:top w:val="single" w:color="auto" w:sz="4" w:space="0"/>
            </w:tcBorders>
            <w:vAlign w:val="center"/>
          </w:tcPr>
          <w:p w14:paraId="3EB10951">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岗位名称</w:t>
            </w:r>
          </w:p>
        </w:tc>
        <w:tc>
          <w:tcPr>
            <w:tcW w:w="608" w:type="pct"/>
            <w:tcBorders>
              <w:top w:val="single" w:color="auto" w:sz="4" w:space="0"/>
            </w:tcBorders>
            <w:vAlign w:val="center"/>
          </w:tcPr>
          <w:p w14:paraId="2C1BAA42">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配置人数（人）</w:t>
            </w:r>
          </w:p>
        </w:tc>
        <w:tc>
          <w:tcPr>
            <w:tcW w:w="580" w:type="pct"/>
            <w:tcBorders>
              <w:top w:val="single" w:color="auto" w:sz="4" w:space="0"/>
            </w:tcBorders>
            <w:vAlign w:val="center"/>
          </w:tcPr>
          <w:p w14:paraId="40B70D06">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服务时间（月）</w:t>
            </w:r>
          </w:p>
        </w:tc>
        <w:tc>
          <w:tcPr>
            <w:tcW w:w="1213" w:type="pct"/>
            <w:tcBorders>
              <w:top w:val="single" w:color="auto" w:sz="4" w:space="0"/>
              <w:bottom w:val="single" w:color="auto" w:sz="4" w:space="0"/>
              <w:right w:val="single" w:color="auto" w:sz="4" w:space="0"/>
            </w:tcBorders>
            <w:vAlign w:val="center"/>
          </w:tcPr>
          <w:p w14:paraId="0E1A4919">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综合单价</w:t>
            </w:r>
          </w:p>
          <w:p w14:paraId="7192A13C">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（元/人·月）</w:t>
            </w:r>
          </w:p>
        </w:tc>
        <w:tc>
          <w:tcPr>
            <w:tcW w:w="1267" w:type="pct"/>
            <w:tcBorders>
              <w:top w:val="single" w:color="auto" w:sz="4" w:space="0"/>
              <w:right w:val="single" w:color="auto" w:sz="4" w:space="0"/>
            </w:tcBorders>
            <w:vAlign w:val="center"/>
          </w:tcPr>
          <w:p w14:paraId="556757A7">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合价</w:t>
            </w:r>
          </w:p>
          <w:p w14:paraId="7C1F6FE5">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（配置人数×服务时间×综合单价）</w:t>
            </w:r>
          </w:p>
        </w:tc>
      </w:tr>
      <w:tr w14:paraId="49BB0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tcBorders>
              <w:top w:val="single" w:color="auto" w:sz="4" w:space="0"/>
              <w:left w:val="single" w:color="auto" w:sz="4" w:space="0"/>
              <w:bottom w:val="single" w:color="auto" w:sz="4" w:space="0"/>
            </w:tcBorders>
            <w:vAlign w:val="center"/>
          </w:tcPr>
          <w:p w14:paraId="72427B55">
            <w:pPr>
              <w:spacing w:line="40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843" w:type="pct"/>
            <w:tcBorders>
              <w:top w:val="single" w:color="auto" w:sz="4" w:space="0"/>
              <w:bottom w:val="single" w:color="auto" w:sz="4" w:space="0"/>
            </w:tcBorders>
            <w:vAlign w:val="center"/>
          </w:tcPr>
          <w:p w14:paraId="12BFA23A">
            <w:pPr>
              <w:spacing w:line="400" w:lineRule="exact"/>
              <w:jc w:val="center"/>
              <w:rPr>
                <w:rFonts w:ascii="宋体" w:hAnsi="宋体" w:cs="仿宋_GB2312"/>
                <w:color w:val="auto"/>
                <w:szCs w:val="21"/>
                <w:highlight w:val="none"/>
              </w:rPr>
            </w:pPr>
          </w:p>
        </w:tc>
        <w:tc>
          <w:tcPr>
            <w:tcW w:w="608" w:type="pct"/>
            <w:tcBorders>
              <w:top w:val="single" w:color="auto" w:sz="4" w:space="0"/>
              <w:bottom w:val="single" w:color="auto" w:sz="4" w:space="0"/>
            </w:tcBorders>
            <w:vAlign w:val="center"/>
          </w:tcPr>
          <w:p w14:paraId="43BDA728">
            <w:pPr>
              <w:spacing w:line="400" w:lineRule="exact"/>
              <w:jc w:val="center"/>
              <w:rPr>
                <w:rFonts w:ascii="宋体" w:hAnsi="宋体" w:cs="仿宋_GB2312"/>
                <w:color w:val="auto"/>
                <w:szCs w:val="21"/>
                <w:highlight w:val="none"/>
              </w:rPr>
            </w:pPr>
          </w:p>
        </w:tc>
        <w:tc>
          <w:tcPr>
            <w:tcW w:w="580" w:type="pct"/>
            <w:tcBorders>
              <w:top w:val="single" w:color="auto" w:sz="4" w:space="0"/>
              <w:bottom w:val="single" w:color="auto" w:sz="4" w:space="0"/>
            </w:tcBorders>
            <w:vAlign w:val="center"/>
          </w:tcPr>
          <w:p w14:paraId="3CD4B7B6">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67FC49C6">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7678362D">
            <w:pPr>
              <w:tabs>
                <w:tab w:val="left" w:pos="4648"/>
              </w:tabs>
              <w:spacing w:line="400" w:lineRule="exact"/>
              <w:jc w:val="center"/>
              <w:rPr>
                <w:rFonts w:ascii="宋体" w:hAnsi="宋体"/>
                <w:bCs/>
                <w:color w:val="auto"/>
                <w:szCs w:val="21"/>
                <w:highlight w:val="none"/>
              </w:rPr>
            </w:pPr>
          </w:p>
        </w:tc>
      </w:tr>
      <w:tr w14:paraId="14D0E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tcBorders>
              <w:top w:val="single" w:color="auto" w:sz="4" w:space="0"/>
              <w:left w:val="single" w:color="auto" w:sz="4" w:space="0"/>
              <w:bottom w:val="single" w:color="auto" w:sz="4" w:space="0"/>
            </w:tcBorders>
            <w:vAlign w:val="center"/>
          </w:tcPr>
          <w:p w14:paraId="02DD424C">
            <w:pPr>
              <w:spacing w:line="40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843" w:type="pct"/>
            <w:tcBorders>
              <w:top w:val="single" w:color="auto" w:sz="4" w:space="0"/>
              <w:bottom w:val="single" w:color="auto" w:sz="4" w:space="0"/>
            </w:tcBorders>
            <w:vAlign w:val="center"/>
          </w:tcPr>
          <w:p w14:paraId="1E92B2BC">
            <w:pPr>
              <w:spacing w:line="400" w:lineRule="exact"/>
              <w:jc w:val="center"/>
              <w:rPr>
                <w:rFonts w:ascii="宋体" w:hAnsi="宋体" w:cs="仿宋_GB2312"/>
                <w:color w:val="auto"/>
                <w:szCs w:val="21"/>
                <w:highlight w:val="none"/>
              </w:rPr>
            </w:pPr>
          </w:p>
        </w:tc>
        <w:tc>
          <w:tcPr>
            <w:tcW w:w="608" w:type="pct"/>
            <w:tcBorders>
              <w:top w:val="single" w:color="auto" w:sz="4" w:space="0"/>
              <w:bottom w:val="single" w:color="auto" w:sz="4" w:space="0"/>
            </w:tcBorders>
            <w:vAlign w:val="center"/>
          </w:tcPr>
          <w:p w14:paraId="7D905337">
            <w:pPr>
              <w:spacing w:line="400" w:lineRule="exact"/>
              <w:jc w:val="center"/>
              <w:rPr>
                <w:rFonts w:ascii="宋体" w:hAnsi="宋体" w:cs="仿宋_GB2312"/>
                <w:color w:val="auto"/>
                <w:szCs w:val="21"/>
                <w:highlight w:val="none"/>
              </w:rPr>
            </w:pPr>
          </w:p>
        </w:tc>
        <w:tc>
          <w:tcPr>
            <w:tcW w:w="580" w:type="pct"/>
            <w:tcBorders>
              <w:top w:val="single" w:color="auto" w:sz="4" w:space="0"/>
              <w:bottom w:val="single" w:color="auto" w:sz="4" w:space="0"/>
            </w:tcBorders>
            <w:vAlign w:val="center"/>
          </w:tcPr>
          <w:p w14:paraId="51A038D2">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0F57E273">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0B609504">
            <w:pPr>
              <w:tabs>
                <w:tab w:val="left" w:pos="4648"/>
              </w:tabs>
              <w:spacing w:line="400" w:lineRule="exact"/>
              <w:jc w:val="center"/>
              <w:rPr>
                <w:rFonts w:ascii="宋体" w:hAnsi="宋体"/>
                <w:bCs/>
                <w:color w:val="auto"/>
                <w:szCs w:val="21"/>
                <w:highlight w:val="none"/>
              </w:rPr>
            </w:pPr>
          </w:p>
        </w:tc>
      </w:tr>
      <w:tr w14:paraId="21705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tcBorders>
              <w:top w:val="single" w:color="auto" w:sz="4" w:space="0"/>
              <w:left w:val="single" w:color="auto" w:sz="4" w:space="0"/>
              <w:bottom w:val="single" w:color="auto" w:sz="4" w:space="0"/>
            </w:tcBorders>
            <w:vAlign w:val="center"/>
          </w:tcPr>
          <w:p w14:paraId="52BD545E">
            <w:pPr>
              <w:spacing w:line="40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843" w:type="pct"/>
            <w:tcBorders>
              <w:top w:val="single" w:color="auto" w:sz="4" w:space="0"/>
              <w:bottom w:val="single" w:color="auto" w:sz="4" w:space="0"/>
            </w:tcBorders>
            <w:vAlign w:val="center"/>
          </w:tcPr>
          <w:p w14:paraId="46994A4D">
            <w:pPr>
              <w:spacing w:line="400" w:lineRule="exact"/>
              <w:jc w:val="center"/>
              <w:rPr>
                <w:rFonts w:ascii="宋体" w:hAnsi="宋体"/>
                <w:color w:val="auto"/>
                <w:szCs w:val="21"/>
                <w:highlight w:val="none"/>
              </w:rPr>
            </w:pPr>
          </w:p>
        </w:tc>
        <w:tc>
          <w:tcPr>
            <w:tcW w:w="608" w:type="pct"/>
            <w:tcBorders>
              <w:top w:val="single" w:color="auto" w:sz="4" w:space="0"/>
              <w:bottom w:val="single" w:color="auto" w:sz="4" w:space="0"/>
            </w:tcBorders>
            <w:vAlign w:val="center"/>
          </w:tcPr>
          <w:p w14:paraId="00105ECE">
            <w:pPr>
              <w:spacing w:line="400" w:lineRule="exact"/>
              <w:jc w:val="center"/>
              <w:rPr>
                <w:rFonts w:ascii="宋体" w:hAnsi="宋体" w:cs="仿宋_GB2312"/>
                <w:color w:val="auto"/>
                <w:szCs w:val="21"/>
                <w:highlight w:val="none"/>
              </w:rPr>
            </w:pPr>
          </w:p>
        </w:tc>
        <w:tc>
          <w:tcPr>
            <w:tcW w:w="580" w:type="pct"/>
            <w:tcBorders>
              <w:top w:val="single" w:color="auto" w:sz="4" w:space="0"/>
              <w:bottom w:val="single" w:color="auto" w:sz="4" w:space="0"/>
            </w:tcBorders>
            <w:vAlign w:val="center"/>
          </w:tcPr>
          <w:p w14:paraId="1E795F07">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6077D8E3">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359E6642">
            <w:pPr>
              <w:tabs>
                <w:tab w:val="left" w:pos="4648"/>
              </w:tabs>
              <w:spacing w:line="400" w:lineRule="exact"/>
              <w:jc w:val="center"/>
              <w:rPr>
                <w:rFonts w:ascii="宋体" w:hAnsi="宋体"/>
                <w:bCs/>
                <w:color w:val="auto"/>
                <w:szCs w:val="21"/>
                <w:highlight w:val="none"/>
              </w:rPr>
            </w:pPr>
          </w:p>
        </w:tc>
      </w:tr>
      <w:tr w14:paraId="201F5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tcBorders>
              <w:top w:val="single" w:color="auto" w:sz="4" w:space="0"/>
              <w:left w:val="single" w:color="auto" w:sz="4" w:space="0"/>
              <w:bottom w:val="single" w:color="auto" w:sz="4" w:space="0"/>
            </w:tcBorders>
            <w:vAlign w:val="center"/>
          </w:tcPr>
          <w:p w14:paraId="716E13FF">
            <w:pPr>
              <w:spacing w:line="400" w:lineRule="exact"/>
              <w:jc w:val="center"/>
              <w:rPr>
                <w:rFonts w:ascii="宋体" w:hAnsi="宋体"/>
                <w:bCs/>
                <w:color w:val="auto"/>
                <w:szCs w:val="21"/>
                <w:highlight w:val="none"/>
              </w:rPr>
            </w:pPr>
            <w:r>
              <w:rPr>
                <w:rFonts w:hint="eastAsia" w:ascii="宋体" w:hAnsi="宋体"/>
                <w:bCs/>
                <w:color w:val="auto"/>
                <w:szCs w:val="21"/>
                <w:highlight w:val="none"/>
              </w:rPr>
              <w:t>4</w:t>
            </w:r>
          </w:p>
        </w:tc>
        <w:tc>
          <w:tcPr>
            <w:tcW w:w="843" w:type="pct"/>
            <w:tcBorders>
              <w:top w:val="single" w:color="auto" w:sz="4" w:space="0"/>
              <w:bottom w:val="single" w:color="auto" w:sz="4" w:space="0"/>
            </w:tcBorders>
            <w:vAlign w:val="center"/>
          </w:tcPr>
          <w:p w14:paraId="3C395442">
            <w:pPr>
              <w:spacing w:line="400" w:lineRule="exact"/>
              <w:jc w:val="center"/>
              <w:rPr>
                <w:rFonts w:ascii="宋体" w:hAnsi="宋体"/>
                <w:color w:val="auto"/>
                <w:szCs w:val="21"/>
                <w:highlight w:val="none"/>
              </w:rPr>
            </w:pPr>
          </w:p>
        </w:tc>
        <w:tc>
          <w:tcPr>
            <w:tcW w:w="608" w:type="pct"/>
            <w:tcBorders>
              <w:top w:val="single" w:color="auto" w:sz="4" w:space="0"/>
              <w:bottom w:val="single" w:color="auto" w:sz="4" w:space="0"/>
            </w:tcBorders>
            <w:vAlign w:val="center"/>
          </w:tcPr>
          <w:p w14:paraId="0F0793DA">
            <w:pPr>
              <w:spacing w:line="400" w:lineRule="exact"/>
              <w:jc w:val="center"/>
              <w:rPr>
                <w:rFonts w:ascii="宋体" w:hAnsi="宋体" w:cs="仿宋_GB2312"/>
                <w:color w:val="auto"/>
                <w:szCs w:val="21"/>
                <w:highlight w:val="none"/>
              </w:rPr>
            </w:pPr>
          </w:p>
        </w:tc>
        <w:tc>
          <w:tcPr>
            <w:tcW w:w="580" w:type="pct"/>
            <w:tcBorders>
              <w:top w:val="single" w:color="auto" w:sz="4" w:space="0"/>
              <w:bottom w:val="single" w:color="auto" w:sz="4" w:space="0"/>
            </w:tcBorders>
            <w:vAlign w:val="center"/>
          </w:tcPr>
          <w:p w14:paraId="6C6BD392">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5703927C">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0BD6BB55">
            <w:pPr>
              <w:tabs>
                <w:tab w:val="left" w:pos="4648"/>
              </w:tabs>
              <w:spacing w:line="400" w:lineRule="exact"/>
              <w:jc w:val="center"/>
              <w:rPr>
                <w:rFonts w:ascii="宋体" w:hAnsi="宋体"/>
                <w:bCs/>
                <w:color w:val="auto"/>
                <w:szCs w:val="21"/>
                <w:highlight w:val="none"/>
              </w:rPr>
            </w:pPr>
          </w:p>
        </w:tc>
      </w:tr>
      <w:tr w14:paraId="76E7B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tcBorders>
              <w:top w:val="single" w:color="auto" w:sz="4" w:space="0"/>
              <w:left w:val="single" w:color="auto" w:sz="4" w:space="0"/>
              <w:bottom w:val="single" w:color="auto" w:sz="4" w:space="0"/>
            </w:tcBorders>
            <w:vAlign w:val="center"/>
          </w:tcPr>
          <w:p w14:paraId="09C15519">
            <w:pPr>
              <w:spacing w:line="400" w:lineRule="exact"/>
              <w:jc w:val="center"/>
              <w:rPr>
                <w:rFonts w:ascii="宋体" w:hAnsi="宋体"/>
                <w:bCs/>
                <w:color w:val="auto"/>
                <w:szCs w:val="21"/>
                <w:highlight w:val="none"/>
              </w:rPr>
            </w:pPr>
            <w:r>
              <w:rPr>
                <w:rFonts w:hint="eastAsia" w:ascii="宋体" w:hAnsi="宋体"/>
                <w:bCs/>
                <w:color w:val="auto"/>
                <w:szCs w:val="21"/>
                <w:highlight w:val="none"/>
              </w:rPr>
              <w:t>5</w:t>
            </w:r>
          </w:p>
        </w:tc>
        <w:tc>
          <w:tcPr>
            <w:tcW w:w="843" w:type="pct"/>
            <w:tcBorders>
              <w:top w:val="single" w:color="auto" w:sz="4" w:space="0"/>
              <w:bottom w:val="single" w:color="auto" w:sz="4" w:space="0"/>
            </w:tcBorders>
            <w:vAlign w:val="center"/>
          </w:tcPr>
          <w:p w14:paraId="1F86E845">
            <w:pPr>
              <w:spacing w:line="400" w:lineRule="exact"/>
              <w:jc w:val="center"/>
              <w:rPr>
                <w:rFonts w:ascii="宋体" w:hAnsi="宋体"/>
                <w:color w:val="auto"/>
                <w:szCs w:val="21"/>
                <w:highlight w:val="none"/>
              </w:rPr>
            </w:pPr>
          </w:p>
        </w:tc>
        <w:tc>
          <w:tcPr>
            <w:tcW w:w="608" w:type="pct"/>
            <w:tcBorders>
              <w:top w:val="single" w:color="auto" w:sz="4" w:space="0"/>
              <w:bottom w:val="single" w:color="auto" w:sz="4" w:space="0"/>
            </w:tcBorders>
            <w:vAlign w:val="center"/>
          </w:tcPr>
          <w:p w14:paraId="20D537FB">
            <w:pPr>
              <w:spacing w:line="400" w:lineRule="exact"/>
              <w:jc w:val="center"/>
              <w:rPr>
                <w:rFonts w:ascii="宋体" w:hAnsi="宋体" w:cs="仿宋_GB2312"/>
                <w:color w:val="auto"/>
                <w:szCs w:val="21"/>
                <w:highlight w:val="none"/>
              </w:rPr>
            </w:pPr>
          </w:p>
        </w:tc>
        <w:tc>
          <w:tcPr>
            <w:tcW w:w="580" w:type="pct"/>
            <w:tcBorders>
              <w:top w:val="single" w:color="auto" w:sz="4" w:space="0"/>
              <w:bottom w:val="single" w:color="auto" w:sz="4" w:space="0"/>
            </w:tcBorders>
            <w:vAlign w:val="center"/>
          </w:tcPr>
          <w:p w14:paraId="389FD17A">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55B31A01">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78B1466F">
            <w:pPr>
              <w:tabs>
                <w:tab w:val="left" w:pos="4648"/>
              </w:tabs>
              <w:spacing w:line="400" w:lineRule="exact"/>
              <w:jc w:val="center"/>
              <w:rPr>
                <w:rFonts w:ascii="宋体" w:hAnsi="宋体"/>
                <w:bCs/>
                <w:color w:val="auto"/>
                <w:szCs w:val="21"/>
                <w:highlight w:val="none"/>
              </w:rPr>
            </w:pPr>
          </w:p>
        </w:tc>
      </w:tr>
      <w:tr w14:paraId="46BB8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tcBorders>
              <w:top w:val="single" w:color="auto" w:sz="4" w:space="0"/>
              <w:left w:val="single" w:color="auto" w:sz="4" w:space="0"/>
              <w:bottom w:val="single" w:color="auto" w:sz="4" w:space="0"/>
            </w:tcBorders>
            <w:vAlign w:val="center"/>
          </w:tcPr>
          <w:p w14:paraId="0846E340">
            <w:pPr>
              <w:spacing w:line="40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843" w:type="pct"/>
            <w:tcBorders>
              <w:top w:val="single" w:color="auto" w:sz="4" w:space="0"/>
              <w:bottom w:val="single" w:color="auto" w:sz="4" w:space="0"/>
            </w:tcBorders>
            <w:vAlign w:val="center"/>
          </w:tcPr>
          <w:p w14:paraId="1B56402C">
            <w:pPr>
              <w:spacing w:line="400" w:lineRule="exact"/>
              <w:jc w:val="center"/>
              <w:rPr>
                <w:color w:val="auto"/>
                <w:highlight w:val="none"/>
              </w:rPr>
            </w:pPr>
          </w:p>
        </w:tc>
        <w:tc>
          <w:tcPr>
            <w:tcW w:w="608" w:type="pct"/>
            <w:tcBorders>
              <w:top w:val="single" w:color="auto" w:sz="4" w:space="0"/>
              <w:bottom w:val="single" w:color="auto" w:sz="4" w:space="0"/>
            </w:tcBorders>
            <w:vAlign w:val="center"/>
          </w:tcPr>
          <w:p w14:paraId="7680FBBE">
            <w:pPr>
              <w:spacing w:line="400" w:lineRule="exact"/>
              <w:jc w:val="center"/>
              <w:rPr>
                <w:rFonts w:ascii="宋体" w:hAnsi="宋体" w:cs="仿宋_GB2312"/>
                <w:color w:val="auto"/>
                <w:szCs w:val="21"/>
                <w:highlight w:val="none"/>
              </w:rPr>
            </w:pPr>
          </w:p>
        </w:tc>
        <w:tc>
          <w:tcPr>
            <w:tcW w:w="580" w:type="pct"/>
            <w:tcBorders>
              <w:top w:val="single" w:color="auto" w:sz="4" w:space="0"/>
              <w:bottom w:val="single" w:color="auto" w:sz="4" w:space="0"/>
            </w:tcBorders>
            <w:vAlign w:val="center"/>
          </w:tcPr>
          <w:p w14:paraId="3EDA5B6F">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3525BE36">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1F80B15E">
            <w:pPr>
              <w:tabs>
                <w:tab w:val="left" w:pos="4648"/>
              </w:tabs>
              <w:spacing w:line="400" w:lineRule="exact"/>
              <w:jc w:val="center"/>
              <w:rPr>
                <w:rFonts w:ascii="宋体" w:hAnsi="宋体"/>
                <w:bCs/>
                <w:color w:val="auto"/>
                <w:szCs w:val="21"/>
                <w:highlight w:val="none"/>
              </w:rPr>
            </w:pPr>
          </w:p>
        </w:tc>
      </w:tr>
      <w:tr w14:paraId="7F1E1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tcBorders>
              <w:top w:val="single" w:color="auto" w:sz="4" w:space="0"/>
              <w:left w:val="single" w:color="auto" w:sz="4" w:space="0"/>
              <w:bottom w:val="single" w:color="auto" w:sz="4" w:space="0"/>
            </w:tcBorders>
            <w:vAlign w:val="center"/>
          </w:tcPr>
          <w:p w14:paraId="6DE51579">
            <w:pPr>
              <w:spacing w:line="400" w:lineRule="exact"/>
              <w:jc w:val="center"/>
              <w:rPr>
                <w:rFonts w:ascii="宋体" w:hAnsi="宋体"/>
                <w:bCs/>
                <w:color w:val="auto"/>
                <w:szCs w:val="21"/>
                <w:highlight w:val="none"/>
              </w:rPr>
            </w:pPr>
            <w:r>
              <w:rPr>
                <w:rFonts w:hint="eastAsia" w:ascii="宋体" w:hAnsi="宋体"/>
                <w:bCs/>
                <w:color w:val="auto"/>
                <w:szCs w:val="21"/>
                <w:highlight w:val="none"/>
              </w:rPr>
              <w:t>7</w:t>
            </w:r>
          </w:p>
        </w:tc>
        <w:tc>
          <w:tcPr>
            <w:tcW w:w="843" w:type="pct"/>
            <w:tcBorders>
              <w:top w:val="single" w:color="auto" w:sz="4" w:space="0"/>
              <w:bottom w:val="single" w:color="auto" w:sz="4" w:space="0"/>
            </w:tcBorders>
            <w:vAlign w:val="center"/>
          </w:tcPr>
          <w:p w14:paraId="662006A6">
            <w:pPr>
              <w:spacing w:line="400" w:lineRule="exact"/>
              <w:jc w:val="center"/>
              <w:rPr>
                <w:rFonts w:ascii="宋体" w:hAnsi="宋体"/>
                <w:b/>
                <w:bCs/>
                <w:color w:val="auto"/>
                <w:szCs w:val="21"/>
                <w:highlight w:val="none"/>
              </w:rPr>
            </w:pPr>
          </w:p>
        </w:tc>
        <w:tc>
          <w:tcPr>
            <w:tcW w:w="608" w:type="pct"/>
            <w:tcBorders>
              <w:top w:val="single" w:color="auto" w:sz="4" w:space="0"/>
              <w:bottom w:val="single" w:color="auto" w:sz="4" w:space="0"/>
            </w:tcBorders>
            <w:vAlign w:val="center"/>
          </w:tcPr>
          <w:p w14:paraId="04D08232">
            <w:pPr>
              <w:spacing w:line="400" w:lineRule="exact"/>
              <w:jc w:val="center"/>
              <w:rPr>
                <w:rFonts w:ascii="宋体" w:hAnsi="宋体" w:cs="仿宋_GB2312"/>
                <w:color w:val="auto"/>
                <w:szCs w:val="21"/>
                <w:highlight w:val="none"/>
              </w:rPr>
            </w:pPr>
          </w:p>
        </w:tc>
        <w:tc>
          <w:tcPr>
            <w:tcW w:w="580" w:type="pct"/>
            <w:tcBorders>
              <w:top w:val="single" w:color="auto" w:sz="4" w:space="0"/>
              <w:bottom w:val="single" w:color="auto" w:sz="4" w:space="0"/>
            </w:tcBorders>
            <w:vAlign w:val="center"/>
          </w:tcPr>
          <w:p w14:paraId="67714A2C">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49253526">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04264376">
            <w:pPr>
              <w:tabs>
                <w:tab w:val="left" w:pos="4648"/>
              </w:tabs>
              <w:spacing w:line="400" w:lineRule="exact"/>
              <w:jc w:val="center"/>
              <w:rPr>
                <w:rFonts w:ascii="宋体" w:hAnsi="宋体"/>
                <w:bCs/>
                <w:color w:val="auto"/>
                <w:szCs w:val="21"/>
                <w:highlight w:val="none"/>
              </w:rPr>
            </w:pPr>
          </w:p>
        </w:tc>
      </w:tr>
      <w:tr w14:paraId="4DE80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tcBorders>
              <w:top w:val="single" w:color="auto" w:sz="4" w:space="0"/>
              <w:left w:val="single" w:color="auto" w:sz="4" w:space="0"/>
              <w:bottom w:val="single" w:color="auto" w:sz="4" w:space="0"/>
            </w:tcBorders>
            <w:vAlign w:val="center"/>
          </w:tcPr>
          <w:p w14:paraId="35A5EBCD">
            <w:pPr>
              <w:spacing w:line="400" w:lineRule="exact"/>
              <w:jc w:val="center"/>
              <w:rPr>
                <w:rFonts w:ascii="宋体" w:hAnsi="宋体"/>
                <w:bCs/>
                <w:color w:val="auto"/>
                <w:szCs w:val="21"/>
                <w:highlight w:val="none"/>
              </w:rPr>
            </w:pPr>
            <w:r>
              <w:rPr>
                <w:rFonts w:hint="eastAsia" w:ascii="宋体" w:hAnsi="宋体"/>
                <w:bCs/>
                <w:color w:val="auto"/>
                <w:szCs w:val="21"/>
                <w:highlight w:val="none"/>
              </w:rPr>
              <w:t>..</w:t>
            </w:r>
          </w:p>
        </w:tc>
        <w:tc>
          <w:tcPr>
            <w:tcW w:w="843" w:type="pct"/>
            <w:tcBorders>
              <w:top w:val="single" w:color="auto" w:sz="4" w:space="0"/>
              <w:bottom w:val="single" w:color="auto" w:sz="4" w:space="0"/>
            </w:tcBorders>
            <w:vAlign w:val="center"/>
          </w:tcPr>
          <w:p w14:paraId="38D53105">
            <w:pPr>
              <w:spacing w:line="400" w:lineRule="exact"/>
              <w:jc w:val="center"/>
              <w:rPr>
                <w:rFonts w:ascii="宋体" w:hAnsi="宋体"/>
                <w:bCs/>
                <w:color w:val="auto"/>
                <w:szCs w:val="21"/>
                <w:highlight w:val="none"/>
              </w:rPr>
            </w:pPr>
            <w:r>
              <w:rPr>
                <w:rFonts w:hint="eastAsia" w:ascii="宋体" w:hAnsi="宋体"/>
                <w:bCs/>
                <w:color w:val="auto"/>
                <w:szCs w:val="21"/>
                <w:highlight w:val="none"/>
              </w:rPr>
              <w:t>..</w:t>
            </w:r>
          </w:p>
        </w:tc>
        <w:tc>
          <w:tcPr>
            <w:tcW w:w="608" w:type="pct"/>
            <w:tcBorders>
              <w:top w:val="single" w:color="auto" w:sz="4" w:space="0"/>
              <w:bottom w:val="single" w:color="auto" w:sz="4" w:space="0"/>
            </w:tcBorders>
            <w:vAlign w:val="center"/>
          </w:tcPr>
          <w:p w14:paraId="51E89FF1">
            <w:pPr>
              <w:spacing w:line="400" w:lineRule="exact"/>
              <w:jc w:val="center"/>
              <w:rPr>
                <w:rFonts w:ascii="宋体" w:hAnsi="宋体"/>
                <w:bCs/>
                <w:color w:val="auto"/>
                <w:szCs w:val="21"/>
                <w:highlight w:val="none"/>
              </w:rPr>
            </w:pPr>
          </w:p>
        </w:tc>
        <w:tc>
          <w:tcPr>
            <w:tcW w:w="580" w:type="pct"/>
            <w:tcBorders>
              <w:top w:val="single" w:color="auto" w:sz="4" w:space="0"/>
              <w:bottom w:val="single" w:color="auto" w:sz="4" w:space="0"/>
            </w:tcBorders>
            <w:vAlign w:val="center"/>
          </w:tcPr>
          <w:p w14:paraId="1B52ADCF">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73B97BAD">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7550DEEC">
            <w:pPr>
              <w:tabs>
                <w:tab w:val="left" w:pos="4648"/>
              </w:tabs>
              <w:spacing w:line="400" w:lineRule="exact"/>
              <w:jc w:val="center"/>
              <w:rPr>
                <w:rFonts w:ascii="宋体" w:hAnsi="宋体"/>
                <w:bCs/>
                <w:color w:val="auto"/>
                <w:szCs w:val="21"/>
                <w:highlight w:val="none"/>
              </w:rPr>
            </w:pPr>
          </w:p>
        </w:tc>
      </w:tr>
      <w:tr w14:paraId="02ED7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0" w:type="pct"/>
            <w:gridSpan w:val="2"/>
            <w:tcBorders>
              <w:top w:val="single" w:color="auto" w:sz="4" w:space="0"/>
              <w:left w:val="single" w:color="auto" w:sz="4" w:space="0"/>
              <w:bottom w:val="single" w:color="auto" w:sz="4" w:space="0"/>
            </w:tcBorders>
            <w:vAlign w:val="center"/>
          </w:tcPr>
          <w:p w14:paraId="3D88FF8F">
            <w:pPr>
              <w:spacing w:line="400" w:lineRule="exact"/>
              <w:jc w:val="center"/>
              <w:rPr>
                <w:rFonts w:ascii="宋体" w:hAnsi="宋体"/>
                <w:bCs/>
                <w:color w:val="auto"/>
                <w:szCs w:val="21"/>
                <w:highlight w:val="none"/>
              </w:rPr>
            </w:pPr>
            <w:r>
              <w:rPr>
                <w:rFonts w:hint="eastAsia" w:ascii="宋体" w:hAnsi="宋体"/>
                <w:bCs/>
                <w:color w:val="auto"/>
                <w:szCs w:val="21"/>
                <w:highlight w:val="none"/>
              </w:rPr>
              <w:t>其他费用</w:t>
            </w:r>
          </w:p>
        </w:tc>
        <w:tc>
          <w:tcPr>
            <w:tcW w:w="608" w:type="pct"/>
            <w:tcBorders>
              <w:top w:val="single" w:color="auto" w:sz="4" w:space="0"/>
              <w:bottom w:val="single" w:color="auto" w:sz="4" w:space="0"/>
            </w:tcBorders>
            <w:vAlign w:val="center"/>
          </w:tcPr>
          <w:p w14:paraId="5B34E89E">
            <w:pPr>
              <w:spacing w:line="400" w:lineRule="exact"/>
              <w:jc w:val="center"/>
              <w:rPr>
                <w:rFonts w:ascii="宋体" w:hAnsi="宋体"/>
                <w:bCs/>
                <w:color w:val="auto"/>
                <w:szCs w:val="21"/>
                <w:highlight w:val="none"/>
              </w:rPr>
            </w:pPr>
          </w:p>
        </w:tc>
        <w:tc>
          <w:tcPr>
            <w:tcW w:w="580" w:type="pct"/>
            <w:tcBorders>
              <w:top w:val="single" w:color="auto" w:sz="4" w:space="0"/>
              <w:bottom w:val="single" w:color="auto" w:sz="4" w:space="0"/>
            </w:tcBorders>
            <w:vAlign w:val="center"/>
          </w:tcPr>
          <w:p w14:paraId="4E7190E0">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4D4AA9D6">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440BE2CC">
            <w:pPr>
              <w:tabs>
                <w:tab w:val="left" w:pos="4648"/>
              </w:tabs>
              <w:spacing w:line="400" w:lineRule="exact"/>
              <w:jc w:val="center"/>
              <w:rPr>
                <w:rFonts w:ascii="宋体" w:hAnsi="宋体"/>
                <w:bCs/>
                <w:color w:val="auto"/>
                <w:szCs w:val="21"/>
                <w:highlight w:val="none"/>
              </w:rPr>
            </w:pPr>
          </w:p>
        </w:tc>
      </w:tr>
      <w:tr w14:paraId="23A33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0" w:type="pct"/>
            <w:gridSpan w:val="2"/>
            <w:tcBorders>
              <w:top w:val="single" w:color="auto" w:sz="4" w:space="0"/>
              <w:left w:val="single" w:color="auto" w:sz="4" w:space="0"/>
              <w:bottom w:val="single" w:color="auto" w:sz="4" w:space="0"/>
            </w:tcBorders>
            <w:vAlign w:val="center"/>
          </w:tcPr>
          <w:p w14:paraId="54A47FC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608" w:type="pct"/>
            <w:tcBorders>
              <w:top w:val="single" w:color="auto" w:sz="4" w:space="0"/>
              <w:bottom w:val="single" w:color="auto" w:sz="4" w:space="0"/>
            </w:tcBorders>
            <w:vAlign w:val="center"/>
          </w:tcPr>
          <w:p w14:paraId="702A9695">
            <w:pPr>
              <w:widowControl/>
              <w:spacing w:line="400" w:lineRule="exact"/>
              <w:jc w:val="center"/>
              <w:rPr>
                <w:rFonts w:ascii="宋体" w:hAnsi="宋体" w:cs="宋体"/>
                <w:color w:val="auto"/>
                <w:kern w:val="0"/>
                <w:szCs w:val="21"/>
                <w:highlight w:val="none"/>
              </w:rPr>
            </w:pPr>
          </w:p>
        </w:tc>
        <w:tc>
          <w:tcPr>
            <w:tcW w:w="580" w:type="pct"/>
            <w:tcBorders>
              <w:top w:val="single" w:color="auto" w:sz="4" w:space="0"/>
              <w:bottom w:val="single" w:color="auto" w:sz="4" w:space="0"/>
            </w:tcBorders>
            <w:vAlign w:val="center"/>
          </w:tcPr>
          <w:p w14:paraId="0D889C60">
            <w:pPr>
              <w:spacing w:line="400" w:lineRule="exact"/>
              <w:jc w:val="center"/>
              <w:rPr>
                <w:rFonts w:ascii="宋体" w:hAnsi="宋体"/>
                <w:bCs/>
                <w:color w:val="auto"/>
                <w:szCs w:val="21"/>
                <w:highlight w:val="none"/>
              </w:rPr>
            </w:pPr>
          </w:p>
        </w:tc>
        <w:tc>
          <w:tcPr>
            <w:tcW w:w="1213" w:type="pct"/>
            <w:tcBorders>
              <w:top w:val="single" w:color="auto" w:sz="4" w:space="0"/>
              <w:bottom w:val="single" w:color="auto" w:sz="4" w:space="0"/>
              <w:right w:val="single" w:color="auto" w:sz="4" w:space="0"/>
            </w:tcBorders>
            <w:vAlign w:val="center"/>
          </w:tcPr>
          <w:p w14:paraId="78C2F4A4">
            <w:pPr>
              <w:spacing w:line="400" w:lineRule="exact"/>
              <w:jc w:val="center"/>
              <w:rPr>
                <w:rFonts w:ascii="宋体" w:hAnsi="宋体"/>
                <w:bCs/>
                <w:color w:val="auto"/>
                <w:szCs w:val="21"/>
                <w:highlight w:val="none"/>
              </w:rPr>
            </w:pPr>
          </w:p>
        </w:tc>
        <w:tc>
          <w:tcPr>
            <w:tcW w:w="1267" w:type="pct"/>
            <w:tcBorders>
              <w:top w:val="single" w:color="auto" w:sz="4" w:space="0"/>
              <w:bottom w:val="single" w:color="auto" w:sz="4" w:space="0"/>
              <w:right w:val="single" w:color="auto" w:sz="4" w:space="0"/>
            </w:tcBorders>
            <w:vAlign w:val="center"/>
          </w:tcPr>
          <w:p w14:paraId="7F79400C">
            <w:pPr>
              <w:tabs>
                <w:tab w:val="left" w:pos="4648"/>
              </w:tabs>
              <w:spacing w:line="400" w:lineRule="exact"/>
              <w:jc w:val="center"/>
              <w:rPr>
                <w:rFonts w:ascii="宋体" w:hAnsi="宋体"/>
                <w:bCs/>
                <w:color w:val="auto"/>
                <w:szCs w:val="21"/>
                <w:highlight w:val="none"/>
              </w:rPr>
            </w:pPr>
          </w:p>
        </w:tc>
      </w:tr>
      <w:tr w14:paraId="09076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9" w:type="pct"/>
            <w:gridSpan w:val="4"/>
            <w:tcBorders>
              <w:top w:val="single" w:color="auto" w:sz="4" w:space="0"/>
              <w:left w:val="single" w:color="auto" w:sz="4" w:space="0"/>
              <w:bottom w:val="single" w:color="auto" w:sz="4" w:space="0"/>
              <w:right w:val="single" w:color="auto" w:sz="4" w:space="0"/>
            </w:tcBorders>
            <w:vAlign w:val="center"/>
          </w:tcPr>
          <w:p w14:paraId="0FF9C82F">
            <w:pPr>
              <w:spacing w:line="400" w:lineRule="exact"/>
              <w:jc w:val="center"/>
              <w:rPr>
                <w:rFonts w:ascii="宋体" w:hAnsi="宋体"/>
                <w:b/>
                <w:color w:val="auto"/>
                <w:szCs w:val="21"/>
                <w:highlight w:val="none"/>
              </w:rPr>
            </w:pPr>
            <w:r>
              <w:rPr>
                <w:rFonts w:hint="eastAsia" w:ascii="宋体" w:hAnsi="宋体"/>
                <w:b/>
                <w:color w:val="auto"/>
                <w:szCs w:val="21"/>
                <w:highlight w:val="none"/>
              </w:rPr>
              <w:t>投标报价（小写）</w:t>
            </w:r>
          </w:p>
        </w:tc>
        <w:tc>
          <w:tcPr>
            <w:tcW w:w="1213" w:type="pct"/>
            <w:tcBorders>
              <w:top w:val="single" w:color="auto" w:sz="4" w:space="0"/>
              <w:left w:val="single" w:color="auto" w:sz="4" w:space="0"/>
              <w:bottom w:val="single" w:color="auto" w:sz="4" w:space="0"/>
              <w:right w:val="single" w:color="auto" w:sz="4" w:space="0"/>
            </w:tcBorders>
            <w:vAlign w:val="center"/>
          </w:tcPr>
          <w:p w14:paraId="5FA7E0C5">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1267" w:type="pct"/>
            <w:tcBorders>
              <w:top w:val="single" w:color="auto" w:sz="4" w:space="0"/>
              <w:left w:val="single" w:color="auto" w:sz="4" w:space="0"/>
              <w:bottom w:val="single" w:color="auto" w:sz="4" w:space="0"/>
              <w:right w:val="single" w:color="auto" w:sz="4" w:space="0"/>
            </w:tcBorders>
            <w:vAlign w:val="center"/>
          </w:tcPr>
          <w:p w14:paraId="790C78F7">
            <w:pPr>
              <w:spacing w:line="400" w:lineRule="exact"/>
              <w:ind w:left="184"/>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元/年</w:t>
            </w:r>
          </w:p>
        </w:tc>
      </w:tr>
    </w:tbl>
    <w:p w14:paraId="114B53E4">
      <w:pPr>
        <w:pStyle w:val="20"/>
        <w:spacing w:line="400" w:lineRule="exact"/>
        <w:ind w:firstLine="210"/>
        <w:rPr>
          <w:rFonts w:hint="eastAsia" w:ascii="宋体" w:hAnsi="宋体" w:eastAsia="宋体"/>
          <w:color w:val="auto"/>
          <w:sz w:val="21"/>
          <w:szCs w:val="21"/>
          <w:highlight w:val="none"/>
        </w:rPr>
      </w:pPr>
    </w:p>
    <w:p w14:paraId="724561AD">
      <w:pPr>
        <w:pStyle w:val="20"/>
        <w:spacing w:line="400" w:lineRule="exact"/>
        <w:ind w:firstLine="210"/>
        <w:rPr>
          <w:rFonts w:ascii="宋体" w:hAnsi="宋体" w:eastAsia="宋体"/>
          <w:color w:val="auto"/>
          <w:sz w:val="21"/>
          <w:szCs w:val="21"/>
          <w:highlight w:val="none"/>
        </w:rPr>
      </w:pPr>
      <w:r>
        <w:rPr>
          <w:rFonts w:hint="eastAsia" w:ascii="宋体" w:hAnsi="宋体" w:eastAsia="宋体"/>
          <w:color w:val="auto"/>
          <w:sz w:val="21"/>
          <w:szCs w:val="21"/>
          <w:highlight w:val="none"/>
        </w:rPr>
        <w:t>注：1、供应商可根据实际情况自行填写，但必须注明具体的细目内容，栏目不够可自行添加。</w:t>
      </w:r>
    </w:p>
    <w:p w14:paraId="7A1CB697">
      <w:pPr>
        <w:pStyle w:val="20"/>
        <w:spacing w:line="400" w:lineRule="exact"/>
        <w:ind w:firstLine="210"/>
        <w:rPr>
          <w:rFonts w:ascii="宋体" w:hAnsi="宋体" w:eastAsia="宋体"/>
          <w:color w:val="auto"/>
          <w:sz w:val="21"/>
          <w:szCs w:val="21"/>
          <w:highlight w:val="none"/>
        </w:rPr>
      </w:pPr>
      <w:r>
        <w:rPr>
          <w:rFonts w:hint="eastAsia" w:ascii="宋体" w:hAnsi="宋体" w:eastAsia="宋体"/>
          <w:color w:val="auto"/>
          <w:sz w:val="21"/>
          <w:szCs w:val="21"/>
          <w:highlight w:val="none"/>
        </w:rPr>
        <w:t>2、附有具体的测算明细单。</w:t>
      </w:r>
    </w:p>
    <w:p w14:paraId="603D2C00">
      <w:pPr>
        <w:spacing w:line="400" w:lineRule="exact"/>
        <w:jc w:val="left"/>
        <w:rPr>
          <w:rFonts w:hint="eastAsia" w:ascii="宋体" w:hAnsi="宋体"/>
          <w:color w:val="auto"/>
          <w:szCs w:val="21"/>
          <w:highlight w:val="none"/>
        </w:rPr>
      </w:pPr>
    </w:p>
    <w:p w14:paraId="176B206C">
      <w:pPr>
        <w:spacing w:line="400" w:lineRule="exact"/>
        <w:jc w:val="left"/>
        <w:rPr>
          <w:rFonts w:ascii="宋体" w:hAnsi="宋体"/>
          <w:color w:val="auto"/>
          <w:szCs w:val="21"/>
          <w:highlight w:val="none"/>
        </w:rPr>
      </w:pPr>
      <w:r>
        <w:rPr>
          <w:rFonts w:hint="eastAsia" w:ascii="宋体" w:hAnsi="宋体"/>
          <w:color w:val="auto"/>
          <w:szCs w:val="21"/>
          <w:highlight w:val="none"/>
        </w:rPr>
        <w:t xml:space="preserve">供应商（盖章）：  </w:t>
      </w:r>
    </w:p>
    <w:p w14:paraId="79A1A1E2">
      <w:pPr>
        <w:spacing w:line="400" w:lineRule="exact"/>
        <w:jc w:val="left"/>
        <w:rPr>
          <w:rFonts w:ascii="宋体" w:hAnsi="宋体"/>
          <w:color w:val="auto"/>
          <w:szCs w:val="21"/>
          <w:highlight w:val="none"/>
        </w:rPr>
      </w:pPr>
    </w:p>
    <w:p w14:paraId="71A73958">
      <w:pPr>
        <w:spacing w:line="400" w:lineRule="exact"/>
        <w:jc w:val="left"/>
        <w:rPr>
          <w:rFonts w:ascii="宋体" w:hAnsi="宋体"/>
          <w:color w:val="auto"/>
          <w:szCs w:val="21"/>
          <w:highlight w:val="none"/>
        </w:rPr>
      </w:pPr>
      <w:r>
        <w:rPr>
          <w:rFonts w:hint="eastAsia" w:ascii="宋体" w:hAnsi="宋体"/>
          <w:color w:val="auto"/>
          <w:szCs w:val="21"/>
          <w:highlight w:val="none"/>
        </w:rPr>
        <w:t>日          期：</w:t>
      </w:r>
      <w:r>
        <w:rPr>
          <w:rFonts w:ascii="宋体" w:hAnsi="宋体"/>
          <w:color w:val="auto"/>
          <w:szCs w:val="21"/>
          <w:highlight w:val="none"/>
        </w:rPr>
        <w:t xml:space="preserve">  </w:t>
      </w:r>
    </w:p>
    <w:p w14:paraId="01C222B1">
      <w:pPr>
        <w:rPr>
          <w:rFonts w:ascii="宋体" w:hAnsi="宋体"/>
          <w:b/>
          <w:color w:val="auto"/>
          <w:szCs w:val="21"/>
          <w:highlight w:val="none"/>
        </w:rPr>
      </w:pPr>
      <w:r>
        <w:rPr>
          <w:rFonts w:hint="eastAsia" w:ascii="宋体" w:hAnsi="宋体"/>
          <w:b/>
          <w:color w:val="auto"/>
          <w:szCs w:val="21"/>
          <w:highlight w:val="none"/>
        </w:rPr>
        <w:br w:type="page"/>
      </w:r>
    </w:p>
    <w:p w14:paraId="7AB84A36">
      <w:pPr>
        <w:pStyle w:val="20"/>
        <w:spacing w:line="400" w:lineRule="exact"/>
        <w:ind w:firstLine="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2、综合单价分析表</w:t>
      </w:r>
    </w:p>
    <w:p w14:paraId="0EFA92FC">
      <w:pPr>
        <w:pStyle w:val="20"/>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宁波市精神病院医院陪护服务管理外包项目</w:t>
      </w:r>
    </w:p>
    <w:p w14:paraId="11E02A98">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NBITC-</w:t>
      </w:r>
      <w:r>
        <w:rPr>
          <w:rFonts w:hint="eastAsia" w:ascii="宋体" w:hAnsi="宋体" w:eastAsia="宋体"/>
          <w:color w:val="auto"/>
          <w:sz w:val="21"/>
          <w:szCs w:val="21"/>
          <w:highlight w:val="none"/>
          <w:u w:val="single"/>
          <w:lang w:eastAsia="zh-CN"/>
        </w:rPr>
        <w:t>202411328G</w:t>
      </w:r>
      <w:r>
        <w:rPr>
          <w:rFonts w:hint="eastAsia" w:ascii="宋体" w:hAnsi="宋体" w:eastAsia="宋体"/>
          <w:color w:val="auto"/>
          <w:sz w:val="21"/>
          <w:szCs w:val="21"/>
          <w:highlight w:val="none"/>
        </w:rPr>
        <w:t xml:space="preserve">                      </w:t>
      </w:r>
    </w:p>
    <w:p w14:paraId="291D3C9C">
      <w:pPr>
        <w:spacing w:line="400" w:lineRule="exact"/>
        <w:rPr>
          <w:rFonts w:ascii="宋体" w:hAnsi="宋体"/>
          <w:b/>
          <w:color w:val="auto"/>
          <w:szCs w:val="21"/>
          <w:highlight w:val="none"/>
        </w:rPr>
      </w:pPr>
      <w:r>
        <w:rPr>
          <w:rFonts w:hint="eastAsia" w:ascii="宋体" w:hAnsi="宋体"/>
          <w:b/>
          <w:color w:val="auto"/>
          <w:szCs w:val="21"/>
          <w:highlight w:val="none"/>
        </w:rPr>
        <w:t>岗位名称</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color w:val="auto"/>
          <w:szCs w:val="21"/>
          <w:highlight w:val="none"/>
        </w:rPr>
        <w:t xml:space="preserve">              </w:t>
      </w:r>
      <w:r>
        <w:rPr>
          <w:rFonts w:hint="eastAsia" w:ascii="宋体" w:hAnsi="宋体"/>
          <w:color w:val="auto"/>
          <w:szCs w:val="21"/>
          <w:highlight w:val="none"/>
        </w:rPr>
        <w:t>货币单位：人民币</w:t>
      </w:r>
    </w:p>
    <w:tbl>
      <w:tblPr>
        <w:tblStyle w:val="50"/>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6"/>
        <w:gridCol w:w="2290"/>
        <w:gridCol w:w="2437"/>
        <w:gridCol w:w="3679"/>
      </w:tblGrid>
      <w:tr w14:paraId="622BE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74141242">
            <w:pPr>
              <w:spacing w:line="400" w:lineRule="exact"/>
              <w:jc w:val="center"/>
              <w:rPr>
                <w:rFonts w:ascii="宋体" w:hAnsi="宋体"/>
                <w:b/>
                <w:color w:val="auto"/>
                <w:szCs w:val="21"/>
                <w:highlight w:val="none"/>
              </w:rPr>
            </w:pPr>
            <w:r>
              <w:rPr>
                <w:rFonts w:ascii="宋体" w:hAnsi="宋体"/>
                <w:b/>
                <w:color w:val="auto"/>
                <w:szCs w:val="21"/>
                <w:highlight w:val="none"/>
              </w:rPr>
              <w:t>序号</w:t>
            </w:r>
          </w:p>
        </w:tc>
        <w:tc>
          <w:tcPr>
            <w:tcW w:w="1193" w:type="pct"/>
            <w:tcBorders>
              <w:top w:val="single" w:color="auto" w:sz="4" w:space="0"/>
              <w:left w:val="single" w:color="auto" w:sz="4" w:space="0"/>
              <w:bottom w:val="single" w:color="auto" w:sz="4" w:space="0"/>
              <w:right w:val="single" w:color="auto" w:sz="4" w:space="0"/>
            </w:tcBorders>
            <w:vAlign w:val="center"/>
          </w:tcPr>
          <w:p w14:paraId="27BAADC2">
            <w:pPr>
              <w:spacing w:line="400" w:lineRule="exact"/>
              <w:jc w:val="center"/>
              <w:rPr>
                <w:rFonts w:ascii="宋体" w:hAnsi="宋体"/>
                <w:b/>
                <w:color w:val="auto"/>
                <w:szCs w:val="21"/>
                <w:highlight w:val="none"/>
              </w:rPr>
            </w:pPr>
            <w:r>
              <w:rPr>
                <w:rFonts w:ascii="宋体" w:hAnsi="宋体"/>
                <w:b/>
                <w:color w:val="auto"/>
                <w:szCs w:val="21"/>
                <w:highlight w:val="none"/>
              </w:rPr>
              <w:t>科目</w:t>
            </w:r>
          </w:p>
        </w:tc>
        <w:tc>
          <w:tcPr>
            <w:tcW w:w="1270" w:type="pct"/>
            <w:tcBorders>
              <w:top w:val="single" w:color="auto" w:sz="4" w:space="0"/>
              <w:left w:val="single" w:color="auto" w:sz="4" w:space="0"/>
              <w:bottom w:val="single" w:color="auto" w:sz="4" w:space="0"/>
              <w:right w:val="single" w:color="auto" w:sz="4" w:space="0"/>
            </w:tcBorders>
            <w:vAlign w:val="center"/>
          </w:tcPr>
          <w:p w14:paraId="07413127">
            <w:pPr>
              <w:spacing w:line="400" w:lineRule="exact"/>
              <w:jc w:val="center"/>
              <w:rPr>
                <w:rFonts w:ascii="宋体" w:hAnsi="宋体"/>
                <w:b/>
                <w:color w:val="auto"/>
                <w:szCs w:val="21"/>
                <w:highlight w:val="none"/>
              </w:rPr>
            </w:pPr>
            <w:r>
              <w:rPr>
                <w:rFonts w:hint="eastAsia" w:ascii="宋体" w:hAnsi="宋体"/>
                <w:b/>
                <w:color w:val="auto"/>
                <w:szCs w:val="21"/>
                <w:highlight w:val="none"/>
              </w:rPr>
              <w:t>金额</w:t>
            </w:r>
            <w:r>
              <w:rPr>
                <w:rFonts w:hint="eastAsia" w:ascii="宋体" w:hAnsi="宋体"/>
                <w:b/>
                <w:bCs/>
                <w:color w:val="auto"/>
                <w:szCs w:val="21"/>
                <w:highlight w:val="none"/>
              </w:rPr>
              <w:t>（元/人·月）</w:t>
            </w:r>
          </w:p>
        </w:tc>
        <w:tc>
          <w:tcPr>
            <w:tcW w:w="1917" w:type="pct"/>
            <w:tcBorders>
              <w:top w:val="single" w:color="auto" w:sz="4" w:space="0"/>
              <w:left w:val="single" w:color="auto" w:sz="4" w:space="0"/>
              <w:bottom w:val="single" w:color="auto" w:sz="4" w:space="0"/>
              <w:right w:val="single" w:color="auto" w:sz="4" w:space="0"/>
            </w:tcBorders>
            <w:vAlign w:val="center"/>
          </w:tcPr>
          <w:p w14:paraId="4A58D420">
            <w:pPr>
              <w:spacing w:line="400" w:lineRule="exact"/>
              <w:jc w:val="center"/>
              <w:rPr>
                <w:rFonts w:ascii="宋体" w:hAnsi="宋体"/>
                <w:b/>
                <w:color w:val="auto"/>
                <w:szCs w:val="21"/>
                <w:highlight w:val="none"/>
              </w:rPr>
            </w:pPr>
            <w:r>
              <w:rPr>
                <w:rFonts w:ascii="宋体" w:hAnsi="宋体"/>
                <w:b/>
                <w:color w:val="auto"/>
                <w:szCs w:val="21"/>
                <w:highlight w:val="none"/>
              </w:rPr>
              <w:t>说  明</w:t>
            </w:r>
          </w:p>
        </w:tc>
      </w:tr>
      <w:tr w14:paraId="32C47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733DA7D3">
            <w:pPr>
              <w:spacing w:line="400" w:lineRule="exact"/>
              <w:jc w:val="center"/>
              <w:rPr>
                <w:rFonts w:ascii="宋体" w:hAnsi="宋体"/>
                <w:b/>
                <w:color w:val="auto"/>
                <w:szCs w:val="21"/>
                <w:highlight w:val="none"/>
              </w:rPr>
            </w:pPr>
            <w:r>
              <w:rPr>
                <w:rFonts w:ascii="宋体" w:hAnsi="宋体"/>
                <w:b/>
                <w:color w:val="auto"/>
                <w:szCs w:val="21"/>
                <w:highlight w:val="none"/>
              </w:rPr>
              <w:t>1</w:t>
            </w:r>
          </w:p>
        </w:tc>
        <w:tc>
          <w:tcPr>
            <w:tcW w:w="1193" w:type="pct"/>
            <w:tcBorders>
              <w:top w:val="single" w:color="auto" w:sz="4" w:space="0"/>
              <w:left w:val="single" w:color="auto" w:sz="4" w:space="0"/>
              <w:bottom w:val="single" w:color="auto" w:sz="4" w:space="0"/>
              <w:right w:val="single" w:color="auto" w:sz="4" w:space="0"/>
            </w:tcBorders>
            <w:vAlign w:val="center"/>
          </w:tcPr>
          <w:p w14:paraId="6E11BBEC">
            <w:pPr>
              <w:spacing w:line="400" w:lineRule="exact"/>
              <w:jc w:val="center"/>
              <w:rPr>
                <w:rFonts w:ascii="宋体" w:hAnsi="宋体"/>
                <w:b/>
                <w:color w:val="auto"/>
                <w:szCs w:val="21"/>
                <w:highlight w:val="none"/>
              </w:rPr>
            </w:pPr>
            <w:r>
              <w:rPr>
                <w:rFonts w:hint="eastAsia" w:ascii="宋体" w:hAnsi="宋体"/>
                <w:b/>
                <w:color w:val="auto"/>
                <w:szCs w:val="21"/>
                <w:highlight w:val="none"/>
              </w:rPr>
              <w:t>人力成本</w:t>
            </w:r>
          </w:p>
        </w:tc>
        <w:tc>
          <w:tcPr>
            <w:tcW w:w="1270" w:type="pct"/>
            <w:tcBorders>
              <w:top w:val="single" w:color="auto" w:sz="4" w:space="0"/>
              <w:left w:val="single" w:color="auto" w:sz="4" w:space="0"/>
              <w:bottom w:val="single" w:color="auto" w:sz="4" w:space="0"/>
              <w:right w:val="single" w:color="auto" w:sz="4" w:space="0"/>
            </w:tcBorders>
            <w:vAlign w:val="center"/>
          </w:tcPr>
          <w:p w14:paraId="77D9965A">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269E684C">
            <w:pPr>
              <w:spacing w:line="400" w:lineRule="exact"/>
              <w:jc w:val="center"/>
              <w:rPr>
                <w:rFonts w:ascii="宋体" w:hAnsi="宋体"/>
                <w:color w:val="auto"/>
                <w:szCs w:val="21"/>
                <w:highlight w:val="none"/>
              </w:rPr>
            </w:pPr>
          </w:p>
        </w:tc>
      </w:tr>
      <w:tr w14:paraId="4772B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6C1469C6">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1193" w:type="pct"/>
            <w:tcBorders>
              <w:top w:val="single" w:color="auto" w:sz="4" w:space="0"/>
              <w:left w:val="single" w:color="auto" w:sz="4" w:space="0"/>
              <w:bottom w:val="single" w:color="auto" w:sz="4" w:space="0"/>
              <w:right w:val="single" w:color="auto" w:sz="4" w:space="0"/>
            </w:tcBorders>
            <w:vAlign w:val="center"/>
          </w:tcPr>
          <w:p w14:paraId="5113CC87">
            <w:pPr>
              <w:spacing w:line="400" w:lineRule="exact"/>
              <w:jc w:val="center"/>
              <w:rPr>
                <w:rFonts w:ascii="宋体" w:hAnsi="宋体"/>
                <w:color w:val="auto"/>
                <w:szCs w:val="21"/>
                <w:highlight w:val="none"/>
              </w:rPr>
            </w:pPr>
            <w:r>
              <w:rPr>
                <w:rFonts w:hint="eastAsia" w:ascii="宋体" w:hAnsi="宋体"/>
                <w:color w:val="auto"/>
                <w:szCs w:val="21"/>
                <w:highlight w:val="none"/>
              </w:rPr>
              <w:t>月度</w:t>
            </w:r>
            <w:r>
              <w:rPr>
                <w:rFonts w:ascii="宋体" w:hAnsi="宋体"/>
                <w:color w:val="auto"/>
                <w:szCs w:val="21"/>
                <w:highlight w:val="none"/>
              </w:rPr>
              <w:t>工资</w:t>
            </w:r>
          </w:p>
        </w:tc>
        <w:tc>
          <w:tcPr>
            <w:tcW w:w="1270" w:type="pct"/>
            <w:tcBorders>
              <w:top w:val="single" w:color="auto" w:sz="4" w:space="0"/>
              <w:left w:val="single" w:color="auto" w:sz="4" w:space="0"/>
              <w:bottom w:val="single" w:color="auto" w:sz="4" w:space="0"/>
              <w:right w:val="single" w:color="auto" w:sz="4" w:space="0"/>
            </w:tcBorders>
            <w:vAlign w:val="center"/>
          </w:tcPr>
          <w:p w14:paraId="0F4D456B">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48C38D8A">
            <w:pPr>
              <w:spacing w:line="400" w:lineRule="exact"/>
              <w:jc w:val="left"/>
              <w:rPr>
                <w:rFonts w:ascii="宋体" w:hAnsi="宋体"/>
                <w:b/>
                <w:color w:val="auto"/>
                <w:szCs w:val="21"/>
                <w:highlight w:val="none"/>
              </w:rPr>
            </w:pPr>
            <w:r>
              <w:rPr>
                <w:rFonts w:hint="eastAsia" w:ascii="宋体" w:hAnsi="宋体"/>
                <w:b/>
                <w:color w:val="auto"/>
                <w:szCs w:val="21"/>
                <w:highlight w:val="none"/>
                <w:lang w:eastAsia="zh-CN"/>
              </w:rPr>
              <w:t>★</w:t>
            </w:r>
            <w:r>
              <w:rPr>
                <w:rFonts w:ascii="宋体" w:hAnsi="宋体"/>
                <w:color w:val="auto"/>
                <w:szCs w:val="21"/>
                <w:highlight w:val="none"/>
              </w:rPr>
              <w:t>在合同执行期间，员工工资不得低于宁波</w:t>
            </w:r>
            <w:r>
              <w:rPr>
                <w:rFonts w:hint="eastAsia" w:ascii="宋体" w:hAnsi="宋体"/>
                <w:color w:val="auto"/>
                <w:szCs w:val="21"/>
                <w:highlight w:val="none"/>
              </w:rPr>
              <w:t>市</w:t>
            </w:r>
            <w:r>
              <w:rPr>
                <w:rFonts w:ascii="宋体" w:hAnsi="宋体"/>
                <w:color w:val="auto"/>
                <w:szCs w:val="21"/>
                <w:highlight w:val="none"/>
              </w:rPr>
              <w:t>规定的当年最低工资标准，所有人员必须交纳包括养老、工伤、失业、生育、医疗、工会大病保险等在内的社会保障资金，不得低于</w:t>
            </w:r>
            <w:r>
              <w:rPr>
                <w:rFonts w:hint="eastAsia" w:ascii="宋体" w:hAnsi="宋体"/>
                <w:color w:val="auto"/>
                <w:szCs w:val="21"/>
                <w:highlight w:val="none"/>
              </w:rPr>
              <w:t>宁波市</w:t>
            </w:r>
            <w:r>
              <w:rPr>
                <w:rFonts w:ascii="宋体" w:hAnsi="宋体"/>
                <w:color w:val="auto"/>
                <w:szCs w:val="21"/>
                <w:highlight w:val="none"/>
              </w:rPr>
              <w:t>规定的当年社保缴费数</w:t>
            </w:r>
            <w:r>
              <w:rPr>
                <w:rFonts w:hint="eastAsia" w:ascii="宋体" w:hAnsi="宋体"/>
                <w:color w:val="auto"/>
                <w:szCs w:val="21"/>
                <w:highlight w:val="none"/>
              </w:rPr>
              <w:t>，所有人员实行定人定岗定薪。（</w:t>
            </w:r>
            <w:r>
              <w:rPr>
                <w:rFonts w:hint="eastAsia" w:ascii="宋体" w:hAnsi="宋体"/>
                <w:b/>
                <w:bCs/>
                <w:color w:val="auto"/>
                <w:szCs w:val="21"/>
                <w:highlight w:val="none"/>
              </w:rPr>
              <w:t>服务周期内，</w:t>
            </w:r>
            <w:r>
              <w:rPr>
                <w:rFonts w:hint="eastAsia" w:ascii="宋体" w:hAnsi="宋体"/>
                <w:b/>
                <w:color w:val="auto"/>
                <w:szCs w:val="21"/>
                <w:highlight w:val="none"/>
              </w:rPr>
              <w:t>如宁波市社会平均最低工资调整、税金及社会保障金等其它费用调整均由中标供应商负责。</w:t>
            </w:r>
            <w:r>
              <w:rPr>
                <w:rFonts w:hint="eastAsia" w:ascii="宋体" w:hAnsi="宋体"/>
                <w:color w:val="auto"/>
                <w:szCs w:val="21"/>
                <w:highlight w:val="none"/>
              </w:rPr>
              <w:t>）</w:t>
            </w:r>
          </w:p>
        </w:tc>
      </w:tr>
      <w:tr w14:paraId="6CF6A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187F63E7">
            <w:pPr>
              <w:spacing w:line="400" w:lineRule="exact"/>
              <w:jc w:val="center"/>
              <w:rPr>
                <w:rFonts w:ascii="宋体" w:hAnsi="宋体"/>
                <w:color w:val="auto"/>
                <w:szCs w:val="21"/>
                <w:highlight w:val="none"/>
              </w:rPr>
            </w:pPr>
            <w:r>
              <w:rPr>
                <w:rFonts w:ascii="宋体" w:hAnsi="宋体"/>
                <w:color w:val="auto"/>
                <w:szCs w:val="21"/>
                <w:highlight w:val="none"/>
              </w:rPr>
              <w:t>1.2</w:t>
            </w:r>
          </w:p>
        </w:tc>
        <w:tc>
          <w:tcPr>
            <w:tcW w:w="1193" w:type="pct"/>
            <w:tcBorders>
              <w:top w:val="single" w:color="auto" w:sz="4" w:space="0"/>
              <w:left w:val="single" w:color="auto" w:sz="4" w:space="0"/>
              <w:bottom w:val="single" w:color="auto" w:sz="4" w:space="0"/>
              <w:right w:val="single" w:color="auto" w:sz="4" w:space="0"/>
            </w:tcBorders>
            <w:vAlign w:val="center"/>
          </w:tcPr>
          <w:p w14:paraId="2D2AACCD">
            <w:pPr>
              <w:spacing w:line="400" w:lineRule="exact"/>
              <w:jc w:val="center"/>
              <w:rPr>
                <w:rFonts w:ascii="宋体" w:hAnsi="宋体"/>
                <w:color w:val="auto"/>
                <w:szCs w:val="21"/>
                <w:highlight w:val="none"/>
              </w:rPr>
            </w:pPr>
            <w:r>
              <w:rPr>
                <w:rFonts w:ascii="宋体" w:hAnsi="宋体"/>
                <w:color w:val="auto"/>
                <w:szCs w:val="21"/>
                <w:highlight w:val="none"/>
              </w:rPr>
              <w:t>社保及福利</w:t>
            </w:r>
          </w:p>
        </w:tc>
        <w:tc>
          <w:tcPr>
            <w:tcW w:w="1270" w:type="pct"/>
            <w:tcBorders>
              <w:top w:val="single" w:color="auto" w:sz="4" w:space="0"/>
              <w:left w:val="single" w:color="auto" w:sz="4" w:space="0"/>
              <w:bottom w:val="single" w:color="auto" w:sz="4" w:space="0"/>
              <w:right w:val="single" w:color="auto" w:sz="4" w:space="0"/>
            </w:tcBorders>
            <w:vAlign w:val="center"/>
          </w:tcPr>
          <w:p w14:paraId="5AAC6D3C">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4A99E839">
            <w:pPr>
              <w:spacing w:line="400" w:lineRule="exact"/>
              <w:jc w:val="left"/>
              <w:rPr>
                <w:rFonts w:ascii="宋体" w:hAnsi="宋体"/>
                <w:color w:val="auto"/>
                <w:szCs w:val="21"/>
                <w:highlight w:val="none"/>
              </w:rPr>
            </w:pPr>
          </w:p>
        </w:tc>
      </w:tr>
      <w:tr w14:paraId="37C81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76ED057E">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1193" w:type="pct"/>
            <w:tcBorders>
              <w:top w:val="single" w:color="auto" w:sz="4" w:space="0"/>
              <w:left w:val="single" w:color="auto" w:sz="4" w:space="0"/>
              <w:bottom w:val="single" w:color="auto" w:sz="4" w:space="0"/>
              <w:right w:val="single" w:color="auto" w:sz="4" w:space="0"/>
            </w:tcBorders>
            <w:vAlign w:val="center"/>
          </w:tcPr>
          <w:p w14:paraId="36715EEA">
            <w:pPr>
              <w:spacing w:line="400" w:lineRule="exact"/>
              <w:jc w:val="center"/>
              <w:rPr>
                <w:rFonts w:ascii="宋体" w:hAnsi="宋体"/>
                <w:color w:val="auto"/>
                <w:szCs w:val="21"/>
                <w:highlight w:val="none"/>
              </w:rPr>
            </w:pPr>
            <w:r>
              <w:rPr>
                <w:rFonts w:hint="eastAsia" w:ascii="宋体" w:hAnsi="宋体"/>
                <w:color w:val="auto"/>
                <w:szCs w:val="21"/>
                <w:highlight w:val="none"/>
              </w:rPr>
              <w:t>保险</w:t>
            </w:r>
          </w:p>
        </w:tc>
        <w:tc>
          <w:tcPr>
            <w:tcW w:w="1270" w:type="pct"/>
            <w:tcBorders>
              <w:top w:val="single" w:color="auto" w:sz="4" w:space="0"/>
              <w:left w:val="single" w:color="auto" w:sz="4" w:space="0"/>
              <w:bottom w:val="single" w:color="auto" w:sz="4" w:space="0"/>
              <w:right w:val="single" w:color="auto" w:sz="4" w:space="0"/>
            </w:tcBorders>
            <w:vAlign w:val="center"/>
          </w:tcPr>
          <w:p w14:paraId="1F0069B0">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74D7A5EB">
            <w:pPr>
              <w:spacing w:line="400" w:lineRule="exact"/>
              <w:jc w:val="left"/>
              <w:rPr>
                <w:rFonts w:ascii="宋体" w:hAnsi="宋体"/>
                <w:color w:val="auto"/>
                <w:szCs w:val="21"/>
                <w:highlight w:val="none"/>
              </w:rPr>
            </w:pPr>
          </w:p>
        </w:tc>
      </w:tr>
      <w:tr w14:paraId="6744A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7BCBBBE2">
            <w:pPr>
              <w:spacing w:line="40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p>
        </w:tc>
        <w:tc>
          <w:tcPr>
            <w:tcW w:w="1193" w:type="pct"/>
            <w:tcBorders>
              <w:top w:val="single" w:color="auto" w:sz="4" w:space="0"/>
              <w:left w:val="single" w:color="auto" w:sz="4" w:space="0"/>
              <w:bottom w:val="single" w:color="auto" w:sz="4" w:space="0"/>
              <w:right w:val="single" w:color="auto" w:sz="4" w:space="0"/>
            </w:tcBorders>
            <w:vAlign w:val="center"/>
          </w:tcPr>
          <w:p w14:paraId="0C5D7A33">
            <w:pPr>
              <w:spacing w:line="400" w:lineRule="exact"/>
              <w:jc w:val="center"/>
              <w:rPr>
                <w:rFonts w:ascii="宋体" w:hAnsi="宋体"/>
                <w:color w:val="auto"/>
                <w:szCs w:val="21"/>
                <w:highlight w:val="none"/>
              </w:rPr>
            </w:pPr>
            <w:r>
              <w:rPr>
                <w:rFonts w:hint="eastAsia" w:ascii="宋体" w:hAnsi="宋体"/>
                <w:color w:val="auto"/>
                <w:szCs w:val="21"/>
                <w:highlight w:val="none"/>
              </w:rPr>
              <w:t>节日加班</w:t>
            </w:r>
          </w:p>
        </w:tc>
        <w:tc>
          <w:tcPr>
            <w:tcW w:w="1270" w:type="pct"/>
            <w:tcBorders>
              <w:top w:val="single" w:color="auto" w:sz="4" w:space="0"/>
              <w:left w:val="single" w:color="auto" w:sz="4" w:space="0"/>
              <w:bottom w:val="single" w:color="auto" w:sz="4" w:space="0"/>
              <w:right w:val="single" w:color="auto" w:sz="4" w:space="0"/>
            </w:tcBorders>
            <w:vAlign w:val="center"/>
          </w:tcPr>
          <w:p w14:paraId="531283C8">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16087CFB">
            <w:pPr>
              <w:spacing w:line="400" w:lineRule="exact"/>
              <w:jc w:val="center"/>
              <w:rPr>
                <w:rFonts w:ascii="宋体" w:hAnsi="宋体"/>
                <w:color w:val="auto"/>
                <w:szCs w:val="21"/>
                <w:highlight w:val="none"/>
              </w:rPr>
            </w:pPr>
          </w:p>
        </w:tc>
      </w:tr>
      <w:tr w14:paraId="1E7B7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5A9FE2E4">
            <w:pPr>
              <w:spacing w:line="400" w:lineRule="exact"/>
              <w:jc w:val="center"/>
              <w:rPr>
                <w:rFonts w:ascii="宋体" w:hAnsi="宋体"/>
                <w:b/>
                <w:color w:val="auto"/>
                <w:szCs w:val="21"/>
                <w:highlight w:val="none"/>
              </w:rPr>
            </w:pPr>
            <w:r>
              <w:rPr>
                <w:rFonts w:hint="eastAsia" w:ascii="宋体" w:hAnsi="宋体"/>
                <w:bCs/>
                <w:color w:val="auto"/>
                <w:szCs w:val="21"/>
                <w:highlight w:val="none"/>
              </w:rPr>
              <w:t>1.5</w:t>
            </w:r>
          </w:p>
        </w:tc>
        <w:tc>
          <w:tcPr>
            <w:tcW w:w="1193" w:type="pct"/>
            <w:tcBorders>
              <w:top w:val="single" w:color="auto" w:sz="4" w:space="0"/>
              <w:left w:val="single" w:color="auto" w:sz="4" w:space="0"/>
              <w:bottom w:val="single" w:color="auto" w:sz="4" w:space="0"/>
              <w:right w:val="single" w:color="auto" w:sz="4" w:space="0"/>
            </w:tcBorders>
            <w:vAlign w:val="center"/>
          </w:tcPr>
          <w:p w14:paraId="100AF280">
            <w:pPr>
              <w:spacing w:line="400" w:lineRule="exact"/>
              <w:jc w:val="center"/>
              <w:rPr>
                <w:rFonts w:ascii="宋体" w:hAnsi="宋体"/>
                <w:b/>
                <w:color w:val="auto"/>
                <w:szCs w:val="21"/>
                <w:highlight w:val="none"/>
              </w:rPr>
            </w:pPr>
            <w:r>
              <w:rPr>
                <w:rFonts w:hint="eastAsia" w:ascii="宋体" w:hAnsi="宋体"/>
                <w:bCs/>
                <w:color w:val="auto"/>
                <w:szCs w:val="21"/>
                <w:highlight w:val="none"/>
              </w:rPr>
              <w:t>高温费</w:t>
            </w:r>
          </w:p>
        </w:tc>
        <w:tc>
          <w:tcPr>
            <w:tcW w:w="1270" w:type="pct"/>
            <w:tcBorders>
              <w:top w:val="single" w:color="auto" w:sz="4" w:space="0"/>
              <w:left w:val="single" w:color="auto" w:sz="4" w:space="0"/>
              <w:bottom w:val="single" w:color="auto" w:sz="4" w:space="0"/>
              <w:right w:val="single" w:color="auto" w:sz="4" w:space="0"/>
            </w:tcBorders>
            <w:vAlign w:val="center"/>
          </w:tcPr>
          <w:p w14:paraId="5E94F21C">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2AF8FD03">
            <w:pPr>
              <w:spacing w:line="400" w:lineRule="exact"/>
              <w:jc w:val="center"/>
              <w:rPr>
                <w:rFonts w:ascii="宋体" w:hAnsi="宋体"/>
                <w:color w:val="auto"/>
                <w:szCs w:val="21"/>
                <w:highlight w:val="none"/>
              </w:rPr>
            </w:pPr>
          </w:p>
        </w:tc>
      </w:tr>
      <w:tr w14:paraId="495BD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59699B22">
            <w:pPr>
              <w:spacing w:line="400" w:lineRule="exact"/>
              <w:jc w:val="center"/>
              <w:rPr>
                <w:rFonts w:ascii="宋体" w:hAnsi="宋体"/>
                <w:b/>
                <w:color w:val="auto"/>
                <w:szCs w:val="21"/>
                <w:highlight w:val="none"/>
              </w:rPr>
            </w:pPr>
            <w:r>
              <w:rPr>
                <w:rFonts w:ascii="宋体" w:hAnsi="宋体"/>
                <w:color w:val="auto"/>
                <w:szCs w:val="21"/>
                <w:highlight w:val="none"/>
              </w:rPr>
              <w:t>……</w:t>
            </w:r>
          </w:p>
        </w:tc>
        <w:tc>
          <w:tcPr>
            <w:tcW w:w="1193" w:type="pct"/>
            <w:tcBorders>
              <w:top w:val="single" w:color="auto" w:sz="4" w:space="0"/>
              <w:left w:val="single" w:color="auto" w:sz="4" w:space="0"/>
              <w:bottom w:val="single" w:color="auto" w:sz="4" w:space="0"/>
              <w:right w:val="single" w:color="auto" w:sz="4" w:space="0"/>
            </w:tcBorders>
            <w:vAlign w:val="center"/>
          </w:tcPr>
          <w:p w14:paraId="10C25810">
            <w:pPr>
              <w:spacing w:line="400" w:lineRule="exact"/>
              <w:jc w:val="center"/>
              <w:rPr>
                <w:rFonts w:ascii="宋体" w:hAnsi="宋体"/>
                <w:b/>
                <w:color w:val="auto"/>
                <w:szCs w:val="21"/>
                <w:highlight w:val="none"/>
              </w:rPr>
            </w:pPr>
            <w:r>
              <w:rPr>
                <w:rFonts w:ascii="宋体" w:hAnsi="宋体"/>
                <w:color w:val="auto"/>
                <w:szCs w:val="21"/>
                <w:highlight w:val="none"/>
              </w:rPr>
              <w:t>……</w:t>
            </w:r>
          </w:p>
        </w:tc>
        <w:tc>
          <w:tcPr>
            <w:tcW w:w="1270" w:type="pct"/>
            <w:tcBorders>
              <w:top w:val="single" w:color="auto" w:sz="4" w:space="0"/>
              <w:left w:val="single" w:color="auto" w:sz="4" w:space="0"/>
              <w:bottom w:val="single" w:color="auto" w:sz="4" w:space="0"/>
              <w:right w:val="single" w:color="auto" w:sz="4" w:space="0"/>
            </w:tcBorders>
            <w:vAlign w:val="center"/>
          </w:tcPr>
          <w:p w14:paraId="12CD43F9">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529F8969">
            <w:pPr>
              <w:spacing w:line="400" w:lineRule="exact"/>
              <w:jc w:val="center"/>
              <w:rPr>
                <w:rFonts w:ascii="宋体" w:hAnsi="宋体"/>
                <w:color w:val="auto"/>
                <w:szCs w:val="21"/>
                <w:highlight w:val="none"/>
              </w:rPr>
            </w:pPr>
          </w:p>
        </w:tc>
      </w:tr>
      <w:tr w14:paraId="72538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7C8C95A4">
            <w:pPr>
              <w:spacing w:line="400" w:lineRule="exact"/>
              <w:jc w:val="center"/>
              <w:rPr>
                <w:rFonts w:ascii="宋体" w:hAnsi="宋体"/>
                <w:b/>
                <w:color w:val="auto"/>
                <w:szCs w:val="21"/>
                <w:highlight w:val="none"/>
              </w:rPr>
            </w:pPr>
            <w:r>
              <w:rPr>
                <w:rFonts w:hint="eastAsia" w:ascii="宋体" w:hAnsi="宋体"/>
                <w:b/>
                <w:color w:val="auto"/>
                <w:szCs w:val="21"/>
                <w:highlight w:val="none"/>
              </w:rPr>
              <w:t>2</w:t>
            </w:r>
          </w:p>
        </w:tc>
        <w:tc>
          <w:tcPr>
            <w:tcW w:w="1193" w:type="pct"/>
            <w:tcBorders>
              <w:top w:val="single" w:color="auto" w:sz="4" w:space="0"/>
              <w:left w:val="single" w:color="auto" w:sz="4" w:space="0"/>
              <w:bottom w:val="single" w:color="auto" w:sz="4" w:space="0"/>
              <w:right w:val="single" w:color="auto" w:sz="4" w:space="0"/>
            </w:tcBorders>
            <w:vAlign w:val="center"/>
          </w:tcPr>
          <w:p w14:paraId="5B3ED45F">
            <w:pPr>
              <w:spacing w:line="400" w:lineRule="exact"/>
              <w:jc w:val="center"/>
              <w:rPr>
                <w:rFonts w:ascii="宋体" w:hAnsi="宋体"/>
                <w:b/>
                <w:color w:val="auto"/>
                <w:szCs w:val="21"/>
                <w:highlight w:val="none"/>
              </w:rPr>
            </w:pPr>
            <w:r>
              <w:rPr>
                <w:rFonts w:hint="eastAsia" w:ascii="宋体" w:hAnsi="宋体"/>
                <w:b/>
                <w:color w:val="auto"/>
                <w:szCs w:val="21"/>
                <w:highlight w:val="none"/>
              </w:rPr>
              <w:t>个人其他综合费用</w:t>
            </w:r>
          </w:p>
        </w:tc>
        <w:tc>
          <w:tcPr>
            <w:tcW w:w="1270" w:type="pct"/>
            <w:tcBorders>
              <w:top w:val="single" w:color="auto" w:sz="4" w:space="0"/>
              <w:left w:val="single" w:color="auto" w:sz="4" w:space="0"/>
              <w:bottom w:val="single" w:color="auto" w:sz="4" w:space="0"/>
              <w:right w:val="single" w:color="auto" w:sz="4" w:space="0"/>
            </w:tcBorders>
            <w:vAlign w:val="center"/>
          </w:tcPr>
          <w:p w14:paraId="110C166D">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609CF679">
            <w:pPr>
              <w:spacing w:line="400" w:lineRule="exact"/>
              <w:jc w:val="center"/>
              <w:rPr>
                <w:rFonts w:ascii="宋体" w:hAnsi="宋体"/>
                <w:color w:val="auto"/>
                <w:szCs w:val="21"/>
                <w:highlight w:val="none"/>
              </w:rPr>
            </w:pPr>
          </w:p>
        </w:tc>
      </w:tr>
      <w:tr w14:paraId="6A399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488571E8">
            <w:pPr>
              <w:spacing w:line="400" w:lineRule="exact"/>
              <w:jc w:val="center"/>
              <w:rPr>
                <w:rFonts w:ascii="宋体" w:hAnsi="宋体"/>
                <w:b/>
                <w:color w:val="auto"/>
                <w:szCs w:val="21"/>
                <w:highlight w:val="none"/>
              </w:rPr>
            </w:pPr>
            <w:r>
              <w:rPr>
                <w:rFonts w:hint="eastAsia" w:ascii="宋体" w:hAnsi="宋体"/>
                <w:b/>
                <w:color w:val="auto"/>
                <w:szCs w:val="21"/>
                <w:highlight w:val="none"/>
              </w:rPr>
              <w:t>2.1</w:t>
            </w:r>
          </w:p>
        </w:tc>
        <w:tc>
          <w:tcPr>
            <w:tcW w:w="1193" w:type="pct"/>
            <w:tcBorders>
              <w:top w:val="single" w:color="auto" w:sz="4" w:space="0"/>
              <w:left w:val="single" w:color="auto" w:sz="4" w:space="0"/>
              <w:bottom w:val="single" w:color="auto" w:sz="4" w:space="0"/>
              <w:right w:val="single" w:color="auto" w:sz="4" w:space="0"/>
            </w:tcBorders>
            <w:vAlign w:val="center"/>
          </w:tcPr>
          <w:p w14:paraId="11E69EE1">
            <w:pPr>
              <w:spacing w:line="400" w:lineRule="exact"/>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陪护用品</w:t>
            </w:r>
          </w:p>
        </w:tc>
        <w:tc>
          <w:tcPr>
            <w:tcW w:w="1270" w:type="pct"/>
            <w:tcBorders>
              <w:top w:val="single" w:color="auto" w:sz="4" w:space="0"/>
              <w:left w:val="single" w:color="auto" w:sz="4" w:space="0"/>
              <w:bottom w:val="single" w:color="auto" w:sz="4" w:space="0"/>
              <w:right w:val="single" w:color="auto" w:sz="4" w:space="0"/>
            </w:tcBorders>
            <w:vAlign w:val="center"/>
          </w:tcPr>
          <w:p w14:paraId="5D49AF88">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42AEC392">
            <w:pPr>
              <w:spacing w:line="400" w:lineRule="exact"/>
              <w:jc w:val="center"/>
              <w:rPr>
                <w:rFonts w:ascii="宋体" w:hAnsi="宋体"/>
                <w:color w:val="auto"/>
                <w:szCs w:val="21"/>
                <w:highlight w:val="none"/>
              </w:rPr>
            </w:pPr>
          </w:p>
        </w:tc>
      </w:tr>
      <w:tr w14:paraId="6B5D4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02FE10C4">
            <w:pPr>
              <w:spacing w:line="400" w:lineRule="exact"/>
              <w:jc w:val="center"/>
              <w:rPr>
                <w:rFonts w:ascii="宋体" w:hAnsi="宋体"/>
                <w:color w:val="auto"/>
                <w:szCs w:val="21"/>
                <w:highlight w:val="none"/>
              </w:rPr>
            </w:pPr>
            <w:r>
              <w:rPr>
                <w:rFonts w:hint="eastAsia" w:ascii="宋体" w:hAnsi="宋体"/>
                <w:color w:val="auto"/>
                <w:szCs w:val="21"/>
                <w:highlight w:val="none"/>
              </w:rPr>
              <w:t>2.1.1</w:t>
            </w:r>
          </w:p>
        </w:tc>
        <w:tc>
          <w:tcPr>
            <w:tcW w:w="1193" w:type="pct"/>
            <w:tcBorders>
              <w:top w:val="single" w:color="auto" w:sz="4" w:space="0"/>
              <w:left w:val="single" w:color="auto" w:sz="4" w:space="0"/>
              <w:bottom w:val="single" w:color="auto" w:sz="4" w:space="0"/>
              <w:right w:val="single" w:color="auto" w:sz="4" w:space="0"/>
            </w:tcBorders>
            <w:vAlign w:val="center"/>
          </w:tcPr>
          <w:p w14:paraId="6344375A">
            <w:pPr>
              <w:spacing w:line="400" w:lineRule="exact"/>
              <w:jc w:val="center"/>
              <w:rPr>
                <w:rFonts w:hint="eastAsia" w:ascii="宋体" w:hAnsi="宋体" w:eastAsia="宋体"/>
                <w:b/>
                <w:color w:val="auto"/>
                <w:szCs w:val="21"/>
                <w:highlight w:val="none"/>
                <w:lang w:eastAsia="zh-CN"/>
              </w:rPr>
            </w:pPr>
            <w:r>
              <w:rPr>
                <w:rFonts w:hint="eastAsia" w:ascii="宋体" w:hAnsi="宋体"/>
                <w:color w:val="auto"/>
                <w:szCs w:val="21"/>
                <w:highlight w:val="none"/>
                <w:lang w:val="en-US" w:eastAsia="zh-CN"/>
              </w:rPr>
              <w:t>陪护用品</w:t>
            </w:r>
          </w:p>
        </w:tc>
        <w:tc>
          <w:tcPr>
            <w:tcW w:w="1270" w:type="pct"/>
            <w:tcBorders>
              <w:top w:val="single" w:color="auto" w:sz="4" w:space="0"/>
              <w:left w:val="single" w:color="auto" w:sz="4" w:space="0"/>
              <w:bottom w:val="single" w:color="auto" w:sz="4" w:space="0"/>
              <w:right w:val="single" w:color="auto" w:sz="4" w:space="0"/>
            </w:tcBorders>
            <w:vAlign w:val="center"/>
          </w:tcPr>
          <w:p w14:paraId="551A63A9">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475F3AB8">
            <w:pPr>
              <w:spacing w:line="400" w:lineRule="exact"/>
              <w:jc w:val="center"/>
              <w:rPr>
                <w:rFonts w:ascii="宋体" w:hAnsi="宋体"/>
                <w:color w:val="auto"/>
                <w:szCs w:val="21"/>
                <w:highlight w:val="none"/>
              </w:rPr>
            </w:pPr>
          </w:p>
        </w:tc>
      </w:tr>
      <w:tr w14:paraId="6E3AF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54B1114D">
            <w:pPr>
              <w:spacing w:line="400" w:lineRule="exact"/>
              <w:jc w:val="center"/>
              <w:rPr>
                <w:rFonts w:ascii="宋体" w:hAnsi="宋体"/>
                <w:color w:val="auto"/>
                <w:szCs w:val="21"/>
                <w:highlight w:val="none"/>
              </w:rPr>
            </w:pPr>
            <w:r>
              <w:rPr>
                <w:rFonts w:hint="eastAsia" w:ascii="宋体" w:hAnsi="宋体"/>
                <w:color w:val="auto"/>
                <w:szCs w:val="21"/>
                <w:highlight w:val="none"/>
              </w:rPr>
              <w:t>2.1.2</w:t>
            </w:r>
          </w:p>
        </w:tc>
        <w:tc>
          <w:tcPr>
            <w:tcW w:w="1193" w:type="pct"/>
            <w:tcBorders>
              <w:top w:val="single" w:color="auto" w:sz="4" w:space="0"/>
              <w:left w:val="single" w:color="auto" w:sz="4" w:space="0"/>
              <w:bottom w:val="single" w:color="auto" w:sz="4" w:space="0"/>
              <w:right w:val="single" w:color="auto" w:sz="4" w:space="0"/>
            </w:tcBorders>
            <w:vAlign w:val="center"/>
          </w:tcPr>
          <w:p w14:paraId="34E16AF5">
            <w:pPr>
              <w:spacing w:line="400" w:lineRule="exact"/>
              <w:jc w:val="center"/>
              <w:rPr>
                <w:rFonts w:ascii="宋体" w:hAnsi="宋体"/>
                <w:b/>
                <w:color w:val="auto"/>
                <w:szCs w:val="21"/>
                <w:highlight w:val="none"/>
              </w:rPr>
            </w:pPr>
            <w:r>
              <w:rPr>
                <w:rFonts w:ascii="宋体" w:hAnsi="宋体"/>
                <w:color w:val="auto"/>
                <w:szCs w:val="21"/>
                <w:highlight w:val="none"/>
              </w:rPr>
              <w:t>……</w:t>
            </w:r>
          </w:p>
        </w:tc>
        <w:tc>
          <w:tcPr>
            <w:tcW w:w="1270" w:type="pct"/>
            <w:tcBorders>
              <w:top w:val="single" w:color="auto" w:sz="4" w:space="0"/>
              <w:left w:val="single" w:color="auto" w:sz="4" w:space="0"/>
              <w:bottom w:val="single" w:color="auto" w:sz="4" w:space="0"/>
              <w:right w:val="single" w:color="auto" w:sz="4" w:space="0"/>
            </w:tcBorders>
            <w:vAlign w:val="center"/>
          </w:tcPr>
          <w:p w14:paraId="6A8E53F5">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302A2A14">
            <w:pPr>
              <w:spacing w:line="400" w:lineRule="exact"/>
              <w:jc w:val="center"/>
              <w:rPr>
                <w:rFonts w:ascii="宋体" w:hAnsi="宋体"/>
                <w:color w:val="auto"/>
                <w:szCs w:val="21"/>
                <w:highlight w:val="none"/>
              </w:rPr>
            </w:pPr>
          </w:p>
        </w:tc>
      </w:tr>
      <w:tr w14:paraId="239A7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37D762FB">
            <w:pPr>
              <w:spacing w:line="400" w:lineRule="exact"/>
              <w:jc w:val="center"/>
              <w:rPr>
                <w:rFonts w:ascii="宋体" w:hAnsi="宋体"/>
                <w:b/>
                <w:color w:val="auto"/>
                <w:szCs w:val="21"/>
                <w:highlight w:val="none"/>
              </w:rPr>
            </w:pPr>
            <w:r>
              <w:rPr>
                <w:rFonts w:hint="eastAsia" w:ascii="宋体" w:hAnsi="宋体"/>
                <w:b/>
                <w:color w:val="auto"/>
                <w:szCs w:val="21"/>
                <w:highlight w:val="none"/>
              </w:rPr>
              <w:t>2.3</w:t>
            </w:r>
          </w:p>
        </w:tc>
        <w:tc>
          <w:tcPr>
            <w:tcW w:w="1193" w:type="pct"/>
            <w:tcBorders>
              <w:top w:val="single" w:color="auto" w:sz="4" w:space="0"/>
              <w:left w:val="single" w:color="auto" w:sz="4" w:space="0"/>
              <w:bottom w:val="single" w:color="auto" w:sz="4" w:space="0"/>
              <w:right w:val="single" w:color="auto" w:sz="4" w:space="0"/>
            </w:tcBorders>
            <w:vAlign w:val="center"/>
          </w:tcPr>
          <w:p w14:paraId="21316851">
            <w:pPr>
              <w:spacing w:line="400" w:lineRule="exact"/>
              <w:jc w:val="center"/>
              <w:rPr>
                <w:rFonts w:ascii="宋体" w:hAnsi="宋体"/>
                <w:b/>
                <w:color w:val="auto"/>
                <w:szCs w:val="21"/>
                <w:highlight w:val="none"/>
              </w:rPr>
            </w:pPr>
            <w:r>
              <w:rPr>
                <w:rFonts w:ascii="宋体" w:hAnsi="宋体"/>
                <w:b/>
                <w:color w:val="auto"/>
                <w:szCs w:val="21"/>
                <w:highlight w:val="none"/>
              </w:rPr>
              <w:t>管理费用及其它</w:t>
            </w:r>
          </w:p>
        </w:tc>
        <w:tc>
          <w:tcPr>
            <w:tcW w:w="1270" w:type="pct"/>
            <w:tcBorders>
              <w:top w:val="single" w:color="auto" w:sz="4" w:space="0"/>
              <w:left w:val="single" w:color="auto" w:sz="4" w:space="0"/>
              <w:bottom w:val="single" w:color="auto" w:sz="4" w:space="0"/>
              <w:right w:val="single" w:color="auto" w:sz="4" w:space="0"/>
            </w:tcBorders>
            <w:vAlign w:val="center"/>
          </w:tcPr>
          <w:p w14:paraId="7C7E4DEA">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2D5C1ED6">
            <w:pPr>
              <w:spacing w:line="400" w:lineRule="exact"/>
              <w:jc w:val="center"/>
              <w:rPr>
                <w:rFonts w:ascii="宋体" w:hAnsi="宋体"/>
                <w:color w:val="auto"/>
                <w:szCs w:val="21"/>
                <w:highlight w:val="none"/>
              </w:rPr>
            </w:pPr>
          </w:p>
        </w:tc>
      </w:tr>
      <w:tr w14:paraId="3C744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19D24427">
            <w:pPr>
              <w:spacing w:line="400" w:lineRule="exact"/>
              <w:jc w:val="center"/>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.1</w:t>
            </w:r>
          </w:p>
        </w:tc>
        <w:tc>
          <w:tcPr>
            <w:tcW w:w="1193" w:type="pct"/>
            <w:tcBorders>
              <w:top w:val="single" w:color="auto" w:sz="4" w:space="0"/>
              <w:left w:val="single" w:color="auto" w:sz="4" w:space="0"/>
              <w:bottom w:val="single" w:color="auto" w:sz="4" w:space="0"/>
              <w:right w:val="single" w:color="auto" w:sz="4" w:space="0"/>
            </w:tcBorders>
            <w:vAlign w:val="center"/>
          </w:tcPr>
          <w:p w14:paraId="380A4235">
            <w:pPr>
              <w:spacing w:line="400" w:lineRule="exact"/>
              <w:jc w:val="center"/>
              <w:rPr>
                <w:rFonts w:ascii="宋体" w:hAnsi="宋体"/>
                <w:color w:val="auto"/>
                <w:szCs w:val="21"/>
                <w:highlight w:val="none"/>
              </w:rPr>
            </w:pPr>
            <w:r>
              <w:rPr>
                <w:rFonts w:ascii="宋体" w:hAnsi="宋体"/>
                <w:color w:val="auto"/>
                <w:szCs w:val="21"/>
                <w:highlight w:val="none"/>
              </w:rPr>
              <w:t>培训费</w:t>
            </w:r>
          </w:p>
        </w:tc>
        <w:tc>
          <w:tcPr>
            <w:tcW w:w="1270" w:type="pct"/>
            <w:tcBorders>
              <w:top w:val="single" w:color="auto" w:sz="4" w:space="0"/>
              <w:left w:val="single" w:color="auto" w:sz="4" w:space="0"/>
              <w:bottom w:val="single" w:color="auto" w:sz="4" w:space="0"/>
              <w:right w:val="single" w:color="auto" w:sz="4" w:space="0"/>
            </w:tcBorders>
            <w:vAlign w:val="center"/>
          </w:tcPr>
          <w:p w14:paraId="0FC3AB2A">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78B7DFB9">
            <w:pPr>
              <w:spacing w:line="400" w:lineRule="exact"/>
              <w:jc w:val="center"/>
              <w:rPr>
                <w:rFonts w:ascii="宋体" w:hAnsi="宋体"/>
                <w:color w:val="auto"/>
                <w:szCs w:val="21"/>
                <w:highlight w:val="none"/>
              </w:rPr>
            </w:pPr>
          </w:p>
        </w:tc>
      </w:tr>
      <w:tr w14:paraId="026C4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3E0456C0">
            <w:pPr>
              <w:spacing w:line="400" w:lineRule="exact"/>
              <w:jc w:val="center"/>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w:t>
            </w:r>
            <w:r>
              <w:rPr>
                <w:rFonts w:hint="eastAsia" w:ascii="宋体" w:hAnsi="宋体"/>
                <w:color w:val="auto"/>
                <w:szCs w:val="21"/>
                <w:highlight w:val="none"/>
              </w:rPr>
              <w:t>2</w:t>
            </w:r>
          </w:p>
        </w:tc>
        <w:tc>
          <w:tcPr>
            <w:tcW w:w="1193" w:type="pct"/>
            <w:tcBorders>
              <w:top w:val="single" w:color="auto" w:sz="4" w:space="0"/>
              <w:left w:val="single" w:color="auto" w:sz="4" w:space="0"/>
              <w:bottom w:val="single" w:color="auto" w:sz="4" w:space="0"/>
              <w:right w:val="single" w:color="auto" w:sz="4" w:space="0"/>
            </w:tcBorders>
            <w:vAlign w:val="center"/>
          </w:tcPr>
          <w:p w14:paraId="3CBA1104">
            <w:pPr>
              <w:spacing w:line="400" w:lineRule="exact"/>
              <w:jc w:val="center"/>
              <w:rPr>
                <w:rFonts w:ascii="宋体" w:hAnsi="宋体"/>
                <w:color w:val="auto"/>
                <w:szCs w:val="21"/>
                <w:highlight w:val="none"/>
              </w:rPr>
            </w:pPr>
            <w:r>
              <w:rPr>
                <w:rFonts w:ascii="宋体" w:hAnsi="宋体"/>
                <w:color w:val="auto"/>
                <w:szCs w:val="21"/>
                <w:highlight w:val="none"/>
              </w:rPr>
              <w:t>管理费</w:t>
            </w:r>
          </w:p>
        </w:tc>
        <w:tc>
          <w:tcPr>
            <w:tcW w:w="1270" w:type="pct"/>
            <w:tcBorders>
              <w:top w:val="single" w:color="auto" w:sz="4" w:space="0"/>
              <w:left w:val="single" w:color="auto" w:sz="4" w:space="0"/>
              <w:bottom w:val="single" w:color="auto" w:sz="4" w:space="0"/>
              <w:right w:val="single" w:color="auto" w:sz="4" w:space="0"/>
            </w:tcBorders>
            <w:vAlign w:val="center"/>
          </w:tcPr>
          <w:p w14:paraId="64E19F49">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1C2BA8A8">
            <w:pPr>
              <w:spacing w:line="400" w:lineRule="exact"/>
              <w:jc w:val="center"/>
              <w:rPr>
                <w:rFonts w:ascii="宋体" w:hAnsi="宋体"/>
                <w:color w:val="auto"/>
                <w:szCs w:val="21"/>
                <w:highlight w:val="none"/>
              </w:rPr>
            </w:pPr>
          </w:p>
        </w:tc>
      </w:tr>
      <w:tr w14:paraId="73B1D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00AB25D5">
            <w:pPr>
              <w:spacing w:line="400" w:lineRule="exact"/>
              <w:jc w:val="center"/>
              <w:rPr>
                <w:rFonts w:ascii="宋体" w:hAnsi="宋体"/>
                <w:color w:val="auto"/>
                <w:szCs w:val="21"/>
                <w:highlight w:val="none"/>
              </w:rPr>
            </w:pPr>
            <w:r>
              <w:rPr>
                <w:rFonts w:hint="eastAsia" w:ascii="宋体" w:hAnsi="宋体"/>
                <w:color w:val="auto"/>
                <w:szCs w:val="21"/>
                <w:highlight w:val="none"/>
              </w:rPr>
              <w:t>2.3.3</w:t>
            </w:r>
          </w:p>
        </w:tc>
        <w:tc>
          <w:tcPr>
            <w:tcW w:w="1193" w:type="pct"/>
            <w:tcBorders>
              <w:top w:val="single" w:color="auto" w:sz="4" w:space="0"/>
              <w:left w:val="single" w:color="auto" w:sz="4" w:space="0"/>
              <w:bottom w:val="single" w:color="auto" w:sz="4" w:space="0"/>
              <w:right w:val="single" w:color="auto" w:sz="4" w:space="0"/>
            </w:tcBorders>
            <w:vAlign w:val="center"/>
          </w:tcPr>
          <w:p w14:paraId="551F3828">
            <w:pPr>
              <w:spacing w:line="400" w:lineRule="exact"/>
              <w:jc w:val="center"/>
              <w:rPr>
                <w:rFonts w:ascii="宋体" w:hAnsi="宋体"/>
                <w:color w:val="auto"/>
                <w:szCs w:val="21"/>
                <w:highlight w:val="none"/>
              </w:rPr>
            </w:pPr>
            <w:r>
              <w:rPr>
                <w:rFonts w:hint="eastAsia" w:ascii="宋体" w:hAnsi="宋体"/>
                <w:color w:val="auto"/>
                <w:szCs w:val="21"/>
                <w:highlight w:val="none"/>
              </w:rPr>
              <w:t>服装费</w:t>
            </w:r>
          </w:p>
        </w:tc>
        <w:tc>
          <w:tcPr>
            <w:tcW w:w="1270" w:type="pct"/>
            <w:tcBorders>
              <w:top w:val="single" w:color="auto" w:sz="4" w:space="0"/>
              <w:left w:val="single" w:color="auto" w:sz="4" w:space="0"/>
              <w:bottom w:val="single" w:color="auto" w:sz="4" w:space="0"/>
              <w:right w:val="single" w:color="auto" w:sz="4" w:space="0"/>
            </w:tcBorders>
            <w:vAlign w:val="center"/>
          </w:tcPr>
          <w:p w14:paraId="6904908E">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7202CBC4">
            <w:pPr>
              <w:spacing w:line="400" w:lineRule="exact"/>
              <w:jc w:val="center"/>
              <w:rPr>
                <w:rFonts w:ascii="宋体" w:hAnsi="宋体"/>
                <w:color w:val="auto"/>
                <w:szCs w:val="21"/>
                <w:highlight w:val="none"/>
              </w:rPr>
            </w:pPr>
          </w:p>
        </w:tc>
      </w:tr>
      <w:tr w14:paraId="1C6B9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6F801DA9">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193" w:type="pct"/>
            <w:tcBorders>
              <w:top w:val="single" w:color="auto" w:sz="4" w:space="0"/>
              <w:left w:val="single" w:color="auto" w:sz="4" w:space="0"/>
              <w:bottom w:val="single" w:color="auto" w:sz="4" w:space="0"/>
              <w:right w:val="single" w:color="auto" w:sz="4" w:space="0"/>
            </w:tcBorders>
            <w:vAlign w:val="center"/>
          </w:tcPr>
          <w:p w14:paraId="6FC21D68">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270" w:type="pct"/>
            <w:tcBorders>
              <w:top w:val="single" w:color="auto" w:sz="4" w:space="0"/>
              <w:left w:val="single" w:color="auto" w:sz="4" w:space="0"/>
              <w:bottom w:val="single" w:color="auto" w:sz="4" w:space="0"/>
              <w:right w:val="single" w:color="auto" w:sz="4" w:space="0"/>
            </w:tcBorders>
            <w:vAlign w:val="center"/>
          </w:tcPr>
          <w:p w14:paraId="6FDA0FA1">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6B1A130A">
            <w:pPr>
              <w:spacing w:line="400" w:lineRule="exact"/>
              <w:jc w:val="center"/>
              <w:rPr>
                <w:rFonts w:ascii="宋体" w:hAnsi="宋体"/>
                <w:color w:val="auto"/>
                <w:szCs w:val="21"/>
                <w:highlight w:val="none"/>
              </w:rPr>
            </w:pPr>
          </w:p>
        </w:tc>
      </w:tr>
      <w:tr w14:paraId="79B71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13FDBF9A">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3</w:t>
            </w:r>
          </w:p>
        </w:tc>
        <w:tc>
          <w:tcPr>
            <w:tcW w:w="1193" w:type="pct"/>
            <w:tcBorders>
              <w:top w:val="single" w:color="auto" w:sz="4" w:space="0"/>
              <w:left w:val="single" w:color="auto" w:sz="4" w:space="0"/>
              <w:bottom w:val="single" w:color="auto" w:sz="4" w:space="0"/>
              <w:right w:val="single" w:color="auto" w:sz="4" w:space="0"/>
            </w:tcBorders>
            <w:vAlign w:val="center"/>
          </w:tcPr>
          <w:p w14:paraId="199A50F2">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考核金</w:t>
            </w:r>
          </w:p>
        </w:tc>
        <w:tc>
          <w:tcPr>
            <w:tcW w:w="1270" w:type="pct"/>
            <w:tcBorders>
              <w:top w:val="single" w:color="auto" w:sz="4" w:space="0"/>
              <w:left w:val="single" w:color="auto" w:sz="4" w:space="0"/>
              <w:bottom w:val="single" w:color="auto" w:sz="4" w:space="0"/>
              <w:right w:val="single" w:color="auto" w:sz="4" w:space="0"/>
            </w:tcBorders>
            <w:vAlign w:val="center"/>
          </w:tcPr>
          <w:p w14:paraId="4F8E23E5">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64212FBB">
            <w:pPr>
              <w:spacing w:line="400" w:lineRule="exact"/>
              <w:jc w:val="center"/>
              <w:rPr>
                <w:rFonts w:ascii="宋体" w:hAnsi="宋体"/>
                <w:color w:val="auto"/>
                <w:szCs w:val="21"/>
                <w:highlight w:val="none"/>
              </w:rPr>
            </w:pPr>
          </w:p>
        </w:tc>
      </w:tr>
      <w:tr w14:paraId="2F6CD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2D55D1B9">
            <w:pPr>
              <w:spacing w:line="400" w:lineRule="exact"/>
              <w:jc w:val="center"/>
              <w:rPr>
                <w:rFonts w:ascii="宋体" w:hAnsi="宋体"/>
                <w:b/>
                <w:color w:val="auto"/>
                <w:szCs w:val="21"/>
                <w:highlight w:val="none"/>
              </w:rPr>
            </w:pPr>
            <w:r>
              <w:rPr>
                <w:rFonts w:hint="eastAsia" w:ascii="宋体" w:hAnsi="宋体"/>
                <w:b/>
                <w:color w:val="auto"/>
                <w:szCs w:val="21"/>
                <w:highlight w:val="none"/>
              </w:rPr>
              <w:t>4</w:t>
            </w:r>
          </w:p>
        </w:tc>
        <w:tc>
          <w:tcPr>
            <w:tcW w:w="1193" w:type="pct"/>
            <w:tcBorders>
              <w:top w:val="single" w:color="auto" w:sz="4" w:space="0"/>
              <w:left w:val="single" w:color="auto" w:sz="4" w:space="0"/>
              <w:bottom w:val="single" w:color="auto" w:sz="4" w:space="0"/>
              <w:right w:val="single" w:color="auto" w:sz="4" w:space="0"/>
            </w:tcBorders>
            <w:vAlign w:val="center"/>
          </w:tcPr>
          <w:p w14:paraId="340FC298">
            <w:pPr>
              <w:spacing w:line="400" w:lineRule="exact"/>
              <w:jc w:val="center"/>
              <w:rPr>
                <w:rFonts w:ascii="宋体" w:hAnsi="宋体"/>
                <w:b/>
                <w:color w:val="auto"/>
                <w:szCs w:val="21"/>
                <w:highlight w:val="none"/>
              </w:rPr>
            </w:pPr>
            <w:r>
              <w:rPr>
                <w:rFonts w:ascii="宋体" w:hAnsi="宋体"/>
                <w:b/>
                <w:color w:val="auto"/>
                <w:szCs w:val="21"/>
                <w:highlight w:val="none"/>
              </w:rPr>
              <w:t>税金</w:t>
            </w:r>
          </w:p>
        </w:tc>
        <w:tc>
          <w:tcPr>
            <w:tcW w:w="1270" w:type="pct"/>
            <w:tcBorders>
              <w:top w:val="single" w:color="auto" w:sz="4" w:space="0"/>
              <w:left w:val="single" w:color="auto" w:sz="4" w:space="0"/>
              <w:bottom w:val="single" w:color="auto" w:sz="4" w:space="0"/>
              <w:right w:val="single" w:color="auto" w:sz="4" w:space="0"/>
            </w:tcBorders>
            <w:vAlign w:val="center"/>
          </w:tcPr>
          <w:p w14:paraId="19AF4A9E">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75EA2600">
            <w:pPr>
              <w:spacing w:line="400" w:lineRule="exact"/>
              <w:jc w:val="center"/>
              <w:rPr>
                <w:rFonts w:ascii="宋体" w:hAnsi="宋体"/>
                <w:color w:val="auto"/>
                <w:szCs w:val="21"/>
                <w:highlight w:val="none"/>
              </w:rPr>
            </w:pPr>
          </w:p>
        </w:tc>
      </w:tr>
      <w:tr w14:paraId="17BD9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6DB63CB5">
            <w:pPr>
              <w:spacing w:line="400" w:lineRule="exact"/>
              <w:jc w:val="center"/>
              <w:rPr>
                <w:rFonts w:ascii="宋体" w:hAnsi="宋体"/>
                <w:b/>
                <w:color w:val="auto"/>
                <w:szCs w:val="21"/>
                <w:highlight w:val="none"/>
              </w:rPr>
            </w:pPr>
            <w:r>
              <w:rPr>
                <w:rFonts w:hint="eastAsia" w:ascii="宋体" w:hAnsi="宋体"/>
                <w:b/>
                <w:color w:val="auto"/>
                <w:szCs w:val="21"/>
                <w:highlight w:val="none"/>
              </w:rPr>
              <w:t>5</w:t>
            </w:r>
          </w:p>
        </w:tc>
        <w:tc>
          <w:tcPr>
            <w:tcW w:w="1193" w:type="pct"/>
            <w:tcBorders>
              <w:top w:val="single" w:color="auto" w:sz="4" w:space="0"/>
              <w:left w:val="single" w:color="auto" w:sz="4" w:space="0"/>
              <w:bottom w:val="single" w:color="auto" w:sz="4" w:space="0"/>
              <w:right w:val="single" w:color="auto" w:sz="4" w:space="0"/>
            </w:tcBorders>
            <w:vAlign w:val="center"/>
          </w:tcPr>
          <w:p w14:paraId="6012FA55">
            <w:pPr>
              <w:spacing w:line="400" w:lineRule="exact"/>
              <w:jc w:val="center"/>
              <w:rPr>
                <w:rFonts w:ascii="宋体" w:hAnsi="宋体"/>
                <w:b/>
                <w:color w:val="auto"/>
                <w:szCs w:val="21"/>
                <w:highlight w:val="none"/>
              </w:rPr>
            </w:pPr>
            <w:r>
              <w:rPr>
                <w:rFonts w:ascii="宋体" w:hAnsi="宋体"/>
                <w:b/>
                <w:color w:val="auto"/>
                <w:szCs w:val="21"/>
                <w:highlight w:val="none"/>
              </w:rPr>
              <w:t>利润</w:t>
            </w:r>
          </w:p>
        </w:tc>
        <w:tc>
          <w:tcPr>
            <w:tcW w:w="1270" w:type="pct"/>
            <w:tcBorders>
              <w:top w:val="single" w:color="auto" w:sz="4" w:space="0"/>
              <w:left w:val="single" w:color="auto" w:sz="4" w:space="0"/>
              <w:bottom w:val="single" w:color="auto" w:sz="4" w:space="0"/>
              <w:right w:val="single" w:color="auto" w:sz="4" w:space="0"/>
            </w:tcBorders>
            <w:vAlign w:val="center"/>
          </w:tcPr>
          <w:p w14:paraId="2B1C9B46">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5E90889B">
            <w:pPr>
              <w:spacing w:line="400" w:lineRule="exact"/>
              <w:jc w:val="center"/>
              <w:rPr>
                <w:rFonts w:ascii="宋体" w:hAnsi="宋体"/>
                <w:color w:val="auto"/>
                <w:szCs w:val="21"/>
                <w:highlight w:val="none"/>
              </w:rPr>
            </w:pPr>
          </w:p>
        </w:tc>
      </w:tr>
      <w:tr w14:paraId="20C8C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7E91AA75">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193" w:type="pct"/>
            <w:tcBorders>
              <w:top w:val="single" w:color="auto" w:sz="4" w:space="0"/>
              <w:left w:val="single" w:color="auto" w:sz="4" w:space="0"/>
              <w:bottom w:val="single" w:color="auto" w:sz="4" w:space="0"/>
              <w:right w:val="single" w:color="auto" w:sz="4" w:space="0"/>
            </w:tcBorders>
            <w:vAlign w:val="center"/>
          </w:tcPr>
          <w:p w14:paraId="488C2CA9">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270" w:type="pct"/>
            <w:tcBorders>
              <w:top w:val="single" w:color="auto" w:sz="4" w:space="0"/>
              <w:left w:val="single" w:color="auto" w:sz="4" w:space="0"/>
              <w:bottom w:val="single" w:color="auto" w:sz="4" w:space="0"/>
              <w:right w:val="single" w:color="auto" w:sz="4" w:space="0"/>
            </w:tcBorders>
            <w:vAlign w:val="center"/>
          </w:tcPr>
          <w:p w14:paraId="15539722">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917" w:type="pct"/>
            <w:tcBorders>
              <w:top w:val="single" w:color="auto" w:sz="4" w:space="0"/>
              <w:left w:val="single" w:color="auto" w:sz="4" w:space="0"/>
              <w:bottom w:val="single" w:color="auto" w:sz="4" w:space="0"/>
              <w:right w:val="single" w:color="auto" w:sz="4" w:space="0"/>
            </w:tcBorders>
            <w:vAlign w:val="center"/>
          </w:tcPr>
          <w:p w14:paraId="084C70F1">
            <w:pPr>
              <w:spacing w:line="400" w:lineRule="exact"/>
              <w:jc w:val="center"/>
              <w:rPr>
                <w:rFonts w:ascii="宋体" w:hAnsi="宋体"/>
                <w:color w:val="auto"/>
                <w:szCs w:val="21"/>
                <w:highlight w:val="none"/>
              </w:rPr>
            </w:pPr>
          </w:p>
        </w:tc>
      </w:tr>
      <w:tr w14:paraId="06885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4E2259D0">
            <w:pPr>
              <w:spacing w:line="400" w:lineRule="exact"/>
              <w:jc w:val="center"/>
              <w:rPr>
                <w:rFonts w:ascii="宋体" w:hAnsi="宋体"/>
                <w:b/>
                <w:color w:val="auto"/>
                <w:szCs w:val="21"/>
                <w:highlight w:val="none"/>
              </w:rPr>
            </w:pPr>
          </w:p>
        </w:tc>
        <w:tc>
          <w:tcPr>
            <w:tcW w:w="1193" w:type="pct"/>
            <w:tcBorders>
              <w:top w:val="single" w:color="auto" w:sz="4" w:space="0"/>
              <w:left w:val="single" w:color="auto" w:sz="4" w:space="0"/>
              <w:bottom w:val="single" w:color="auto" w:sz="4" w:space="0"/>
              <w:right w:val="single" w:color="auto" w:sz="4" w:space="0"/>
            </w:tcBorders>
            <w:vAlign w:val="center"/>
          </w:tcPr>
          <w:p w14:paraId="277EB385">
            <w:pPr>
              <w:spacing w:line="400" w:lineRule="exact"/>
              <w:jc w:val="center"/>
              <w:rPr>
                <w:rFonts w:ascii="宋体" w:hAnsi="宋体"/>
                <w:b/>
                <w:color w:val="auto"/>
                <w:szCs w:val="21"/>
                <w:highlight w:val="none"/>
              </w:rPr>
            </w:pPr>
            <w:r>
              <w:rPr>
                <w:rFonts w:hint="eastAsia" w:ascii="宋体" w:hAnsi="宋体"/>
                <w:b/>
                <w:color w:val="auto"/>
                <w:szCs w:val="21"/>
                <w:highlight w:val="none"/>
              </w:rPr>
              <w:t>综合单价（合计）</w:t>
            </w:r>
          </w:p>
        </w:tc>
        <w:tc>
          <w:tcPr>
            <w:tcW w:w="1270" w:type="pct"/>
            <w:tcBorders>
              <w:top w:val="single" w:color="auto" w:sz="4" w:space="0"/>
              <w:left w:val="single" w:color="auto" w:sz="4" w:space="0"/>
              <w:bottom w:val="single" w:color="auto" w:sz="4" w:space="0"/>
              <w:right w:val="single" w:color="auto" w:sz="4" w:space="0"/>
            </w:tcBorders>
            <w:vAlign w:val="center"/>
          </w:tcPr>
          <w:p w14:paraId="0F638E34">
            <w:pPr>
              <w:spacing w:line="400" w:lineRule="exact"/>
              <w:jc w:val="center"/>
              <w:rPr>
                <w:rFonts w:ascii="宋体" w:hAnsi="宋体"/>
                <w:color w:val="auto"/>
                <w:szCs w:val="21"/>
                <w:highlight w:val="none"/>
              </w:rPr>
            </w:pPr>
            <w:r>
              <w:rPr>
                <w:rFonts w:ascii="宋体" w:hAnsi="宋体"/>
                <w:color w:val="auto"/>
                <w:szCs w:val="21"/>
                <w:highlight w:val="none"/>
              </w:rPr>
              <w:t>＝1+2+3</w:t>
            </w:r>
            <w:r>
              <w:rPr>
                <w:rFonts w:hint="eastAsia" w:ascii="宋体" w:hAnsi="宋体"/>
                <w:color w:val="auto"/>
                <w:szCs w:val="21"/>
                <w:highlight w:val="none"/>
              </w:rPr>
              <w:t>+</w:t>
            </w:r>
            <w:r>
              <w:rPr>
                <w:rFonts w:ascii="宋体" w:hAnsi="宋体"/>
                <w:color w:val="auto"/>
                <w:szCs w:val="21"/>
                <w:highlight w:val="none"/>
              </w:rPr>
              <w:t>…</w:t>
            </w:r>
          </w:p>
        </w:tc>
        <w:tc>
          <w:tcPr>
            <w:tcW w:w="1917" w:type="pct"/>
            <w:tcBorders>
              <w:top w:val="single" w:color="auto" w:sz="4" w:space="0"/>
              <w:left w:val="single" w:color="auto" w:sz="4" w:space="0"/>
              <w:bottom w:val="single" w:color="auto" w:sz="4" w:space="0"/>
              <w:right w:val="single" w:color="auto" w:sz="4" w:space="0"/>
            </w:tcBorders>
            <w:vAlign w:val="center"/>
          </w:tcPr>
          <w:p w14:paraId="7C0129F8">
            <w:pPr>
              <w:spacing w:line="400" w:lineRule="exact"/>
              <w:jc w:val="center"/>
              <w:rPr>
                <w:rFonts w:ascii="宋体" w:hAnsi="宋体"/>
                <w:color w:val="auto"/>
                <w:szCs w:val="21"/>
                <w:highlight w:val="none"/>
              </w:rPr>
            </w:pPr>
          </w:p>
        </w:tc>
      </w:tr>
    </w:tbl>
    <w:p w14:paraId="4438F1BF">
      <w:pPr>
        <w:spacing w:line="400" w:lineRule="exact"/>
        <w:ind w:firstLine="420" w:firstLineChars="200"/>
        <w:rPr>
          <w:rFonts w:ascii="宋体" w:hAnsi="宋体"/>
          <w:color w:val="auto"/>
          <w:szCs w:val="21"/>
          <w:highlight w:val="none"/>
        </w:rPr>
      </w:pPr>
      <w:r>
        <w:rPr>
          <w:rFonts w:ascii="宋体" w:hAnsi="宋体"/>
          <w:color w:val="auto"/>
          <w:szCs w:val="21"/>
          <w:highlight w:val="none"/>
        </w:rPr>
        <w:t>注：</w:t>
      </w:r>
      <w:r>
        <w:rPr>
          <w:rFonts w:hint="eastAsia" w:ascii="宋体" w:hAnsi="宋体"/>
          <w:color w:val="auto"/>
          <w:szCs w:val="21"/>
          <w:highlight w:val="none"/>
        </w:rPr>
        <w:t>1、须</w:t>
      </w:r>
      <w:r>
        <w:rPr>
          <w:rFonts w:ascii="宋体" w:hAnsi="宋体"/>
          <w:color w:val="auto"/>
          <w:szCs w:val="21"/>
          <w:highlight w:val="none"/>
        </w:rPr>
        <w:t>附相关的计算过程及计算依据（包括取费依据、相关文件和规定等）</w:t>
      </w:r>
      <w:r>
        <w:rPr>
          <w:rFonts w:hint="eastAsia" w:ascii="宋体" w:hAnsi="宋体"/>
          <w:color w:val="auto"/>
          <w:szCs w:val="21"/>
          <w:highlight w:val="none"/>
        </w:rPr>
        <w:t>。</w:t>
      </w:r>
    </w:p>
    <w:p w14:paraId="3EEC54FA">
      <w:pPr>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本表应列出完成</w:t>
      </w:r>
      <w:r>
        <w:rPr>
          <w:rFonts w:hint="eastAsia" w:ascii="宋体" w:hAnsi="宋体"/>
          <w:color w:val="auto"/>
          <w:szCs w:val="21"/>
          <w:highlight w:val="none"/>
        </w:rPr>
        <w:t>招标范围内该部分工作内容的全部组成</w:t>
      </w:r>
      <w:r>
        <w:rPr>
          <w:rFonts w:ascii="宋体" w:hAnsi="宋体"/>
          <w:color w:val="auto"/>
          <w:szCs w:val="21"/>
          <w:highlight w:val="none"/>
        </w:rPr>
        <w:t>费用，凡有遗漏或未考虑周全的均视为已包含在</w:t>
      </w:r>
      <w:r>
        <w:rPr>
          <w:rFonts w:hint="eastAsia" w:ascii="宋体" w:hAnsi="宋体"/>
          <w:color w:val="auto"/>
          <w:szCs w:val="21"/>
          <w:highlight w:val="none"/>
        </w:rPr>
        <w:t>综合单价</w:t>
      </w:r>
      <w:r>
        <w:rPr>
          <w:rFonts w:ascii="宋体" w:hAnsi="宋体"/>
          <w:color w:val="auto"/>
          <w:szCs w:val="21"/>
          <w:highlight w:val="none"/>
        </w:rPr>
        <w:t>内。</w:t>
      </w:r>
    </w:p>
    <w:p w14:paraId="0D585633">
      <w:pPr>
        <w:spacing w:line="400" w:lineRule="exact"/>
        <w:jc w:val="left"/>
        <w:rPr>
          <w:rFonts w:ascii="宋体" w:hAnsi="宋体"/>
          <w:color w:val="auto"/>
          <w:szCs w:val="21"/>
          <w:highlight w:val="none"/>
        </w:rPr>
      </w:pPr>
    </w:p>
    <w:p w14:paraId="73FC0DE7">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C65CB31">
      <w:pPr>
        <w:pStyle w:val="20"/>
        <w:spacing w:line="400" w:lineRule="exact"/>
        <w:ind w:firstLine="0"/>
        <w:rPr>
          <w:rFonts w:ascii="宋体" w:hAnsi="宋体" w:eastAsia="宋体" w:cs="宋体"/>
          <w:color w:val="auto"/>
          <w:sz w:val="21"/>
          <w:szCs w:val="21"/>
          <w:highlight w:val="none"/>
        </w:rPr>
      </w:pPr>
    </w:p>
    <w:p w14:paraId="00F715F8">
      <w:pPr>
        <w:pStyle w:val="20"/>
        <w:spacing w:line="400" w:lineRule="exact"/>
        <w:ind w:firstLine="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p>
    <w:p w14:paraId="7D888900">
      <w:pPr>
        <w:rPr>
          <w:rFonts w:ascii="方正书宋简体" w:hAnsi="方正书宋简体"/>
          <w:b/>
          <w:bCs/>
          <w:color w:val="auto"/>
          <w:szCs w:val="21"/>
          <w:highlight w:val="none"/>
        </w:rPr>
      </w:pPr>
      <w:r>
        <w:rPr>
          <w:rFonts w:hint="eastAsia" w:ascii="方正书宋简体" w:hAnsi="方正书宋简体"/>
          <w:b/>
          <w:bCs/>
          <w:color w:val="auto"/>
          <w:szCs w:val="21"/>
          <w:highlight w:val="none"/>
        </w:rPr>
        <w:br w:type="page"/>
      </w:r>
    </w:p>
    <w:p w14:paraId="056D85BF">
      <w:pPr>
        <w:spacing w:line="400" w:lineRule="exact"/>
        <w:jc w:val="center"/>
        <w:rPr>
          <w:rFonts w:ascii="宋体" w:hAnsi="宋体"/>
          <w:b/>
          <w:color w:val="auto"/>
          <w:szCs w:val="21"/>
          <w:highlight w:val="none"/>
        </w:rPr>
      </w:pPr>
      <w:r>
        <w:rPr>
          <w:rFonts w:hint="eastAsia" w:ascii="方正书宋简体" w:hAnsi="方正书宋简体"/>
          <w:b/>
          <w:bCs/>
          <w:color w:val="auto"/>
          <w:szCs w:val="21"/>
          <w:highlight w:val="none"/>
        </w:rPr>
        <w:t>C</w:t>
      </w:r>
      <w:r>
        <w:rPr>
          <w:rFonts w:hint="eastAsia" w:ascii="宋体" w:hAnsi="宋体"/>
          <w:b/>
          <w:color w:val="auto"/>
          <w:szCs w:val="21"/>
          <w:highlight w:val="none"/>
          <w:lang w:val="en-US" w:eastAsia="zh-CN"/>
        </w:rPr>
        <w:t>3</w:t>
      </w:r>
      <w:r>
        <w:rPr>
          <w:rFonts w:hint="eastAsia" w:ascii="宋体" w:hAnsi="宋体"/>
          <w:b/>
          <w:color w:val="auto"/>
          <w:szCs w:val="21"/>
          <w:highlight w:val="none"/>
        </w:rPr>
        <w:t xml:space="preserve"> 供应商认为需要的其他资料（如有需提供）</w:t>
      </w:r>
    </w:p>
    <w:p w14:paraId="78871AFE">
      <w:pPr>
        <w:spacing w:line="400" w:lineRule="exact"/>
        <w:ind w:firstLine="474" w:firstLineChars="200"/>
        <w:rPr>
          <w:rFonts w:ascii="宋体" w:hAnsi="宋体"/>
          <w:color w:val="auto"/>
          <w:szCs w:val="21"/>
          <w:highlight w:val="none"/>
        </w:rPr>
      </w:pPr>
      <w:r>
        <w:rPr>
          <w:rStyle w:val="137"/>
          <w:rFonts w:ascii="宋体" w:hAnsi="宋体"/>
          <w:color w:val="auto"/>
          <w:szCs w:val="21"/>
          <w:highlight w:val="none"/>
        </w:rPr>
        <w:br w:type="page"/>
      </w:r>
    </w:p>
    <w:p w14:paraId="7DBAF1AA">
      <w:pPr>
        <w:rPr>
          <w:rFonts w:ascii="宋体" w:hAnsi="宋体"/>
          <w:b/>
          <w:color w:val="auto"/>
          <w:szCs w:val="21"/>
          <w:highlight w:val="none"/>
        </w:rPr>
      </w:pPr>
    </w:p>
    <w:bookmarkEnd w:id="40"/>
    <w:bookmarkEnd w:id="41"/>
    <w:bookmarkEnd w:id="42"/>
    <w:p w14:paraId="1D311193">
      <w:pPr>
        <w:autoSpaceDE w:val="0"/>
        <w:autoSpaceDN w:val="0"/>
        <w:adjustRightInd w:val="0"/>
        <w:spacing w:line="400" w:lineRule="exact"/>
        <w:jc w:val="center"/>
        <w:outlineLvl w:val="0"/>
        <w:rPr>
          <w:b/>
          <w:color w:val="auto"/>
          <w:highlight w:val="none"/>
        </w:rPr>
      </w:pPr>
      <w:bookmarkStart w:id="43" w:name="_Toc28120"/>
      <w:bookmarkStart w:id="44" w:name="_Toc44162164"/>
      <w:r>
        <w:rPr>
          <w:rFonts w:hint="eastAsia"/>
          <w:b/>
          <w:color w:val="auto"/>
          <w:highlight w:val="none"/>
        </w:rPr>
        <w:t>政府采购活动现场确认声明书</w:t>
      </w:r>
      <w:bookmarkEnd w:id="43"/>
      <w:bookmarkEnd w:id="44"/>
    </w:p>
    <w:p w14:paraId="13C71650">
      <w:pPr>
        <w:pStyle w:val="153"/>
        <w:snapToGrid w:val="0"/>
        <w:spacing w:line="400" w:lineRule="exact"/>
        <w:rPr>
          <w:rFonts w:hAnsi="宋体"/>
          <w:color w:val="auto"/>
          <w:szCs w:val="21"/>
          <w:highlight w:val="none"/>
        </w:rPr>
      </w:pPr>
      <w:r>
        <w:rPr>
          <w:rFonts w:hint="eastAsia" w:hAnsi="宋体"/>
          <w:color w:val="auto"/>
          <w:szCs w:val="21"/>
          <w:highlight w:val="none"/>
        </w:rPr>
        <w:t>致：采购人</w:t>
      </w:r>
    </w:p>
    <w:p w14:paraId="2E50E883">
      <w:pPr>
        <w:pStyle w:val="153"/>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宁波市精神病院医院陪护服务管理外包项目</w:t>
      </w:r>
      <w:r>
        <w:rPr>
          <w:rFonts w:hint="eastAsia" w:hAnsi="宋体"/>
          <w:color w:val="auto"/>
          <w:szCs w:val="21"/>
          <w:highlight w:val="none"/>
        </w:rPr>
        <w:t>（采购编号：</w:t>
      </w:r>
      <w:r>
        <w:rPr>
          <w:rFonts w:hint="eastAsia" w:hAnsi="宋体"/>
          <w:color w:val="auto"/>
          <w:szCs w:val="21"/>
          <w:highlight w:val="none"/>
          <w:u w:val="single"/>
        </w:rPr>
        <w:t>NBITC-</w:t>
      </w:r>
      <w:r>
        <w:rPr>
          <w:rFonts w:hint="eastAsia" w:hAnsi="宋体"/>
          <w:color w:val="auto"/>
          <w:szCs w:val="21"/>
          <w:highlight w:val="none"/>
          <w:u w:val="single"/>
          <w:lang w:eastAsia="zh-CN"/>
        </w:rPr>
        <w:t>202411328G</w:t>
      </w:r>
      <w:r>
        <w:rPr>
          <w:rFonts w:hint="eastAsia" w:hAnsi="宋体"/>
          <w:color w:val="auto"/>
          <w:szCs w:val="21"/>
          <w:highlight w:val="none"/>
        </w:rPr>
        <w:t>）政府采购活动，经与本单位法人代表（负责人）联系确认，现就有关公平竞争事项郑重声明如下：</w:t>
      </w:r>
    </w:p>
    <w:p w14:paraId="51360A88">
      <w:pPr>
        <w:pStyle w:val="194"/>
        <w:widowControl/>
        <w:numPr>
          <w:ilvl w:val="0"/>
          <w:numId w:val="3"/>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14:paraId="59E602D8">
      <w:pPr>
        <w:pStyle w:val="194"/>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14:paraId="4B4849E7">
      <w:pPr>
        <w:pStyle w:val="194"/>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14:paraId="44B9398A">
      <w:pPr>
        <w:pStyle w:val="194"/>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14:paraId="2D2154C5">
      <w:pPr>
        <w:pStyle w:val="194"/>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hint="eastAsia" w:ascii="宋体" w:hAnsi="宋体"/>
          <w:color w:val="auto"/>
          <w:szCs w:val="21"/>
          <w:highlight w:val="none"/>
        </w:rPr>
        <w:t>。</w:t>
      </w:r>
    </w:p>
    <w:p w14:paraId="1772A401">
      <w:pPr>
        <w:pStyle w:val="194"/>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14:paraId="1661D03E">
      <w:pPr>
        <w:pStyle w:val="194"/>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14:paraId="0687EC72">
      <w:pPr>
        <w:pStyle w:val="194"/>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14:paraId="4A6AAA08">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14:paraId="1E5F0803">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14:paraId="3CED0410">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14:paraId="0873928E">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14:paraId="27FEBE9D">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14:paraId="351B4DD6">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14:paraId="441DCA95">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14:paraId="0E91143F">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14:paraId="75BFB3B5">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14:paraId="2DB530CA">
      <w:pPr>
        <w:pStyle w:val="194"/>
        <w:widowControl/>
        <w:numPr>
          <w:ilvl w:val="0"/>
          <w:numId w:val="4"/>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14:paraId="7E3B8A8B">
      <w:pPr>
        <w:pStyle w:val="194"/>
        <w:widowControl/>
        <w:numPr>
          <w:ilvl w:val="0"/>
          <w:numId w:val="4"/>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hint="eastAsia" w:ascii="宋体" w:hAnsi="宋体"/>
          <w:color w:val="auto"/>
          <w:szCs w:val="21"/>
          <w:highlight w:val="none"/>
          <w:u w:val="single"/>
        </w:rPr>
        <w:t>供应商</w:t>
      </w:r>
      <w:r>
        <w:rPr>
          <w:rFonts w:hint="eastAsia" w:ascii="宋体" w:hAnsi="宋体"/>
          <w:color w:val="auto"/>
          <w:szCs w:val="21"/>
          <w:highlight w:val="none"/>
        </w:rPr>
        <w:t>之间存在或可能存在上述第二条第项利害关系。</w:t>
      </w:r>
    </w:p>
    <w:p w14:paraId="20355D67">
      <w:pPr>
        <w:pStyle w:val="153"/>
        <w:snapToGrid w:val="0"/>
        <w:spacing w:line="400" w:lineRule="exact"/>
        <w:ind w:firstLine="420" w:firstLineChars="200"/>
        <w:rPr>
          <w:rFonts w:hAnsi="宋体"/>
          <w:color w:val="auto"/>
          <w:szCs w:val="21"/>
          <w:highlight w:val="none"/>
        </w:rPr>
      </w:pPr>
    </w:p>
    <w:p w14:paraId="38637BCB">
      <w:pPr>
        <w:pStyle w:val="153"/>
        <w:snapToGrid w:val="0"/>
        <w:spacing w:line="400" w:lineRule="exact"/>
        <w:ind w:firstLine="1365" w:firstLineChars="650"/>
        <w:rPr>
          <w:rFonts w:hAnsi="宋体"/>
          <w:color w:val="auto"/>
          <w:szCs w:val="21"/>
          <w:highlight w:val="none"/>
        </w:rPr>
      </w:pPr>
      <w:r>
        <w:rPr>
          <w:rFonts w:hint="eastAsia" w:hAnsi="宋体"/>
          <w:color w:val="auto"/>
          <w:szCs w:val="21"/>
          <w:highlight w:val="none"/>
        </w:rPr>
        <w:t>（供应商代表签名）</w:t>
      </w:r>
    </w:p>
    <w:p w14:paraId="2530CB20">
      <w:pPr>
        <w:spacing w:line="400" w:lineRule="exact"/>
        <w:ind w:firstLine="1318" w:firstLineChars="628"/>
        <w:rPr>
          <w:rFonts w:ascii="宋体" w:hAnsi="宋体"/>
          <w:color w:val="auto"/>
          <w:szCs w:val="21"/>
          <w:highlight w:val="none"/>
        </w:rPr>
      </w:pPr>
      <w:r>
        <w:rPr>
          <w:rFonts w:hint="eastAsia" w:ascii="宋体" w:hAnsi="宋体"/>
          <w:color w:val="auto"/>
          <w:szCs w:val="21"/>
          <w:highlight w:val="none"/>
        </w:rPr>
        <w:t>年月日</w:t>
      </w:r>
    </w:p>
    <w:p w14:paraId="016008D3">
      <w:pPr>
        <w:spacing w:line="400" w:lineRule="exact"/>
        <w:rPr>
          <w:rFonts w:ascii="宋体" w:hAnsi="宋体"/>
          <w:color w:val="auto"/>
          <w:szCs w:val="21"/>
          <w:highlight w:val="none"/>
        </w:rPr>
      </w:pPr>
    </w:p>
    <w:p w14:paraId="47D7FE33">
      <w:pPr>
        <w:spacing w:line="400" w:lineRule="exact"/>
        <w:rPr>
          <w:rFonts w:ascii="宋体" w:hAnsi="宋体"/>
          <w:color w:val="auto"/>
          <w:szCs w:val="21"/>
          <w:highlight w:val="none"/>
        </w:rPr>
      </w:pPr>
    </w:p>
    <w:p w14:paraId="2F439B4B">
      <w:pPr>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14:paraId="6206C2C4">
      <w:pPr>
        <w:spacing w:line="500" w:lineRule="exact"/>
        <w:ind w:firstLine="548" w:firstLineChars="195"/>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、本表在开标现场由代理机构提供给各供应商，由各供应商签署。</w:t>
      </w:r>
    </w:p>
    <w:p w14:paraId="524AFB46">
      <w:pPr>
        <w:spacing w:line="500" w:lineRule="exact"/>
        <w:ind w:firstLine="548" w:firstLineChars="195"/>
        <w:rPr>
          <w:rFonts w:ascii="宋体" w:hAnsi="宋体"/>
          <w:b/>
          <w:color w:val="auto"/>
          <w:sz w:val="28"/>
          <w:szCs w:val="28"/>
          <w:highlight w:val="none"/>
        </w:rPr>
      </w:pPr>
    </w:p>
    <w:p w14:paraId="458FC1F4">
      <w:pPr>
        <w:pStyle w:val="29"/>
        <w:spacing w:line="360" w:lineRule="auto"/>
        <w:ind w:left="101" w:leftChars="48" w:firstLine="2880" w:firstLineChars="800"/>
        <w:jc w:val="left"/>
        <w:rPr>
          <w:rFonts w:hAnsi="宋体"/>
          <w:color w:val="auto"/>
          <w:sz w:val="36"/>
          <w:szCs w:val="36"/>
          <w:highlight w:val="none"/>
        </w:rPr>
        <w:sectPr>
          <w:pgSz w:w="11907" w:h="16840"/>
          <w:pgMar w:top="1138" w:right="1588" w:bottom="1423" w:left="939" w:header="285" w:footer="990" w:gutter="0"/>
          <w:pgBorders>
            <w:top w:val="none" w:sz="0" w:space="0"/>
            <w:left w:val="none" w:sz="0" w:space="0"/>
            <w:bottom w:val="none" w:sz="0" w:space="0"/>
            <w:right w:val="none" w:sz="0" w:space="0"/>
          </w:pgBorders>
          <w:cols w:space="720" w:num="1"/>
          <w:docGrid w:linePitch="285" w:charSpace="0"/>
        </w:sectPr>
      </w:pPr>
    </w:p>
    <w:tbl>
      <w:tblPr>
        <w:tblStyle w:val="50"/>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027E2C21">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ign w:val="bottom"/>
          </w:tcPr>
          <w:p w14:paraId="2CB344F6">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490478A1">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ign w:val="center"/>
          </w:tcPr>
          <w:p w14:paraId="5A8B097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noWrap/>
            <w:vAlign w:val="bottom"/>
          </w:tcPr>
          <w:p w14:paraId="1C0FEB3A">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noWrap/>
            <w:vAlign w:val="bottom"/>
          </w:tcPr>
          <w:p w14:paraId="7AE858B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noWrap/>
            <w:vAlign w:val="bottom"/>
          </w:tcPr>
          <w:p w14:paraId="0D2CE8B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777A08F5">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ign w:val="center"/>
          </w:tcPr>
          <w:p w14:paraId="28EAC3B7">
            <w:pPr>
              <w:widowControl/>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noWrap/>
            <w:vAlign w:val="bottom"/>
          </w:tcPr>
          <w:p w14:paraId="6648F34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noWrap/>
            <w:vAlign w:val="bottom"/>
          </w:tcPr>
          <w:p w14:paraId="53E56FD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14DF694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noWrap/>
            <w:vAlign w:val="bottom"/>
          </w:tcPr>
          <w:p w14:paraId="0F06354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52E992C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noWrap/>
            <w:vAlign w:val="bottom"/>
          </w:tcPr>
          <w:p w14:paraId="06D6C2C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noWrap/>
            <w:vAlign w:val="bottom"/>
          </w:tcPr>
          <w:p w14:paraId="4D4AFC7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028383F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noWrap/>
            <w:vAlign w:val="bottom"/>
          </w:tcPr>
          <w:p w14:paraId="2D651F4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0E8F1F6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noWrap/>
            <w:vAlign w:val="bottom"/>
          </w:tcPr>
          <w:p w14:paraId="3D019A3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noWrap/>
            <w:vAlign w:val="bottom"/>
          </w:tcPr>
          <w:p w14:paraId="443E717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noWrap/>
            <w:vAlign w:val="bottom"/>
          </w:tcPr>
          <w:p w14:paraId="55695BC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7138B39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4E8E994">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noWrap/>
            <w:vAlign w:val="center"/>
          </w:tcPr>
          <w:p w14:paraId="47AC26A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ign w:val="center"/>
          </w:tcPr>
          <w:p w14:paraId="167C07C2">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ign w:val="center"/>
          </w:tcPr>
          <w:p w14:paraId="12AED9C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64DFFB2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ign w:val="center"/>
          </w:tcPr>
          <w:p w14:paraId="34E6E457">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ign w:val="center"/>
          </w:tcPr>
          <w:p w14:paraId="7B99007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249FD21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ign w:val="center"/>
          </w:tcPr>
          <w:p w14:paraId="0163487F">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ign w:val="center"/>
          </w:tcPr>
          <w:p w14:paraId="4F442BA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25CFA9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2F93DD8">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noWrap/>
            <w:vAlign w:val="center"/>
          </w:tcPr>
          <w:p w14:paraId="5C9ECFB3">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ign w:val="center"/>
          </w:tcPr>
          <w:p w14:paraId="4C5F2AB1">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ign w:val="center"/>
          </w:tcPr>
          <w:p w14:paraId="2E3497C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19BEB276">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ign w:val="center"/>
          </w:tcPr>
          <w:p w14:paraId="7E83AF66">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ign w:val="center"/>
          </w:tcPr>
          <w:p w14:paraId="0C9D63C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7659E8A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ign w:val="center"/>
          </w:tcPr>
          <w:p w14:paraId="473A5073">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ign w:val="center"/>
          </w:tcPr>
          <w:p w14:paraId="65D3260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4D4BC1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F3AEA5C">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noWrap/>
            <w:vAlign w:val="center"/>
          </w:tcPr>
          <w:p w14:paraId="7319FF4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ign w:val="center"/>
          </w:tcPr>
          <w:p w14:paraId="2B67DB70">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noWrap/>
            <w:vAlign w:val="center"/>
          </w:tcPr>
          <w:p w14:paraId="07A67D6D">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noWrap/>
            <w:vAlign w:val="center"/>
          </w:tcPr>
          <w:p w14:paraId="13F402A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ign w:val="center"/>
          </w:tcPr>
          <w:p w14:paraId="4BB1C298">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noWrap/>
            <w:vAlign w:val="center"/>
          </w:tcPr>
          <w:p w14:paraId="55ABFE96">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ign w:val="center"/>
          </w:tcPr>
          <w:p w14:paraId="145C57C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ign w:val="center"/>
          </w:tcPr>
          <w:p w14:paraId="67A0A73C">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ign w:val="center"/>
          </w:tcPr>
          <w:p w14:paraId="076129BB">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65752EC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1247D56">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noWrap/>
            <w:vAlign w:val="center"/>
          </w:tcPr>
          <w:p w14:paraId="39D01F55">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ign w:val="center"/>
          </w:tcPr>
          <w:p w14:paraId="029DCC2C">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ign w:val="center"/>
          </w:tcPr>
          <w:p w14:paraId="10727D8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3DB732EF">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noWrap/>
            <w:vAlign w:val="center"/>
          </w:tcPr>
          <w:p w14:paraId="37706EC7">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noWrap/>
            <w:vAlign w:val="center"/>
          </w:tcPr>
          <w:p w14:paraId="06D5B6C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4761E6C9">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noWrap/>
            <w:vAlign w:val="center"/>
          </w:tcPr>
          <w:p w14:paraId="5360E208">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noWrap/>
            <w:vAlign w:val="center"/>
          </w:tcPr>
          <w:p w14:paraId="732C10A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2F7A12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352C1A0">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noWrap/>
            <w:vAlign w:val="center"/>
          </w:tcPr>
          <w:p w14:paraId="548BA7F2">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57BF23B7">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ign w:val="center"/>
          </w:tcPr>
          <w:p w14:paraId="005344C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5E242BB6">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noWrap/>
            <w:vAlign w:val="center"/>
          </w:tcPr>
          <w:p w14:paraId="46DAB27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ign w:val="center"/>
          </w:tcPr>
          <w:p w14:paraId="7D4E082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55AA6B01">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57E2997F">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002CDAB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86EC44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FAF2013">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noWrap/>
            <w:vAlign w:val="center"/>
          </w:tcPr>
          <w:p w14:paraId="2A934DE1">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ign w:val="center"/>
          </w:tcPr>
          <w:p w14:paraId="410D022E">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ign w:val="center"/>
          </w:tcPr>
          <w:p w14:paraId="335EEAA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364D24D2">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ign w:val="center"/>
          </w:tcPr>
          <w:p w14:paraId="18D1B695">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noWrap/>
            <w:vAlign w:val="center"/>
          </w:tcPr>
          <w:p w14:paraId="7D124F0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391E0FF1">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ign w:val="center"/>
          </w:tcPr>
          <w:p w14:paraId="75022EDE">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noWrap/>
            <w:vAlign w:val="center"/>
          </w:tcPr>
          <w:p w14:paraId="47C822F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2F54CD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DBADB8B">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noWrap/>
            <w:vAlign w:val="center"/>
          </w:tcPr>
          <w:p w14:paraId="32FFDD58">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ign w:val="center"/>
          </w:tcPr>
          <w:p w14:paraId="044EE8E7">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ign w:val="center"/>
          </w:tcPr>
          <w:p w14:paraId="3CFA736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159421F3">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21BB53D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46945B4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4F133B15">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ign w:val="center"/>
          </w:tcPr>
          <w:p w14:paraId="33CE818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33E2BE7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AF303E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4AC3E7A7">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noWrap/>
            <w:vAlign w:val="center"/>
          </w:tcPr>
          <w:p w14:paraId="53C9572E">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ign w:val="center"/>
          </w:tcPr>
          <w:p w14:paraId="55400621">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ign w:val="center"/>
          </w:tcPr>
          <w:p w14:paraId="01E6AB3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07C827D6">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ign w:val="center"/>
          </w:tcPr>
          <w:p w14:paraId="76A2FFA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ign w:val="center"/>
          </w:tcPr>
          <w:p w14:paraId="6EDB602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55816BE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ign w:val="center"/>
          </w:tcPr>
          <w:p w14:paraId="62503A3F">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46859B8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695DF2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3305F16">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noWrap/>
            <w:vAlign w:val="center"/>
          </w:tcPr>
          <w:p w14:paraId="295CE88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7C303284">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ign w:val="center"/>
          </w:tcPr>
          <w:p w14:paraId="5DB002D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7F1059AB">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58D50E1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ign w:val="center"/>
          </w:tcPr>
          <w:p w14:paraId="205D4F9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45BA8D88">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58FABBBE">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22FC8D6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25447B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442D34A5">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noWrap/>
            <w:vAlign w:val="center"/>
          </w:tcPr>
          <w:p w14:paraId="2124A7A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333B238D">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ign w:val="center"/>
          </w:tcPr>
          <w:p w14:paraId="236D93E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305AB395">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5A835998">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ign w:val="center"/>
          </w:tcPr>
          <w:p w14:paraId="2C68944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73C5DE2E">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79FE848C">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6546258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0F9658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2453EB0">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noWrap/>
            <w:vAlign w:val="center"/>
          </w:tcPr>
          <w:p w14:paraId="5A017BC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noWrap/>
            <w:vAlign w:val="center"/>
          </w:tcPr>
          <w:p w14:paraId="6174904E">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noWrap/>
            <w:vAlign w:val="center"/>
          </w:tcPr>
          <w:p w14:paraId="5EC98EC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377C3C12">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6DF50ED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5B4329B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2D3D120F">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0F9E0EFD">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55CCD84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281BD3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1A3F6CB">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noWrap/>
            <w:vAlign w:val="center"/>
          </w:tcPr>
          <w:p w14:paraId="288D907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45F6BE13">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ign w:val="center"/>
          </w:tcPr>
          <w:p w14:paraId="3E2729F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5155D30D">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3CD5DA1B">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35390E7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7B633BC9">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630DBEC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ign w:val="center"/>
          </w:tcPr>
          <w:p w14:paraId="734EF0F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5737C7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CDA4C44">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noWrap/>
            <w:vAlign w:val="center"/>
          </w:tcPr>
          <w:p w14:paraId="0394930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ign w:val="center"/>
          </w:tcPr>
          <w:p w14:paraId="21D3D920">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noWrap/>
            <w:vAlign w:val="center"/>
          </w:tcPr>
          <w:p w14:paraId="525B40D7">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noWrap/>
            <w:vAlign w:val="center"/>
          </w:tcPr>
          <w:p w14:paraId="3FB5BA3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ign w:val="center"/>
          </w:tcPr>
          <w:p w14:paraId="2734F23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2C918A5D">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ign w:val="center"/>
          </w:tcPr>
          <w:p w14:paraId="7AA871B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ign w:val="center"/>
          </w:tcPr>
          <w:p w14:paraId="2402BE2C">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4119655C">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594E585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0B26908">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noWrap/>
            <w:vAlign w:val="center"/>
          </w:tcPr>
          <w:p w14:paraId="16C4020F">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ign w:val="center"/>
          </w:tcPr>
          <w:p w14:paraId="7467C02A">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noWrap/>
            <w:vAlign w:val="center"/>
          </w:tcPr>
          <w:p w14:paraId="5FE8608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4A6691FC">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ign w:val="center"/>
          </w:tcPr>
          <w:p w14:paraId="404DB733">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0733C8A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6F06F5F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noWrap/>
            <w:vAlign w:val="center"/>
          </w:tcPr>
          <w:p w14:paraId="1DEB95F0">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noWrap/>
            <w:vAlign w:val="center"/>
          </w:tcPr>
          <w:p w14:paraId="3983C16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46E01F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2FF54756">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noWrap/>
            <w:vAlign w:val="center"/>
          </w:tcPr>
          <w:p w14:paraId="2632E2A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35D1703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noWrap/>
            <w:vAlign w:val="center"/>
          </w:tcPr>
          <w:p w14:paraId="7BA6215B">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noWrap/>
            <w:vAlign w:val="center"/>
          </w:tcPr>
          <w:p w14:paraId="7A69C0D9">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32A8D5D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noWrap/>
            <w:vAlign w:val="center"/>
          </w:tcPr>
          <w:p w14:paraId="05BDF2DF">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noWrap/>
            <w:vAlign w:val="center"/>
          </w:tcPr>
          <w:p w14:paraId="247673D8">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5F3FA48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noWrap/>
            <w:vAlign w:val="center"/>
          </w:tcPr>
          <w:p w14:paraId="7D562CE9">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6BC9FC1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ign w:val="bottom"/>
          </w:tcPr>
          <w:p w14:paraId="33722351">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noWrap/>
            <w:vAlign w:val="center"/>
          </w:tcPr>
          <w:p w14:paraId="7904DA8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noWrap/>
            <w:vAlign w:val="center"/>
          </w:tcPr>
          <w:p w14:paraId="52B409D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noWrap/>
            <w:vAlign w:val="center"/>
          </w:tcPr>
          <w:p w14:paraId="0BD9F42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noWrap/>
            <w:vAlign w:val="center"/>
          </w:tcPr>
          <w:p w14:paraId="2D1DA987">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noWrap/>
            <w:vAlign w:val="center"/>
          </w:tcPr>
          <w:p w14:paraId="49FBCAE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noWrap/>
            <w:vAlign w:val="center"/>
          </w:tcPr>
          <w:p w14:paraId="6CB2780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noWrap/>
            <w:vAlign w:val="center"/>
          </w:tcPr>
          <w:p w14:paraId="5E577989">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noWrap/>
            <w:vAlign w:val="center"/>
          </w:tcPr>
          <w:p w14:paraId="57D50E2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noWrap/>
            <w:vAlign w:val="center"/>
          </w:tcPr>
          <w:p w14:paraId="735D4F7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9D58E8E">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ign w:val="bottom"/>
          </w:tcPr>
          <w:p w14:paraId="684E811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17DD15FF">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1D0A2D52">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1EB43FEA">
      <w:pPr>
        <w:pStyle w:val="29"/>
        <w:tabs>
          <w:tab w:val="left" w:pos="3450"/>
        </w:tabs>
        <w:spacing w:line="20" w:lineRule="exact"/>
        <w:jc w:val="left"/>
        <w:rPr>
          <w:rFonts w:hAnsi="宋体"/>
          <w:color w:val="auto"/>
          <w:sz w:val="36"/>
          <w:szCs w:val="36"/>
          <w:highlight w:val="none"/>
        </w:rPr>
      </w:pPr>
    </w:p>
    <w:sectPr>
      <w:pgSz w:w="16838" w:h="11906" w:orient="landscape"/>
      <w:pgMar w:top="526" w:right="1440" w:bottom="568" w:left="1440" w:header="737" w:footer="62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Univers">
    <w:panose1 w:val="020B0603020202030204"/>
    <w:charset w:val="00"/>
    <w:family w:val="swiss"/>
    <w:pitch w:val="default"/>
    <w:sig w:usb0="00000000" w:usb1="00000000" w:usb2="00000000" w:usb3="00000000" w:csb0="00000000" w:csb1="00000000"/>
  </w:font>
  <w:font w:name="font-weight : 400">
    <w:altName w:val="微软雅黑"/>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3156">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AB561">
    <w:pPr>
      <w:pStyle w:val="32"/>
      <w:framePr w:wrap="around" w:vAnchor="text" w:hAnchor="margin" w:xAlign="center" w:y="1"/>
      <w:rPr>
        <w:rStyle w:val="54"/>
      </w:rPr>
    </w:pPr>
    <w:r>
      <w:fldChar w:fldCharType="begin"/>
    </w:r>
    <w:r>
      <w:rPr>
        <w:rStyle w:val="54"/>
      </w:rPr>
      <w:instrText xml:space="preserve">PAGE  </w:instrText>
    </w:r>
    <w:r>
      <w:fldChar w:fldCharType="end"/>
    </w:r>
  </w:p>
  <w:p w14:paraId="20A004D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5EFE">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3</w:t>
    </w:r>
    <w:r>
      <w:fldChar w:fldCharType="end"/>
    </w:r>
  </w:p>
  <w:p w14:paraId="006A2C27">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8DEE">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4F1F41">
                          <w:pPr>
                            <w:pStyle w:val="32"/>
                            <w:rPr>
                              <w:rStyle w:val="54"/>
                            </w:rPr>
                          </w:pPr>
                          <w:r>
                            <w:fldChar w:fldCharType="begin"/>
                          </w:r>
                          <w:r>
                            <w:rPr>
                              <w:rStyle w:val="54"/>
                            </w:rPr>
                            <w:instrText xml:space="preserve">PAGE  </w:instrText>
                          </w:r>
                          <w:r>
                            <w:fldChar w:fldCharType="separate"/>
                          </w:r>
                          <w:r>
                            <w:rPr>
                              <w:rStyle w:val="54"/>
                            </w:rP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A4F1F41">
                    <w:pPr>
                      <w:pStyle w:val="32"/>
                      <w:rPr>
                        <w:rStyle w:val="54"/>
                      </w:rPr>
                    </w:pPr>
                    <w:r>
                      <w:fldChar w:fldCharType="begin"/>
                    </w:r>
                    <w:r>
                      <w:rPr>
                        <w:rStyle w:val="54"/>
                      </w:rPr>
                      <w:instrText xml:space="preserve">PAGE  </w:instrText>
                    </w:r>
                    <w:r>
                      <w:fldChar w:fldCharType="separate"/>
                    </w:r>
                    <w:r>
                      <w:rPr>
                        <w:rStyle w:val="54"/>
                      </w:rP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D3D0">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37</w:t>
    </w:r>
    <w:r>
      <w:fldChar w:fldCharType="end"/>
    </w:r>
  </w:p>
  <w:p w14:paraId="214CF0C4">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C4D8">
    <w:pPr>
      <w:pStyle w:val="32"/>
      <w:framePr w:h="850" w:hRule="exact" w:wrap="around" w:vAnchor="text" w:hAnchor="margin" w:xAlign="center" w:y="348"/>
      <w:jc w:val="center"/>
      <w:rPr>
        <w:rStyle w:val="54"/>
      </w:rPr>
    </w:pPr>
    <w:r>
      <w:fldChar w:fldCharType="begin"/>
    </w:r>
    <w:r>
      <w:rPr>
        <w:rStyle w:val="54"/>
      </w:rPr>
      <w:instrText xml:space="preserve">PAGE  </w:instrText>
    </w:r>
    <w:r>
      <w:fldChar w:fldCharType="separate"/>
    </w:r>
    <w:r>
      <w:rPr>
        <w:rStyle w:val="54"/>
      </w:rPr>
      <w:t>73</w:t>
    </w:r>
    <w:r>
      <w:fldChar w:fldCharType="end"/>
    </w:r>
  </w:p>
  <w:p w14:paraId="45979DC1">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426D">
    <w:pPr>
      <w:pStyle w:val="33"/>
      <w:pBdr>
        <w:bottom w:val="none" w:color="auto" w:sz="0" w:space="0"/>
      </w:pBdr>
      <w:jc w:val="left"/>
    </w:pPr>
    <w:r>
      <w:rPr>
        <w:rFonts w:cs="宋体"/>
        <w:b/>
        <w:sz w:val="28"/>
        <w:szCs w:val="28"/>
      </w:rPr>
      <w:drawing>
        <wp:inline distT="0" distB="0" distL="114300" distR="114300">
          <wp:extent cx="1047750" cy="295275"/>
          <wp:effectExtent l="0" t="0" r="0" b="9525"/>
          <wp:docPr id="1"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60C43">
    <w:pPr>
      <w:pStyle w:val="33"/>
      <w:pBdr>
        <w:bottom w:val="none" w:color="auto" w:sz="0" w:space="0"/>
      </w:pBdr>
      <w:tabs>
        <w:tab w:val="left" w:pos="2427"/>
        <w:tab w:val="clear" w:pos="4153"/>
      </w:tabs>
      <w:ind w:left="281" w:hanging="281" w:hangingChars="100"/>
      <w:jc w:val="left"/>
      <w:rPr>
        <w:rFonts w:hint="default" w:eastAsia="宋体"/>
        <w:lang w:val="en-US" w:eastAsia="zh-CN"/>
      </w:rPr>
    </w:pPr>
    <w:r>
      <w:rPr>
        <w:rFonts w:cs="宋体"/>
        <w:b/>
        <w:sz w:val="28"/>
        <w:szCs w:val="28"/>
      </w:rPr>
      <w:drawing>
        <wp:inline distT="0" distB="0" distL="114300" distR="114300">
          <wp:extent cx="1047750" cy="295275"/>
          <wp:effectExtent l="0" t="0" r="0" b="9525"/>
          <wp:docPr id="3" name="图片 3"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F668">
    <w:pPr>
      <w:pStyle w:val="33"/>
      <w:pBdr>
        <w:bottom w:val="none" w:color="auto" w:sz="0" w:space="0"/>
      </w:pBdr>
      <w:jc w:val="left"/>
    </w:pPr>
    <w:r>
      <w:rPr>
        <w:rFonts w:cs="宋体"/>
        <w:b/>
        <w:sz w:val="28"/>
        <w:szCs w:val="28"/>
      </w:rPr>
      <w:drawing>
        <wp:inline distT="0" distB="0" distL="114300" distR="114300">
          <wp:extent cx="1047750" cy="295275"/>
          <wp:effectExtent l="0" t="0" r="0" b="9525"/>
          <wp:docPr id="4" name="图片 4"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D569">
    <w:pPr>
      <w:pStyle w:val="33"/>
      <w:pBdr>
        <w:bottom w:val="none" w:color="auto" w:sz="0" w:space="1"/>
      </w:pBdr>
      <w:jc w:val="left"/>
    </w:pPr>
    <w:r>
      <w:rPr>
        <w:rFonts w:cs="宋体"/>
        <w:b/>
        <w:sz w:val="28"/>
        <w:szCs w:val="28"/>
      </w:rPr>
      <w:drawing>
        <wp:inline distT="0" distB="0" distL="114300" distR="114300">
          <wp:extent cx="1047750" cy="295275"/>
          <wp:effectExtent l="0" t="0" r="0" b="9525"/>
          <wp:docPr id="5" name="图片 5"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ED60">
    <w:pPr>
      <w:pStyle w:val="33"/>
      <w:pBdr>
        <w:bottom w:val="none" w:color="auto" w:sz="0" w:space="0"/>
      </w:pBdr>
      <w:jc w:val="left"/>
    </w:pPr>
    <w:r>
      <w:rPr>
        <w:rFonts w:cs="宋体"/>
        <w:b/>
        <w:sz w:val="28"/>
        <w:szCs w:val="28"/>
      </w:rPr>
      <w:drawing>
        <wp:inline distT="0" distB="0" distL="114300" distR="114300">
          <wp:extent cx="1047750" cy="295275"/>
          <wp:effectExtent l="0" t="0" r="0" b="9525"/>
          <wp:docPr id="6" name="图片 6"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A8B8C"/>
    <w:multiLevelType w:val="multilevel"/>
    <w:tmpl w:val="BA5A8B8C"/>
    <w:lvl w:ilvl="0" w:tentative="0">
      <w:start w:val="1"/>
      <w:numFmt w:val="decimal"/>
      <w:lvlText w:val="%1、"/>
      <w:lvlJc w:val="left"/>
      <w:pPr>
        <w:tabs>
          <w:tab w:val="left" w:pos="720"/>
        </w:tabs>
        <w:ind w:left="780"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54F403B5"/>
    <w:multiLevelType w:val="singleLevel"/>
    <w:tmpl w:val="54F403B5"/>
    <w:lvl w:ilvl="0" w:tentative="0">
      <w:start w:val="1"/>
      <w:numFmt w:val="chineseCounting"/>
      <w:suff w:val="nothing"/>
      <w:lvlText w:val="%1、"/>
      <w:lvlJc w:val="left"/>
      <w:rPr>
        <w:rFonts w:cs="Times New Roman"/>
      </w:rPr>
    </w:lvl>
  </w:abstractNum>
  <w:abstractNum w:abstractNumId="2">
    <w:nsid w:val="557FD3DA"/>
    <w:multiLevelType w:val="singleLevel"/>
    <w:tmpl w:val="557FD3DA"/>
    <w:lvl w:ilvl="0" w:tentative="0">
      <w:start w:val="3"/>
      <w:numFmt w:val="chineseCounting"/>
      <w:suff w:val="nothing"/>
      <w:lvlText w:val="%1、"/>
      <w:lvlJc w:val="left"/>
      <w:rPr>
        <w:rFonts w:cs="Times New Roman"/>
      </w:rPr>
    </w:lvl>
  </w:abstractNum>
  <w:abstractNum w:abstractNumId="3">
    <w:nsid w:val="57A74C8F"/>
    <w:multiLevelType w:val="singleLevel"/>
    <w:tmpl w:val="57A74C8F"/>
    <w:lvl w:ilvl="0" w:tentative="0">
      <w:start w:val="1"/>
      <w:numFmt w:val="chineseCounting"/>
      <w:pStyle w:val="206"/>
      <w:suff w:val="nothing"/>
      <w:lvlText w:val="%1、"/>
      <w:lvlJc w:val="left"/>
      <w:rPr>
        <w:rFonts w:hint="eastAsia"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28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jJkZTlkN2Q2MmJmYTM1YzY0N2IxOWM3Mzc1MGQifQ=="/>
  </w:docVars>
  <w:rsids>
    <w:rsidRoot w:val="00D719E6"/>
    <w:rsid w:val="00001A82"/>
    <w:rsid w:val="00002288"/>
    <w:rsid w:val="00002B25"/>
    <w:rsid w:val="00003757"/>
    <w:rsid w:val="0000377D"/>
    <w:rsid w:val="000037AD"/>
    <w:rsid w:val="0000380B"/>
    <w:rsid w:val="00003965"/>
    <w:rsid w:val="000039EB"/>
    <w:rsid w:val="00003E11"/>
    <w:rsid w:val="00005AD2"/>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3516"/>
    <w:rsid w:val="00024548"/>
    <w:rsid w:val="00024E7B"/>
    <w:rsid w:val="0002570D"/>
    <w:rsid w:val="00026061"/>
    <w:rsid w:val="0002646B"/>
    <w:rsid w:val="0002795F"/>
    <w:rsid w:val="00030242"/>
    <w:rsid w:val="00031070"/>
    <w:rsid w:val="00031AAB"/>
    <w:rsid w:val="00032452"/>
    <w:rsid w:val="00032826"/>
    <w:rsid w:val="000328FE"/>
    <w:rsid w:val="0003306F"/>
    <w:rsid w:val="00034204"/>
    <w:rsid w:val="000344B9"/>
    <w:rsid w:val="00034745"/>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4435"/>
    <w:rsid w:val="00045CE3"/>
    <w:rsid w:val="00046F89"/>
    <w:rsid w:val="00047990"/>
    <w:rsid w:val="00050357"/>
    <w:rsid w:val="00050DE7"/>
    <w:rsid w:val="00050E71"/>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57E0"/>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5C01"/>
    <w:rsid w:val="000A7D12"/>
    <w:rsid w:val="000B1368"/>
    <w:rsid w:val="000B1619"/>
    <w:rsid w:val="000B1AFE"/>
    <w:rsid w:val="000B1B5F"/>
    <w:rsid w:val="000B2117"/>
    <w:rsid w:val="000B494B"/>
    <w:rsid w:val="000B4B81"/>
    <w:rsid w:val="000B4F6D"/>
    <w:rsid w:val="000B53C9"/>
    <w:rsid w:val="000B5D68"/>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E16"/>
    <w:rsid w:val="000C509A"/>
    <w:rsid w:val="000C5943"/>
    <w:rsid w:val="000C596C"/>
    <w:rsid w:val="000C59C2"/>
    <w:rsid w:val="000C7792"/>
    <w:rsid w:val="000D0D7B"/>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3FC3"/>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49AF"/>
    <w:rsid w:val="00106100"/>
    <w:rsid w:val="001062FF"/>
    <w:rsid w:val="00106308"/>
    <w:rsid w:val="00110454"/>
    <w:rsid w:val="00110480"/>
    <w:rsid w:val="00110FE8"/>
    <w:rsid w:val="001113F5"/>
    <w:rsid w:val="00113033"/>
    <w:rsid w:val="0011397C"/>
    <w:rsid w:val="0011637E"/>
    <w:rsid w:val="001178EF"/>
    <w:rsid w:val="00117BF7"/>
    <w:rsid w:val="00117C5C"/>
    <w:rsid w:val="00121861"/>
    <w:rsid w:val="00123213"/>
    <w:rsid w:val="00123DB0"/>
    <w:rsid w:val="00123E67"/>
    <w:rsid w:val="00123F60"/>
    <w:rsid w:val="00124275"/>
    <w:rsid w:val="00124541"/>
    <w:rsid w:val="0012455A"/>
    <w:rsid w:val="00124690"/>
    <w:rsid w:val="001246FC"/>
    <w:rsid w:val="00124F2B"/>
    <w:rsid w:val="00125836"/>
    <w:rsid w:val="00125DA2"/>
    <w:rsid w:val="00125DFE"/>
    <w:rsid w:val="00130106"/>
    <w:rsid w:val="001305AF"/>
    <w:rsid w:val="001310CF"/>
    <w:rsid w:val="0013128B"/>
    <w:rsid w:val="0013209A"/>
    <w:rsid w:val="001321AC"/>
    <w:rsid w:val="0013323D"/>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B02"/>
    <w:rsid w:val="00182BB0"/>
    <w:rsid w:val="0018342B"/>
    <w:rsid w:val="001837F7"/>
    <w:rsid w:val="00183839"/>
    <w:rsid w:val="00184312"/>
    <w:rsid w:val="001843A4"/>
    <w:rsid w:val="00184CCA"/>
    <w:rsid w:val="00184DDF"/>
    <w:rsid w:val="0018503F"/>
    <w:rsid w:val="001854F3"/>
    <w:rsid w:val="001854FC"/>
    <w:rsid w:val="00185801"/>
    <w:rsid w:val="0018608B"/>
    <w:rsid w:val="0018614A"/>
    <w:rsid w:val="00186DA3"/>
    <w:rsid w:val="00186F65"/>
    <w:rsid w:val="00187452"/>
    <w:rsid w:val="00187636"/>
    <w:rsid w:val="00187B3F"/>
    <w:rsid w:val="00187BA0"/>
    <w:rsid w:val="00187DE5"/>
    <w:rsid w:val="00191184"/>
    <w:rsid w:val="00191C5D"/>
    <w:rsid w:val="00192116"/>
    <w:rsid w:val="00192C32"/>
    <w:rsid w:val="00193DC1"/>
    <w:rsid w:val="00193EBA"/>
    <w:rsid w:val="001945DD"/>
    <w:rsid w:val="00194FA2"/>
    <w:rsid w:val="00195381"/>
    <w:rsid w:val="00195CDC"/>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4592"/>
    <w:rsid w:val="001B4CF7"/>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710"/>
    <w:rsid w:val="001C4A57"/>
    <w:rsid w:val="001C4FDF"/>
    <w:rsid w:val="001C520B"/>
    <w:rsid w:val="001C5777"/>
    <w:rsid w:val="001C5E59"/>
    <w:rsid w:val="001C66C4"/>
    <w:rsid w:val="001C711E"/>
    <w:rsid w:val="001C775E"/>
    <w:rsid w:val="001C7864"/>
    <w:rsid w:val="001C7BA9"/>
    <w:rsid w:val="001D0098"/>
    <w:rsid w:val="001D00EE"/>
    <w:rsid w:val="001D0795"/>
    <w:rsid w:val="001D08E4"/>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1193"/>
    <w:rsid w:val="0020244F"/>
    <w:rsid w:val="00203012"/>
    <w:rsid w:val="00204CB4"/>
    <w:rsid w:val="00205CA2"/>
    <w:rsid w:val="0020679D"/>
    <w:rsid w:val="002069A1"/>
    <w:rsid w:val="00207AD7"/>
    <w:rsid w:val="00210108"/>
    <w:rsid w:val="00210749"/>
    <w:rsid w:val="002110F1"/>
    <w:rsid w:val="002113AD"/>
    <w:rsid w:val="00211476"/>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34A0"/>
    <w:rsid w:val="00223D32"/>
    <w:rsid w:val="00224483"/>
    <w:rsid w:val="00224993"/>
    <w:rsid w:val="00224AE7"/>
    <w:rsid w:val="00225714"/>
    <w:rsid w:val="00227126"/>
    <w:rsid w:val="0022733D"/>
    <w:rsid w:val="00227D69"/>
    <w:rsid w:val="00227DCF"/>
    <w:rsid w:val="002305FF"/>
    <w:rsid w:val="00230F5B"/>
    <w:rsid w:val="00231250"/>
    <w:rsid w:val="00231710"/>
    <w:rsid w:val="002327D0"/>
    <w:rsid w:val="002329AA"/>
    <w:rsid w:val="00233995"/>
    <w:rsid w:val="00234379"/>
    <w:rsid w:val="002347FB"/>
    <w:rsid w:val="00235203"/>
    <w:rsid w:val="00235EBA"/>
    <w:rsid w:val="002361D9"/>
    <w:rsid w:val="0023679F"/>
    <w:rsid w:val="00237752"/>
    <w:rsid w:val="00237F21"/>
    <w:rsid w:val="002430F9"/>
    <w:rsid w:val="002438A9"/>
    <w:rsid w:val="00243AF1"/>
    <w:rsid w:val="00243CA8"/>
    <w:rsid w:val="00244AF8"/>
    <w:rsid w:val="0024539B"/>
    <w:rsid w:val="002457BC"/>
    <w:rsid w:val="00246E6A"/>
    <w:rsid w:val="00247521"/>
    <w:rsid w:val="00247835"/>
    <w:rsid w:val="00250514"/>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5ABD"/>
    <w:rsid w:val="00257B77"/>
    <w:rsid w:val="00257C78"/>
    <w:rsid w:val="00257DA9"/>
    <w:rsid w:val="00260AA1"/>
    <w:rsid w:val="00261030"/>
    <w:rsid w:val="0026256B"/>
    <w:rsid w:val="00263008"/>
    <w:rsid w:val="0026311C"/>
    <w:rsid w:val="0026320F"/>
    <w:rsid w:val="002635B0"/>
    <w:rsid w:val="002638DB"/>
    <w:rsid w:val="002659F2"/>
    <w:rsid w:val="00265A13"/>
    <w:rsid w:val="00265F60"/>
    <w:rsid w:val="00266F35"/>
    <w:rsid w:val="00267A1C"/>
    <w:rsid w:val="00272DD0"/>
    <w:rsid w:val="002739A0"/>
    <w:rsid w:val="00273BF6"/>
    <w:rsid w:val="00273FC8"/>
    <w:rsid w:val="002761E0"/>
    <w:rsid w:val="002779BA"/>
    <w:rsid w:val="00277C3C"/>
    <w:rsid w:val="002804F4"/>
    <w:rsid w:val="002807FE"/>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3C9C"/>
    <w:rsid w:val="002949ED"/>
    <w:rsid w:val="002951E1"/>
    <w:rsid w:val="0029533D"/>
    <w:rsid w:val="002963A6"/>
    <w:rsid w:val="00297B92"/>
    <w:rsid w:val="002A07FF"/>
    <w:rsid w:val="002A0FC3"/>
    <w:rsid w:val="002A13D8"/>
    <w:rsid w:val="002A1D3C"/>
    <w:rsid w:val="002A5301"/>
    <w:rsid w:val="002A65DA"/>
    <w:rsid w:val="002A74CF"/>
    <w:rsid w:val="002B0267"/>
    <w:rsid w:val="002B2BC5"/>
    <w:rsid w:val="002B37E3"/>
    <w:rsid w:val="002B4DA2"/>
    <w:rsid w:val="002B65D6"/>
    <w:rsid w:val="002B6E8B"/>
    <w:rsid w:val="002B7A93"/>
    <w:rsid w:val="002C00F0"/>
    <w:rsid w:val="002C01B1"/>
    <w:rsid w:val="002C0E7C"/>
    <w:rsid w:val="002C0FEA"/>
    <w:rsid w:val="002C2A7F"/>
    <w:rsid w:val="002C2B1E"/>
    <w:rsid w:val="002C31FB"/>
    <w:rsid w:val="002C3E3D"/>
    <w:rsid w:val="002C480A"/>
    <w:rsid w:val="002C4F35"/>
    <w:rsid w:val="002C5234"/>
    <w:rsid w:val="002C5956"/>
    <w:rsid w:val="002C5EF9"/>
    <w:rsid w:val="002C6C35"/>
    <w:rsid w:val="002C76FC"/>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4649"/>
    <w:rsid w:val="002E6A87"/>
    <w:rsid w:val="002E709C"/>
    <w:rsid w:val="002E7DD7"/>
    <w:rsid w:val="002F0A9A"/>
    <w:rsid w:val="002F0C9C"/>
    <w:rsid w:val="002F125E"/>
    <w:rsid w:val="002F12B2"/>
    <w:rsid w:val="002F1CCB"/>
    <w:rsid w:val="002F37D5"/>
    <w:rsid w:val="002F3C6A"/>
    <w:rsid w:val="002F4187"/>
    <w:rsid w:val="002F4337"/>
    <w:rsid w:val="002F46C6"/>
    <w:rsid w:val="002F4E75"/>
    <w:rsid w:val="002F51EC"/>
    <w:rsid w:val="002F5F0F"/>
    <w:rsid w:val="002F62A3"/>
    <w:rsid w:val="00300AA7"/>
    <w:rsid w:val="00300E6D"/>
    <w:rsid w:val="00302055"/>
    <w:rsid w:val="00302955"/>
    <w:rsid w:val="00302C4D"/>
    <w:rsid w:val="003036FD"/>
    <w:rsid w:val="00303BD2"/>
    <w:rsid w:val="00303C59"/>
    <w:rsid w:val="00304CC5"/>
    <w:rsid w:val="00304D6F"/>
    <w:rsid w:val="003071F9"/>
    <w:rsid w:val="003073BF"/>
    <w:rsid w:val="003074F4"/>
    <w:rsid w:val="00307D1F"/>
    <w:rsid w:val="00310DE0"/>
    <w:rsid w:val="0031116B"/>
    <w:rsid w:val="003115CB"/>
    <w:rsid w:val="00312165"/>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5D4"/>
    <w:rsid w:val="0037594D"/>
    <w:rsid w:val="00376B09"/>
    <w:rsid w:val="00376F95"/>
    <w:rsid w:val="003777DC"/>
    <w:rsid w:val="003779B8"/>
    <w:rsid w:val="00377C39"/>
    <w:rsid w:val="003806D3"/>
    <w:rsid w:val="00381439"/>
    <w:rsid w:val="00381E97"/>
    <w:rsid w:val="00381ED9"/>
    <w:rsid w:val="00383D15"/>
    <w:rsid w:val="00384555"/>
    <w:rsid w:val="003852D9"/>
    <w:rsid w:val="00385805"/>
    <w:rsid w:val="00385E98"/>
    <w:rsid w:val="0038624A"/>
    <w:rsid w:val="00386529"/>
    <w:rsid w:val="003913E8"/>
    <w:rsid w:val="003914CA"/>
    <w:rsid w:val="003927F9"/>
    <w:rsid w:val="00392FA6"/>
    <w:rsid w:val="00393562"/>
    <w:rsid w:val="0039427A"/>
    <w:rsid w:val="00394ACB"/>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C2"/>
    <w:rsid w:val="003B06B5"/>
    <w:rsid w:val="003B10C4"/>
    <w:rsid w:val="003B1E93"/>
    <w:rsid w:val="003B26FD"/>
    <w:rsid w:val="003B2DA6"/>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809"/>
    <w:rsid w:val="003C5618"/>
    <w:rsid w:val="003C5E1D"/>
    <w:rsid w:val="003C68B9"/>
    <w:rsid w:val="003C72D1"/>
    <w:rsid w:val="003D0133"/>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F37"/>
    <w:rsid w:val="003E70F6"/>
    <w:rsid w:val="003F04D7"/>
    <w:rsid w:val="003F05E1"/>
    <w:rsid w:val="003F0AEF"/>
    <w:rsid w:val="003F1088"/>
    <w:rsid w:val="003F21DD"/>
    <w:rsid w:val="003F2594"/>
    <w:rsid w:val="003F25DC"/>
    <w:rsid w:val="003F2D13"/>
    <w:rsid w:val="003F2EB2"/>
    <w:rsid w:val="003F2FB9"/>
    <w:rsid w:val="003F2FDF"/>
    <w:rsid w:val="003F3133"/>
    <w:rsid w:val="003F3D6B"/>
    <w:rsid w:val="003F4306"/>
    <w:rsid w:val="003F50FC"/>
    <w:rsid w:val="003F6944"/>
    <w:rsid w:val="003F6A89"/>
    <w:rsid w:val="003F6C5B"/>
    <w:rsid w:val="003F7510"/>
    <w:rsid w:val="003F7600"/>
    <w:rsid w:val="003F764A"/>
    <w:rsid w:val="003F79C5"/>
    <w:rsid w:val="003F7F1B"/>
    <w:rsid w:val="004028E0"/>
    <w:rsid w:val="00403024"/>
    <w:rsid w:val="00406C01"/>
    <w:rsid w:val="00407483"/>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3C1E"/>
    <w:rsid w:val="004248ED"/>
    <w:rsid w:val="00424F58"/>
    <w:rsid w:val="0042564D"/>
    <w:rsid w:val="00425CB8"/>
    <w:rsid w:val="0042622A"/>
    <w:rsid w:val="00426536"/>
    <w:rsid w:val="00427636"/>
    <w:rsid w:val="00427669"/>
    <w:rsid w:val="00427E8A"/>
    <w:rsid w:val="00427F4F"/>
    <w:rsid w:val="00430D31"/>
    <w:rsid w:val="0043143A"/>
    <w:rsid w:val="00431F15"/>
    <w:rsid w:val="004323A6"/>
    <w:rsid w:val="004339E5"/>
    <w:rsid w:val="004341F7"/>
    <w:rsid w:val="00435142"/>
    <w:rsid w:val="00435B9F"/>
    <w:rsid w:val="004364F1"/>
    <w:rsid w:val="00436A31"/>
    <w:rsid w:val="004375C6"/>
    <w:rsid w:val="00437FDB"/>
    <w:rsid w:val="00440340"/>
    <w:rsid w:val="00440689"/>
    <w:rsid w:val="004410E9"/>
    <w:rsid w:val="00441703"/>
    <w:rsid w:val="00441793"/>
    <w:rsid w:val="00441DDA"/>
    <w:rsid w:val="00441FBA"/>
    <w:rsid w:val="00442E01"/>
    <w:rsid w:val="00445448"/>
    <w:rsid w:val="00446870"/>
    <w:rsid w:val="00446923"/>
    <w:rsid w:val="00446C56"/>
    <w:rsid w:val="00450C96"/>
    <w:rsid w:val="00451850"/>
    <w:rsid w:val="00451BB1"/>
    <w:rsid w:val="00451EFC"/>
    <w:rsid w:val="00452121"/>
    <w:rsid w:val="004526A4"/>
    <w:rsid w:val="00452E92"/>
    <w:rsid w:val="0045336C"/>
    <w:rsid w:val="0045385F"/>
    <w:rsid w:val="00453AB9"/>
    <w:rsid w:val="00457097"/>
    <w:rsid w:val="00457244"/>
    <w:rsid w:val="0046045F"/>
    <w:rsid w:val="00460679"/>
    <w:rsid w:val="00461101"/>
    <w:rsid w:val="00461DD2"/>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77FFB"/>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C7E"/>
    <w:rsid w:val="004C3FAC"/>
    <w:rsid w:val="004C427B"/>
    <w:rsid w:val="004C47DC"/>
    <w:rsid w:val="004C4840"/>
    <w:rsid w:val="004C59CB"/>
    <w:rsid w:val="004C6348"/>
    <w:rsid w:val="004C6878"/>
    <w:rsid w:val="004C6A78"/>
    <w:rsid w:val="004C7A29"/>
    <w:rsid w:val="004C7C7A"/>
    <w:rsid w:val="004D0179"/>
    <w:rsid w:val="004D0EF2"/>
    <w:rsid w:val="004D0FD2"/>
    <w:rsid w:val="004D3210"/>
    <w:rsid w:val="004D3217"/>
    <w:rsid w:val="004D3248"/>
    <w:rsid w:val="004D362D"/>
    <w:rsid w:val="004D4CFE"/>
    <w:rsid w:val="004D5876"/>
    <w:rsid w:val="004D5EEF"/>
    <w:rsid w:val="004D637F"/>
    <w:rsid w:val="004D65E8"/>
    <w:rsid w:val="004D67B3"/>
    <w:rsid w:val="004D755F"/>
    <w:rsid w:val="004E01A1"/>
    <w:rsid w:val="004E0A92"/>
    <w:rsid w:val="004E0C8E"/>
    <w:rsid w:val="004E1227"/>
    <w:rsid w:val="004E1BEB"/>
    <w:rsid w:val="004E2DE0"/>
    <w:rsid w:val="004E45DF"/>
    <w:rsid w:val="004E467B"/>
    <w:rsid w:val="004E4A5A"/>
    <w:rsid w:val="004E4EE5"/>
    <w:rsid w:val="004E66A2"/>
    <w:rsid w:val="004E6CFE"/>
    <w:rsid w:val="004E6D19"/>
    <w:rsid w:val="004E75A9"/>
    <w:rsid w:val="004E7D78"/>
    <w:rsid w:val="004F0BA4"/>
    <w:rsid w:val="004F0F45"/>
    <w:rsid w:val="004F1A80"/>
    <w:rsid w:val="004F1A98"/>
    <w:rsid w:val="004F2565"/>
    <w:rsid w:val="004F35DD"/>
    <w:rsid w:val="004F40DF"/>
    <w:rsid w:val="004F4162"/>
    <w:rsid w:val="004F4C0A"/>
    <w:rsid w:val="004F5239"/>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584"/>
    <w:rsid w:val="005027CE"/>
    <w:rsid w:val="00505225"/>
    <w:rsid w:val="00505FA4"/>
    <w:rsid w:val="005068CD"/>
    <w:rsid w:val="00507499"/>
    <w:rsid w:val="0051108B"/>
    <w:rsid w:val="00511A26"/>
    <w:rsid w:val="005131E8"/>
    <w:rsid w:val="00514223"/>
    <w:rsid w:val="00515B04"/>
    <w:rsid w:val="00515CDD"/>
    <w:rsid w:val="005172FF"/>
    <w:rsid w:val="00517EAD"/>
    <w:rsid w:val="00517FF6"/>
    <w:rsid w:val="005217C7"/>
    <w:rsid w:val="00521A64"/>
    <w:rsid w:val="00521F1C"/>
    <w:rsid w:val="00522F1F"/>
    <w:rsid w:val="0052418F"/>
    <w:rsid w:val="00524515"/>
    <w:rsid w:val="00524BE9"/>
    <w:rsid w:val="00525023"/>
    <w:rsid w:val="00525CED"/>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014"/>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223F"/>
    <w:rsid w:val="00552AA8"/>
    <w:rsid w:val="0055324F"/>
    <w:rsid w:val="00553737"/>
    <w:rsid w:val="0055392D"/>
    <w:rsid w:val="00553C61"/>
    <w:rsid w:val="00553D1A"/>
    <w:rsid w:val="00553ECC"/>
    <w:rsid w:val="005541A1"/>
    <w:rsid w:val="00554ABB"/>
    <w:rsid w:val="00554F88"/>
    <w:rsid w:val="00556401"/>
    <w:rsid w:val="0056056A"/>
    <w:rsid w:val="00560B7C"/>
    <w:rsid w:val="00561255"/>
    <w:rsid w:val="00562B12"/>
    <w:rsid w:val="00562CEC"/>
    <w:rsid w:val="00563A9C"/>
    <w:rsid w:val="00563F9F"/>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5F08"/>
    <w:rsid w:val="00586232"/>
    <w:rsid w:val="005863B7"/>
    <w:rsid w:val="0058703E"/>
    <w:rsid w:val="00587169"/>
    <w:rsid w:val="005871EE"/>
    <w:rsid w:val="00590B28"/>
    <w:rsid w:val="00593A1A"/>
    <w:rsid w:val="00593A49"/>
    <w:rsid w:val="00593B77"/>
    <w:rsid w:val="00593CD4"/>
    <w:rsid w:val="00594459"/>
    <w:rsid w:val="005944E8"/>
    <w:rsid w:val="005944EE"/>
    <w:rsid w:val="00595320"/>
    <w:rsid w:val="00595D4B"/>
    <w:rsid w:val="00595ECE"/>
    <w:rsid w:val="0059630A"/>
    <w:rsid w:val="005966BA"/>
    <w:rsid w:val="005968EC"/>
    <w:rsid w:val="00596E8C"/>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B0E4F"/>
    <w:rsid w:val="005B10A6"/>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4DAE"/>
    <w:rsid w:val="005C5DD2"/>
    <w:rsid w:val="005C5E64"/>
    <w:rsid w:val="005C5F9B"/>
    <w:rsid w:val="005C6A0B"/>
    <w:rsid w:val="005C77AE"/>
    <w:rsid w:val="005C7F37"/>
    <w:rsid w:val="005D03A3"/>
    <w:rsid w:val="005D15DA"/>
    <w:rsid w:val="005D1A91"/>
    <w:rsid w:val="005D1AA4"/>
    <w:rsid w:val="005D1AE8"/>
    <w:rsid w:val="005D1CED"/>
    <w:rsid w:val="005D47A8"/>
    <w:rsid w:val="005D579D"/>
    <w:rsid w:val="005D5C81"/>
    <w:rsid w:val="005D6408"/>
    <w:rsid w:val="005D7750"/>
    <w:rsid w:val="005D7A32"/>
    <w:rsid w:val="005E0B69"/>
    <w:rsid w:val="005E1214"/>
    <w:rsid w:val="005E19AD"/>
    <w:rsid w:val="005E2397"/>
    <w:rsid w:val="005E2CC6"/>
    <w:rsid w:val="005E336B"/>
    <w:rsid w:val="005E3538"/>
    <w:rsid w:val="005E3906"/>
    <w:rsid w:val="005E3B01"/>
    <w:rsid w:val="005E3D61"/>
    <w:rsid w:val="005E42B4"/>
    <w:rsid w:val="005E4745"/>
    <w:rsid w:val="005E4E92"/>
    <w:rsid w:val="005E6434"/>
    <w:rsid w:val="005E6E4B"/>
    <w:rsid w:val="005E7604"/>
    <w:rsid w:val="005E7AFC"/>
    <w:rsid w:val="005F0341"/>
    <w:rsid w:val="005F1614"/>
    <w:rsid w:val="005F1729"/>
    <w:rsid w:val="005F1D3C"/>
    <w:rsid w:val="005F27F0"/>
    <w:rsid w:val="005F3E79"/>
    <w:rsid w:val="005F4897"/>
    <w:rsid w:val="005F5253"/>
    <w:rsid w:val="005F662D"/>
    <w:rsid w:val="005F6C32"/>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B93"/>
    <w:rsid w:val="00610C19"/>
    <w:rsid w:val="00611D7A"/>
    <w:rsid w:val="006125AA"/>
    <w:rsid w:val="006130DB"/>
    <w:rsid w:val="0061392A"/>
    <w:rsid w:val="00613F01"/>
    <w:rsid w:val="00614232"/>
    <w:rsid w:val="0061654E"/>
    <w:rsid w:val="00616F7F"/>
    <w:rsid w:val="00617581"/>
    <w:rsid w:val="0062122B"/>
    <w:rsid w:val="00621767"/>
    <w:rsid w:val="00622FD3"/>
    <w:rsid w:val="00623A1B"/>
    <w:rsid w:val="00626815"/>
    <w:rsid w:val="00626E3D"/>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3EF0"/>
    <w:rsid w:val="006440EE"/>
    <w:rsid w:val="006455B4"/>
    <w:rsid w:val="00645758"/>
    <w:rsid w:val="00645DDE"/>
    <w:rsid w:val="00647B4C"/>
    <w:rsid w:val="00647BA9"/>
    <w:rsid w:val="00647DC0"/>
    <w:rsid w:val="006501DF"/>
    <w:rsid w:val="00650206"/>
    <w:rsid w:val="00650490"/>
    <w:rsid w:val="00650C16"/>
    <w:rsid w:val="006513B5"/>
    <w:rsid w:val="00651463"/>
    <w:rsid w:val="0065146D"/>
    <w:rsid w:val="00651595"/>
    <w:rsid w:val="00652C88"/>
    <w:rsid w:val="00653C4A"/>
    <w:rsid w:val="00653DDC"/>
    <w:rsid w:val="00654D85"/>
    <w:rsid w:val="00656D8A"/>
    <w:rsid w:val="00657324"/>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7CE"/>
    <w:rsid w:val="00676A92"/>
    <w:rsid w:val="0067702D"/>
    <w:rsid w:val="0067710C"/>
    <w:rsid w:val="00677F71"/>
    <w:rsid w:val="00680569"/>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6DE"/>
    <w:rsid w:val="006A3FD6"/>
    <w:rsid w:val="006A4FD8"/>
    <w:rsid w:val="006A5B07"/>
    <w:rsid w:val="006A5DBD"/>
    <w:rsid w:val="006A5DC0"/>
    <w:rsid w:val="006A69CF"/>
    <w:rsid w:val="006A6BE6"/>
    <w:rsid w:val="006A6D4D"/>
    <w:rsid w:val="006A72D8"/>
    <w:rsid w:val="006A766B"/>
    <w:rsid w:val="006B032A"/>
    <w:rsid w:val="006B0AE0"/>
    <w:rsid w:val="006B198E"/>
    <w:rsid w:val="006B1A95"/>
    <w:rsid w:val="006B2315"/>
    <w:rsid w:val="006B269D"/>
    <w:rsid w:val="006B2CFF"/>
    <w:rsid w:val="006B2D05"/>
    <w:rsid w:val="006B2E58"/>
    <w:rsid w:val="006B3112"/>
    <w:rsid w:val="006B31ED"/>
    <w:rsid w:val="006B3261"/>
    <w:rsid w:val="006B3600"/>
    <w:rsid w:val="006B3B0B"/>
    <w:rsid w:val="006B3D9C"/>
    <w:rsid w:val="006B3DA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711"/>
    <w:rsid w:val="006F4B11"/>
    <w:rsid w:val="006F4E58"/>
    <w:rsid w:val="006F5713"/>
    <w:rsid w:val="006F6B67"/>
    <w:rsid w:val="006F7EA9"/>
    <w:rsid w:val="00701C06"/>
    <w:rsid w:val="00702B71"/>
    <w:rsid w:val="00703084"/>
    <w:rsid w:val="0070347F"/>
    <w:rsid w:val="007035CE"/>
    <w:rsid w:val="00705561"/>
    <w:rsid w:val="007055A2"/>
    <w:rsid w:val="00706457"/>
    <w:rsid w:val="00706554"/>
    <w:rsid w:val="00706D20"/>
    <w:rsid w:val="00710B0E"/>
    <w:rsid w:val="00710B6E"/>
    <w:rsid w:val="00711005"/>
    <w:rsid w:val="007114DB"/>
    <w:rsid w:val="00712C3C"/>
    <w:rsid w:val="00712CBE"/>
    <w:rsid w:val="00713EA2"/>
    <w:rsid w:val="007140F9"/>
    <w:rsid w:val="007141F6"/>
    <w:rsid w:val="007142DE"/>
    <w:rsid w:val="00714794"/>
    <w:rsid w:val="007159E8"/>
    <w:rsid w:val="007163B4"/>
    <w:rsid w:val="0071675A"/>
    <w:rsid w:val="00716AB7"/>
    <w:rsid w:val="00717F6C"/>
    <w:rsid w:val="00720013"/>
    <w:rsid w:val="007212CC"/>
    <w:rsid w:val="0072135A"/>
    <w:rsid w:val="00721F96"/>
    <w:rsid w:val="007224A1"/>
    <w:rsid w:val="00722C0C"/>
    <w:rsid w:val="00723528"/>
    <w:rsid w:val="00723566"/>
    <w:rsid w:val="00724372"/>
    <w:rsid w:val="007303F0"/>
    <w:rsid w:val="00731667"/>
    <w:rsid w:val="007316BE"/>
    <w:rsid w:val="00733949"/>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039"/>
    <w:rsid w:val="007727A7"/>
    <w:rsid w:val="00775E38"/>
    <w:rsid w:val="007760F9"/>
    <w:rsid w:val="007768B8"/>
    <w:rsid w:val="00777F0D"/>
    <w:rsid w:val="0078004B"/>
    <w:rsid w:val="0078064D"/>
    <w:rsid w:val="007819B0"/>
    <w:rsid w:val="00781BDA"/>
    <w:rsid w:val="00782855"/>
    <w:rsid w:val="007837ED"/>
    <w:rsid w:val="00784079"/>
    <w:rsid w:val="00785A23"/>
    <w:rsid w:val="0078657C"/>
    <w:rsid w:val="00786B2C"/>
    <w:rsid w:val="007872A6"/>
    <w:rsid w:val="00787367"/>
    <w:rsid w:val="00787487"/>
    <w:rsid w:val="00790052"/>
    <w:rsid w:val="00790A05"/>
    <w:rsid w:val="00791498"/>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8B"/>
    <w:rsid w:val="007A6FDB"/>
    <w:rsid w:val="007A714D"/>
    <w:rsid w:val="007A77A8"/>
    <w:rsid w:val="007B055B"/>
    <w:rsid w:val="007B14EE"/>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CA7"/>
    <w:rsid w:val="007C2E96"/>
    <w:rsid w:val="007C3719"/>
    <w:rsid w:val="007C374A"/>
    <w:rsid w:val="007C3884"/>
    <w:rsid w:val="007C5CFB"/>
    <w:rsid w:val="007C77E1"/>
    <w:rsid w:val="007C7BD0"/>
    <w:rsid w:val="007C7C36"/>
    <w:rsid w:val="007C7DCB"/>
    <w:rsid w:val="007D0679"/>
    <w:rsid w:val="007D0E7B"/>
    <w:rsid w:val="007D1BF2"/>
    <w:rsid w:val="007D1C02"/>
    <w:rsid w:val="007D1D31"/>
    <w:rsid w:val="007D2AD3"/>
    <w:rsid w:val="007D3845"/>
    <w:rsid w:val="007D3AD2"/>
    <w:rsid w:val="007D437A"/>
    <w:rsid w:val="007D5311"/>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216A"/>
    <w:rsid w:val="007F2DF2"/>
    <w:rsid w:val="007F3DD9"/>
    <w:rsid w:val="007F44DF"/>
    <w:rsid w:val="007F571F"/>
    <w:rsid w:val="007F6DDE"/>
    <w:rsid w:val="007F71A1"/>
    <w:rsid w:val="007F7770"/>
    <w:rsid w:val="007F7BA5"/>
    <w:rsid w:val="0080015F"/>
    <w:rsid w:val="008002B3"/>
    <w:rsid w:val="0080162A"/>
    <w:rsid w:val="008017DE"/>
    <w:rsid w:val="00801ADE"/>
    <w:rsid w:val="00801CF4"/>
    <w:rsid w:val="0080292D"/>
    <w:rsid w:val="00805517"/>
    <w:rsid w:val="00805603"/>
    <w:rsid w:val="00805A76"/>
    <w:rsid w:val="008078BB"/>
    <w:rsid w:val="00807BC1"/>
    <w:rsid w:val="00807C5A"/>
    <w:rsid w:val="008114AA"/>
    <w:rsid w:val="008122FD"/>
    <w:rsid w:val="00814B71"/>
    <w:rsid w:val="00814F1E"/>
    <w:rsid w:val="0081566C"/>
    <w:rsid w:val="00815764"/>
    <w:rsid w:val="00817233"/>
    <w:rsid w:val="008173DD"/>
    <w:rsid w:val="00817A9B"/>
    <w:rsid w:val="00821789"/>
    <w:rsid w:val="008219F9"/>
    <w:rsid w:val="00821EED"/>
    <w:rsid w:val="00822327"/>
    <w:rsid w:val="00822398"/>
    <w:rsid w:val="008227A6"/>
    <w:rsid w:val="00822A3E"/>
    <w:rsid w:val="00822B95"/>
    <w:rsid w:val="00824069"/>
    <w:rsid w:val="00824794"/>
    <w:rsid w:val="00824900"/>
    <w:rsid w:val="00824DB5"/>
    <w:rsid w:val="00824FC2"/>
    <w:rsid w:val="00825CF0"/>
    <w:rsid w:val="00825DD2"/>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12F8"/>
    <w:rsid w:val="008418F4"/>
    <w:rsid w:val="0084242F"/>
    <w:rsid w:val="00842467"/>
    <w:rsid w:val="008435BB"/>
    <w:rsid w:val="0084510B"/>
    <w:rsid w:val="00845E89"/>
    <w:rsid w:val="00846712"/>
    <w:rsid w:val="00846731"/>
    <w:rsid w:val="008468A4"/>
    <w:rsid w:val="008468CD"/>
    <w:rsid w:val="008469C3"/>
    <w:rsid w:val="00846B20"/>
    <w:rsid w:val="008477D7"/>
    <w:rsid w:val="00847CA3"/>
    <w:rsid w:val="00847EEB"/>
    <w:rsid w:val="008501EF"/>
    <w:rsid w:val="0085060F"/>
    <w:rsid w:val="0085102B"/>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286D"/>
    <w:rsid w:val="00863562"/>
    <w:rsid w:val="008646FD"/>
    <w:rsid w:val="00864F1E"/>
    <w:rsid w:val="00865870"/>
    <w:rsid w:val="008669D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1F4A"/>
    <w:rsid w:val="00883375"/>
    <w:rsid w:val="00883525"/>
    <w:rsid w:val="00884644"/>
    <w:rsid w:val="00884C8C"/>
    <w:rsid w:val="00885115"/>
    <w:rsid w:val="00885189"/>
    <w:rsid w:val="00885803"/>
    <w:rsid w:val="008861AF"/>
    <w:rsid w:val="008862E0"/>
    <w:rsid w:val="00887821"/>
    <w:rsid w:val="00887A9A"/>
    <w:rsid w:val="00887B9C"/>
    <w:rsid w:val="00887D35"/>
    <w:rsid w:val="00891975"/>
    <w:rsid w:val="00891E1D"/>
    <w:rsid w:val="00891E62"/>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36CF"/>
    <w:rsid w:val="008A5C31"/>
    <w:rsid w:val="008A63D7"/>
    <w:rsid w:val="008A6DA8"/>
    <w:rsid w:val="008B0F3C"/>
    <w:rsid w:val="008B178D"/>
    <w:rsid w:val="008B1800"/>
    <w:rsid w:val="008B1AD7"/>
    <w:rsid w:val="008B1F3A"/>
    <w:rsid w:val="008B205D"/>
    <w:rsid w:val="008B2534"/>
    <w:rsid w:val="008B2575"/>
    <w:rsid w:val="008B25CF"/>
    <w:rsid w:val="008B2BC7"/>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1667"/>
    <w:rsid w:val="008E1991"/>
    <w:rsid w:val="008E1A52"/>
    <w:rsid w:val="008E2A5D"/>
    <w:rsid w:val="008E2AFA"/>
    <w:rsid w:val="008E3574"/>
    <w:rsid w:val="008E3589"/>
    <w:rsid w:val="008E380B"/>
    <w:rsid w:val="008E383C"/>
    <w:rsid w:val="008E5134"/>
    <w:rsid w:val="008E67CA"/>
    <w:rsid w:val="008E7940"/>
    <w:rsid w:val="008E7F9D"/>
    <w:rsid w:val="008F0293"/>
    <w:rsid w:val="008F256B"/>
    <w:rsid w:val="008F2684"/>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5D04"/>
    <w:rsid w:val="0090674A"/>
    <w:rsid w:val="009072BC"/>
    <w:rsid w:val="00907D16"/>
    <w:rsid w:val="00910BBC"/>
    <w:rsid w:val="00910EAC"/>
    <w:rsid w:val="00912219"/>
    <w:rsid w:val="00912864"/>
    <w:rsid w:val="00913134"/>
    <w:rsid w:val="009133EB"/>
    <w:rsid w:val="0091371E"/>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728E"/>
    <w:rsid w:val="009278CE"/>
    <w:rsid w:val="00931776"/>
    <w:rsid w:val="00932FB6"/>
    <w:rsid w:val="0093374B"/>
    <w:rsid w:val="00934DB6"/>
    <w:rsid w:val="00935041"/>
    <w:rsid w:val="00935928"/>
    <w:rsid w:val="00936631"/>
    <w:rsid w:val="00936BB4"/>
    <w:rsid w:val="00936C0A"/>
    <w:rsid w:val="00936CB6"/>
    <w:rsid w:val="00936CBC"/>
    <w:rsid w:val="009371B3"/>
    <w:rsid w:val="00937735"/>
    <w:rsid w:val="00937D44"/>
    <w:rsid w:val="009409A1"/>
    <w:rsid w:val="00941234"/>
    <w:rsid w:val="00942B10"/>
    <w:rsid w:val="00943A78"/>
    <w:rsid w:val="00943E32"/>
    <w:rsid w:val="00944306"/>
    <w:rsid w:val="00944AB3"/>
    <w:rsid w:val="0094523F"/>
    <w:rsid w:val="00947409"/>
    <w:rsid w:val="00950609"/>
    <w:rsid w:val="00950839"/>
    <w:rsid w:val="0095209D"/>
    <w:rsid w:val="0095279F"/>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7234"/>
    <w:rsid w:val="00967279"/>
    <w:rsid w:val="00967580"/>
    <w:rsid w:val="0096766C"/>
    <w:rsid w:val="00970BAB"/>
    <w:rsid w:val="0097131F"/>
    <w:rsid w:val="00972EA4"/>
    <w:rsid w:val="00972EB8"/>
    <w:rsid w:val="00973172"/>
    <w:rsid w:val="00973FA3"/>
    <w:rsid w:val="00974361"/>
    <w:rsid w:val="009743F4"/>
    <w:rsid w:val="00975653"/>
    <w:rsid w:val="0097618F"/>
    <w:rsid w:val="00976475"/>
    <w:rsid w:val="0097722D"/>
    <w:rsid w:val="009816B2"/>
    <w:rsid w:val="0098170D"/>
    <w:rsid w:val="009826DC"/>
    <w:rsid w:val="00982FAC"/>
    <w:rsid w:val="00983247"/>
    <w:rsid w:val="009834A0"/>
    <w:rsid w:val="0098365F"/>
    <w:rsid w:val="00983E39"/>
    <w:rsid w:val="009845C6"/>
    <w:rsid w:val="009858CF"/>
    <w:rsid w:val="00985D19"/>
    <w:rsid w:val="00986FC9"/>
    <w:rsid w:val="0099020D"/>
    <w:rsid w:val="0099073D"/>
    <w:rsid w:val="009918D3"/>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3CD9"/>
    <w:rsid w:val="009A4249"/>
    <w:rsid w:val="009A4649"/>
    <w:rsid w:val="009A47DB"/>
    <w:rsid w:val="009A511B"/>
    <w:rsid w:val="009A6307"/>
    <w:rsid w:val="009A63F9"/>
    <w:rsid w:val="009A6AA5"/>
    <w:rsid w:val="009A7892"/>
    <w:rsid w:val="009B1C49"/>
    <w:rsid w:val="009B48CA"/>
    <w:rsid w:val="009B48E8"/>
    <w:rsid w:val="009B49D6"/>
    <w:rsid w:val="009B5626"/>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D0490"/>
    <w:rsid w:val="009D0A06"/>
    <w:rsid w:val="009D0B1E"/>
    <w:rsid w:val="009D153F"/>
    <w:rsid w:val="009D337F"/>
    <w:rsid w:val="009D3484"/>
    <w:rsid w:val="009D3685"/>
    <w:rsid w:val="009D3735"/>
    <w:rsid w:val="009D4BA6"/>
    <w:rsid w:val="009D4DF1"/>
    <w:rsid w:val="009D6199"/>
    <w:rsid w:val="009D738D"/>
    <w:rsid w:val="009D73C4"/>
    <w:rsid w:val="009D7594"/>
    <w:rsid w:val="009D7C10"/>
    <w:rsid w:val="009E10CA"/>
    <w:rsid w:val="009E392C"/>
    <w:rsid w:val="009E4CF7"/>
    <w:rsid w:val="009E5195"/>
    <w:rsid w:val="009E5DBB"/>
    <w:rsid w:val="009E6BEA"/>
    <w:rsid w:val="009E6CB3"/>
    <w:rsid w:val="009E7509"/>
    <w:rsid w:val="009E7955"/>
    <w:rsid w:val="009E7DEA"/>
    <w:rsid w:val="009F0646"/>
    <w:rsid w:val="009F1492"/>
    <w:rsid w:val="009F2548"/>
    <w:rsid w:val="009F27D9"/>
    <w:rsid w:val="009F325C"/>
    <w:rsid w:val="009F3529"/>
    <w:rsid w:val="009F3A7D"/>
    <w:rsid w:val="009F4AF9"/>
    <w:rsid w:val="009F4D04"/>
    <w:rsid w:val="009F56F4"/>
    <w:rsid w:val="009F5E18"/>
    <w:rsid w:val="009F62C5"/>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19DE"/>
    <w:rsid w:val="00A31B3C"/>
    <w:rsid w:val="00A3432E"/>
    <w:rsid w:val="00A3510D"/>
    <w:rsid w:val="00A35C15"/>
    <w:rsid w:val="00A36E32"/>
    <w:rsid w:val="00A37E36"/>
    <w:rsid w:val="00A40023"/>
    <w:rsid w:val="00A40877"/>
    <w:rsid w:val="00A41403"/>
    <w:rsid w:val="00A42D20"/>
    <w:rsid w:val="00A44207"/>
    <w:rsid w:val="00A444E7"/>
    <w:rsid w:val="00A44AB0"/>
    <w:rsid w:val="00A45429"/>
    <w:rsid w:val="00A4581E"/>
    <w:rsid w:val="00A46C1C"/>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3EED"/>
    <w:rsid w:val="00A642B4"/>
    <w:rsid w:val="00A64FBC"/>
    <w:rsid w:val="00A66F40"/>
    <w:rsid w:val="00A66FF4"/>
    <w:rsid w:val="00A67789"/>
    <w:rsid w:val="00A6791D"/>
    <w:rsid w:val="00A7027F"/>
    <w:rsid w:val="00A7249D"/>
    <w:rsid w:val="00A72AB3"/>
    <w:rsid w:val="00A734C0"/>
    <w:rsid w:val="00A74A1B"/>
    <w:rsid w:val="00A76276"/>
    <w:rsid w:val="00A806F1"/>
    <w:rsid w:val="00A80BB5"/>
    <w:rsid w:val="00A818A9"/>
    <w:rsid w:val="00A81D07"/>
    <w:rsid w:val="00A82CBC"/>
    <w:rsid w:val="00A83204"/>
    <w:rsid w:val="00A836BE"/>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A041B"/>
    <w:rsid w:val="00AA08E1"/>
    <w:rsid w:val="00AA1D75"/>
    <w:rsid w:val="00AA2097"/>
    <w:rsid w:val="00AA24AF"/>
    <w:rsid w:val="00AA3CEF"/>
    <w:rsid w:val="00AA436D"/>
    <w:rsid w:val="00AA6111"/>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6508"/>
    <w:rsid w:val="00AD68EF"/>
    <w:rsid w:val="00AD69F5"/>
    <w:rsid w:val="00AE0214"/>
    <w:rsid w:val="00AE0389"/>
    <w:rsid w:val="00AE0BB2"/>
    <w:rsid w:val="00AE10F5"/>
    <w:rsid w:val="00AE11DC"/>
    <w:rsid w:val="00AE14B2"/>
    <w:rsid w:val="00AE268E"/>
    <w:rsid w:val="00AE4988"/>
    <w:rsid w:val="00AE4C00"/>
    <w:rsid w:val="00AE5883"/>
    <w:rsid w:val="00AE5B8E"/>
    <w:rsid w:val="00AE69EE"/>
    <w:rsid w:val="00AE6D5F"/>
    <w:rsid w:val="00AE6E7D"/>
    <w:rsid w:val="00AE778D"/>
    <w:rsid w:val="00AE7C3D"/>
    <w:rsid w:val="00AE7C8F"/>
    <w:rsid w:val="00AE7FF1"/>
    <w:rsid w:val="00AF03C1"/>
    <w:rsid w:val="00AF0674"/>
    <w:rsid w:val="00AF0818"/>
    <w:rsid w:val="00AF0B79"/>
    <w:rsid w:val="00AF111A"/>
    <w:rsid w:val="00AF14FB"/>
    <w:rsid w:val="00AF1D77"/>
    <w:rsid w:val="00AF2467"/>
    <w:rsid w:val="00AF4074"/>
    <w:rsid w:val="00AF56EE"/>
    <w:rsid w:val="00AF5981"/>
    <w:rsid w:val="00AF6545"/>
    <w:rsid w:val="00AF769E"/>
    <w:rsid w:val="00B0006C"/>
    <w:rsid w:val="00B000EB"/>
    <w:rsid w:val="00B00105"/>
    <w:rsid w:val="00B00279"/>
    <w:rsid w:val="00B00707"/>
    <w:rsid w:val="00B00805"/>
    <w:rsid w:val="00B012A6"/>
    <w:rsid w:val="00B01965"/>
    <w:rsid w:val="00B01FA7"/>
    <w:rsid w:val="00B030E7"/>
    <w:rsid w:val="00B03765"/>
    <w:rsid w:val="00B037E1"/>
    <w:rsid w:val="00B0399B"/>
    <w:rsid w:val="00B039EC"/>
    <w:rsid w:val="00B048D3"/>
    <w:rsid w:val="00B04DDE"/>
    <w:rsid w:val="00B04F96"/>
    <w:rsid w:val="00B055AD"/>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02B9"/>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9E9"/>
    <w:rsid w:val="00B57B4C"/>
    <w:rsid w:val="00B57E30"/>
    <w:rsid w:val="00B6076F"/>
    <w:rsid w:val="00B613F2"/>
    <w:rsid w:val="00B6176C"/>
    <w:rsid w:val="00B626EA"/>
    <w:rsid w:val="00B62720"/>
    <w:rsid w:val="00B62875"/>
    <w:rsid w:val="00B62E51"/>
    <w:rsid w:val="00B62F42"/>
    <w:rsid w:val="00B62FB9"/>
    <w:rsid w:val="00B63128"/>
    <w:rsid w:val="00B646A5"/>
    <w:rsid w:val="00B64E05"/>
    <w:rsid w:val="00B64F92"/>
    <w:rsid w:val="00B665B8"/>
    <w:rsid w:val="00B667A7"/>
    <w:rsid w:val="00B702B1"/>
    <w:rsid w:val="00B70C16"/>
    <w:rsid w:val="00B71FFF"/>
    <w:rsid w:val="00B72D45"/>
    <w:rsid w:val="00B73273"/>
    <w:rsid w:val="00B7541E"/>
    <w:rsid w:val="00B7615C"/>
    <w:rsid w:val="00B767F5"/>
    <w:rsid w:val="00B7680F"/>
    <w:rsid w:val="00B8047F"/>
    <w:rsid w:val="00B80D65"/>
    <w:rsid w:val="00B812CC"/>
    <w:rsid w:val="00B816F4"/>
    <w:rsid w:val="00B819B9"/>
    <w:rsid w:val="00B82860"/>
    <w:rsid w:val="00B82A64"/>
    <w:rsid w:val="00B82E71"/>
    <w:rsid w:val="00B83E21"/>
    <w:rsid w:val="00B8411E"/>
    <w:rsid w:val="00B84427"/>
    <w:rsid w:val="00B85BE3"/>
    <w:rsid w:val="00B86086"/>
    <w:rsid w:val="00B86626"/>
    <w:rsid w:val="00B86B2F"/>
    <w:rsid w:val="00B90A1F"/>
    <w:rsid w:val="00B90EA1"/>
    <w:rsid w:val="00B91436"/>
    <w:rsid w:val="00B921E7"/>
    <w:rsid w:val="00B92943"/>
    <w:rsid w:val="00B92E2F"/>
    <w:rsid w:val="00B9354F"/>
    <w:rsid w:val="00B94979"/>
    <w:rsid w:val="00B96A6E"/>
    <w:rsid w:val="00B9755C"/>
    <w:rsid w:val="00BA01EE"/>
    <w:rsid w:val="00BA147B"/>
    <w:rsid w:val="00BA3A5C"/>
    <w:rsid w:val="00BA4BEA"/>
    <w:rsid w:val="00BA4E0A"/>
    <w:rsid w:val="00BA6950"/>
    <w:rsid w:val="00BA6D7C"/>
    <w:rsid w:val="00BA762E"/>
    <w:rsid w:val="00BA7D7B"/>
    <w:rsid w:val="00BB090D"/>
    <w:rsid w:val="00BB0EEF"/>
    <w:rsid w:val="00BB0FAE"/>
    <w:rsid w:val="00BB1914"/>
    <w:rsid w:val="00BB2294"/>
    <w:rsid w:val="00BB3C2D"/>
    <w:rsid w:val="00BB714A"/>
    <w:rsid w:val="00BC1037"/>
    <w:rsid w:val="00BC2587"/>
    <w:rsid w:val="00BC26EC"/>
    <w:rsid w:val="00BC2CD0"/>
    <w:rsid w:val="00BC365C"/>
    <w:rsid w:val="00BC3E53"/>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DD2"/>
    <w:rsid w:val="00C014A5"/>
    <w:rsid w:val="00C02164"/>
    <w:rsid w:val="00C02B6B"/>
    <w:rsid w:val="00C034FE"/>
    <w:rsid w:val="00C045DE"/>
    <w:rsid w:val="00C04D6C"/>
    <w:rsid w:val="00C04F94"/>
    <w:rsid w:val="00C069B4"/>
    <w:rsid w:val="00C076D1"/>
    <w:rsid w:val="00C11103"/>
    <w:rsid w:val="00C116F0"/>
    <w:rsid w:val="00C117C5"/>
    <w:rsid w:val="00C11EE2"/>
    <w:rsid w:val="00C13F6C"/>
    <w:rsid w:val="00C161B7"/>
    <w:rsid w:val="00C17880"/>
    <w:rsid w:val="00C17BB0"/>
    <w:rsid w:val="00C17D29"/>
    <w:rsid w:val="00C2011C"/>
    <w:rsid w:val="00C205D4"/>
    <w:rsid w:val="00C22E28"/>
    <w:rsid w:val="00C2366F"/>
    <w:rsid w:val="00C244DE"/>
    <w:rsid w:val="00C2587B"/>
    <w:rsid w:val="00C25DF8"/>
    <w:rsid w:val="00C26A67"/>
    <w:rsid w:val="00C27C89"/>
    <w:rsid w:val="00C27CBC"/>
    <w:rsid w:val="00C27E35"/>
    <w:rsid w:val="00C30119"/>
    <w:rsid w:val="00C3052F"/>
    <w:rsid w:val="00C31E6E"/>
    <w:rsid w:val="00C332B3"/>
    <w:rsid w:val="00C33C90"/>
    <w:rsid w:val="00C34804"/>
    <w:rsid w:val="00C357E6"/>
    <w:rsid w:val="00C36090"/>
    <w:rsid w:val="00C368E7"/>
    <w:rsid w:val="00C36AAB"/>
    <w:rsid w:val="00C36D89"/>
    <w:rsid w:val="00C37103"/>
    <w:rsid w:val="00C37D3E"/>
    <w:rsid w:val="00C407E5"/>
    <w:rsid w:val="00C40BC7"/>
    <w:rsid w:val="00C40FBE"/>
    <w:rsid w:val="00C41A04"/>
    <w:rsid w:val="00C433EE"/>
    <w:rsid w:val="00C43CCF"/>
    <w:rsid w:val="00C43F7E"/>
    <w:rsid w:val="00C44CAE"/>
    <w:rsid w:val="00C44D29"/>
    <w:rsid w:val="00C46508"/>
    <w:rsid w:val="00C47162"/>
    <w:rsid w:val="00C47C92"/>
    <w:rsid w:val="00C47DB5"/>
    <w:rsid w:val="00C507CD"/>
    <w:rsid w:val="00C50C71"/>
    <w:rsid w:val="00C51AA7"/>
    <w:rsid w:val="00C51EDD"/>
    <w:rsid w:val="00C526E0"/>
    <w:rsid w:val="00C53925"/>
    <w:rsid w:val="00C551C4"/>
    <w:rsid w:val="00C554BC"/>
    <w:rsid w:val="00C55E57"/>
    <w:rsid w:val="00C5637D"/>
    <w:rsid w:val="00C5660C"/>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667"/>
    <w:rsid w:val="00C67EFA"/>
    <w:rsid w:val="00C703F6"/>
    <w:rsid w:val="00C71CBD"/>
    <w:rsid w:val="00C71DCC"/>
    <w:rsid w:val="00C7225D"/>
    <w:rsid w:val="00C7236A"/>
    <w:rsid w:val="00C73E70"/>
    <w:rsid w:val="00C73E90"/>
    <w:rsid w:val="00C7464B"/>
    <w:rsid w:val="00C746BF"/>
    <w:rsid w:val="00C74C8E"/>
    <w:rsid w:val="00C750C4"/>
    <w:rsid w:val="00C751FB"/>
    <w:rsid w:val="00C75272"/>
    <w:rsid w:val="00C759CF"/>
    <w:rsid w:val="00C75D46"/>
    <w:rsid w:val="00C77136"/>
    <w:rsid w:val="00C778AE"/>
    <w:rsid w:val="00C811ED"/>
    <w:rsid w:val="00C81A64"/>
    <w:rsid w:val="00C82073"/>
    <w:rsid w:val="00C82540"/>
    <w:rsid w:val="00C82C9C"/>
    <w:rsid w:val="00C83210"/>
    <w:rsid w:val="00C833C8"/>
    <w:rsid w:val="00C83D6A"/>
    <w:rsid w:val="00C84EE8"/>
    <w:rsid w:val="00C856E2"/>
    <w:rsid w:val="00C85957"/>
    <w:rsid w:val="00C85ED7"/>
    <w:rsid w:val="00C86F06"/>
    <w:rsid w:val="00C87B96"/>
    <w:rsid w:val="00C87CE5"/>
    <w:rsid w:val="00C9022C"/>
    <w:rsid w:val="00C903A8"/>
    <w:rsid w:val="00C91702"/>
    <w:rsid w:val="00C9183A"/>
    <w:rsid w:val="00C91E57"/>
    <w:rsid w:val="00C921AA"/>
    <w:rsid w:val="00C92215"/>
    <w:rsid w:val="00C92A0F"/>
    <w:rsid w:val="00C92CF0"/>
    <w:rsid w:val="00C9323E"/>
    <w:rsid w:val="00C936F8"/>
    <w:rsid w:val="00C9436F"/>
    <w:rsid w:val="00C94CE5"/>
    <w:rsid w:val="00C953AB"/>
    <w:rsid w:val="00C95AE9"/>
    <w:rsid w:val="00C97488"/>
    <w:rsid w:val="00C97AB4"/>
    <w:rsid w:val="00CA0173"/>
    <w:rsid w:val="00CA0325"/>
    <w:rsid w:val="00CA0B22"/>
    <w:rsid w:val="00CA0CA1"/>
    <w:rsid w:val="00CA105A"/>
    <w:rsid w:val="00CA1B7D"/>
    <w:rsid w:val="00CA21F4"/>
    <w:rsid w:val="00CA3732"/>
    <w:rsid w:val="00CA37B4"/>
    <w:rsid w:val="00CA37C4"/>
    <w:rsid w:val="00CA44B3"/>
    <w:rsid w:val="00CA4E1D"/>
    <w:rsid w:val="00CA5032"/>
    <w:rsid w:val="00CA5371"/>
    <w:rsid w:val="00CA53A4"/>
    <w:rsid w:val="00CA54E5"/>
    <w:rsid w:val="00CA6908"/>
    <w:rsid w:val="00CA7921"/>
    <w:rsid w:val="00CB0016"/>
    <w:rsid w:val="00CB06BD"/>
    <w:rsid w:val="00CB07E7"/>
    <w:rsid w:val="00CB0BD6"/>
    <w:rsid w:val="00CB1285"/>
    <w:rsid w:val="00CB1ACA"/>
    <w:rsid w:val="00CB26EA"/>
    <w:rsid w:val="00CB3B59"/>
    <w:rsid w:val="00CB44C3"/>
    <w:rsid w:val="00CB4672"/>
    <w:rsid w:val="00CB4CD5"/>
    <w:rsid w:val="00CB56B8"/>
    <w:rsid w:val="00CB61CC"/>
    <w:rsid w:val="00CB691B"/>
    <w:rsid w:val="00CB6C30"/>
    <w:rsid w:val="00CB7A25"/>
    <w:rsid w:val="00CC03D9"/>
    <w:rsid w:val="00CC07EB"/>
    <w:rsid w:val="00CC161C"/>
    <w:rsid w:val="00CC28BF"/>
    <w:rsid w:val="00CC28C3"/>
    <w:rsid w:val="00CC2B2F"/>
    <w:rsid w:val="00CC2BD8"/>
    <w:rsid w:val="00CC307C"/>
    <w:rsid w:val="00CC32F6"/>
    <w:rsid w:val="00CC5C4C"/>
    <w:rsid w:val="00CC723C"/>
    <w:rsid w:val="00CD15D6"/>
    <w:rsid w:val="00CD1660"/>
    <w:rsid w:val="00CD16F8"/>
    <w:rsid w:val="00CD174C"/>
    <w:rsid w:val="00CD1BD8"/>
    <w:rsid w:val="00CD1C6E"/>
    <w:rsid w:val="00CD2198"/>
    <w:rsid w:val="00CD2FBC"/>
    <w:rsid w:val="00CD30FF"/>
    <w:rsid w:val="00CD32A6"/>
    <w:rsid w:val="00CD3479"/>
    <w:rsid w:val="00CD3EF3"/>
    <w:rsid w:val="00CD3F01"/>
    <w:rsid w:val="00CD5159"/>
    <w:rsid w:val="00CD67C4"/>
    <w:rsid w:val="00CD6C10"/>
    <w:rsid w:val="00CE091E"/>
    <w:rsid w:val="00CE0DE1"/>
    <w:rsid w:val="00CE1D5E"/>
    <w:rsid w:val="00CE1E16"/>
    <w:rsid w:val="00CE3F47"/>
    <w:rsid w:val="00CE6AE0"/>
    <w:rsid w:val="00CE72FD"/>
    <w:rsid w:val="00CE7678"/>
    <w:rsid w:val="00CE792A"/>
    <w:rsid w:val="00CE7C23"/>
    <w:rsid w:val="00CF06E5"/>
    <w:rsid w:val="00CF06FD"/>
    <w:rsid w:val="00CF07F5"/>
    <w:rsid w:val="00CF0D08"/>
    <w:rsid w:val="00CF1553"/>
    <w:rsid w:val="00CF1EC7"/>
    <w:rsid w:val="00CF2721"/>
    <w:rsid w:val="00CF3779"/>
    <w:rsid w:val="00CF3C14"/>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0919"/>
    <w:rsid w:val="00D119E2"/>
    <w:rsid w:val="00D12C34"/>
    <w:rsid w:val="00D155A0"/>
    <w:rsid w:val="00D16374"/>
    <w:rsid w:val="00D16581"/>
    <w:rsid w:val="00D1661E"/>
    <w:rsid w:val="00D16F0E"/>
    <w:rsid w:val="00D1738F"/>
    <w:rsid w:val="00D2003D"/>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AC7"/>
    <w:rsid w:val="00D31DA5"/>
    <w:rsid w:val="00D31F94"/>
    <w:rsid w:val="00D3206E"/>
    <w:rsid w:val="00D32234"/>
    <w:rsid w:val="00D32E89"/>
    <w:rsid w:val="00D343BE"/>
    <w:rsid w:val="00D34D8E"/>
    <w:rsid w:val="00D35497"/>
    <w:rsid w:val="00D35795"/>
    <w:rsid w:val="00D36141"/>
    <w:rsid w:val="00D3639F"/>
    <w:rsid w:val="00D3663A"/>
    <w:rsid w:val="00D369A6"/>
    <w:rsid w:val="00D37703"/>
    <w:rsid w:val="00D40A33"/>
    <w:rsid w:val="00D40AED"/>
    <w:rsid w:val="00D4262E"/>
    <w:rsid w:val="00D438D6"/>
    <w:rsid w:val="00D446AB"/>
    <w:rsid w:val="00D448A5"/>
    <w:rsid w:val="00D44B89"/>
    <w:rsid w:val="00D44DA6"/>
    <w:rsid w:val="00D45D31"/>
    <w:rsid w:val="00D46F90"/>
    <w:rsid w:val="00D47DF7"/>
    <w:rsid w:val="00D5009B"/>
    <w:rsid w:val="00D504A5"/>
    <w:rsid w:val="00D50F41"/>
    <w:rsid w:val="00D514AF"/>
    <w:rsid w:val="00D5156D"/>
    <w:rsid w:val="00D52A67"/>
    <w:rsid w:val="00D5324A"/>
    <w:rsid w:val="00D5377A"/>
    <w:rsid w:val="00D53E68"/>
    <w:rsid w:val="00D53E6B"/>
    <w:rsid w:val="00D5420E"/>
    <w:rsid w:val="00D55224"/>
    <w:rsid w:val="00D552CE"/>
    <w:rsid w:val="00D5596C"/>
    <w:rsid w:val="00D56A27"/>
    <w:rsid w:val="00D61CF9"/>
    <w:rsid w:val="00D62B3D"/>
    <w:rsid w:val="00D630DD"/>
    <w:rsid w:val="00D6313F"/>
    <w:rsid w:val="00D64005"/>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028F"/>
    <w:rsid w:val="00D91101"/>
    <w:rsid w:val="00D922FE"/>
    <w:rsid w:val="00D9454F"/>
    <w:rsid w:val="00D95C91"/>
    <w:rsid w:val="00D95EC6"/>
    <w:rsid w:val="00D95F84"/>
    <w:rsid w:val="00D979E2"/>
    <w:rsid w:val="00DA043D"/>
    <w:rsid w:val="00DA108C"/>
    <w:rsid w:val="00DA2939"/>
    <w:rsid w:val="00DA2CA1"/>
    <w:rsid w:val="00DA2CCF"/>
    <w:rsid w:val="00DA2E20"/>
    <w:rsid w:val="00DA3581"/>
    <w:rsid w:val="00DA3E7E"/>
    <w:rsid w:val="00DA4D73"/>
    <w:rsid w:val="00DA5AA6"/>
    <w:rsid w:val="00DA6110"/>
    <w:rsid w:val="00DA6141"/>
    <w:rsid w:val="00DA6491"/>
    <w:rsid w:val="00DA6798"/>
    <w:rsid w:val="00DA6B8E"/>
    <w:rsid w:val="00DA70CD"/>
    <w:rsid w:val="00DA76F0"/>
    <w:rsid w:val="00DA7A24"/>
    <w:rsid w:val="00DB0067"/>
    <w:rsid w:val="00DB0362"/>
    <w:rsid w:val="00DB0ABB"/>
    <w:rsid w:val="00DB0F71"/>
    <w:rsid w:val="00DB11A3"/>
    <w:rsid w:val="00DB1C5C"/>
    <w:rsid w:val="00DB1F53"/>
    <w:rsid w:val="00DB30DD"/>
    <w:rsid w:val="00DB368A"/>
    <w:rsid w:val="00DB408C"/>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60B7"/>
    <w:rsid w:val="00DD7058"/>
    <w:rsid w:val="00DD73AA"/>
    <w:rsid w:val="00DD7494"/>
    <w:rsid w:val="00DD76C2"/>
    <w:rsid w:val="00DD79EE"/>
    <w:rsid w:val="00DD7A43"/>
    <w:rsid w:val="00DE0919"/>
    <w:rsid w:val="00DE11DC"/>
    <w:rsid w:val="00DE1B1B"/>
    <w:rsid w:val="00DE1BD7"/>
    <w:rsid w:val="00DE2460"/>
    <w:rsid w:val="00DE54BE"/>
    <w:rsid w:val="00DE5B1F"/>
    <w:rsid w:val="00DE695E"/>
    <w:rsid w:val="00DE7DAC"/>
    <w:rsid w:val="00DF00D6"/>
    <w:rsid w:val="00DF0577"/>
    <w:rsid w:val="00DF0709"/>
    <w:rsid w:val="00DF0761"/>
    <w:rsid w:val="00DF0A6C"/>
    <w:rsid w:val="00DF0C06"/>
    <w:rsid w:val="00DF14B0"/>
    <w:rsid w:val="00DF1D64"/>
    <w:rsid w:val="00DF2104"/>
    <w:rsid w:val="00DF31CF"/>
    <w:rsid w:val="00DF344B"/>
    <w:rsid w:val="00DF3B54"/>
    <w:rsid w:val="00DF40F6"/>
    <w:rsid w:val="00DF4277"/>
    <w:rsid w:val="00DF46AB"/>
    <w:rsid w:val="00DF4E7F"/>
    <w:rsid w:val="00DF5C0D"/>
    <w:rsid w:val="00DF5F23"/>
    <w:rsid w:val="00DF5F90"/>
    <w:rsid w:val="00DF65B6"/>
    <w:rsid w:val="00DF7350"/>
    <w:rsid w:val="00DF7DDB"/>
    <w:rsid w:val="00E00FC2"/>
    <w:rsid w:val="00E0102C"/>
    <w:rsid w:val="00E02C7D"/>
    <w:rsid w:val="00E03036"/>
    <w:rsid w:val="00E036D4"/>
    <w:rsid w:val="00E03C57"/>
    <w:rsid w:val="00E03E74"/>
    <w:rsid w:val="00E042B1"/>
    <w:rsid w:val="00E049CC"/>
    <w:rsid w:val="00E04AD1"/>
    <w:rsid w:val="00E054EF"/>
    <w:rsid w:val="00E0597B"/>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3594"/>
    <w:rsid w:val="00E435DC"/>
    <w:rsid w:val="00E43BC2"/>
    <w:rsid w:val="00E44F52"/>
    <w:rsid w:val="00E4566B"/>
    <w:rsid w:val="00E4621D"/>
    <w:rsid w:val="00E46CE6"/>
    <w:rsid w:val="00E46FE7"/>
    <w:rsid w:val="00E471C4"/>
    <w:rsid w:val="00E478F3"/>
    <w:rsid w:val="00E53AC7"/>
    <w:rsid w:val="00E53F28"/>
    <w:rsid w:val="00E5603B"/>
    <w:rsid w:val="00E560A5"/>
    <w:rsid w:val="00E5757D"/>
    <w:rsid w:val="00E577DC"/>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7465"/>
    <w:rsid w:val="00E8791B"/>
    <w:rsid w:val="00E87B3C"/>
    <w:rsid w:val="00E90E92"/>
    <w:rsid w:val="00E91697"/>
    <w:rsid w:val="00E9225C"/>
    <w:rsid w:val="00E92730"/>
    <w:rsid w:val="00E92D33"/>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4C13"/>
    <w:rsid w:val="00EB5062"/>
    <w:rsid w:val="00EB525F"/>
    <w:rsid w:val="00EB5A6E"/>
    <w:rsid w:val="00EB61F9"/>
    <w:rsid w:val="00EB63B2"/>
    <w:rsid w:val="00EB6630"/>
    <w:rsid w:val="00EB6ADD"/>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EE"/>
    <w:rsid w:val="00EC61F5"/>
    <w:rsid w:val="00ED033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8D"/>
    <w:rsid w:val="00EE523A"/>
    <w:rsid w:val="00EE5848"/>
    <w:rsid w:val="00EE59B1"/>
    <w:rsid w:val="00EE618F"/>
    <w:rsid w:val="00EE6857"/>
    <w:rsid w:val="00EE7308"/>
    <w:rsid w:val="00EE7C77"/>
    <w:rsid w:val="00EF01D6"/>
    <w:rsid w:val="00EF042C"/>
    <w:rsid w:val="00EF0B99"/>
    <w:rsid w:val="00EF11F7"/>
    <w:rsid w:val="00EF317F"/>
    <w:rsid w:val="00EF3775"/>
    <w:rsid w:val="00EF3CD1"/>
    <w:rsid w:val="00EF405B"/>
    <w:rsid w:val="00EF5BCB"/>
    <w:rsid w:val="00EF5CD4"/>
    <w:rsid w:val="00EF7B69"/>
    <w:rsid w:val="00F0038C"/>
    <w:rsid w:val="00F00881"/>
    <w:rsid w:val="00F00B37"/>
    <w:rsid w:val="00F0122C"/>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41E2"/>
    <w:rsid w:val="00F45394"/>
    <w:rsid w:val="00F453B8"/>
    <w:rsid w:val="00F45737"/>
    <w:rsid w:val="00F45EE1"/>
    <w:rsid w:val="00F4659B"/>
    <w:rsid w:val="00F4706D"/>
    <w:rsid w:val="00F51AC0"/>
    <w:rsid w:val="00F51F41"/>
    <w:rsid w:val="00F52022"/>
    <w:rsid w:val="00F53D5F"/>
    <w:rsid w:val="00F54A0B"/>
    <w:rsid w:val="00F5515F"/>
    <w:rsid w:val="00F562CC"/>
    <w:rsid w:val="00F5665A"/>
    <w:rsid w:val="00F5743B"/>
    <w:rsid w:val="00F57A4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1309"/>
    <w:rsid w:val="00F81B08"/>
    <w:rsid w:val="00F8266E"/>
    <w:rsid w:val="00F82D07"/>
    <w:rsid w:val="00F835E7"/>
    <w:rsid w:val="00F84D12"/>
    <w:rsid w:val="00F866B0"/>
    <w:rsid w:val="00F876E7"/>
    <w:rsid w:val="00F87AFA"/>
    <w:rsid w:val="00F91A57"/>
    <w:rsid w:val="00F933DF"/>
    <w:rsid w:val="00F93698"/>
    <w:rsid w:val="00F93E1D"/>
    <w:rsid w:val="00F94191"/>
    <w:rsid w:val="00F9431E"/>
    <w:rsid w:val="00F95997"/>
    <w:rsid w:val="00F97D51"/>
    <w:rsid w:val="00FA070C"/>
    <w:rsid w:val="00FA147A"/>
    <w:rsid w:val="00FA184F"/>
    <w:rsid w:val="00FA25D4"/>
    <w:rsid w:val="00FA2D45"/>
    <w:rsid w:val="00FA3757"/>
    <w:rsid w:val="00FA3E6D"/>
    <w:rsid w:val="00FA4880"/>
    <w:rsid w:val="00FA4BF0"/>
    <w:rsid w:val="00FA5295"/>
    <w:rsid w:val="00FA64DB"/>
    <w:rsid w:val="00FA65D1"/>
    <w:rsid w:val="00FA7F68"/>
    <w:rsid w:val="00FB03DA"/>
    <w:rsid w:val="00FB0B3B"/>
    <w:rsid w:val="00FB1051"/>
    <w:rsid w:val="00FB16DB"/>
    <w:rsid w:val="00FB356D"/>
    <w:rsid w:val="00FB4CD4"/>
    <w:rsid w:val="00FB63F8"/>
    <w:rsid w:val="00FB6637"/>
    <w:rsid w:val="00FB74AC"/>
    <w:rsid w:val="00FC0401"/>
    <w:rsid w:val="00FC2129"/>
    <w:rsid w:val="00FC24A9"/>
    <w:rsid w:val="00FC2F4B"/>
    <w:rsid w:val="00FC3AB8"/>
    <w:rsid w:val="00FC3B03"/>
    <w:rsid w:val="00FC3C05"/>
    <w:rsid w:val="00FC3D35"/>
    <w:rsid w:val="00FC40F4"/>
    <w:rsid w:val="00FC45D3"/>
    <w:rsid w:val="00FC7280"/>
    <w:rsid w:val="00FD01DE"/>
    <w:rsid w:val="00FD0687"/>
    <w:rsid w:val="00FD1216"/>
    <w:rsid w:val="00FD1A01"/>
    <w:rsid w:val="00FD3AF2"/>
    <w:rsid w:val="00FD4012"/>
    <w:rsid w:val="00FD42C7"/>
    <w:rsid w:val="00FD455B"/>
    <w:rsid w:val="00FD4650"/>
    <w:rsid w:val="00FD4F86"/>
    <w:rsid w:val="00FD5AE9"/>
    <w:rsid w:val="00FD6511"/>
    <w:rsid w:val="00FD6B40"/>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0F5"/>
    <w:rsid w:val="00FF4202"/>
    <w:rsid w:val="00FF472C"/>
    <w:rsid w:val="00FF4A0A"/>
    <w:rsid w:val="00FF4A3E"/>
    <w:rsid w:val="00FF4B29"/>
    <w:rsid w:val="00FF5DF3"/>
    <w:rsid w:val="00FF6780"/>
    <w:rsid w:val="00FF67DE"/>
    <w:rsid w:val="00FF7F95"/>
    <w:rsid w:val="01056383"/>
    <w:rsid w:val="0119677B"/>
    <w:rsid w:val="01437C9C"/>
    <w:rsid w:val="01457570"/>
    <w:rsid w:val="018E74D7"/>
    <w:rsid w:val="01AD08E0"/>
    <w:rsid w:val="01D164A3"/>
    <w:rsid w:val="01EF5295"/>
    <w:rsid w:val="01F41286"/>
    <w:rsid w:val="0209330B"/>
    <w:rsid w:val="02212A97"/>
    <w:rsid w:val="02263969"/>
    <w:rsid w:val="02366906"/>
    <w:rsid w:val="026A02B6"/>
    <w:rsid w:val="02834AD4"/>
    <w:rsid w:val="02921E98"/>
    <w:rsid w:val="02AB295A"/>
    <w:rsid w:val="02B35D48"/>
    <w:rsid w:val="02C4604A"/>
    <w:rsid w:val="02CF5799"/>
    <w:rsid w:val="02D0381A"/>
    <w:rsid w:val="02E157ED"/>
    <w:rsid w:val="02E50C2F"/>
    <w:rsid w:val="02EA3A82"/>
    <w:rsid w:val="02FF7A7B"/>
    <w:rsid w:val="0323246D"/>
    <w:rsid w:val="033124A2"/>
    <w:rsid w:val="033861D1"/>
    <w:rsid w:val="034C024D"/>
    <w:rsid w:val="038D27D3"/>
    <w:rsid w:val="03970EF3"/>
    <w:rsid w:val="03EC1F79"/>
    <w:rsid w:val="03F67248"/>
    <w:rsid w:val="03F97EB8"/>
    <w:rsid w:val="040D7552"/>
    <w:rsid w:val="042C2531"/>
    <w:rsid w:val="043304EB"/>
    <w:rsid w:val="044309E1"/>
    <w:rsid w:val="04664A43"/>
    <w:rsid w:val="046E5030"/>
    <w:rsid w:val="04823DD8"/>
    <w:rsid w:val="048C44D0"/>
    <w:rsid w:val="04CD7FA9"/>
    <w:rsid w:val="04E45291"/>
    <w:rsid w:val="04FF3EFD"/>
    <w:rsid w:val="05105120"/>
    <w:rsid w:val="051A33FA"/>
    <w:rsid w:val="05542478"/>
    <w:rsid w:val="055D00F4"/>
    <w:rsid w:val="055E6C99"/>
    <w:rsid w:val="055E6E53"/>
    <w:rsid w:val="056D1B0A"/>
    <w:rsid w:val="0571645D"/>
    <w:rsid w:val="05854A93"/>
    <w:rsid w:val="05DB04A3"/>
    <w:rsid w:val="05E742EE"/>
    <w:rsid w:val="06020126"/>
    <w:rsid w:val="060F1F3C"/>
    <w:rsid w:val="0622458C"/>
    <w:rsid w:val="0639341C"/>
    <w:rsid w:val="064C314F"/>
    <w:rsid w:val="065906F6"/>
    <w:rsid w:val="06654A60"/>
    <w:rsid w:val="066A4E12"/>
    <w:rsid w:val="066A57F2"/>
    <w:rsid w:val="068C0E78"/>
    <w:rsid w:val="06E41AF9"/>
    <w:rsid w:val="06F757B1"/>
    <w:rsid w:val="0733046D"/>
    <w:rsid w:val="07674A7D"/>
    <w:rsid w:val="07AD2F74"/>
    <w:rsid w:val="07AE0EB7"/>
    <w:rsid w:val="07E70758"/>
    <w:rsid w:val="087C4F4B"/>
    <w:rsid w:val="088272FC"/>
    <w:rsid w:val="08A5590A"/>
    <w:rsid w:val="08C7632B"/>
    <w:rsid w:val="08C76C47"/>
    <w:rsid w:val="08CB0CA3"/>
    <w:rsid w:val="08CF3D55"/>
    <w:rsid w:val="08E468C9"/>
    <w:rsid w:val="08EF7436"/>
    <w:rsid w:val="0914152B"/>
    <w:rsid w:val="092F3068"/>
    <w:rsid w:val="094D579B"/>
    <w:rsid w:val="094E1F54"/>
    <w:rsid w:val="096C5CBA"/>
    <w:rsid w:val="098465FB"/>
    <w:rsid w:val="09AB7BA7"/>
    <w:rsid w:val="09D013B7"/>
    <w:rsid w:val="09F906D8"/>
    <w:rsid w:val="09FA2C48"/>
    <w:rsid w:val="0A495532"/>
    <w:rsid w:val="0A5D23C2"/>
    <w:rsid w:val="0A5F1A8C"/>
    <w:rsid w:val="0A7B662E"/>
    <w:rsid w:val="0AA51080"/>
    <w:rsid w:val="0AAE262A"/>
    <w:rsid w:val="0B0E7430"/>
    <w:rsid w:val="0B70168E"/>
    <w:rsid w:val="0B83265B"/>
    <w:rsid w:val="0B832C7E"/>
    <w:rsid w:val="0BA70C31"/>
    <w:rsid w:val="0BCB0FBA"/>
    <w:rsid w:val="0BE1258C"/>
    <w:rsid w:val="0C060244"/>
    <w:rsid w:val="0C19710E"/>
    <w:rsid w:val="0C324B95"/>
    <w:rsid w:val="0C3F1EB2"/>
    <w:rsid w:val="0C760F26"/>
    <w:rsid w:val="0C8E5CCC"/>
    <w:rsid w:val="0CC8326D"/>
    <w:rsid w:val="0CEB7228"/>
    <w:rsid w:val="0CFC25EE"/>
    <w:rsid w:val="0D066854"/>
    <w:rsid w:val="0D1534C3"/>
    <w:rsid w:val="0D42705A"/>
    <w:rsid w:val="0D5364A5"/>
    <w:rsid w:val="0D7F3BC3"/>
    <w:rsid w:val="0D835B7E"/>
    <w:rsid w:val="0DF012B2"/>
    <w:rsid w:val="0DFC0C73"/>
    <w:rsid w:val="0E493DF1"/>
    <w:rsid w:val="0E601CA0"/>
    <w:rsid w:val="0E691A30"/>
    <w:rsid w:val="0E6A4ABA"/>
    <w:rsid w:val="0E6B38CB"/>
    <w:rsid w:val="0E794195"/>
    <w:rsid w:val="0E7D359F"/>
    <w:rsid w:val="0E996B65"/>
    <w:rsid w:val="0E9D4F75"/>
    <w:rsid w:val="0EAC4F03"/>
    <w:rsid w:val="0EBA103F"/>
    <w:rsid w:val="0ECB2F66"/>
    <w:rsid w:val="0ED15F2C"/>
    <w:rsid w:val="0F296723"/>
    <w:rsid w:val="0F3F5F47"/>
    <w:rsid w:val="0F510A30"/>
    <w:rsid w:val="0F663403"/>
    <w:rsid w:val="0F855BE7"/>
    <w:rsid w:val="0F8E47D8"/>
    <w:rsid w:val="0F903E04"/>
    <w:rsid w:val="0F980C7B"/>
    <w:rsid w:val="0FA638D0"/>
    <w:rsid w:val="0FAF7EE0"/>
    <w:rsid w:val="0FB32491"/>
    <w:rsid w:val="0FBF315C"/>
    <w:rsid w:val="0FCA5CBA"/>
    <w:rsid w:val="1024466C"/>
    <w:rsid w:val="105E3E15"/>
    <w:rsid w:val="1078669E"/>
    <w:rsid w:val="108C7A8C"/>
    <w:rsid w:val="109A7611"/>
    <w:rsid w:val="10C57F43"/>
    <w:rsid w:val="10D74679"/>
    <w:rsid w:val="10E248AF"/>
    <w:rsid w:val="10EC2AC2"/>
    <w:rsid w:val="10EE43C4"/>
    <w:rsid w:val="113115AF"/>
    <w:rsid w:val="113B11BA"/>
    <w:rsid w:val="11430EC2"/>
    <w:rsid w:val="114B0997"/>
    <w:rsid w:val="114E421F"/>
    <w:rsid w:val="11A86FE2"/>
    <w:rsid w:val="11BA27CD"/>
    <w:rsid w:val="11C86E50"/>
    <w:rsid w:val="11D454B5"/>
    <w:rsid w:val="12062D4C"/>
    <w:rsid w:val="12160F3D"/>
    <w:rsid w:val="12383670"/>
    <w:rsid w:val="12485112"/>
    <w:rsid w:val="12737362"/>
    <w:rsid w:val="127D7927"/>
    <w:rsid w:val="128D0D77"/>
    <w:rsid w:val="12A73097"/>
    <w:rsid w:val="12BD3DDD"/>
    <w:rsid w:val="12D07D2E"/>
    <w:rsid w:val="12E54A8E"/>
    <w:rsid w:val="12F757EE"/>
    <w:rsid w:val="12F9640D"/>
    <w:rsid w:val="1354287C"/>
    <w:rsid w:val="136A40B1"/>
    <w:rsid w:val="13772D39"/>
    <w:rsid w:val="13806B2E"/>
    <w:rsid w:val="139C2A90"/>
    <w:rsid w:val="13B32944"/>
    <w:rsid w:val="13C50F53"/>
    <w:rsid w:val="13FCF4A5"/>
    <w:rsid w:val="14044A65"/>
    <w:rsid w:val="141B23B3"/>
    <w:rsid w:val="143119FB"/>
    <w:rsid w:val="14314A47"/>
    <w:rsid w:val="14445DAD"/>
    <w:rsid w:val="14651174"/>
    <w:rsid w:val="14744662"/>
    <w:rsid w:val="14885C9A"/>
    <w:rsid w:val="149955F1"/>
    <w:rsid w:val="14A57740"/>
    <w:rsid w:val="14E76398"/>
    <w:rsid w:val="14F43330"/>
    <w:rsid w:val="151C5ACE"/>
    <w:rsid w:val="15633BC1"/>
    <w:rsid w:val="156B7D52"/>
    <w:rsid w:val="157707EC"/>
    <w:rsid w:val="1595204E"/>
    <w:rsid w:val="159D203F"/>
    <w:rsid w:val="15C0054B"/>
    <w:rsid w:val="15C22EA0"/>
    <w:rsid w:val="15D72520"/>
    <w:rsid w:val="15DB2321"/>
    <w:rsid w:val="15F164DB"/>
    <w:rsid w:val="16376D53"/>
    <w:rsid w:val="1638724C"/>
    <w:rsid w:val="16526560"/>
    <w:rsid w:val="1652716C"/>
    <w:rsid w:val="16583FE1"/>
    <w:rsid w:val="166D15EC"/>
    <w:rsid w:val="166F51E0"/>
    <w:rsid w:val="16736B47"/>
    <w:rsid w:val="16976668"/>
    <w:rsid w:val="16AE0171"/>
    <w:rsid w:val="16BB5D99"/>
    <w:rsid w:val="16EB49D1"/>
    <w:rsid w:val="174B0524"/>
    <w:rsid w:val="175947A3"/>
    <w:rsid w:val="17893D8A"/>
    <w:rsid w:val="178A1D29"/>
    <w:rsid w:val="17A64281"/>
    <w:rsid w:val="17CA0709"/>
    <w:rsid w:val="17D45087"/>
    <w:rsid w:val="17DC4231"/>
    <w:rsid w:val="17EB6C6C"/>
    <w:rsid w:val="17FE3E40"/>
    <w:rsid w:val="18035EFA"/>
    <w:rsid w:val="180B7284"/>
    <w:rsid w:val="181E4800"/>
    <w:rsid w:val="183F2B14"/>
    <w:rsid w:val="185D41D1"/>
    <w:rsid w:val="18B51028"/>
    <w:rsid w:val="18D44FEB"/>
    <w:rsid w:val="18DB06A3"/>
    <w:rsid w:val="1934309C"/>
    <w:rsid w:val="195E0573"/>
    <w:rsid w:val="197A4670"/>
    <w:rsid w:val="19910776"/>
    <w:rsid w:val="199E3248"/>
    <w:rsid w:val="19A04C96"/>
    <w:rsid w:val="19A602AB"/>
    <w:rsid w:val="19C163C4"/>
    <w:rsid w:val="19CA465F"/>
    <w:rsid w:val="1A000352"/>
    <w:rsid w:val="1A1A69B3"/>
    <w:rsid w:val="1A381F10"/>
    <w:rsid w:val="1A3969F1"/>
    <w:rsid w:val="1A3A4F71"/>
    <w:rsid w:val="1A4438E0"/>
    <w:rsid w:val="1A8707A2"/>
    <w:rsid w:val="1A894E17"/>
    <w:rsid w:val="1AB1581F"/>
    <w:rsid w:val="1AD0039B"/>
    <w:rsid w:val="1AD02149"/>
    <w:rsid w:val="1ADE3303"/>
    <w:rsid w:val="1AE7531F"/>
    <w:rsid w:val="1B334C68"/>
    <w:rsid w:val="1B375D24"/>
    <w:rsid w:val="1B4659B0"/>
    <w:rsid w:val="1B5753C5"/>
    <w:rsid w:val="1B6028EE"/>
    <w:rsid w:val="1B7B4DEC"/>
    <w:rsid w:val="1BB853D3"/>
    <w:rsid w:val="1BD03658"/>
    <w:rsid w:val="1BE80BC8"/>
    <w:rsid w:val="1C171C54"/>
    <w:rsid w:val="1C252021"/>
    <w:rsid w:val="1C422BD3"/>
    <w:rsid w:val="1C6528D1"/>
    <w:rsid w:val="1CC63E61"/>
    <w:rsid w:val="1CFD009B"/>
    <w:rsid w:val="1D0D796C"/>
    <w:rsid w:val="1D131CD1"/>
    <w:rsid w:val="1D24677C"/>
    <w:rsid w:val="1D7F23F9"/>
    <w:rsid w:val="1D813BCE"/>
    <w:rsid w:val="1DAB2F77"/>
    <w:rsid w:val="1DAB47A7"/>
    <w:rsid w:val="1DB62A87"/>
    <w:rsid w:val="1DBF0856"/>
    <w:rsid w:val="1DE71C83"/>
    <w:rsid w:val="1E017B93"/>
    <w:rsid w:val="1E026ABD"/>
    <w:rsid w:val="1E067C30"/>
    <w:rsid w:val="1E1E344E"/>
    <w:rsid w:val="1E4C3C27"/>
    <w:rsid w:val="1E4C7D38"/>
    <w:rsid w:val="1E605D63"/>
    <w:rsid w:val="1E645884"/>
    <w:rsid w:val="1E7B6870"/>
    <w:rsid w:val="1EC40006"/>
    <w:rsid w:val="1EC913F4"/>
    <w:rsid w:val="1EEF256F"/>
    <w:rsid w:val="1EF01FC9"/>
    <w:rsid w:val="1F114ADE"/>
    <w:rsid w:val="1F15637C"/>
    <w:rsid w:val="1F1C0096"/>
    <w:rsid w:val="1F4B3682"/>
    <w:rsid w:val="1F8A5DA8"/>
    <w:rsid w:val="1FBE4EC5"/>
    <w:rsid w:val="1FE010EF"/>
    <w:rsid w:val="20090412"/>
    <w:rsid w:val="201523AC"/>
    <w:rsid w:val="20166414"/>
    <w:rsid w:val="20300F52"/>
    <w:rsid w:val="20494863"/>
    <w:rsid w:val="204D2F02"/>
    <w:rsid w:val="205904EB"/>
    <w:rsid w:val="207F4BDE"/>
    <w:rsid w:val="20895CE0"/>
    <w:rsid w:val="20914128"/>
    <w:rsid w:val="20CF008E"/>
    <w:rsid w:val="20D912DF"/>
    <w:rsid w:val="20E35932"/>
    <w:rsid w:val="20EA0B82"/>
    <w:rsid w:val="21213C0C"/>
    <w:rsid w:val="213C6EC8"/>
    <w:rsid w:val="214F03B6"/>
    <w:rsid w:val="215F5FD5"/>
    <w:rsid w:val="2164183D"/>
    <w:rsid w:val="21800088"/>
    <w:rsid w:val="21C82EB5"/>
    <w:rsid w:val="21FC3824"/>
    <w:rsid w:val="21FC72FA"/>
    <w:rsid w:val="223B259E"/>
    <w:rsid w:val="225F4331"/>
    <w:rsid w:val="2279461F"/>
    <w:rsid w:val="229D6DB5"/>
    <w:rsid w:val="22DD3655"/>
    <w:rsid w:val="22EB482C"/>
    <w:rsid w:val="22EC3468"/>
    <w:rsid w:val="22EE5862"/>
    <w:rsid w:val="230B5842"/>
    <w:rsid w:val="23111B23"/>
    <w:rsid w:val="234264D3"/>
    <w:rsid w:val="23681942"/>
    <w:rsid w:val="236A4A10"/>
    <w:rsid w:val="23787282"/>
    <w:rsid w:val="238201DC"/>
    <w:rsid w:val="23957951"/>
    <w:rsid w:val="23A45F21"/>
    <w:rsid w:val="23A579AE"/>
    <w:rsid w:val="23AF568E"/>
    <w:rsid w:val="23E7405F"/>
    <w:rsid w:val="23F171DD"/>
    <w:rsid w:val="240C3C72"/>
    <w:rsid w:val="244202E8"/>
    <w:rsid w:val="24583E24"/>
    <w:rsid w:val="246C3C96"/>
    <w:rsid w:val="24764DC1"/>
    <w:rsid w:val="24967662"/>
    <w:rsid w:val="24A22503"/>
    <w:rsid w:val="24C8152A"/>
    <w:rsid w:val="24E24157"/>
    <w:rsid w:val="24F52727"/>
    <w:rsid w:val="25175BF6"/>
    <w:rsid w:val="25206135"/>
    <w:rsid w:val="253B28B5"/>
    <w:rsid w:val="25731890"/>
    <w:rsid w:val="2581355B"/>
    <w:rsid w:val="25937F25"/>
    <w:rsid w:val="25AA584B"/>
    <w:rsid w:val="25B5385F"/>
    <w:rsid w:val="25D36F91"/>
    <w:rsid w:val="25F12005"/>
    <w:rsid w:val="262827A7"/>
    <w:rsid w:val="263536FB"/>
    <w:rsid w:val="26EC20B9"/>
    <w:rsid w:val="26F0490D"/>
    <w:rsid w:val="27171BEE"/>
    <w:rsid w:val="273E5DC8"/>
    <w:rsid w:val="27514612"/>
    <w:rsid w:val="276E5A9A"/>
    <w:rsid w:val="27B24862"/>
    <w:rsid w:val="27E14BA4"/>
    <w:rsid w:val="27E66808"/>
    <w:rsid w:val="28104D40"/>
    <w:rsid w:val="281C69CE"/>
    <w:rsid w:val="28354429"/>
    <w:rsid w:val="283E2531"/>
    <w:rsid w:val="284678BC"/>
    <w:rsid w:val="285F1E1A"/>
    <w:rsid w:val="28737276"/>
    <w:rsid w:val="28795BCE"/>
    <w:rsid w:val="287B0AE2"/>
    <w:rsid w:val="28803518"/>
    <w:rsid w:val="28C22931"/>
    <w:rsid w:val="28F416F8"/>
    <w:rsid w:val="28FE4325"/>
    <w:rsid w:val="292F387B"/>
    <w:rsid w:val="29353928"/>
    <w:rsid w:val="296A0E5E"/>
    <w:rsid w:val="29742F1B"/>
    <w:rsid w:val="298F1B46"/>
    <w:rsid w:val="29E4176D"/>
    <w:rsid w:val="2A4370E4"/>
    <w:rsid w:val="2A543418"/>
    <w:rsid w:val="2A74496A"/>
    <w:rsid w:val="2A920384"/>
    <w:rsid w:val="2ACF254B"/>
    <w:rsid w:val="2ADE7DE6"/>
    <w:rsid w:val="2AEE6B01"/>
    <w:rsid w:val="2B366201"/>
    <w:rsid w:val="2B3B74A1"/>
    <w:rsid w:val="2B4C3B06"/>
    <w:rsid w:val="2B59568D"/>
    <w:rsid w:val="2B7D4763"/>
    <w:rsid w:val="2B875CF3"/>
    <w:rsid w:val="2B886F75"/>
    <w:rsid w:val="2B9D32F3"/>
    <w:rsid w:val="2BA54F2C"/>
    <w:rsid w:val="2BAC0025"/>
    <w:rsid w:val="2BC43236"/>
    <w:rsid w:val="2BC76C50"/>
    <w:rsid w:val="2BF5596C"/>
    <w:rsid w:val="2BF7098E"/>
    <w:rsid w:val="2BF81E12"/>
    <w:rsid w:val="2C0B1233"/>
    <w:rsid w:val="2C0E0D23"/>
    <w:rsid w:val="2C1106C8"/>
    <w:rsid w:val="2C36068C"/>
    <w:rsid w:val="2C404347"/>
    <w:rsid w:val="2C7072E8"/>
    <w:rsid w:val="2C743402"/>
    <w:rsid w:val="2C773583"/>
    <w:rsid w:val="2C852FD1"/>
    <w:rsid w:val="2CBD0053"/>
    <w:rsid w:val="2CC246A5"/>
    <w:rsid w:val="2CC714B4"/>
    <w:rsid w:val="2CD15648"/>
    <w:rsid w:val="2CF34431"/>
    <w:rsid w:val="2D452523"/>
    <w:rsid w:val="2D570703"/>
    <w:rsid w:val="2D7D4861"/>
    <w:rsid w:val="2D9E4B7C"/>
    <w:rsid w:val="2DA33FD6"/>
    <w:rsid w:val="2DAF2FE1"/>
    <w:rsid w:val="2DB2355B"/>
    <w:rsid w:val="2DD43858"/>
    <w:rsid w:val="2DF2432C"/>
    <w:rsid w:val="2E1632AB"/>
    <w:rsid w:val="2E2C71DE"/>
    <w:rsid w:val="2E47579B"/>
    <w:rsid w:val="2E5D03BB"/>
    <w:rsid w:val="2E67471B"/>
    <w:rsid w:val="2E7447DA"/>
    <w:rsid w:val="2E7F7FE3"/>
    <w:rsid w:val="2E81541B"/>
    <w:rsid w:val="2EA80AA8"/>
    <w:rsid w:val="2EBF7E7A"/>
    <w:rsid w:val="2EC441D1"/>
    <w:rsid w:val="2EC94A38"/>
    <w:rsid w:val="2ECD3F9D"/>
    <w:rsid w:val="2EEE0998"/>
    <w:rsid w:val="2F0D2540"/>
    <w:rsid w:val="2F145D5B"/>
    <w:rsid w:val="2F165A4A"/>
    <w:rsid w:val="2F4405B8"/>
    <w:rsid w:val="2F4B1946"/>
    <w:rsid w:val="2F7B779B"/>
    <w:rsid w:val="2FA35971"/>
    <w:rsid w:val="2FA774C5"/>
    <w:rsid w:val="2FBC3852"/>
    <w:rsid w:val="2FC10C66"/>
    <w:rsid w:val="2FDD4C94"/>
    <w:rsid w:val="2FEC7EB6"/>
    <w:rsid w:val="2FFD5233"/>
    <w:rsid w:val="30055F99"/>
    <w:rsid w:val="30155C99"/>
    <w:rsid w:val="30182835"/>
    <w:rsid w:val="30491724"/>
    <w:rsid w:val="304E5B92"/>
    <w:rsid w:val="305902FE"/>
    <w:rsid w:val="305A62E5"/>
    <w:rsid w:val="30605945"/>
    <w:rsid w:val="30863BAF"/>
    <w:rsid w:val="30894D74"/>
    <w:rsid w:val="30A74EDF"/>
    <w:rsid w:val="30DA5678"/>
    <w:rsid w:val="30E520C9"/>
    <w:rsid w:val="31215055"/>
    <w:rsid w:val="313708CB"/>
    <w:rsid w:val="31522A38"/>
    <w:rsid w:val="315B380F"/>
    <w:rsid w:val="315E6C95"/>
    <w:rsid w:val="31620028"/>
    <w:rsid w:val="31783AC4"/>
    <w:rsid w:val="31B72774"/>
    <w:rsid w:val="31DD71CE"/>
    <w:rsid w:val="31FB1754"/>
    <w:rsid w:val="3201186B"/>
    <w:rsid w:val="32180091"/>
    <w:rsid w:val="32273E1A"/>
    <w:rsid w:val="322E2CC1"/>
    <w:rsid w:val="324068FC"/>
    <w:rsid w:val="32744B8F"/>
    <w:rsid w:val="32891103"/>
    <w:rsid w:val="329A3370"/>
    <w:rsid w:val="329D5730"/>
    <w:rsid w:val="32AB23B9"/>
    <w:rsid w:val="32BB3C6E"/>
    <w:rsid w:val="32F800A4"/>
    <w:rsid w:val="331A7FAD"/>
    <w:rsid w:val="332B5C1B"/>
    <w:rsid w:val="33377D20"/>
    <w:rsid w:val="335F25A6"/>
    <w:rsid w:val="33615BDC"/>
    <w:rsid w:val="33621DF2"/>
    <w:rsid w:val="33972172"/>
    <w:rsid w:val="33AF5557"/>
    <w:rsid w:val="33C767A4"/>
    <w:rsid w:val="33FB069A"/>
    <w:rsid w:val="3409589E"/>
    <w:rsid w:val="3424001A"/>
    <w:rsid w:val="34272E4C"/>
    <w:rsid w:val="342A1F36"/>
    <w:rsid w:val="34627E5E"/>
    <w:rsid w:val="34755E9D"/>
    <w:rsid w:val="34BD50C3"/>
    <w:rsid w:val="34E33701"/>
    <w:rsid w:val="34FD70C0"/>
    <w:rsid w:val="350031D3"/>
    <w:rsid w:val="350B4EB3"/>
    <w:rsid w:val="352E66C1"/>
    <w:rsid w:val="35352E7D"/>
    <w:rsid w:val="355F614C"/>
    <w:rsid w:val="356928AF"/>
    <w:rsid w:val="3578720D"/>
    <w:rsid w:val="35995F31"/>
    <w:rsid w:val="35C577F0"/>
    <w:rsid w:val="35DB0726"/>
    <w:rsid w:val="35FC1619"/>
    <w:rsid w:val="35FF488B"/>
    <w:rsid w:val="36405F7D"/>
    <w:rsid w:val="364128D7"/>
    <w:rsid w:val="36455341"/>
    <w:rsid w:val="36597C9C"/>
    <w:rsid w:val="366D5E16"/>
    <w:rsid w:val="368E176D"/>
    <w:rsid w:val="36A24C49"/>
    <w:rsid w:val="36C73FA8"/>
    <w:rsid w:val="36D668E1"/>
    <w:rsid w:val="36F53B9F"/>
    <w:rsid w:val="36F9504B"/>
    <w:rsid w:val="36FB77C2"/>
    <w:rsid w:val="37386E9E"/>
    <w:rsid w:val="373A1EFF"/>
    <w:rsid w:val="37467A89"/>
    <w:rsid w:val="37D320B4"/>
    <w:rsid w:val="37E66028"/>
    <w:rsid w:val="3821593A"/>
    <w:rsid w:val="3823305A"/>
    <w:rsid w:val="383A69FC"/>
    <w:rsid w:val="38481696"/>
    <w:rsid w:val="38764FE2"/>
    <w:rsid w:val="387A77E0"/>
    <w:rsid w:val="388C1D33"/>
    <w:rsid w:val="38910D12"/>
    <w:rsid w:val="38975732"/>
    <w:rsid w:val="38A3074E"/>
    <w:rsid w:val="38BA0CC6"/>
    <w:rsid w:val="38D75836"/>
    <w:rsid w:val="38DD5D05"/>
    <w:rsid w:val="38F66E16"/>
    <w:rsid w:val="38FA1164"/>
    <w:rsid w:val="39097172"/>
    <w:rsid w:val="39255B4E"/>
    <w:rsid w:val="392B3854"/>
    <w:rsid w:val="394144E6"/>
    <w:rsid w:val="397321C6"/>
    <w:rsid w:val="39BE7B8B"/>
    <w:rsid w:val="39C12AD9"/>
    <w:rsid w:val="39CE1AF2"/>
    <w:rsid w:val="39F06F70"/>
    <w:rsid w:val="39FA1EDA"/>
    <w:rsid w:val="3A176FF5"/>
    <w:rsid w:val="3A5432D3"/>
    <w:rsid w:val="3A647D60"/>
    <w:rsid w:val="3A687850"/>
    <w:rsid w:val="3A6A3192"/>
    <w:rsid w:val="3A9C2D71"/>
    <w:rsid w:val="3A9D573E"/>
    <w:rsid w:val="3AB42A96"/>
    <w:rsid w:val="3AB807D8"/>
    <w:rsid w:val="3ABF0A6D"/>
    <w:rsid w:val="3ADB1B86"/>
    <w:rsid w:val="3B0E5C90"/>
    <w:rsid w:val="3B312338"/>
    <w:rsid w:val="3B5A3E68"/>
    <w:rsid w:val="3B76561A"/>
    <w:rsid w:val="3BAB17C0"/>
    <w:rsid w:val="3BD056AD"/>
    <w:rsid w:val="3BD3519D"/>
    <w:rsid w:val="3BD74C8E"/>
    <w:rsid w:val="3C072DE6"/>
    <w:rsid w:val="3C0E61D6"/>
    <w:rsid w:val="3C146F9D"/>
    <w:rsid w:val="3C5F11A3"/>
    <w:rsid w:val="3C65796A"/>
    <w:rsid w:val="3C7C2505"/>
    <w:rsid w:val="3C926285"/>
    <w:rsid w:val="3CB0790D"/>
    <w:rsid w:val="3CB8263D"/>
    <w:rsid w:val="3CBD0327"/>
    <w:rsid w:val="3CEC61F3"/>
    <w:rsid w:val="3CED228F"/>
    <w:rsid w:val="3CF47AC1"/>
    <w:rsid w:val="3D0850F4"/>
    <w:rsid w:val="3D197528"/>
    <w:rsid w:val="3D26671E"/>
    <w:rsid w:val="3D50466B"/>
    <w:rsid w:val="3D510A70"/>
    <w:rsid w:val="3D5642D8"/>
    <w:rsid w:val="3D7A2ADA"/>
    <w:rsid w:val="3DA474A7"/>
    <w:rsid w:val="3DC55498"/>
    <w:rsid w:val="3DCE3E6E"/>
    <w:rsid w:val="3E1F15C2"/>
    <w:rsid w:val="3E4D38B4"/>
    <w:rsid w:val="3E693B97"/>
    <w:rsid w:val="3EBC016B"/>
    <w:rsid w:val="3ED26EF7"/>
    <w:rsid w:val="3ED810C8"/>
    <w:rsid w:val="3F0670A1"/>
    <w:rsid w:val="3F431F24"/>
    <w:rsid w:val="3F4E2744"/>
    <w:rsid w:val="3F732F1F"/>
    <w:rsid w:val="3F83690D"/>
    <w:rsid w:val="3F896C04"/>
    <w:rsid w:val="3FA63174"/>
    <w:rsid w:val="3FB23F6B"/>
    <w:rsid w:val="3FEC558C"/>
    <w:rsid w:val="3FED2FEE"/>
    <w:rsid w:val="400973E0"/>
    <w:rsid w:val="40254D5C"/>
    <w:rsid w:val="403717F6"/>
    <w:rsid w:val="40421FFD"/>
    <w:rsid w:val="40556AC9"/>
    <w:rsid w:val="405638F2"/>
    <w:rsid w:val="405F34A4"/>
    <w:rsid w:val="40B97058"/>
    <w:rsid w:val="40BA4B7E"/>
    <w:rsid w:val="40C57BAE"/>
    <w:rsid w:val="40D01062"/>
    <w:rsid w:val="40D5220D"/>
    <w:rsid w:val="40EB11DB"/>
    <w:rsid w:val="410F1D95"/>
    <w:rsid w:val="4165623A"/>
    <w:rsid w:val="41786CC9"/>
    <w:rsid w:val="419A529F"/>
    <w:rsid w:val="41AD0FFC"/>
    <w:rsid w:val="41B33AA7"/>
    <w:rsid w:val="41BF0895"/>
    <w:rsid w:val="41D019F0"/>
    <w:rsid w:val="41D02A92"/>
    <w:rsid w:val="42542524"/>
    <w:rsid w:val="4265677C"/>
    <w:rsid w:val="427E65EA"/>
    <w:rsid w:val="42823D0F"/>
    <w:rsid w:val="428455D4"/>
    <w:rsid w:val="42B20141"/>
    <w:rsid w:val="42DE2F39"/>
    <w:rsid w:val="42ED5254"/>
    <w:rsid w:val="42FE4651"/>
    <w:rsid w:val="4301424D"/>
    <w:rsid w:val="4398674F"/>
    <w:rsid w:val="439E1B52"/>
    <w:rsid w:val="43B562A2"/>
    <w:rsid w:val="43D321DE"/>
    <w:rsid w:val="43EA7A19"/>
    <w:rsid w:val="44017717"/>
    <w:rsid w:val="440B0C02"/>
    <w:rsid w:val="446B246D"/>
    <w:rsid w:val="447569F3"/>
    <w:rsid w:val="44B013CB"/>
    <w:rsid w:val="44CB735A"/>
    <w:rsid w:val="44D81A76"/>
    <w:rsid w:val="44DF6C59"/>
    <w:rsid w:val="44ED72D0"/>
    <w:rsid w:val="45201722"/>
    <w:rsid w:val="45365B70"/>
    <w:rsid w:val="456357E4"/>
    <w:rsid w:val="45876536"/>
    <w:rsid w:val="45C81F49"/>
    <w:rsid w:val="45FC0CDF"/>
    <w:rsid w:val="46033C1A"/>
    <w:rsid w:val="460D1AD1"/>
    <w:rsid w:val="460D7F5B"/>
    <w:rsid w:val="462542D2"/>
    <w:rsid w:val="464253F9"/>
    <w:rsid w:val="4646138E"/>
    <w:rsid w:val="466C3343"/>
    <w:rsid w:val="4673154E"/>
    <w:rsid w:val="467557CF"/>
    <w:rsid w:val="46987D74"/>
    <w:rsid w:val="46AF765B"/>
    <w:rsid w:val="46B362F7"/>
    <w:rsid w:val="46C2478C"/>
    <w:rsid w:val="46E12E64"/>
    <w:rsid w:val="46F22B79"/>
    <w:rsid w:val="470A4C3C"/>
    <w:rsid w:val="47105FCE"/>
    <w:rsid w:val="47117FD1"/>
    <w:rsid w:val="472C67D7"/>
    <w:rsid w:val="47347438"/>
    <w:rsid w:val="47471BA9"/>
    <w:rsid w:val="47701C07"/>
    <w:rsid w:val="47820A08"/>
    <w:rsid w:val="47BF45CA"/>
    <w:rsid w:val="47FB1D04"/>
    <w:rsid w:val="48123900"/>
    <w:rsid w:val="483F4663"/>
    <w:rsid w:val="486A50DB"/>
    <w:rsid w:val="488355B6"/>
    <w:rsid w:val="488717E9"/>
    <w:rsid w:val="48974E52"/>
    <w:rsid w:val="48981CF4"/>
    <w:rsid w:val="48B87BF5"/>
    <w:rsid w:val="48D41E90"/>
    <w:rsid w:val="48E409EA"/>
    <w:rsid w:val="492766CD"/>
    <w:rsid w:val="492E33A9"/>
    <w:rsid w:val="49353926"/>
    <w:rsid w:val="49483569"/>
    <w:rsid w:val="49593384"/>
    <w:rsid w:val="49793828"/>
    <w:rsid w:val="498C18CA"/>
    <w:rsid w:val="49956188"/>
    <w:rsid w:val="49A3785C"/>
    <w:rsid w:val="49AA39E1"/>
    <w:rsid w:val="49C83D8B"/>
    <w:rsid w:val="49D96075"/>
    <w:rsid w:val="49DA5835"/>
    <w:rsid w:val="49E34016"/>
    <w:rsid w:val="49EC5A88"/>
    <w:rsid w:val="49FE1202"/>
    <w:rsid w:val="4A124295"/>
    <w:rsid w:val="4A216B47"/>
    <w:rsid w:val="4A33564C"/>
    <w:rsid w:val="4A481D20"/>
    <w:rsid w:val="4A495A51"/>
    <w:rsid w:val="4A616F89"/>
    <w:rsid w:val="4A8153EE"/>
    <w:rsid w:val="4A875AD1"/>
    <w:rsid w:val="4A995AE0"/>
    <w:rsid w:val="4AE868AB"/>
    <w:rsid w:val="4AEA7F27"/>
    <w:rsid w:val="4AF43D99"/>
    <w:rsid w:val="4B003430"/>
    <w:rsid w:val="4B076C12"/>
    <w:rsid w:val="4B4554F8"/>
    <w:rsid w:val="4B4B5BA4"/>
    <w:rsid w:val="4B4F44F4"/>
    <w:rsid w:val="4B585BB2"/>
    <w:rsid w:val="4B602D7A"/>
    <w:rsid w:val="4B6D7CA0"/>
    <w:rsid w:val="4B7A5635"/>
    <w:rsid w:val="4B821B20"/>
    <w:rsid w:val="4B876221"/>
    <w:rsid w:val="4B8E10E1"/>
    <w:rsid w:val="4BC8322A"/>
    <w:rsid w:val="4BF71C3E"/>
    <w:rsid w:val="4BF83930"/>
    <w:rsid w:val="4BF93791"/>
    <w:rsid w:val="4C1C479D"/>
    <w:rsid w:val="4C2048B3"/>
    <w:rsid w:val="4C2F41A4"/>
    <w:rsid w:val="4C43011D"/>
    <w:rsid w:val="4C52210E"/>
    <w:rsid w:val="4C5B45B9"/>
    <w:rsid w:val="4C6960AC"/>
    <w:rsid w:val="4C7B59AE"/>
    <w:rsid w:val="4CB849CD"/>
    <w:rsid w:val="4CC21042"/>
    <w:rsid w:val="4CD60F91"/>
    <w:rsid w:val="4CDC5360"/>
    <w:rsid w:val="4CEB5D94"/>
    <w:rsid w:val="4D021D86"/>
    <w:rsid w:val="4D155AE9"/>
    <w:rsid w:val="4D216D63"/>
    <w:rsid w:val="4D700A9E"/>
    <w:rsid w:val="4D872E10"/>
    <w:rsid w:val="4D9D294B"/>
    <w:rsid w:val="4DAA3932"/>
    <w:rsid w:val="4DAB2D82"/>
    <w:rsid w:val="4E296D07"/>
    <w:rsid w:val="4E4837C9"/>
    <w:rsid w:val="4E486C7C"/>
    <w:rsid w:val="4E4B6F2D"/>
    <w:rsid w:val="4E4E7916"/>
    <w:rsid w:val="4E533BD4"/>
    <w:rsid w:val="4E6867C7"/>
    <w:rsid w:val="4EA056A9"/>
    <w:rsid w:val="4EA2737D"/>
    <w:rsid w:val="4EC24A00"/>
    <w:rsid w:val="4ECD19C9"/>
    <w:rsid w:val="4F0D5F99"/>
    <w:rsid w:val="4F302BDB"/>
    <w:rsid w:val="4F3F263D"/>
    <w:rsid w:val="4F400944"/>
    <w:rsid w:val="4F45079D"/>
    <w:rsid w:val="4F577377"/>
    <w:rsid w:val="4F586470"/>
    <w:rsid w:val="4F596E09"/>
    <w:rsid w:val="4F5A1CF8"/>
    <w:rsid w:val="4F7A2EBB"/>
    <w:rsid w:val="4F8E345D"/>
    <w:rsid w:val="4FB72EC4"/>
    <w:rsid w:val="4FFF5657"/>
    <w:rsid w:val="50303E71"/>
    <w:rsid w:val="503E4E84"/>
    <w:rsid w:val="50464A35"/>
    <w:rsid w:val="50567CE2"/>
    <w:rsid w:val="508D1BD9"/>
    <w:rsid w:val="50A7112B"/>
    <w:rsid w:val="50AB080A"/>
    <w:rsid w:val="50CE4A5A"/>
    <w:rsid w:val="50CF7548"/>
    <w:rsid w:val="50E043C0"/>
    <w:rsid w:val="50ED6098"/>
    <w:rsid w:val="51361FFF"/>
    <w:rsid w:val="513C207B"/>
    <w:rsid w:val="51587843"/>
    <w:rsid w:val="515A047F"/>
    <w:rsid w:val="51600122"/>
    <w:rsid w:val="51767504"/>
    <w:rsid w:val="51AC651C"/>
    <w:rsid w:val="51B75DDC"/>
    <w:rsid w:val="51BD639D"/>
    <w:rsid w:val="51BE21EF"/>
    <w:rsid w:val="51D94C4C"/>
    <w:rsid w:val="51E97071"/>
    <w:rsid w:val="521A6BBB"/>
    <w:rsid w:val="522133DF"/>
    <w:rsid w:val="522B78C4"/>
    <w:rsid w:val="523B3930"/>
    <w:rsid w:val="52715451"/>
    <w:rsid w:val="5289726B"/>
    <w:rsid w:val="529342F4"/>
    <w:rsid w:val="52B15DE1"/>
    <w:rsid w:val="52BA2094"/>
    <w:rsid w:val="52C57C7B"/>
    <w:rsid w:val="52EC6E19"/>
    <w:rsid w:val="52F57E4A"/>
    <w:rsid w:val="52FB1865"/>
    <w:rsid w:val="52FF6532"/>
    <w:rsid w:val="530865C0"/>
    <w:rsid w:val="531801C4"/>
    <w:rsid w:val="533C7840"/>
    <w:rsid w:val="537A201C"/>
    <w:rsid w:val="53847714"/>
    <w:rsid w:val="53BB7D04"/>
    <w:rsid w:val="53BF413E"/>
    <w:rsid w:val="53D13424"/>
    <w:rsid w:val="540C7DB2"/>
    <w:rsid w:val="54207D48"/>
    <w:rsid w:val="545378B4"/>
    <w:rsid w:val="54982F44"/>
    <w:rsid w:val="54B40859"/>
    <w:rsid w:val="54C94F38"/>
    <w:rsid w:val="550D180D"/>
    <w:rsid w:val="551212BD"/>
    <w:rsid w:val="552F7491"/>
    <w:rsid w:val="5531595A"/>
    <w:rsid w:val="55323DE5"/>
    <w:rsid w:val="55342CF9"/>
    <w:rsid w:val="555869E7"/>
    <w:rsid w:val="559840EB"/>
    <w:rsid w:val="55AE2BFE"/>
    <w:rsid w:val="55AF16AF"/>
    <w:rsid w:val="55B02E5B"/>
    <w:rsid w:val="55B65AC9"/>
    <w:rsid w:val="55F54981"/>
    <w:rsid w:val="55FC6467"/>
    <w:rsid w:val="5604752C"/>
    <w:rsid w:val="56107BDA"/>
    <w:rsid w:val="56371DC9"/>
    <w:rsid w:val="56483EBC"/>
    <w:rsid w:val="564A6822"/>
    <w:rsid w:val="565E77B8"/>
    <w:rsid w:val="5678513B"/>
    <w:rsid w:val="567B47B7"/>
    <w:rsid w:val="569F1A72"/>
    <w:rsid w:val="56C44824"/>
    <w:rsid w:val="56E322E1"/>
    <w:rsid w:val="56ED315F"/>
    <w:rsid w:val="570854BD"/>
    <w:rsid w:val="57087F99"/>
    <w:rsid w:val="5737087F"/>
    <w:rsid w:val="57471BB0"/>
    <w:rsid w:val="574D23FA"/>
    <w:rsid w:val="57C20C8A"/>
    <w:rsid w:val="57DA31A5"/>
    <w:rsid w:val="57DB6D67"/>
    <w:rsid w:val="57EC596A"/>
    <w:rsid w:val="5827489A"/>
    <w:rsid w:val="582F4063"/>
    <w:rsid w:val="584D1551"/>
    <w:rsid w:val="58805926"/>
    <w:rsid w:val="589B6092"/>
    <w:rsid w:val="58C17586"/>
    <w:rsid w:val="58D713CC"/>
    <w:rsid w:val="5911444A"/>
    <w:rsid w:val="594A2AEB"/>
    <w:rsid w:val="59584E20"/>
    <w:rsid w:val="595D785A"/>
    <w:rsid w:val="596A7D11"/>
    <w:rsid w:val="596E4037"/>
    <w:rsid w:val="59A246D5"/>
    <w:rsid w:val="59A47E1B"/>
    <w:rsid w:val="59BB63C2"/>
    <w:rsid w:val="59C37040"/>
    <w:rsid w:val="59E82D08"/>
    <w:rsid w:val="5A390A8D"/>
    <w:rsid w:val="5A483188"/>
    <w:rsid w:val="5A6D0156"/>
    <w:rsid w:val="5A7C4F26"/>
    <w:rsid w:val="5A9056E2"/>
    <w:rsid w:val="5A941740"/>
    <w:rsid w:val="5A9602CD"/>
    <w:rsid w:val="5AA8066B"/>
    <w:rsid w:val="5AAC6819"/>
    <w:rsid w:val="5ABD0C80"/>
    <w:rsid w:val="5B24736C"/>
    <w:rsid w:val="5B4B2B4A"/>
    <w:rsid w:val="5B5B6114"/>
    <w:rsid w:val="5B5F51E1"/>
    <w:rsid w:val="5B991B29"/>
    <w:rsid w:val="5BA10461"/>
    <w:rsid w:val="5BA858A7"/>
    <w:rsid w:val="5BAA15A6"/>
    <w:rsid w:val="5BDC19F5"/>
    <w:rsid w:val="5BEA3E40"/>
    <w:rsid w:val="5C0F3B78"/>
    <w:rsid w:val="5C14286F"/>
    <w:rsid w:val="5C164F06"/>
    <w:rsid w:val="5C386DE6"/>
    <w:rsid w:val="5C496465"/>
    <w:rsid w:val="5C566F47"/>
    <w:rsid w:val="5C58084B"/>
    <w:rsid w:val="5C60789B"/>
    <w:rsid w:val="5C926B4F"/>
    <w:rsid w:val="5CA87F36"/>
    <w:rsid w:val="5CAA70E4"/>
    <w:rsid w:val="5CAD7458"/>
    <w:rsid w:val="5CCA6F24"/>
    <w:rsid w:val="5CCC13DE"/>
    <w:rsid w:val="5D333F03"/>
    <w:rsid w:val="5D3B3071"/>
    <w:rsid w:val="5D7E29BE"/>
    <w:rsid w:val="5DB41FDD"/>
    <w:rsid w:val="5DE428BB"/>
    <w:rsid w:val="5DED2A30"/>
    <w:rsid w:val="5E3A26F0"/>
    <w:rsid w:val="5E420FEF"/>
    <w:rsid w:val="5E564705"/>
    <w:rsid w:val="5E735C99"/>
    <w:rsid w:val="5F0A220D"/>
    <w:rsid w:val="5F272E87"/>
    <w:rsid w:val="5F327E57"/>
    <w:rsid w:val="5F5101AF"/>
    <w:rsid w:val="5F5B798E"/>
    <w:rsid w:val="5F5C6C2C"/>
    <w:rsid w:val="5F6441DB"/>
    <w:rsid w:val="5F6A36A5"/>
    <w:rsid w:val="5F6D7533"/>
    <w:rsid w:val="5F70492E"/>
    <w:rsid w:val="5F760169"/>
    <w:rsid w:val="5FA117D3"/>
    <w:rsid w:val="5FC111F2"/>
    <w:rsid w:val="5FC324AB"/>
    <w:rsid w:val="5FC96C97"/>
    <w:rsid w:val="5FD5288F"/>
    <w:rsid w:val="5FE96431"/>
    <w:rsid w:val="5FF067F2"/>
    <w:rsid w:val="5FF87B8B"/>
    <w:rsid w:val="60223B39"/>
    <w:rsid w:val="602C68FC"/>
    <w:rsid w:val="604325D1"/>
    <w:rsid w:val="60864076"/>
    <w:rsid w:val="608E59B3"/>
    <w:rsid w:val="609023F4"/>
    <w:rsid w:val="60BA715B"/>
    <w:rsid w:val="60D1764E"/>
    <w:rsid w:val="60D90710"/>
    <w:rsid w:val="60E36CBC"/>
    <w:rsid w:val="60E43EE4"/>
    <w:rsid w:val="60E62632"/>
    <w:rsid w:val="60F33A68"/>
    <w:rsid w:val="60FA6AB1"/>
    <w:rsid w:val="60FE69AF"/>
    <w:rsid w:val="612D290B"/>
    <w:rsid w:val="612E4AA0"/>
    <w:rsid w:val="615A2E5D"/>
    <w:rsid w:val="61642270"/>
    <w:rsid w:val="61A55D26"/>
    <w:rsid w:val="61AF31B0"/>
    <w:rsid w:val="61C979DA"/>
    <w:rsid w:val="61D513C0"/>
    <w:rsid w:val="61DC4B03"/>
    <w:rsid w:val="61E73E20"/>
    <w:rsid w:val="61F3516C"/>
    <w:rsid w:val="62165216"/>
    <w:rsid w:val="622B0C82"/>
    <w:rsid w:val="623944F7"/>
    <w:rsid w:val="626B386A"/>
    <w:rsid w:val="628232F6"/>
    <w:rsid w:val="628F3CC4"/>
    <w:rsid w:val="629404F6"/>
    <w:rsid w:val="629B76DE"/>
    <w:rsid w:val="62A4228A"/>
    <w:rsid w:val="62A50D92"/>
    <w:rsid w:val="62B334AF"/>
    <w:rsid w:val="62D01A62"/>
    <w:rsid w:val="62D745FE"/>
    <w:rsid w:val="62E8698C"/>
    <w:rsid w:val="6318461A"/>
    <w:rsid w:val="63196012"/>
    <w:rsid w:val="6346457F"/>
    <w:rsid w:val="634A5321"/>
    <w:rsid w:val="635A7DCF"/>
    <w:rsid w:val="638766EA"/>
    <w:rsid w:val="63C162C7"/>
    <w:rsid w:val="63C43C45"/>
    <w:rsid w:val="6405519B"/>
    <w:rsid w:val="6414335E"/>
    <w:rsid w:val="64144D3E"/>
    <w:rsid w:val="64200858"/>
    <w:rsid w:val="64567117"/>
    <w:rsid w:val="6465428E"/>
    <w:rsid w:val="647E1DB3"/>
    <w:rsid w:val="64852C29"/>
    <w:rsid w:val="64902C54"/>
    <w:rsid w:val="64A1499C"/>
    <w:rsid w:val="64A537E1"/>
    <w:rsid w:val="64AA1F09"/>
    <w:rsid w:val="64B11C70"/>
    <w:rsid w:val="64B1694B"/>
    <w:rsid w:val="65053D6A"/>
    <w:rsid w:val="650F6997"/>
    <w:rsid w:val="65156747"/>
    <w:rsid w:val="65382D11"/>
    <w:rsid w:val="653D7FA5"/>
    <w:rsid w:val="657131AE"/>
    <w:rsid w:val="659F23CA"/>
    <w:rsid w:val="65C634F9"/>
    <w:rsid w:val="65CA0A26"/>
    <w:rsid w:val="65ED61DF"/>
    <w:rsid w:val="65F061AB"/>
    <w:rsid w:val="65F73648"/>
    <w:rsid w:val="66006D06"/>
    <w:rsid w:val="66124991"/>
    <w:rsid w:val="662D7A22"/>
    <w:rsid w:val="664034E9"/>
    <w:rsid w:val="664A3C8C"/>
    <w:rsid w:val="66714A01"/>
    <w:rsid w:val="667707C3"/>
    <w:rsid w:val="667E5B82"/>
    <w:rsid w:val="66B21CD0"/>
    <w:rsid w:val="66B27F22"/>
    <w:rsid w:val="66B5632B"/>
    <w:rsid w:val="66B73D56"/>
    <w:rsid w:val="66BF5AD5"/>
    <w:rsid w:val="67154A40"/>
    <w:rsid w:val="6723497B"/>
    <w:rsid w:val="672A1360"/>
    <w:rsid w:val="673960D0"/>
    <w:rsid w:val="6760172C"/>
    <w:rsid w:val="67630CEF"/>
    <w:rsid w:val="676A4358"/>
    <w:rsid w:val="67B76D3A"/>
    <w:rsid w:val="67C656D3"/>
    <w:rsid w:val="67E42B5F"/>
    <w:rsid w:val="67E802BB"/>
    <w:rsid w:val="67FD6F7B"/>
    <w:rsid w:val="67FFAB05"/>
    <w:rsid w:val="681A728D"/>
    <w:rsid w:val="68231787"/>
    <w:rsid w:val="68354966"/>
    <w:rsid w:val="685D6C62"/>
    <w:rsid w:val="68633281"/>
    <w:rsid w:val="686A5375"/>
    <w:rsid w:val="68A24F14"/>
    <w:rsid w:val="68AA0EB0"/>
    <w:rsid w:val="68CB020A"/>
    <w:rsid w:val="68CB58E2"/>
    <w:rsid w:val="690507DD"/>
    <w:rsid w:val="69093274"/>
    <w:rsid w:val="692844CB"/>
    <w:rsid w:val="692A1FF1"/>
    <w:rsid w:val="69382A2C"/>
    <w:rsid w:val="69434640"/>
    <w:rsid w:val="694C1F68"/>
    <w:rsid w:val="69553DB9"/>
    <w:rsid w:val="695E59BB"/>
    <w:rsid w:val="696E07C3"/>
    <w:rsid w:val="697274F4"/>
    <w:rsid w:val="699F09DA"/>
    <w:rsid w:val="69BC7D1C"/>
    <w:rsid w:val="69BE761B"/>
    <w:rsid w:val="69F44B05"/>
    <w:rsid w:val="6A146E6F"/>
    <w:rsid w:val="6A1D1B56"/>
    <w:rsid w:val="6A1F3D5D"/>
    <w:rsid w:val="6A2415BB"/>
    <w:rsid w:val="6A3B5CCC"/>
    <w:rsid w:val="6A4E5A82"/>
    <w:rsid w:val="6A750CAB"/>
    <w:rsid w:val="6A7554EE"/>
    <w:rsid w:val="6A935239"/>
    <w:rsid w:val="6ACC5DFD"/>
    <w:rsid w:val="6ADD74A2"/>
    <w:rsid w:val="6AF57E4F"/>
    <w:rsid w:val="6AFC2405"/>
    <w:rsid w:val="6B0F64B4"/>
    <w:rsid w:val="6B3E521C"/>
    <w:rsid w:val="6B531F31"/>
    <w:rsid w:val="6B777044"/>
    <w:rsid w:val="6B797260"/>
    <w:rsid w:val="6B7C2689"/>
    <w:rsid w:val="6B8E2D0B"/>
    <w:rsid w:val="6BA039A7"/>
    <w:rsid w:val="6BC3237E"/>
    <w:rsid w:val="6BE04BE9"/>
    <w:rsid w:val="6C010A69"/>
    <w:rsid w:val="6C050FB1"/>
    <w:rsid w:val="6C175138"/>
    <w:rsid w:val="6C1C5327"/>
    <w:rsid w:val="6C2000E4"/>
    <w:rsid w:val="6C5543F6"/>
    <w:rsid w:val="6C67530A"/>
    <w:rsid w:val="6C6E0A2D"/>
    <w:rsid w:val="6C703B78"/>
    <w:rsid w:val="6C8A1FA1"/>
    <w:rsid w:val="6CA96BCC"/>
    <w:rsid w:val="6CB5201B"/>
    <w:rsid w:val="6CBA6523"/>
    <w:rsid w:val="6CC45CF8"/>
    <w:rsid w:val="6CC610F6"/>
    <w:rsid w:val="6CD97AAE"/>
    <w:rsid w:val="6CE326B4"/>
    <w:rsid w:val="6CFA0B34"/>
    <w:rsid w:val="6D543AE1"/>
    <w:rsid w:val="6D5712E4"/>
    <w:rsid w:val="6D6431E7"/>
    <w:rsid w:val="6D764863"/>
    <w:rsid w:val="6D7F0DCD"/>
    <w:rsid w:val="6DAF51BB"/>
    <w:rsid w:val="6DDC1D93"/>
    <w:rsid w:val="6DEF7AF4"/>
    <w:rsid w:val="6DF87AF7"/>
    <w:rsid w:val="6E076DA5"/>
    <w:rsid w:val="6E0A5AC7"/>
    <w:rsid w:val="6E154E6D"/>
    <w:rsid w:val="6E3D27C7"/>
    <w:rsid w:val="6E4E1EB3"/>
    <w:rsid w:val="6E92201A"/>
    <w:rsid w:val="6EA346C1"/>
    <w:rsid w:val="6EBF142E"/>
    <w:rsid w:val="6ECE52E3"/>
    <w:rsid w:val="6ED060D6"/>
    <w:rsid w:val="6EF56BFD"/>
    <w:rsid w:val="6F073579"/>
    <w:rsid w:val="6F104677"/>
    <w:rsid w:val="6F1F0F66"/>
    <w:rsid w:val="6F3941EE"/>
    <w:rsid w:val="6F3A6F66"/>
    <w:rsid w:val="6F3C5197"/>
    <w:rsid w:val="6F3C7D55"/>
    <w:rsid w:val="6FDB5281"/>
    <w:rsid w:val="6FEF32A1"/>
    <w:rsid w:val="702754DC"/>
    <w:rsid w:val="70366E3A"/>
    <w:rsid w:val="703D3B36"/>
    <w:rsid w:val="704B11CB"/>
    <w:rsid w:val="70767B8A"/>
    <w:rsid w:val="707702F4"/>
    <w:rsid w:val="70770658"/>
    <w:rsid w:val="70787AE6"/>
    <w:rsid w:val="708F2B0E"/>
    <w:rsid w:val="7092189C"/>
    <w:rsid w:val="70C81A2A"/>
    <w:rsid w:val="70DC0075"/>
    <w:rsid w:val="70E21403"/>
    <w:rsid w:val="70EF6FC3"/>
    <w:rsid w:val="70FC4273"/>
    <w:rsid w:val="71452A5C"/>
    <w:rsid w:val="715C5EA4"/>
    <w:rsid w:val="716C2B37"/>
    <w:rsid w:val="71AC3EEB"/>
    <w:rsid w:val="71B7559E"/>
    <w:rsid w:val="71D10E38"/>
    <w:rsid w:val="71FA788D"/>
    <w:rsid w:val="724353DC"/>
    <w:rsid w:val="725F2AE0"/>
    <w:rsid w:val="7281544F"/>
    <w:rsid w:val="72850298"/>
    <w:rsid w:val="72DA6836"/>
    <w:rsid w:val="73041B42"/>
    <w:rsid w:val="730B0DCB"/>
    <w:rsid w:val="730B16EF"/>
    <w:rsid w:val="73125FD0"/>
    <w:rsid w:val="73187FD2"/>
    <w:rsid w:val="73303691"/>
    <w:rsid w:val="733A3A51"/>
    <w:rsid w:val="73676811"/>
    <w:rsid w:val="7375187B"/>
    <w:rsid w:val="73FA382B"/>
    <w:rsid w:val="740022CC"/>
    <w:rsid w:val="741B5358"/>
    <w:rsid w:val="74367A9C"/>
    <w:rsid w:val="74456497"/>
    <w:rsid w:val="74493C73"/>
    <w:rsid w:val="747351A5"/>
    <w:rsid w:val="749A33CB"/>
    <w:rsid w:val="749D5D6D"/>
    <w:rsid w:val="74A42C2B"/>
    <w:rsid w:val="74A436B5"/>
    <w:rsid w:val="74C7103C"/>
    <w:rsid w:val="74D93AE8"/>
    <w:rsid w:val="74EF73F0"/>
    <w:rsid w:val="74FA5107"/>
    <w:rsid w:val="75047483"/>
    <w:rsid w:val="752913AF"/>
    <w:rsid w:val="755D7AAE"/>
    <w:rsid w:val="75722D56"/>
    <w:rsid w:val="75932CCC"/>
    <w:rsid w:val="75AF0E73"/>
    <w:rsid w:val="75B50E95"/>
    <w:rsid w:val="75E77F4B"/>
    <w:rsid w:val="75ED4AD2"/>
    <w:rsid w:val="75EE2274"/>
    <w:rsid w:val="75F17119"/>
    <w:rsid w:val="761C0F14"/>
    <w:rsid w:val="763A3D27"/>
    <w:rsid w:val="763D1425"/>
    <w:rsid w:val="76596997"/>
    <w:rsid w:val="766522DD"/>
    <w:rsid w:val="766A1420"/>
    <w:rsid w:val="766E211A"/>
    <w:rsid w:val="7682270D"/>
    <w:rsid w:val="76870A83"/>
    <w:rsid w:val="76AB540E"/>
    <w:rsid w:val="76B15B00"/>
    <w:rsid w:val="771409EA"/>
    <w:rsid w:val="77241A92"/>
    <w:rsid w:val="7727446A"/>
    <w:rsid w:val="7728605E"/>
    <w:rsid w:val="776B27F6"/>
    <w:rsid w:val="77713B72"/>
    <w:rsid w:val="77716D7E"/>
    <w:rsid w:val="77CA6518"/>
    <w:rsid w:val="77D73344"/>
    <w:rsid w:val="77E141C3"/>
    <w:rsid w:val="77E36DBE"/>
    <w:rsid w:val="77FB26E5"/>
    <w:rsid w:val="781A3F51"/>
    <w:rsid w:val="782D1E34"/>
    <w:rsid w:val="785F220A"/>
    <w:rsid w:val="786D0E17"/>
    <w:rsid w:val="78B91C5E"/>
    <w:rsid w:val="78BF0401"/>
    <w:rsid w:val="78D46652"/>
    <w:rsid w:val="78DA26BD"/>
    <w:rsid w:val="78E06897"/>
    <w:rsid w:val="79411154"/>
    <w:rsid w:val="79586707"/>
    <w:rsid w:val="796022B3"/>
    <w:rsid w:val="79636BD8"/>
    <w:rsid w:val="797E2695"/>
    <w:rsid w:val="79892D64"/>
    <w:rsid w:val="79B73810"/>
    <w:rsid w:val="79B75489"/>
    <w:rsid w:val="79CD5581"/>
    <w:rsid w:val="79CF38E4"/>
    <w:rsid w:val="7A073A10"/>
    <w:rsid w:val="7A18547F"/>
    <w:rsid w:val="7A2B7977"/>
    <w:rsid w:val="7A446715"/>
    <w:rsid w:val="7A665991"/>
    <w:rsid w:val="7A88301C"/>
    <w:rsid w:val="7A9E12A0"/>
    <w:rsid w:val="7ABD68D3"/>
    <w:rsid w:val="7AD0650C"/>
    <w:rsid w:val="7AE37597"/>
    <w:rsid w:val="7B023D27"/>
    <w:rsid w:val="7B28499C"/>
    <w:rsid w:val="7B2F1082"/>
    <w:rsid w:val="7B313CEB"/>
    <w:rsid w:val="7B3A497C"/>
    <w:rsid w:val="7B4056A4"/>
    <w:rsid w:val="7B441C61"/>
    <w:rsid w:val="7B466115"/>
    <w:rsid w:val="7B4662D7"/>
    <w:rsid w:val="7B6273C9"/>
    <w:rsid w:val="7B675965"/>
    <w:rsid w:val="7B711D02"/>
    <w:rsid w:val="7B7A36CF"/>
    <w:rsid w:val="7B7F2425"/>
    <w:rsid w:val="7B8B7F63"/>
    <w:rsid w:val="7BA0360C"/>
    <w:rsid w:val="7BB57E40"/>
    <w:rsid w:val="7BEE12DD"/>
    <w:rsid w:val="7BF02C26"/>
    <w:rsid w:val="7C232079"/>
    <w:rsid w:val="7C330D65"/>
    <w:rsid w:val="7C3945CD"/>
    <w:rsid w:val="7C3D3992"/>
    <w:rsid w:val="7C3E04B9"/>
    <w:rsid w:val="7C4C347A"/>
    <w:rsid w:val="7C5A65DC"/>
    <w:rsid w:val="7C887303"/>
    <w:rsid w:val="7CA76A30"/>
    <w:rsid w:val="7CB00608"/>
    <w:rsid w:val="7CBF0865"/>
    <w:rsid w:val="7CC876FF"/>
    <w:rsid w:val="7D036989"/>
    <w:rsid w:val="7D250FF6"/>
    <w:rsid w:val="7D2A2168"/>
    <w:rsid w:val="7D2D1788"/>
    <w:rsid w:val="7D300BEB"/>
    <w:rsid w:val="7D31489A"/>
    <w:rsid w:val="7D423053"/>
    <w:rsid w:val="7D6A4B1C"/>
    <w:rsid w:val="7D7D15ED"/>
    <w:rsid w:val="7D904168"/>
    <w:rsid w:val="7DA22D3C"/>
    <w:rsid w:val="7DC75B86"/>
    <w:rsid w:val="7DCC1471"/>
    <w:rsid w:val="7E0740D3"/>
    <w:rsid w:val="7E2D2934"/>
    <w:rsid w:val="7E32079A"/>
    <w:rsid w:val="7E3F3472"/>
    <w:rsid w:val="7E465FAF"/>
    <w:rsid w:val="7E8018F3"/>
    <w:rsid w:val="7EBA751C"/>
    <w:rsid w:val="7ECB6813"/>
    <w:rsid w:val="7EF3324B"/>
    <w:rsid w:val="7F1933E9"/>
    <w:rsid w:val="7F3C61CA"/>
    <w:rsid w:val="7F401510"/>
    <w:rsid w:val="7F435763"/>
    <w:rsid w:val="7F465A68"/>
    <w:rsid w:val="7F49430F"/>
    <w:rsid w:val="7F7153BB"/>
    <w:rsid w:val="7F871AF4"/>
    <w:rsid w:val="7F9B2BD0"/>
    <w:rsid w:val="7F9B7693"/>
    <w:rsid w:val="7FA04963"/>
    <w:rsid w:val="7FA6432D"/>
    <w:rsid w:val="7FA73F44"/>
    <w:rsid w:val="7FB63D8B"/>
    <w:rsid w:val="7FF552FA"/>
    <w:rsid w:val="AFF2BEC9"/>
    <w:rsid w:val="D1FFB4E0"/>
    <w:rsid w:val="DFC90FB6"/>
    <w:rsid w:val="EFBEAF08"/>
    <w:rsid w:val="F1E165A3"/>
    <w:rsid w:val="F5FF9492"/>
    <w:rsid w:val="FDBF33DB"/>
    <w:rsid w:val="FFB99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3"/>
    <w:autoRedefine/>
    <w:qFormat/>
    <w:uiPriority w:val="9"/>
    <w:pPr>
      <w:keepNext/>
      <w:spacing w:line="380" w:lineRule="exact"/>
      <w:jc w:val="center"/>
      <w:outlineLvl w:val="0"/>
    </w:pPr>
    <w:rPr>
      <w:rFonts w:ascii="宋体" w:hAnsi="宋体"/>
      <w:b/>
      <w:kern w:val="44"/>
      <w:sz w:val="44"/>
      <w:szCs w:val="44"/>
    </w:rPr>
  </w:style>
  <w:style w:type="paragraph" w:styleId="5">
    <w:name w:val="heading 2"/>
    <w:basedOn w:val="1"/>
    <w:next w:val="1"/>
    <w:link w:val="64"/>
    <w:autoRedefine/>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65"/>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66"/>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67"/>
    <w:qFormat/>
    <w:uiPriority w:val="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68"/>
    <w:autoRedefine/>
    <w:qFormat/>
    <w:uiPriority w:val="9"/>
    <w:pPr>
      <w:keepNext/>
      <w:keepLines/>
      <w:spacing w:before="240" w:after="64" w:line="320" w:lineRule="auto"/>
      <w:outlineLvl w:val="5"/>
    </w:pPr>
    <w:rPr>
      <w:rFonts w:ascii="Cambria" w:hAnsi="Cambria"/>
      <w:b/>
      <w:sz w:val="24"/>
    </w:rPr>
  </w:style>
  <w:style w:type="paragraph" w:styleId="10">
    <w:name w:val="heading 7"/>
    <w:basedOn w:val="1"/>
    <w:next w:val="1"/>
    <w:link w:val="69"/>
    <w:autoRedefine/>
    <w:qFormat/>
    <w:uiPriority w:val="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70"/>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71"/>
    <w:autoRedefine/>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8"/>
    <w:autoRedefine/>
    <w:qFormat/>
    <w:uiPriority w:val="99"/>
    <w:pPr>
      <w:spacing w:after="120"/>
      <w:ind w:firstLine="420" w:firstLineChars="100"/>
    </w:pPr>
    <w:rPr>
      <w:i/>
      <w:kern w:val="2"/>
      <w:sz w:val="24"/>
    </w:rPr>
  </w:style>
  <w:style w:type="paragraph" w:styleId="3">
    <w:name w:val="Body Text"/>
    <w:basedOn w:val="1"/>
    <w:next w:val="2"/>
    <w:link w:val="62"/>
    <w:autoRedefine/>
    <w:qFormat/>
    <w:uiPriority w:val="99"/>
    <w:rPr>
      <w:rFonts w:ascii="宋体" w:hAnsi="宋体"/>
      <w:kern w:val="0"/>
      <w:sz w:val="20"/>
    </w:rPr>
  </w:style>
  <w:style w:type="paragraph" w:styleId="13">
    <w:name w:val="toc 7"/>
    <w:basedOn w:val="1"/>
    <w:next w:val="1"/>
    <w:autoRedefine/>
    <w:qFormat/>
    <w:uiPriority w:val="39"/>
    <w:pPr>
      <w:ind w:left="1260"/>
      <w:jc w:val="left"/>
    </w:pPr>
    <w:rPr>
      <w:sz w:val="18"/>
      <w:szCs w:val="18"/>
    </w:rPr>
  </w:style>
  <w:style w:type="paragraph" w:styleId="14">
    <w:name w:val="Normal Indent"/>
    <w:basedOn w:val="1"/>
    <w:next w:val="1"/>
    <w:link w:val="72"/>
    <w:autoRedefine/>
    <w:qFormat/>
    <w:uiPriority w:val="0"/>
    <w:pPr>
      <w:ind w:firstLine="420" w:firstLineChars="200"/>
    </w:pPr>
    <w:rPr>
      <w:rFonts w:ascii="宋体" w:hAnsi="宋体"/>
      <w:spacing w:val="14"/>
      <w:kern w:val="24"/>
      <w:sz w:val="24"/>
      <w:szCs w:val="24"/>
    </w:rPr>
  </w:style>
  <w:style w:type="paragraph" w:styleId="15">
    <w:name w:val="caption"/>
    <w:basedOn w:val="1"/>
    <w:next w:val="1"/>
    <w:autoRedefine/>
    <w:qFormat/>
    <w:uiPriority w:val="0"/>
    <w:pPr>
      <w:spacing w:before="152" w:after="160"/>
    </w:pPr>
    <w:rPr>
      <w:rFonts w:ascii="Arial" w:hAnsi="Arial" w:eastAsia="黑体" w:cs="Arial"/>
      <w:sz w:val="20"/>
    </w:rPr>
  </w:style>
  <w:style w:type="paragraph" w:styleId="16">
    <w:name w:val="Document Map"/>
    <w:basedOn w:val="1"/>
    <w:link w:val="73"/>
    <w:autoRedefine/>
    <w:qFormat/>
    <w:uiPriority w:val="0"/>
    <w:pPr>
      <w:shd w:val="clear" w:color="auto" w:fill="000080"/>
    </w:pPr>
  </w:style>
  <w:style w:type="paragraph" w:styleId="17">
    <w:name w:val="toa heading"/>
    <w:basedOn w:val="1"/>
    <w:next w:val="1"/>
    <w:autoRedefine/>
    <w:semiHidden/>
    <w:qFormat/>
    <w:uiPriority w:val="0"/>
    <w:pPr>
      <w:spacing w:before="120"/>
    </w:pPr>
    <w:rPr>
      <w:rFonts w:ascii="Arial" w:hAnsi="Arial"/>
      <w:b/>
      <w:bCs/>
      <w:szCs w:val="24"/>
    </w:rPr>
  </w:style>
  <w:style w:type="paragraph" w:styleId="18">
    <w:name w:val="annotation text"/>
    <w:basedOn w:val="1"/>
    <w:link w:val="74"/>
    <w:autoRedefine/>
    <w:qFormat/>
    <w:uiPriority w:val="0"/>
    <w:pPr>
      <w:jc w:val="left"/>
    </w:pPr>
    <w:rPr>
      <w:rFonts w:ascii="宋体" w:hAnsi="宋体"/>
      <w:szCs w:val="21"/>
    </w:rPr>
  </w:style>
  <w:style w:type="paragraph" w:styleId="19">
    <w:name w:val="Body Text 3"/>
    <w:basedOn w:val="1"/>
    <w:link w:val="75"/>
    <w:autoRedefine/>
    <w:qFormat/>
    <w:uiPriority w:val="0"/>
    <w:pPr>
      <w:spacing w:after="120" w:line="360" w:lineRule="auto"/>
    </w:pPr>
    <w:rPr>
      <w:kern w:val="0"/>
      <w:sz w:val="16"/>
    </w:rPr>
  </w:style>
  <w:style w:type="paragraph" w:styleId="20">
    <w:name w:val="Body Text Indent"/>
    <w:basedOn w:val="1"/>
    <w:next w:val="21"/>
    <w:link w:val="76"/>
    <w:autoRedefine/>
    <w:qFormat/>
    <w:uiPriority w:val="0"/>
    <w:pPr>
      <w:spacing w:line="380" w:lineRule="exact"/>
      <w:ind w:firstLine="480"/>
    </w:pPr>
    <w:rPr>
      <w:rFonts w:eastAsia="方正书宋简体"/>
      <w:sz w:val="24"/>
    </w:rPr>
  </w:style>
  <w:style w:type="paragraph" w:styleId="21">
    <w:name w:val="envelope return"/>
    <w:basedOn w:val="1"/>
    <w:autoRedefine/>
    <w:qFormat/>
    <w:uiPriority w:val="0"/>
    <w:pPr>
      <w:snapToGrid w:val="0"/>
    </w:pPr>
    <w:rPr>
      <w:rFonts w:ascii="Arial" w:hAnsi="Arial"/>
    </w:rPr>
  </w:style>
  <w:style w:type="paragraph" w:styleId="22">
    <w:name w:val="List Number 3"/>
    <w:basedOn w:val="1"/>
    <w:autoRedefine/>
    <w:qFormat/>
    <w:uiPriority w:val="99"/>
    <w:pPr>
      <w:widowControl/>
      <w:tabs>
        <w:tab w:val="left" w:pos="482"/>
      </w:tabs>
      <w:spacing w:afterLines="50"/>
      <w:ind w:left="482" w:hanging="340"/>
      <w:jc w:val="left"/>
    </w:pPr>
    <w:rPr>
      <w:kern w:val="0"/>
      <w:sz w:val="24"/>
    </w:rPr>
  </w:style>
  <w:style w:type="paragraph" w:styleId="23">
    <w:name w:val="List 2"/>
    <w:basedOn w:val="1"/>
    <w:autoRedefine/>
    <w:qFormat/>
    <w:uiPriority w:val="0"/>
    <w:pPr>
      <w:ind w:left="100" w:leftChars="200" w:hanging="200" w:hangingChars="200"/>
    </w:pPr>
    <w:rPr>
      <w:sz w:val="28"/>
      <w:szCs w:val="24"/>
    </w:rPr>
  </w:style>
  <w:style w:type="paragraph" w:styleId="24">
    <w:name w:val="Block Text"/>
    <w:basedOn w:val="1"/>
    <w:next w:val="1"/>
    <w:autoRedefine/>
    <w:unhideWhenUsed/>
    <w:qFormat/>
    <w:uiPriority w:val="99"/>
    <w:pPr>
      <w:spacing w:after="120"/>
      <w:ind w:left="1440" w:leftChars="700" w:right="1440" w:rightChars="700"/>
    </w:pPr>
  </w:style>
  <w:style w:type="paragraph" w:styleId="25">
    <w:name w:val="toc 5"/>
    <w:basedOn w:val="1"/>
    <w:next w:val="1"/>
    <w:autoRedefine/>
    <w:qFormat/>
    <w:uiPriority w:val="39"/>
    <w:pPr>
      <w:ind w:left="840"/>
      <w:jc w:val="left"/>
    </w:pPr>
    <w:rPr>
      <w:sz w:val="18"/>
      <w:szCs w:val="18"/>
    </w:rPr>
  </w:style>
  <w:style w:type="paragraph" w:styleId="26">
    <w:name w:val="toc 3"/>
    <w:basedOn w:val="1"/>
    <w:next w:val="1"/>
    <w:autoRedefine/>
    <w:qFormat/>
    <w:uiPriority w:val="39"/>
    <w:pPr>
      <w:ind w:left="420"/>
      <w:jc w:val="left"/>
    </w:pPr>
    <w:rPr>
      <w:i/>
      <w:iCs/>
      <w:sz w:val="20"/>
    </w:rPr>
  </w:style>
  <w:style w:type="paragraph" w:styleId="27">
    <w:name w:val="Plain Text"/>
    <w:basedOn w:val="1"/>
    <w:next w:val="1"/>
    <w:link w:val="77"/>
    <w:autoRedefine/>
    <w:qFormat/>
    <w:uiPriority w:val="0"/>
    <w:pPr>
      <w:widowControl/>
      <w:spacing w:before="100" w:beforeAutospacing="1" w:after="100" w:afterAutospacing="1"/>
      <w:jc w:val="left"/>
    </w:pPr>
    <w:rPr>
      <w:rFonts w:ascii="宋体" w:hAnsi="Courier New"/>
      <w:kern w:val="0"/>
      <w:sz w:val="20"/>
    </w:rPr>
  </w:style>
  <w:style w:type="paragraph" w:styleId="28">
    <w:name w:val="toc 8"/>
    <w:basedOn w:val="1"/>
    <w:next w:val="1"/>
    <w:autoRedefine/>
    <w:qFormat/>
    <w:uiPriority w:val="39"/>
    <w:pPr>
      <w:ind w:left="1470"/>
      <w:jc w:val="left"/>
    </w:pPr>
    <w:rPr>
      <w:sz w:val="18"/>
      <w:szCs w:val="18"/>
    </w:rPr>
  </w:style>
  <w:style w:type="paragraph" w:styleId="29">
    <w:name w:val="Date"/>
    <w:basedOn w:val="1"/>
    <w:next w:val="1"/>
    <w:link w:val="78"/>
    <w:autoRedefine/>
    <w:qFormat/>
    <w:uiPriority w:val="0"/>
    <w:pPr>
      <w:adjustRightInd w:val="0"/>
      <w:spacing w:line="312" w:lineRule="atLeast"/>
      <w:jc w:val="right"/>
      <w:textAlignment w:val="baseline"/>
    </w:pPr>
    <w:rPr>
      <w:rFonts w:ascii="宋体"/>
      <w:kern w:val="0"/>
      <w:sz w:val="24"/>
    </w:rPr>
  </w:style>
  <w:style w:type="paragraph" w:styleId="30">
    <w:name w:val="Body Text Indent 2"/>
    <w:basedOn w:val="1"/>
    <w:link w:val="79"/>
    <w:autoRedefine/>
    <w:qFormat/>
    <w:uiPriority w:val="0"/>
    <w:pPr>
      <w:spacing w:line="380" w:lineRule="exact"/>
      <w:ind w:left="840" w:hanging="45"/>
    </w:pPr>
    <w:rPr>
      <w:rFonts w:ascii="宋体"/>
      <w:sz w:val="24"/>
    </w:rPr>
  </w:style>
  <w:style w:type="paragraph" w:styleId="31">
    <w:name w:val="Balloon Text"/>
    <w:basedOn w:val="1"/>
    <w:link w:val="80"/>
    <w:autoRedefine/>
    <w:qFormat/>
    <w:uiPriority w:val="99"/>
    <w:rPr>
      <w:rFonts w:ascii="宋体" w:hAnsi="宋体"/>
      <w:sz w:val="18"/>
      <w:szCs w:val="18"/>
    </w:rPr>
  </w:style>
  <w:style w:type="paragraph" w:styleId="32">
    <w:name w:val="footer"/>
    <w:basedOn w:val="1"/>
    <w:link w:val="81"/>
    <w:autoRedefine/>
    <w:qFormat/>
    <w:uiPriority w:val="99"/>
    <w:pPr>
      <w:tabs>
        <w:tab w:val="center" w:pos="4153"/>
        <w:tab w:val="right" w:pos="8306"/>
      </w:tabs>
      <w:snapToGrid w:val="0"/>
      <w:jc w:val="left"/>
    </w:pPr>
    <w:rPr>
      <w:rFonts w:ascii="宋体" w:hAnsi="宋体"/>
      <w:sz w:val="18"/>
      <w:szCs w:val="18"/>
    </w:rPr>
  </w:style>
  <w:style w:type="paragraph" w:styleId="33">
    <w:name w:val="header"/>
    <w:basedOn w:val="1"/>
    <w:link w:val="82"/>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4">
    <w:name w:val="toc 1"/>
    <w:basedOn w:val="1"/>
    <w:next w:val="1"/>
    <w:autoRedefine/>
    <w:qFormat/>
    <w:uiPriority w:val="39"/>
    <w:pPr>
      <w:tabs>
        <w:tab w:val="right" w:leader="dot" w:pos="8721"/>
      </w:tabs>
      <w:spacing w:line="480" w:lineRule="auto"/>
    </w:pPr>
    <w:rPr>
      <w:rFonts w:ascii="宋体" w:hAnsi="宋体"/>
      <w:color w:val="000000"/>
      <w:sz w:val="32"/>
      <w:szCs w:val="32"/>
    </w:rPr>
  </w:style>
  <w:style w:type="paragraph" w:styleId="35">
    <w:name w:val="toc 4"/>
    <w:basedOn w:val="1"/>
    <w:next w:val="1"/>
    <w:autoRedefine/>
    <w:qFormat/>
    <w:uiPriority w:val="39"/>
    <w:pPr>
      <w:ind w:left="630"/>
      <w:jc w:val="left"/>
    </w:pPr>
    <w:rPr>
      <w:sz w:val="18"/>
      <w:szCs w:val="18"/>
    </w:rPr>
  </w:style>
  <w:style w:type="paragraph" w:styleId="36">
    <w:name w:val="List Number 5"/>
    <w:basedOn w:val="1"/>
    <w:autoRedefine/>
    <w:qFormat/>
    <w:uiPriority w:val="99"/>
    <w:pPr>
      <w:tabs>
        <w:tab w:val="left" w:pos="2608"/>
      </w:tabs>
      <w:spacing w:line="360" w:lineRule="auto"/>
      <w:ind w:left="840" w:hanging="360"/>
    </w:pPr>
    <w:rPr>
      <w:sz w:val="24"/>
      <w:szCs w:val="24"/>
    </w:rPr>
  </w:style>
  <w:style w:type="paragraph" w:styleId="37">
    <w:name w:val="List"/>
    <w:basedOn w:val="1"/>
    <w:autoRedefine/>
    <w:qFormat/>
    <w:uiPriority w:val="0"/>
    <w:pPr>
      <w:ind w:left="200" w:hanging="200" w:hangingChars="200"/>
    </w:pPr>
    <w:rPr>
      <w:szCs w:val="22"/>
    </w:rPr>
  </w:style>
  <w:style w:type="paragraph" w:styleId="38">
    <w:name w:val="toc 6"/>
    <w:basedOn w:val="1"/>
    <w:next w:val="1"/>
    <w:autoRedefine/>
    <w:qFormat/>
    <w:uiPriority w:val="39"/>
    <w:pPr>
      <w:ind w:left="1050"/>
      <w:jc w:val="left"/>
    </w:pPr>
    <w:rPr>
      <w:sz w:val="18"/>
      <w:szCs w:val="18"/>
    </w:rPr>
  </w:style>
  <w:style w:type="paragraph" w:styleId="39">
    <w:name w:val="Body Text Indent 3"/>
    <w:basedOn w:val="1"/>
    <w:link w:val="83"/>
    <w:autoRedefine/>
    <w:qFormat/>
    <w:uiPriority w:val="0"/>
    <w:pPr>
      <w:spacing w:line="380" w:lineRule="exact"/>
      <w:ind w:left="525"/>
    </w:pPr>
    <w:rPr>
      <w:rFonts w:ascii="宋体" w:hAnsi="宋体"/>
      <w:b/>
      <w:sz w:val="24"/>
      <w:szCs w:val="24"/>
    </w:rPr>
  </w:style>
  <w:style w:type="paragraph" w:styleId="40">
    <w:name w:val="table of figures"/>
    <w:basedOn w:val="1"/>
    <w:next w:val="1"/>
    <w:autoRedefine/>
    <w:qFormat/>
    <w:uiPriority w:val="99"/>
    <w:pPr>
      <w:ind w:left="420" w:hanging="420"/>
      <w:jc w:val="left"/>
    </w:pPr>
    <w:rPr>
      <w:smallCaps/>
      <w:sz w:val="20"/>
    </w:rPr>
  </w:style>
  <w:style w:type="paragraph" w:styleId="41">
    <w:name w:val="toc 2"/>
    <w:basedOn w:val="1"/>
    <w:next w:val="1"/>
    <w:autoRedefine/>
    <w:qFormat/>
    <w:uiPriority w:val="39"/>
    <w:pPr>
      <w:ind w:left="210"/>
      <w:jc w:val="left"/>
    </w:pPr>
    <w:rPr>
      <w:smallCaps/>
      <w:sz w:val="20"/>
    </w:rPr>
  </w:style>
  <w:style w:type="paragraph" w:styleId="42">
    <w:name w:val="toc 9"/>
    <w:basedOn w:val="1"/>
    <w:next w:val="1"/>
    <w:autoRedefine/>
    <w:qFormat/>
    <w:uiPriority w:val="39"/>
    <w:pPr>
      <w:ind w:left="1680"/>
      <w:jc w:val="left"/>
    </w:pPr>
    <w:rPr>
      <w:sz w:val="18"/>
      <w:szCs w:val="18"/>
    </w:rPr>
  </w:style>
  <w:style w:type="paragraph" w:styleId="43">
    <w:name w:val="Body Text 2"/>
    <w:basedOn w:val="1"/>
    <w:link w:val="84"/>
    <w:autoRedefine/>
    <w:qFormat/>
    <w:uiPriority w:val="0"/>
    <w:pPr>
      <w:spacing w:after="120" w:line="480" w:lineRule="auto"/>
    </w:pPr>
    <w:rPr>
      <w:kern w:val="0"/>
      <w:sz w:val="24"/>
    </w:rPr>
  </w:style>
  <w:style w:type="paragraph" w:styleId="44">
    <w:name w:val="HTML Preformatted"/>
    <w:basedOn w:val="1"/>
    <w:link w:val="85"/>
    <w:autoRedefine/>
    <w:qFormat/>
    <w:uiPriority w:val="99"/>
    <w:rPr>
      <w:rFonts w:ascii="Courier New" w:hAnsi="Courier New"/>
      <w:sz w:val="20"/>
    </w:rPr>
  </w:style>
  <w:style w:type="paragraph" w:styleId="45">
    <w:name w:val="Normal (Web)"/>
    <w:basedOn w:val="1"/>
    <w:autoRedefine/>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6">
    <w:name w:val="index 1"/>
    <w:basedOn w:val="1"/>
    <w:next w:val="1"/>
    <w:autoRedefine/>
    <w:semiHidden/>
    <w:qFormat/>
    <w:uiPriority w:val="99"/>
  </w:style>
  <w:style w:type="paragraph" w:styleId="47">
    <w:name w:val="Title"/>
    <w:basedOn w:val="1"/>
    <w:link w:val="86"/>
    <w:autoRedefine/>
    <w:qFormat/>
    <w:uiPriority w:val="0"/>
    <w:pPr>
      <w:spacing w:before="240" w:after="60"/>
      <w:jc w:val="center"/>
      <w:outlineLvl w:val="0"/>
    </w:pPr>
    <w:rPr>
      <w:rFonts w:ascii="Cambria" w:hAnsi="Cambria"/>
      <w:b/>
      <w:bCs/>
      <w:kern w:val="0"/>
      <w:sz w:val="32"/>
      <w:szCs w:val="32"/>
    </w:rPr>
  </w:style>
  <w:style w:type="paragraph" w:styleId="48">
    <w:name w:val="annotation subject"/>
    <w:basedOn w:val="18"/>
    <w:next w:val="18"/>
    <w:link w:val="87"/>
    <w:autoRedefine/>
    <w:semiHidden/>
    <w:qFormat/>
    <w:uiPriority w:val="99"/>
    <w:rPr>
      <w:b/>
    </w:rPr>
  </w:style>
  <w:style w:type="paragraph" w:styleId="49">
    <w:name w:val="Body Text First Indent 2"/>
    <w:basedOn w:val="20"/>
    <w:next w:val="3"/>
    <w:autoRedefine/>
    <w:qFormat/>
    <w:uiPriority w:val="0"/>
    <w:pPr>
      <w:spacing w:line="360" w:lineRule="auto"/>
      <w:ind w:firstLine="0"/>
    </w:pPr>
    <w:rPr>
      <w:lang w:val="zh-CN"/>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22"/>
    <w:rPr>
      <w:b/>
    </w:rPr>
  </w:style>
  <w:style w:type="character" w:styleId="54">
    <w:name w:val="page number"/>
    <w:autoRedefine/>
    <w:qFormat/>
    <w:uiPriority w:val="0"/>
    <w:rPr>
      <w:rFonts w:cs="Times New Roman"/>
    </w:rPr>
  </w:style>
  <w:style w:type="character" w:styleId="55">
    <w:name w:val="FollowedHyperlink"/>
    <w:autoRedefine/>
    <w:qFormat/>
    <w:uiPriority w:val="0"/>
    <w:rPr>
      <w:color w:val="800080"/>
      <w:u w:val="single"/>
    </w:rPr>
  </w:style>
  <w:style w:type="character" w:styleId="56">
    <w:name w:val="Emphasis"/>
    <w:autoRedefine/>
    <w:qFormat/>
    <w:uiPriority w:val="0"/>
    <w:rPr>
      <w:i/>
    </w:rPr>
  </w:style>
  <w:style w:type="character" w:styleId="57">
    <w:name w:val="HTML Typewriter"/>
    <w:autoRedefine/>
    <w:qFormat/>
    <w:uiPriority w:val="99"/>
    <w:rPr>
      <w:rFonts w:ascii="Courier New" w:hAnsi="Courier New"/>
      <w:sz w:val="20"/>
    </w:rPr>
  </w:style>
  <w:style w:type="character" w:styleId="58">
    <w:name w:val="Hyperlink"/>
    <w:autoRedefine/>
    <w:qFormat/>
    <w:uiPriority w:val="99"/>
    <w:rPr>
      <w:color w:val="0000FF"/>
      <w:u w:val="single"/>
    </w:rPr>
  </w:style>
  <w:style w:type="character" w:styleId="59">
    <w:name w:val="annotation reference"/>
    <w:autoRedefine/>
    <w:qFormat/>
    <w:uiPriority w:val="99"/>
    <w:rPr>
      <w:sz w:val="21"/>
    </w:rPr>
  </w:style>
  <w:style w:type="character" w:styleId="60">
    <w:name w:val="HTML Cite"/>
    <w:autoRedefine/>
    <w:qFormat/>
    <w:uiPriority w:val="0"/>
    <w:rPr>
      <w:rFonts w:ascii="仿宋_GB2312" w:eastAsia="仿宋_GB2312"/>
      <w:b/>
      <w:color w:val="008000"/>
      <w:sz w:val="32"/>
      <w:szCs w:val="32"/>
    </w:rPr>
  </w:style>
  <w:style w:type="paragraph" w:customStyle="1" w:styleId="61">
    <w:name w:val="样式3"/>
    <w:basedOn w:val="27"/>
    <w:next w:val="1"/>
    <w:autoRedefine/>
    <w:qFormat/>
    <w:uiPriority w:val="0"/>
    <w:pPr>
      <w:tabs>
        <w:tab w:val="left" w:pos="709"/>
      </w:tabs>
      <w:spacing w:before="0" w:after="0"/>
      <w:ind w:left="709" w:hanging="709"/>
    </w:pPr>
    <w:rPr>
      <w:rFonts w:ascii="Tahoma" w:hAnsi="Tahoma"/>
      <w:sz w:val="28"/>
    </w:rPr>
  </w:style>
  <w:style w:type="character" w:customStyle="1" w:styleId="62">
    <w:name w:val="正文文本 Char2"/>
    <w:link w:val="3"/>
    <w:autoRedefine/>
    <w:qFormat/>
    <w:locked/>
    <w:uiPriority w:val="99"/>
    <w:rPr>
      <w:rFonts w:ascii="宋体" w:hAnsi="宋体" w:eastAsia="宋体" w:cs="宋体"/>
      <w:lang w:val="en-US" w:eastAsia="zh-CN"/>
    </w:rPr>
  </w:style>
  <w:style w:type="character" w:customStyle="1" w:styleId="63">
    <w:name w:val="标题 1 Char1"/>
    <w:link w:val="4"/>
    <w:autoRedefine/>
    <w:qFormat/>
    <w:locked/>
    <w:uiPriority w:val="9"/>
    <w:rPr>
      <w:rFonts w:ascii="宋体" w:hAnsi="宋体" w:eastAsia="宋体" w:cs="宋体"/>
      <w:b/>
      <w:kern w:val="44"/>
      <w:sz w:val="44"/>
      <w:szCs w:val="44"/>
      <w:lang w:val="en-US" w:eastAsia="zh-CN"/>
    </w:rPr>
  </w:style>
  <w:style w:type="character" w:customStyle="1" w:styleId="64">
    <w:name w:val="标题 2 Char1"/>
    <w:link w:val="5"/>
    <w:autoRedefine/>
    <w:qFormat/>
    <w:locked/>
    <w:uiPriority w:val="9"/>
    <w:rPr>
      <w:rFonts w:ascii="Cambria" w:hAnsi="Cambria" w:eastAsia="宋体" w:cs="Cambria"/>
      <w:kern w:val="2"/>
      <w:sz w:val="21"/>
      <w:szCs w:val="21"/>
      <w:lang w:val="en-US" w:eastAsia="zh-CN"/>
    </w:rPr>
  </w:style>
  <w:style w:type="character" w:customStyle="1" w:styleId="65">
    <w:name w:val="标题 3 Char1"/>
    <w:link w:val="6"/>
    <w:autoRedefine/>
    <w:qFormat/>
    <w:locked/>
    <w:uiPriority w:val="9"/>
    <w:rPr>
      <w:rFonts w:ascii="宋体" w:hAnsi="宋体" w:eastAsia="宋体" w:cs="宋体"/>
      <w:b/>
      <w:kern w:val="2"/>
      <w:sz w:val="32"/>
      <w:szCs w:val="32"/>
      <w:lang w:val="en-US" w:eastAsia="zh-CN"/>
    </w:rPr>
  </w:style>
  <w:style w:type="character" w:customStyle="1" w:styleId="66">
    <w:name w:val="标题 4 Char"/>
    <w:link w:val="7"/>
    <w:autoRedefine/>
    <w:qFormat/>
    <w:locked/>
    <w:uiPriority w:val="0"/>
    <w:rPr>
      <w:rFonts w:ascii="Arial" w:hAnsi="Arial" w:eastAsia="黑体"/>
      <w:b/>
      <w:kern w:val="2"/>
      <w:sz w:val="28"/>
      <w:lang w:val="en-US" w:eastAsia="zh-CN"/>
    </w:rPr>
  </w:style>
  <w:style w:type="character" w:customStyle="1" w:styleId="67">
    <w:name w:val="标题 5 Char"/>
    <w:link w:val="8"/>
    <w:autoRedefine/>
    <w:qFormat/>
    <w:locked/>
    <w:uiPriority w:val="9"/>
    <w:rPr>
      <w:rFonts w:eastAsia="宋体"/>
      <w:b/>
      <w:kern w:val="2"/>
      <w:sz w:val="28"/>
      <w:lang w:val="en-US" w:eastAsia="zh-CN"/>
    </w:rPr>
  </w:style>
  <w:style w:type="character" w:customStyle="1" w:styleId="68">
    <w:name w:val="标题 6 Char"/>
    <w:link w:val="9"/>
    <w:autoRedefine/>
    <w:qFormat/>
    <w:locked/>
    <w:uiPriority w:val="9"/>
    <w:rPr>
      <w:rFonts w:ascii="Cambria" w:hAnsi="Cambria" w:eastAsia="宋体"/>
      <w:b/>
      <w:kern w:val="2"/>
      <w:sz w:val="24"/>
      <w:lang w:val="en-US" w:eastAsia="zh-CN"/>
    </w:rPr>
  </w:style>
  <w:style w:type="character" w:customStyle="1" w:styleId="69">
    <w:name w:val="标题 7 Char"/>
    <w:link w:val="10"/>
    <w:autoRedefine/>
    <w:qFormat/>
    <w:locked/>
    <w:uiPriority w:val="9"/>
    <w:rPr>
      <w:b/>
      <w:kern w:val="2"/>
      <w:sz w:val="24"/>
    </w:rPr>
  </w:style>
  <w:style w:type="character" w:customStyle="1" w:styleId="70">
    <w:name w:val="标题 8 Char"/>
    <w:link w:val="11"/>
    <w:autoRedefine/>
    <w:qFormat/>
    <w:locked/>
    <w:uiPriority w:val="9"/>
    <w:rPr>
      <w:rFonts w:ascii="Arial" w:hAnsi="Arial" w:eastAsia="黑体"/>
      <w:kern w:val="2"/>
      <w:sz w:val="24"/>
    </w:rPr>
  </w:style>
  <w:style w:type="character" w:customStyle="1" w:styleId="71">
    <w:name w:val="标题 9 Char"/>
    <w:link w:val="12"/>
    <w:autoRedefine/>
    <w:qFormat/>
    <w:locked/>
    <w:uiPriority w:val="9"/>
    <w:rPr>
      <w:rFonts w:ascii="Arial" w:hAnsi="Arial" w:eastAsia="黑体"/>
      <w:kern w:val="2"/>
      <w:sz w:val="21"/>
    </w:rPr>
  </w:style>
  <w:style w:type="character" w:customStyle="1" w:styleId="72">
    <w:name w:val="正文缩进 Char1"/>
    <w:link w:val="14"/>
    <w:autoRedefine/>
    <w:qFormat/>
    <w:locked/>
    <w:uiPriority w:val="0"/>
    <w:rPr>
      <w:rFonts w:ascii="宋体" w:hAnsi="宋体" w:eastAsia="宋体" w:cs="宋体"/>
      <w:spacing w:val="14"/>
      <w:kern w:val="24"/>
      <w:sz w:val="24"/>
      <w:szCs w:val="24"/>
      <w:lang w:val="en-US" w:eastAsia="zh-CN"/>
    </w:rPr>
  </w:style>
  <w:style w:type="character" w:customStyle="1" w:styleId="73">
    <w:name w:val="文档结构图 Char"/>
    <w:link w:val="16"/>
    <w:autoRedefine/>
    <w:qFormat/>
    <w:locked/>
    <w:uiPriority w:val="0"/>
    <w:rPr>
      <w:rFonts w:eastAsia="宋体"/>
      <w:kern w:val="2"/>
      <w:sz w:val="21"/>
      <w:lang w:val="en-US" w:eastAsia="zh-CN"/>
    </w:rPr>
  </w:style>
  <w:style w:type="character" w:customStyle="1" w:styleId="74">
    <w:name w:val="批注文字 Char1"/>
    <w:link w:val="18"/>
    <w:autoRedefine/>
    <w:qFormat/>
    <w:locked/>
    <w:uiPriority w:val="0"/>
    <w:rPr>
      <w:rFonts w:ascii="宋体" w:hAnsi="宋体" w:eastAsia="宋体" w:cs="宋体"/>
      <w:kern w:val="2"/>
      <w:sz w:val="21"/>
      <w:szCs w:val="21"/>
      <w:lang w:val="en-US" w:eastAsia="zh-CN"/>
    </w:rPr>
  </w:style>
  <w:style w:type="character" w:customStyle="1" w:styleId="75">
    <w:name w:val="正文文本 3 Char"/>
    <w:link w:val="19"/>
    <w:autoRedefine/>
    <w:qFormat/>
    <w:locked/>
    <w:uiPriority w:val="0"/>
    <w:rPr>
      <w:rFonts w:eastAsia="宋体"/>
      <w:sz w:val="16"/>
    </w:rPr>
  </w:style>
  <w:style w:type="character" w:customStyle="1" w:styleId="76">
    <w:name w:val="正文文本缩进 Char"/>
    <w:link w:val="20"/>
    <w:autoRedefine/>
    <w:qFormat/>
    <w:locked/>
    <w:uiPriority w:val="0"/>
    <w:rPr>
      <w:rFonts w:eastAsia="方正书宋简体"/>
      <w:kern w:val="2"/>
      <w:sz w:val="24"/>
      <w:lang w:val="en-US" w:eastAsia="zh-CN"/>
    </w:rPr>
  </w:style>
  <w:style w:type="character" w:customStyle="1" w:styleId="77">
    <w:name w:val="纯文本 Char1"/>
    <w:link w:val="27"/>
    <w:autoRedefine/>
    <w:qFormat/>
    <w:locked/>
    <w:uiPriority w:val="0"/>
    <w:rPr>
      <w:rFonts w:ascii="宋体" w:hAnsi="Courier New" w:eastAsia="宋体" w:cs="宋体"/>
      <w:lang w:val="en-US" w:eastAsia="zh-CN"/>
    </w:rPr>
  </w:style>
  <w:style w:type="character" w:customStyle="1" w:styleId="78">
    <w:name w:val="日期 Char"/>
    <w:link w:val="29"/>
    <w:autoRedefine/>
    <w:qFormat/>
    <w:locked/>
    <w:uiPriority w:val="0"/>
    <w:rPr>
      <w:rFonts w:ascii="宋体" w:cs="Times New Roman"/>
      <w:sz w:val="24"/>
    </w:rPr>
  </w:style>
  <w:style w:type="character" w:customStyle="1" w:styleId="79">
    <w:name w:val="正文文本缩进 2 Char"/>
    <w:link w:val="30"/>
    <w:autoRedefine/>
    <w:qFormat/>
    <w:locked/>
    <w:uiPriority w:val="0"/>
    <w:rPr>
      <w:rFonts w:ascii="宋体" w:eastAsia="宋体"/>
      <w:kern w:val="2"/>
      <w:sz w:val="24"/>
      <w:lang w:val="en-US" w:eastAsia="zh-CN"/>
    </w:rPr>
  </w:style>
  <w:style w:type="character" w:customStyle="1" w:styleId="80">
    <w:name w:val="批注框文本 Char1"/>
    <w:link w:val="31"/>
    <w:autoRedefine/>
    <w:qFormat/>
    <w:locked/>
    <w:uiPriority w:val="99"/>
    <w:rPr>
      <w:rFonts w:ascii="宋体" w:hAnsi="宋体" w:eastAsia="宋体" w:cs="宋体"/>
      <w:kern w:val="2"/>
      <w:sz w:val="18"/>
      <w:szCs w:val="18"/>
      <w:lang w:val="en-US" w:eastAsia="zh-CN"/>
    </w:rPr>
  </w:style>
  <w:style w:type="character" w:customStyle="1" w:styleId="81">
    <w:name w:val="页脚 Char1"/>
    <w:link w:val="32"/>
    <w:autoRedefine/>
    <w:qFormat/>
    <w:locked/>
    <w:uiPriority w:val="99"/>
    <w:rPr>
      <w:rFonts w:ascii="宋体" w:hAnsi="宋体" w:eastAsia="宋体" w:cs="宋体"/>
      <w:kern w:val="2"/>
      <w:sz w:val="18"/>
      <w:szCs w:val="18"/>
      <w:lang w:val="en-US" w:eastAsia="zh-CN"/>
    </w:rPr>
  </w:style>
  <w:style w:type="character" w:customStyle="1" w:styleId="82">
    <w:name w:val="页眉 Char1"/>
    <w:link w:val="33"/>
    <w:autoRedefine/>
    <w:qFormat/>
    <w:locked/>
    <w:uiPriority w:val="99"/>
    <w:rPr>
      <w:rFonts w:ascii="宋体" w:hAnsi="宋体" w:eastAsia="宋体" w:cs="宋体"/>
      <w:kern w:val="2"/>
      <w:sz w:val="18"/>
      <w:szCs w:val="18"/>
      <w:lang w:val="en-US" w:eastAsia="zh-CN"/>
    </w:rPr>
  </w:style>
  <w:style w:type="character" w:customStyle="1" w:styleId="83">
    <w:name w:val="正文文本缩进 3 Char1"/>
    <w:link w:val="39"/>
    <w:autoRedefine/>
    <w:qFormat/>
    <w:locked/>
    <w:uiPriority w:val="0"/>
    <w:rPr>
      <w:rFonts w:ascii="宋体" w:hAnsi="宋体" w:eastAsia="宋体" w:cs="宋体"/>
      <w:b/>
      <w:kern w:val="2"/>
      <w:sz w:val="24"/>
      <w:szCs w:val="24"/>
      <w:lang w:val="en-US" w:eastAsia="zh-CN"/>
    </w:rPr>
  </w:style>
  <w:style w:type="character" w:customStyle="1" w:styleId="84">
    <w:name w:val="正文文本 2 Char"/>
    <w:link w:val="43"/>
    <w:autoRedefine/>
    <w:qFormat/>
    <w:locked/>
    <w:uiPriority w:val="0"/>
    <w:rPr>
      <w:rFonts w:eastAsia="宋体"/>
      <w:sz w:val="24"/>
    </w:rPr>
  </w:style>
  <w:style w:type="character" w:customStyle="1" w:styleId="85">
    <w:name w:val="HTML 预设格式 Char"/>
    <w:link w:val="44"/>
    <w:autoRedefine/>
    <w:qFormat/>
    <w:locked/>
    <w:uiPriority w:val="99"/>
    <w:rPr>
      <w:rFonts w:ascii="Courier New" w:hAnsi="Courier New"/>
      <w:kern w:val="2"/>
    </w:rPr>
  </w:style>
  <w:style w:type="character" w:customStyle="1" w:styleId="86">
    <w:name w:val="标题 Char"/>
    <w:link w:val="47"/>
    <w:autoRedefine/>
    <w:qFormat/>
    <w:uiPriority w:val="0"/>
    <w:rPr>
      <w:rFonts w:ascii="Cambria" w:hAnsi="Cambria"/>
      <w:b/>
      <w:bCs/>
      <w:sz w:val="32"/>
      <w:szCs w:val="32"/>
    </w:rPr>
  </w:style>
  <w:style w:type="character" w:customStyle="1" w:styleId="87">
    <w:name w:val="批注主题 Char1"/>
    <w:link w:val="48"/>
    <w:autoRedefine/>
    <w:qFormat/>
    <w:locked/>
    <w:uiPriority w:val="99"/>
    <w:rPr>
      <w:rFonts w:ascii="宋体" w:hAnsi="宋体" w:eastAsia="宋体" w:cs="宋体"/>
      <w:b/>
      <w:kern w:val="2"/>
      <w:sz w:val="21"/>
      <w:szCs w:val="21"/>
      <w:lang w:val="en-US" w:eastAsia="zh-CN"/>
    </w:rPr>
  </w:style>
  <w:style w:type="character" w:customStyle="1" w:styleId="88">
    <w:name w:val="正文首行缩进 Char"/>
    <w:link w:val="2"/>
    <w:autoRedefine/>
    <w:qFormat/>
    <w:locked/>
    <w:uiPriority w:val="99"/>
    <w:rPr>
      <w:rFonts w:ascii="宋体" w:hAnsi="宋体" w:eastAsia="宋体" w:cs="宋体"/>
      <w:i/>
      <w:kern w:val="2"/>
      <w:sz w:val="24"/>
      <w:lang w:val="en-US" w:eastAsia="zh-CN"/>
    </w:rPr>
  </w:style>
  <w:style w:type="character" w:customStyle="1" w:styleId="89">
    <w:name w:val="纯文本 字符2"/>
    <w:autoRedefine/>
    <w:qFormat/>
    <w:locked/>
    <w:uiPriority w:val="99"/>
    <w:rPr>
      <w:rFonts w:ascii="宋体" w:hAnsi="Courier New" w:eastAsia="宋体" w:cs="宋体"/>
      <w:lang w:val="en-US" w:eastAsia="zh-CN"/>
    </w:rPr>
  </w:style>
  <w:style w:type="character" w:customStyle="1" w:styleId="90">
    <w:name w:val="正文文本缩进 字符3"/>
    <w:autoRedefine/>
    <w:qFormat/>
    <w:locked/>
    <w:uiPriority w:val="99"/>
    <w:rPr>
      <w:rFonts w:eastAsia="方正书宋简体"/>
      <w:kern w:val="2"/>
      <w:sz w:val="24"/>
      <w:lang w:val="en-US" w:eastAsia="zh-CN"/>
    </w:rPr>
  </w:style>
  <w:style w:type="character" w:customStyle="1" w:styleId="91">
    <w:name w:val="页眉 Char"/>
    <w:autoRedefine/>
    <w:qFormat/>
    <w:uiPriority w:val="0"/>
    <w:rPr>
      <w:rFonts w:eastAsia="宋体"/>
      <w:kern w:val="2"/>
      <w:sz w:val="18"/>
      <w:lang w:val="en-US" w:eastAsia="zh-CN"/>
    </w:rPr>
  </w:style>
  <w:style w:type="character" w:customStyle="1" w:styleId="92">
    <w:name w:val="正文文本首行缩进 字符"/>
    <w:autoRedefine/>
    <w:semiHidden/>
    <w:qFormat/>
    <w:uiPriority w:val="99"/>
  </w:style>
  <w:style w:type="character" w:customStyle="1" w:styleId="93">
    <w:name w:val="标题 4 字符"/>
    <w:autoRedefine/>
    <w:qFormat/>
    <w:locked/>
    <w:uiPriority w:val="9"/>
    <w:rPr>
      <w:rFonts w:ascii="Arial" w:hAnsi="Arial" w:eastAsia="黑体"/>
      <w:b/>
      <w:kern w:val="2"/>
      <w:sz w:val="28"/>
      <w:lang w:val="en-US" w:eastAsia="zh-CN"/>
    </w:rPr>
  </w:style>
  <w:style w:type="character" w:customStyle="1" w:styleId="94">
    <w:name w:val="标题2正文 Char Char"/>
    <w:link w:val="95"/>
    <w:autoRedefine/>
    <w:qFormat/>
    <w:locked/>
    <w:uiPriority w:val="0"/>
    <w:rPr>
      <w:rFonts w:eastAsia="宋体"/>
      <w:sz w:val="24"/>
    </w:rPr>
  </w:style>
  <w:style w:type="paragraph" w:customStyle="1" w:styleId="95">
    <w:name w:val="标题2正文 Char"/>
    <w:basedOn w:val="1"/>
    <w:link w:val="94"/>
    <w:autoRedefine/>
    <w:qFormat/>
    <w:uiPriority w:val="0"/>
    <w:pPr>
      <w:spacing w:beforeLines="50" w:afterLines="50"/>
      <w:ind w:right="38" w:rightChars="18" w:firstLine="420"/>
    </w:pPr>
    <w:rPr>
      <w:kern w:val="0"/>
      <w:sz w:val="24"/>
    </w:rPr>
  </w:style>
  <w:style w:type="character" w:customStyle="1" w:styleId="96">
    <w:name w:val="文档结构图 字符1"/>
    <w:autoRedefine/>
    <w:semiHidden/>
    <w:qFormat/>
    <w:uiPriority w:val="99"/>
    <w:rPr>
      <w:rFonts w:ascii="Microsoft YaHei UI" w:eastAsia="Microsoft YaHei UI"/>
      <w:kern w:val="2"/>
      <w:sz w:val="18"/>
      <w:szCs w:val="18"/>
    </w:rPr>
  </w:style>
  <w:style w:type="character" w:customStyle="1" w:styleId="97">
    <w:name w:val="纯文本 Char2"/>
    <w:autoRedefine/>
    <w:qFormat/>
    <w:uiPriority w:val="0"/>
    <w:rPr>
      <w:rFonts w:ascii="宋体" w:hAnsi="宋体" w:eastAsia="宋体"/>
      <w:color w:val="000000"/>
      <w:sz w:val="24"/>
      <w:lang w:val="en-US" w:eastAsia="zh-CN"/>
    </w:rPr>
  </w:style>
  <w:style w:type="character" w:customStyle="1" w:styleId="98">
    <w:name w:val="批注主题 字符"/>
    <w:autoRedefine/>
    <w:qFormat/>
    <w:locked/>
    <w:uiPriority w:val="99"/>
    <w:rPr>
      <w:rFonts w:ascii="宋体" w:hAnsi="宋体" w:eastAsia="宋体" w:cs="宋体"/>
      <w:b/>
      <w:kern w:val="2"/>
      <w:sz w:val="21"/>
      <w:szCs w:val="21"/>
      <w:lang w:val="en-US" w:eastAsia="zh-CN"/>
    </w:rPr>
  </w:style>
  <w:style w:type="character" w:customStyle="1" w:styleId="99">
    <w:name w:val="bookmark-item"/>
    <w:basedOn w:val="52"/>
    <w:autoRedefine/>
    <w:qFormat/>
    <w:uiPriority w:val="0"/>
  </w:style>
  <w:style w:type="character" w:customStyle="1" w:styleId="100">
    <w:name w:val="正文文本缩进 字符1"/>
    <w:autoRedefine/>
    <w:qFormat/>
    <w:locked/>
    <w:uiPriority w:val="99"/>
    <w:rPr>
      <w:rFonts w:eastAsia="方正书宋简体"/>
      <w:kern w:val="2"/>
      <w:sz w:val="24"/>
      <w:lang w:val="en-US" w:eastAsia="zh-CN"/>
    </w:rPr>
  </w:style>
  <w:style w:type="character" w:customStyle="1" w:styleId="101">
    <w:name w:val="正文文本缩进 3 Char"/>
    <w:autoRedefine/>
    <w:qFormat/>
    <w:uiPriority w:val="0"/>
    <w:rPr>
      <w:rFonts w:ascii="宋体" w:eastAsia="宋体"/>
      <w:kern w:val="2"/>
      <w:sz w:val="24"/>
      <w:lang w:val="en-US" w:eastAsia="zh-CN"/>
    </w:rPr>
  </w:style>
  <w:style w:type="character" w:customStyle="1" w:styleId="102">
    <w:name w:val="批注文字 Char"/>
    <w:autoRedefine/>
    <w:qFormat/>
    <w:locked/>
    <w:uiPriority w:val="0"/>
    <w:rPr>
      <w:rFonts w:cs="Times New Roman"/>
      <w:kern w:val="2"/>
      <w:sz w:val="21"/>
    </w:rPr>
  </w:style>
  <w:style w:type="character" w:customStyle="1" w:styleId="103">
    <w:name w:val="h6 Char"/>
    <w:autoRedefine/>
    <w:qFormat/>
    <w:uiPriority w:val="0"/>
    <w:rPr>
      <w:rFonts w:ascii="Arial" w:hAnsi="Arial" w:eastAsia="宋体"/>
      <w:b/>
      <w:kern w:val="2"/>
      <w:sz w:val="24"/>
      <w:lang w:val="en-US" w:eastAsia="zh-CN"/>
    </w:rPr>
  </w:style>
  <w:style w:type="character" w:customStyle="1" w:styleId="104">
    <w:name w:val="标题 8 字符"/>
    <w:autoRedefine/>
    <w:qFormat/>
    <w:locked/>
    <w:uiPriority w:val="9"/>
    <w:rPr>
      <w:rFonts w:ascii="Arial" w:hAnsi="Arial" w:eastAsia="黑体"/>
      <w:kern w:val="2"/>
      <w:sz w:val="24"/>
    </w:rPr>
  </w:style>
  <w:style w:type="character" w:customStyle="1" w:styleId="105">
    <w:name w:val="日期 字符1"/>
    <w:autoRedefine/>
    <w:semiHidden/>
    <w:qFormat/>
    <w:uiPriority w:val="99"/>
    <w:rPr>
      <w:kern w:val="2"/>
      <w:sz w:val="21"/>
    </w:rPr>
  </w:style>
  <w:style w:type="character" w:customStyle="1" w:styleId="106">
    <w:name w:val="样式2 Char"/>
    <w:link w:val="107"/>
    <w:autoRedefine/>
    <w:qFormat/>
    <w:locked/>
    <w:uiPriority w:val="0"/>
    <w:rPr>
      <w:rFonts w:ascii="黑体" w:hAnsi="黑体" w:eastAsia="黑体"/>
      <w:color w:val="FF0000"/>
      <w:kern w:val="2"/>
      <w:sz w:val="32"/>
      <w:lang w:val="en-US" w:eastAsia="zh-CN"/>
    </w:rPr>
  </w:style>
  <w:style w:type="paragraph" w:customStyle="1" w:styleId="107">
    <w:name w:val="样式2"/>
    <w:basedOn w:val="6"/>
    <w:link w:val="106"/>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8">
    <w:name w:val="font101"/>
    <w:autoRedefine/>
    <w:qFormat/>
    <w:uiPriority w:val="0"/>
    <w:rPr>
      <w:rFonts w:hint="default" w:ascii="Times New Roman" w:hAnsi="Times New Roman" w:cs="Times New Roman"/>
      <w:b/>
      <w:color w:val="000000"/>
      <w:sz w:val="22"/>
      <w:szCs w:val="22"/>
      <w:u w:val="none"/>
    </w:rPr>
  </w:style>
  <w:style w:type="character" w:customStyle="1" w:styleId="109">
    <w:name w:val="正文文本 Char"/>
    <w:autoRedefine/>
    <w:qFormat/>
    <w:uiPriority w:val="0"/>
    <w:rPr>
      <w:rFonts w:eastAsia="宋体"/>
      <w:i/>
      <w:kern w:val="2"/>
      <w:sz w:val="18"/>
      <w:lang w:val="en-US" w:eastAsia="zh-CN"/>
    </w:rPr>
  </w:style>
  <w:style w:type="character" w:customStyle="1" w:styleId="110">
    <w:name w:val="hui3"/>
    <w:autoRedefine/>
    <w:qFormat/>
    <w:uiPriority w:val="0"/>
    <w:rPr>
      <w:color w:val="333333"/>
    </w:rPr>
  </w:style>
  <w:style w:type="character" w:customStyle="1" w:styleId="111">
    <w:name w:val="标题 9 字符"/>
    <w:autoRedefine/>
    <w:qFormat/>
    <w:locked/>
    <w:uiPriority w:val="9"/>
    <w:rPr>
      <w:rFonts w:ascii="Arial" w:hAnsi="Arial" w:eastAsia="黑体"/>
      <w:kern w:val="2"/>
      <w:sz w:val="21"/>
    </w:rPr>
  </w:style>
  <w:style w:type="character" w:customStyle="1" w:styleId="112">
    <w:name w:val="批注文字 字符1"/>
    <w:autoRedefine/>
    <w:semiHidden/>
    <w:qFormat/>
    <w:uiPriority w:val="99"/>
    <w:rPr>
      <w:kern w:val="2"/>
      <w:sz w:val="21"/>
    </w:rPr>
  </w:style>
  <w:style w:type="character" w:customStyle="1" w:styleId="113">
    <w:name w:val="无间距字符"/>
    <w:link w:val="114"/>
    <w:autoRedefine/>
    <w:qFormat/>
    <w:locked/>
    <w:uiPriority w:val="0"/>
    <w:rPr>
      <w:sz w:val="22"/>
      <w:lang w:val="en-US" w:eastAsia="zh-CN" w:bidi="ar-SA"/>
    </w:rPr>
  </w:style>
  <w:style w:type="paragraph" w:customStyle="1" w:styleId="114">
    <w:name w:val="无间距"/>
    <w:link w:val="113"/>
    <w:autoRedefine/>
    <w:qFormat/>
    <w:uiPriority w:val="0"/>
    <w:rPr>
      <w:rFonts w:ascii="Times New Roman" w:hAnsi="Times New Roman" w:eastAsia="宋体" w:cs="Times New Roman"/>
      <w:sz w:val="22"/>
      <w:lang w:val="en-US" w:eastAsia="zh-CN" w:bidi="ar-SA"/>
    </w:rPr>
  </w:style>
  <w:style w:type="character" w:customStyle="1" w:styleId="115">
    <w:name w:val="标题 2 字符"/>
    <w:autoRedefine/>
    <w:qFormat/>
    <w:locked/>
    <w:uiPriority w:val="9"/>
    <w:rPr>
      <w:rFonts w:ascii="Cambria" w:hAnsi="Cambria" w:eastAsia="宋体" w:cs="Cambria"/>
      <w:kern w:val="2"/>
      <w:sz w:val="21"/>
      <w:szCs w:val="21"/>
      <w:lang w:val="en-US" w:eastAsia="zh-CN"/>
    </w:rPr>
  </w:style>
  <w:style w:type="character" w:customStyle="1" w:styleId="116">
    <w:name w:val="批注框文本 字符"/>
    <w:autoRedefine/>
    <w:qFormat/>
    <w:locked/>
    <w:uiPriority w:val="99"/>
    <w:rPr>
      <w:rFonts w:ascii="宋体" w:hAnsi="宋体" w:eastAsia="宋体" w:cs="宋体"/>
      <w:kern w:val="2"/>
      <w:sz w:val="18"/>
      <w:szCs w:val="18"/>
      <w:lang w:val="en-US" w:eastAsia="zh-CN"/>
    </w:rPr>
  </w:style>
  <w:style w:type="character" w:customStyle="1" w:styleId="117">
    <w:name w:val="正文缩进 Char"/>
    <w:autoRedefine/>
    <w:qFormat/>
    <w:uiPriority w:val="0"/>
    <w:rPr>
      <w:rFonts w:eastAsia="宋体"/>
      <w:kern w:val="2"/>
      <w:sz w:val="24"/>
      <w:lang w:val="en-US" w:eastAsia="zh-CN"/>
    </w:rPr>
  </w:style>
  <w:style w:type="character" w:customStyle="1" w:styleId="118">
    <w:name w:val="正文文本 2 字符1"/>
    <w:autoRedefine/>
    <w:semiHidden/>
    <w:qFormat/>
    <w:uiPriority w:val="99"/>
    <w:rPr>
      <w:kern w:val="2"/>
      <w:sz w:val="21"/>
    </w:rPr>
  </w:style>
  <w:style w:type="character" w:customStyle="1" w:styleId="119">
    <w:name w:val="正文首行缩进 字符"/>
    <w:autoRedefine/>
    <w:qFormat/>
    <w:locked/>
    <w:uiPriority w:val="99"/>
    <w:rPr>
      <w:rFonts w:ascii="宋体" w:hAnsi="宋体" w:eastAsia="宋体" w:cs="宋体"/>
      <w:i/>
      <w:kern w:val="2"/>
      <w:sz w:val="24"/>
      <w:lang w:val="en-US" w:eastAsia="zh-CN"/>
    </w:rPr>
  </w:style>
  <w:style w:type="character" w:customStyle="1" w:styleId="120">
    <w:name w:val="正文文本 字符1"/>
    <w:autoRedefine/>
    <w:semiHidden/>
    <w:qFormat/>
    <w:uiPriority w:val="99"/>
    <w:rPr>
      <w:kern w:val="2"/>
      <w:sz w:val="21"/>
    </w:rPr>
  </w:style>
  <w:style w:type="character" w:customStyle="1" w:styleId="121">
    <w:name w:val="中等深浅网格 1 - 强调文字颜色 2 Char"/>
    <w:link w:val="122"/>
    <w:autoRedefine/>
    <w:qFormat/>
    <w:locked/>
    <w:uiPriority w:val="34"/>
    <w:rPr>
      <w:rFonts w:ascii="Calibri" w:hAnsi="Calibri"/>
      <w:kern w:val="2"/>
      <w:sz w:val="22"/>
    </w:rPr>
  </w:style>
  <w:style w:type="paragraph" w:customStyle="1" w:styleId="122">
    <w:name w:val="中等深浅网格 1 - 强调文字颜色 21"/>
    <w:basedOn w:val="1"/>
    <w:link w:val="121"/>
    <w:autoRedefine/>
    <w:qFormat/>
    <w:uiPriority w:val="34"/>
    <w:pPr>
      <w:ind w:firstLine="420" w:firstLineChars="200"/>
    </w:pPr>
    <w:rPr>
      <w:rFonts w:ascii="Calibri" w:hAnsi="Calibri"/>
      <w:sz w:val="22"/>
    </w:rPr>
  </w:style>
  <w:style w:type="character" w:customStyle="1" w:styleId="123">
    <w:name w:val="页脚 字符1"/>
    <w:autoRedefine/>
    <w:semiHidden/>
    <w:qFormat/>
    <w:uiPriority w:val="99"/>
    <w:rPr>
      <w:kern w:val="2"/>
      <w:sz w:val="18"/>
      <w:szCs w:val="18"/>
    </w:rPr>
  </w:style>
  <w:style w:type="character" w:customStyle="1" w:styleId="124">
    <w:name w:val="标题 7 字符"/>
    <w:autoRedefine/>
    <w:qFormat/>
    <w:locked/>
    <w:uiPriority w:val="9"/>
    <w:rPr>
      <w:b/>
      <w:kern w:val="2"/>
      <w:sz w:val="24"/>
    </w:rPr>
  </w:style>
  <w:style w:type="character" w:customStyle="1" w:styleId="125">
    <w:name w:val="方案－正文 Char"/>
    <w:link w:val="126"/>
    <w:autoRedefine/>
    <w:qFormat/>
    <w:locked/>
    <w:uiPriority w:val="0"/>
    <w:rPr>
      <w:rFonts w:ascii="仿宋_GB2312" w:hAnsi="宋体"/>
      <w:sz w:val="24"/>
    </w:rPr>
  </w:style>
  <w:style w:type="paragraph" w:customStyle="1" w:styleId="126">
    <w:name w:val="方案－正文"/>
    <w:basedOn w:val="1"/>
    <w:link w:val="125"/>
    <w:autoRedefine/>
    <w:qFormat/>
    <w:uiPriority w:val="0"/>
    <w:pPr>
      <w:spacing w:line="360" w:lineRule="auto"/>
      <w:ind w:firstLine="480" w:firstLineChars="200"/>
    </w:pPr>
    <w:rPr>
      <w:rFonts w:ascii="仿宋_GB2312" w:hAnsi="宋体"/>
      <w:kern w:val="0"/>
      <w:sz w:val="24"/>
    </w:rPr>
  </w:style>
  <w:style w:type="character" w:customStyle="1" w:styleId="127">
    <w:name w:val="页脚 Char"/>
    <w:autoRedefine/>
    <w:qFormat/>
    <w:uiPriority w:val="99"/>
    <w:rPr>
      <w:rFonts w:eastAsia="宋体"/>
      <w:kern w:val="2"/>
      <w:sz w:val="18"/>
      <w:lang w:val="en-US" w:eastAsia="zh-CN"/>
    </w:rPr>
  </w:style>
  <w:style w:type="character" w:customStyle="1" w:styleId="128">
    <w:name w:val="正文文本缩进 3 字符1"/>
    <w:autoRedefine/>
    <w:semiHidden/>
    <w:qFormat/>
    <w:uiPriority w:val="99"/>
    <w:rPr>
      <w:kern w:val="2"/>
      <w:sz w:val="16"/>
      <w:szCs w:val="16"/>
    </w:rPr>
  </w:style>
  <w:style w:type="character" w:customStyle="1" w:styleId="129">
    <w:name w:val="纯文本 Char"/>
    <w:autoRedefine/>
    <w:qFormat/>
    <w:uiPriority w:val="0"/>
    <w:rPr>
      <w:rFonts w:ascii="宋体" w:hAnsi="宋体" w:eastAsia="宋体"/>
      <w:color w:val="000000"/>
      <w:sz w:val="24"/>
      <w:lang w:val="en-US" w:eastAsia="zh-CN"/>
    </w:rPr>
  </w:style>
  <w:style w:type="character" w:customStyle="1" w:styleId="130">
    <w:name w:val="样式5 Char"/>
    <w:link w:val="131"/>
    <w:autoRedefine/>
    <w:qFormat/>
    <w:locked/>
    <w:uiPriority w:val="0"/>
    <w:rPr>
      <w:rFonts w:eastAsia="宋体"/>
      <w:b/>
      <w:kern w:val="2"/>
      <w:sz w:val="28"/>
      <w:lang w:val="en-US" w:eastAsia="zh-CN"/>
    </w:rPr>
  </w:style>
  <w:style w:type="paragraph" w:customStyle="1" w:styleId="131">
    <w:name w:val="样式5"/>
    <w:basedOn w:val="1"/>
    <w:link w:val="130"/>
    <w:autoRedefine/>
    <w:qFormat/>
    <w:uiPriority w:val="0"/>
    <w:pPr>
      <w:keepNext/>
      <w:keepLines/>
      <w:spacing w:before="280" w:after="290" w:line="376" w:lineRule="auto"/>
      <w:ind w:left="210" w:leftChars="100" w:right="210" w:rightChars="100"/>
      <w:outlineLvl w:val="4"/>
    </w:pPr>
    <w:rPr>
      <w:b/>
      <w:sz w:val="28"/>
    </w:rPr>
  </w:style>
  <w:style w:type="character" w:customStyle="1" w:styleId="132">
    <w:name w:val="纯文本 字符"/>
    <w:autoRedefine/>
    <w:qFormat/>
    <w:locked/>
    <w:uiPriority w:val="0"/>
    <w:rPr>
      <w:rFonts w:ascii="宋体" w:hAnsi="Courier New" w:eastAsia="宋体" w:cs="宋体"/>
      <w:lang w:val="en-US" w:eastAsia="zh-CN"/>
    </w:rPr>
  </w:style>
  <w:style w:type="character" w:customStyle="1" w:styleId="133">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134">
    <w:name w:val="批注主题 字符1"/>
    <w:autoRedefine/>
    <w:semiHidden/>
    <w:qFormat/>
    <w:uiPriority w:val="99"/>
    <w:rPr>
      <w:b/>
      <w:bCs/>
      <w:kern w:val="2"/>
      <w:sz w:val="21"/>
    </w:rPr>
  </w:style>
  <w:style w:type="character" w:customStyle="1" w:styleId="135">
    <w:name w:val="正文文本 3 字符1"/>
    <w:autoRedefine/>
    <w:semiHidden/>
    <w:qFormat/>
    <w:uiPriority w:val="99"/>
    <w:rPr>
      <w:kern w:val="2"/>
      <w:sz w:val="16"/>
      <w:szCs w:val="16"/>
    </w:rPr>
  </w:style>
  <w:style w:type="character" w:customStyle="1" w:styleId="136">
    <w:name w:val="标题 3 字符"/>
    <w:autoRedefine/>
    <w:qFormat/>
    <w:locked/>
    <w:uiPriority w:val="9"/>
    <w:rPr>
      <w:rFonts w:ascii="宋体" w:hAnsi="宋体" w:eastAsia="宋体" w:cs="宋体"/>
      <w:b/>
      <w:kern w:val="2"/>
      <w:sz w:val="32"/>
      <w:szCs w:val="32"/>
      <w:lang w:val="en-US" w:eastAsia="zh-CN"/>
    </w:rPr>
  </w:style>
  <w:style w:type="character" w:customStyle="1" w:styleId="137">
    <w:name w:val="标题 1 Char Char"/>
    <w:basedOn w:val="52"/>
    <w:autoRedefine/>
    <w:qFormat/>
    <w:uiPriority w:val="0"/>
    <w:rPr>
      <w:rFonts w:eastAsia="宋体"/>
      <w:b/>
      <w:spacing w:val="-2"/>
      <w:sz w:val="24"/>
      <w:lang w:val="en-US" w:eastAsia="zh-CN"/>
    </w:rPr>
  </w:style>
  <w:style w:type="character" w:customStyle="1" w:styleId="138">
    <w:name w:val="标题 3 Char"/>
    <w:autoRedefine/>
    <w:qFormat/>
    <w:uiPriority w:val="9"/>
    <w:rPr>
      <w:rFonts w:ascii="Arial" w:hAnsi="Arial" w:eastAsia="黑体"/>
      <w:b/>
      <w:kern w:val="2"/>
      <w:sz w:val="32"/>
      <w:lang w:val="en-US" w:eastAsia="zh-CN"/>
    </w:rPr>
  </w:style>
  <w:style w:type="character" w:customStyle="1" w:styleId="139">
    <w:name w:val="日期 字符2"/>
    <w:autoRedefine/>
    <w:qFormat/>
    <w:locked/>
    <w:uiPriority w:val="99"/>
    <w:rPr>
      <w:rFonts w:ascii="宋体" w:cs="Times New Roman"/>
      <w:sz w:val="24"/>
    </w:rPr>
  </w:style>
  <w:style w:type="character" w:customStyle="1" w:styleId="140">
    <w:name w:val="apple-style-span"/>
    <w:autoRedefine/>
    <w:qFormat/>
    <w:uiPriority w:val="0"/>
    <w:rPr>
      <w:rFonts w:cs="Times New Roman"/>
    </w:rPr>
  </w:style>
  <w:style w:type="character" w:customStyle="1" w:styleId="141">
    <w:name w:val="批注文字 字符"/>
    <w:autoRedefine/>
    <w:qFormat/>
    <w:locked/>
    <w:uiPriority w:val="0"/>
    <w:rPr>
      <w:rFonts w:ascii="宋体" w:hAnsi="宋体" w:eastAsia="宋体" w:cs="宋体"/>
      <w:kern w:val="2"/>
      <w:sz w:val="21"/>
      <w:szCs w:val="21"/>
      <w:lang w:val="en-US" w:eastAsia="zh-CN"/>
    </w:rPr>
  </w:style>
  <w:style w:type="character" w:customStyle="1" w:styleId="142">
    <w:name w:val="apple-converted-space"/>
    <w:autoRedefine/>
    <w:qFormat/>
    <w:uiPriority w:val="0"/>
    <w:rPr>
      <w:rFonts w:cs="Times New Roman"/>
    </w:rPr>
  </w:style>
  <w:style w:type="character" w:customStyle="1" w:styleId="143">
    <w:name w:val="页眉 字符"/>
    <w:autoRedefine/>
    <w:qFormat/>
    <w:locked/>
    <w:uiPriority w:val="99"/>
    <w:rPr>
      <w:rFonts w:ascii="宋体" w:hAnsi="宋体" w:eastAsia="宋体" w:cs="宋体"/>
      <w:kern w:val="2"/>
      <w:sz w:val="18"/>
      <w:szCs w:val="18"/>
      <w:lang w:val="en-US" w:eastAsia="zh-CN"/>
    </w:rPr>
  </w:style>
  <w:style w:type="character" w:customStyle="1" w:styleId="144">
    <w:name w:val="标题 6 字符"/>
    <w:autoRedefine/>
    <w:qFormat/>
    <w:locked/>
    <w:uiPriority w:val="9"/>
    <w:rPr>
      <w:rFonts w:ascii="Cambria" w:hAnsi="Cambria" w:eastAsia="宋体"/>
      <w:b/>
      <w:kern w:val="2"/>
      <w:sz w:val="24"/>
      <w:lang w:val="en-US" w:eastAsia="zh-CN"/>
    </w:rPr>
  </w:style>
  <w:style w:type="character" w:customStyle="1" w:styleId="145">
    <w:name w:val="金保标题3 Char"/>
    <w:link w:val="146"/>
    <w:autoRedefine/>
    <w:qFormat/>
    <w:locked/>
    <w:uiPriority w:val="0"/>
    <w:rPr>
      <w:rFonts w:ascii="楷体" w:hAnsi="楷体" w:eastAsia="楷体"/>
      <w:b/>
      <w:sz w:val="28"/>
    </w:rPr>
  </w:style>
  <w:style w:type="paragraph" w:customStyle="1" w:styleId="146">
    <w:name w:val="金保标题3"/>
    <w:basedOn w:val="6"/>
    <w:next w:val="1"/>
    <w:link w:val="145"/>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47">
    <w:name w:val="哈哈正文 Char"/>
    <w:link w:val="148"/>
    <w:autoRedefine/>
    <w:qFormat/>
    <w:locked/>
    <w:uiPriority w:val="0"/>
    <w:rPr>
      <w:rFonts w:ascii="宋体" w:hAnsi="宋体" w:eastAsia="宋体"/>
      <w:kern w:val="2"/>
      <w:sz w:val="24"/>
      <w:lang w:val="en-US" w:eastAsia="zh-CN"/>
    </w:rPr>
  </w:style>
  <w:style w:type="paragraph" w:customStyle="1" w:styleId="148">
    <w:name w:val="哈哈正文"/>
    <w:basedOn w:val="1"/>
    <w:link w:val="147"/>
    <w:autoRedefine/>
    <w:qFormat/>
    <w:uiPriority w:val="0"/>
    <w:pPr>
      <w:spacing w:line="360" w:lineRule="auto"/>
      <w:ind w:firstLine="200" w:firstLineChars="200"/>
    </w:pPr>
    <w:rPr>
      <w:rFonts w:ascii="宋体" w:hAnsi="宋体"/>
      <w:sz w:val="24"/>
    </w:rPr>
  </w:style>
  <w:style w:type="character" w:customStyle="1" w:styleId="149">
    <w:name w:val="正文文本缩进 Char1"/>
    <w:autoRedefine/>
    <w:qFormat/>
    <w:uiPriority w:val="0"/>
    <w:rPr>
      <w:rFonts w:eastAsia="方正书宋简体"/>
      <w:kern w:val="2"/>
      <w:sz w:val="24"/>
      <w:lang w:val="en-US" w:eastAsia="zh-CN"/>
    </w:rPr>
  </w:style>
  <w:style w:type="character" w:customStyle="1" w:styleId="150">
    <w:name w:val="样式4 Char"/>
    <w:link w:val="151"/>
    <w:autoRedefine/>
    <w:qFormat/>
    <w:locked/>
    <w:uiPriority w:val="0"/>
    <w:rPr>
      <w:rFonts w:ascii="黑体" w:hAnsi="黑体" w:eastAsia="黑体"/>
      <w:kern w:val="44"/>
      <w:sz w:val="44"/>
      <w:lang w:val="en-US" w:eastAsia="zh-CN"/>
    </w:rPr>
  </w:style>
  <w:style w:type="paragraph" w:customStyle="1" w:styleId="151">
    <w:name w:val="样式4"/>
    <w:basedOn w:val="4"/>
    <w:link w:val="150"/>
    <w:autoRedefine/>
    <w:qFormat/>
    <w:uiPriority w:val="0"/>
    <w:pPr>
      <w:keepLines/>
      <w:spacing w:line="360" w:lineRule="auto"/>
    </w:pPr>
    <w:rPr>
      <w:rFonts w:ascii="黑体" w:hAnsi="黑体" w:eastAsia="黑体"/>
      <w:b w:val="0"/>
      <w:szCs w:val="20"/>
    </w:rPr>
  </w:style>
  <w:style w:type="character" w:customStyle="1" w:styleId="152">
    <w:name w:val="纯文本 Char Char"/>
    <w:link w:val="153"/>
    <w:autoRedefine/>
    <w:qFormat/>
    <w:uiPriority w:val="0"/>
    <w:rPr>
      <w:rFonts w:ascii="宋体" w:hAnsi="Courier New"/>
      <w:kern w:val="2"/>
      <w:sz w:val="21"/>
    </w:rPr>
  </w:style>
  <w:style w:type="paragraph" w:customStyle="1" w:styleId="153">
    <w:name w:val="纯文本1"/>
    <w:basedOn w:val="1"/>
    <w:link w:val="152"/>
    <w:autoRedefine/>
    <w:qFormat/>
    <w:uiPriority w:val="0"/>
    <w:rPr>
      <w:rFonts w:ascii="宋体" w:hAnsi="Courier New"/>
    </w:rPr>
  </w:style>
  <w:style w:type="character" w:customStyle="1" w:styleId="154">
    <w:name w:val="批注框文本 Char"/>
    <w:autoRedefine/>
    <w:semiHidden/>
    <w:qFormat/>
    <w:locked/>
    <w:uiPriority w:val="99"/>
    <w:rPr>
      <w:rFonts w:cs="Times New Roman"/>
      <w:kern w:val="2"/>
      <w:sz w:val="18"/>
      <w:szCs w:val="18"/>
    </w:rPr>
  </w:style>
  <w:style w:type="character" w:customStyle="1" w:styleId="155">
    <w:name w:val="正文文本缩进 2 字符"/>
    <w:autoRedefine/>
    <w:qFormat/>
    <w:locked/>
    <w:uiPriority w:val="99"/>
    <w:rPr>
      <w:rFonts w:ascii="宋体" w:eastAsia="宋体"/>
      <w:kern w:val="2"/>
      <w:sz w:val="24"/>
      <w:lang w:val="en-US" w:eastAsia="zh-CN"/>
    </w:rPr>
  </w:style>
  <w:style w:type="character" w:customStyle="1" w:styleId="156">
    <w:name w:val="批注主题 Char"/>
    <w:autoRedefine/>
    <w:semiHidden/>
    <w:qFormat/>
    <w:locked/>
    <w:uiPriority w:val="0"/>
    <w:rPr>
      <w:rFonts w:cs="Times New Roman"/>
      <w:b/>
      <w:bCs/>
      <w:kern w:val="2"/>
      <w:sz w:val="21"/>
    </w:rPr>
  </w:style>
  <w:style w:type="character" w:customStyle="1" w:styleId="157">
    <w:name w:val="标题 2 Char"/>
    <w:autoRedefine/>
    <w:qFormat/>
    <w:uiPriority w:val="0"/>
    <w:rPr>
      <w:rFonts w:ascii="Arial" w:hAnsi="Arial" w:eastAsia="黑体"/>
      <w:b/>
      <w:kern w:val="2"/>
      <w:sz w:val="32"/>
      <w:lang w:val="en-US" w:eastAsia="zh-CN"/>
    </w:rPr>
  </w:style>
  <w:style w:type="character" w:customStyle="1" w:styleId="158">
    <w:name w:val="样式1 Char"/>
    <w:link w:val="159"/>
    <w:autoRedefine/>
    <w:qFormat/>
    <w:locked/>
    <w:uiPriority w:val="0"/>
    <w:rPr>
      <w:rFonts w:ascii="黑体" w:hAnsi="黑体" w:eastAsia="黑体"/>
      <w:b/>
      <w:kern w:val="2"/>
      <w:sz w:val="32"/>
    </w:rPr>
  </w:style>
  <w:style w:type="paragraph" w:customStyle="1" w:styleId="159">
    <w:name w:val="样式1"/>
    <w:basedOn w:val="5"/>
    <w:link w:val="158"/>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60">
    <w:name w:val="标题 1 字符"/>
    <w:autoRedefine/>
    <w:qFormat/>
    <w:locked/>
    <w:uiPriority w:val="9"/>
    <w:rPr>
      <w:rFonts w:ascii="宋体" w:hAnsi="宋体" w:eastAsia="宋体" w:cs="宋体"/>
      <w:b/>
      <w:kern w:val="44"/>
      <w:sz w:val="44"/>
      <w:szCs w:val="44"/>
      <w:lang w:val="en-US" w:eastAsia="zh-CN"/>
    </w:rPr>
  </w:style>
  <w:style w:type="character" w:customStyle="1" w:styleId="161">
    <w:name w:val="font11"/>
    <w:autoRedefine/>
    <w:qFormat/>
    <w:uiPriority w:val="0"/>
    <w:rPr>
      <w:rFonts w:ascii="Times New Roman" w:hAnsi="Times New Roman"/>
      <w:color w:val="000000"/>
      <w:sz w:val="24"/>
      <w:u w:val="none"/>
    </w:rPr>
  </w:style>
  <w:style w:type="character" w:customStyle="1" w:styleId="162">
    <w:name w:val="列出段落 字符"/>
    <w:autoRedefine/>
    <w:qFormat/>
    <w:locked/>
    <w:uiPriority w:val="34"/>
    <w:rPr>
      <w:rFonts w:eastAsia="宋体"/>
      <w:kern w:val="2"/>
      <w:sz w:val="24"/>
      <w:lang w:val="en-US" w:eastAsia="zh-CN"/>
    </w:rPr>
  </w:style>
  <w:style w:type="character" w:customStyle="1" w:styleId="163">
    <w:name w:val="font61"/>
    <w:autoRedefine/>
    <w:qFormat/>
    <w:uiPriority w:val="0"/>
    <w:rPr>
      <w:rFonts w:ascii="Times New Roman" w:hAnsi="Times New Roman"/>
      <w:color w:val="000000"/>
      <w:sz w:val="20"/>
      <w:u w:val="none"/>
    </w:rPr>
  </w:style>
  <w:style w:type="character" w:customStyle="1" w:styleId="164">
    <w:name w:val="列出段落 Char"/>
    <w:link w:val="165"/>
    <w:autoRedefine/>
    <w:qFormat/>
    <w:locked/>
    <w:uiPriority w:val="34"/>
    <w:rPr>
      <w:rFonts w:eastAsia="宋体"/>
      <w:kern w:val="2"/>
      <w:sz w:val="24"/>
      <w:lang w:val="en-US" w:eastAsia="zh-CN"/>
    </w:rPr>
  </w:style>
  <w:style w:type="paragraph" w:styleId="165">
    <w:name w:val="List Paragraph"/>
    <w:basedOn w:val="1"/>
    <w:link w:val="164"/>
    <w:autoRedefine/>
    <w:qFormat/>
    <w:uiPriority w:val="34"/>
    <w:pPr>
      <w:spacing w:line="360" w:lineRule="auto"/>
      <w:ind w:firstLine="420" w:firstLineChars="200"/>
    </w:pPr>
    <w:rPr>
      <w:sz w:val="24"/>
    </w:rPr>
  </w:style>
  <w:style w:type="character" w:customStyle="1" w:styleId="166">
    <w:name w:val="正文文本缩进 字符2"/>
    <w:autoRedefine/>
    <w:semiHidden/>
    <w:qFormat/>
    <w:uiPriority w:val="99"/>
    <w:rPr>
      <w:kern w:val="2"/>
      <w:sz w:val="21"/>
    </w:rPr>
  </w:style>
  <w:style w:type="character" w:customStyle="1" w:styleId="167">
    <w:name w:val="font01"/>
    <w:autoRedefine/>
    <w:qFormat/>
    <w:uiPriority w:val="0"/>
    <w:rPr>
      <w:rFonts w:ascii="宋体" w:hAnsi="宋体" w:eastAsia="宋体"/>
      <w:color w:val="000000"/>
      <w:sz w:val="24"/>
      <w:u w:val="none"/>
    </w:rPr>
  </w:style>
  <w:style w:type="character" w:customStyle="1" w:styleId="168">
    <w:name w:val="标题 1 Char"/>
    <w:autoRedefine/>
    <w:qFormat/>
    <w:uiPriority w:val="9"/>
    <w:rPr>
      <w:rFonts w:ascii="宋体" w:eastAsia="宋体"/>
      <w:b/>
      <w:kern w:val="2"/>
      <w:sz w:val="28"/>
      <w:lang w:val="en-US" w:eastAsia="zh-CN"/>
    </w:rPr>
  </w:style>
  <w:style w:type="character" w:customStyle="1" w:styleId="169">
    <w:name w:val="标题 5 字符"/>
    <w:autoRedefine/>
    <w:qFormat/>
    <w:locked/>
    <w:uiPriority w:val="9"/>
    <w:rPr>
      <w:rFonts w:eastAsia="宋体"/>
      <w:b/>
      <w:kern w:val="2"/>
      <w:sz w:val="28"/>
      <w:lang w:val="en-US" w:eastAsia="zh-CN"/>
    </w:rPr>
  </w:style>
  <w:style w:type="character" w:customStyle="1" w:styleId="170">
    <w:name w:val="表格 字符"/>
    <w:link w:val="171"/>
    <w:autoRedefine/>
    <w:qFormat/>
    <w:uiPriority w:val="0"/>
    <w:rPr>
      <w:rFonts w:ascii="宋体" w:hAnsi="宋体" w:cs="Times New Roman"/>
      <w:kern w:val="2"/>
      <w:sz w:val="21"/>
      <w:szCs w:val="22"/>
    </w:rPr>
  </w:style>
  <w:style w:type="paragraph" w:customStyle="1" w:styleId="171">
    <w:name w:val="表格"/>
    <w:basedOn w:val="1"/>
    <w:link w:val="170"/>
    <w:autoRedefine/>
    <w:qFormat/>
    <w:uiPriority w:val="0"/>
    <w:pPr>
      <w:spacing w:line="276" w:lineRule="auto"/>
      <w:jc w:val="center"/>
    </w:pPr>
    <w:rPr>
      <w:rFonts w:ascii="宋体" w:hAnsi="宋体"/>
      <w:szCs w:val="22"/>
    </w:rPr>
  </w:style>
  <w:style w:type="character" w:customStyle="1" w:styleId="172">
    <w:name w:val="List Paragraph Char"/>
    <w:link w:val="173"/>
    <w:autoRedefine/>
    <w:qFormat/>
    <w:locked/>
    <w:uiPriority w:val="0"/>
    <w:rPr>
      <w:rFonts w:ascii="Calibri" w:hAnsi="Calibri" w:eastAsia="宋体"/>
      <w:kern w:val="2"/>
      <w:sz w:val="22"/>
      <w:lang w:val="en-US" w:eastAsia="zh-CN"/>
    </w:rPr>
  </w:style>
  <w:style w:type="paragraph" w:customStyle="1" w:styleId="173">
    <w:name w:val="列出段落1"/>
    <w:basedOn w:val="1"/>
    <w:link w:val="172"/>
    <w:autoRedefine/>
    <w:qFormat/>
    <w:uiPriority w:val="0"/>
    <w:pPr>
      <w:ind w:firstLine="420" w:firstLineChars="200"/>
    </w:pPr>
    <w:rPr>
      <w:rFonts w:ascii="Calibri" w:hAnsi="Calibri"/>
      <w:sz w:val="22"/>
    </w:rPr>
  </w:style>
  <w:style w:type="character" w:customStyle="1" w:styleId="174">
    <w:name w:val="HTML 预设格式 字符1"/>
    <w:autoRedefine/>
    <w:semiHidden/>
    <w:qFormat/>
    <w:uiPriority w:val="99"/>
    <w:rPr>
      <w:rFonts w:ascii="Courier New" w:hAnsi="Courier New" w:cs="Courier New"/>
      <w:kern w:val="2"/>
    </w:rPr>
  </w:style>
  <w:style w:type="character" w:customStyle="1" w:styleId="175">
    <w:name w:val="正文文本 3 字符"/>
    <w:autoRedefine/>
    <w:qFormat/>
    <w:locked/>
    <w:uiPriority w:val="99"/>
    <w:rPr>
      <w:rFonts w:eastAsia="宋体"/>
      <w:sz w:val="16"/>
    </w:rPr>
  </w:style>
  <w:style w:type="character" w:customStyle="1" w:styleId="176">
    <w:name w:val="日期 字符"/>
    <w:autoRedefine/>
    <w:qFormat/>
    <w:locked/>
    <w:uiPriority w:val="99"/>
    <w:rPr>
      <w:rFonts w:ascii="宋体" w:cs="Times New Roman"/>
      <w:sz w:val="24"/>
    </w:rPr>
  </w:style>
  <w:style w:type="character" w:customStyle="1" w:styleId="177">
    <w:name w:val="HTML 预设格式 字符"/>
    <w:autoRedefine/>
    <w:qFormat/>
    <w:locked/>
    <w:uiPriority w:val="99"/>
    <w:rPr>
      <w:rFonts w:ascii="Courier New" w:hAnsi="Courier New"/>
      <w:kern w:val="2"/>
    </w:rPr>
  </w:style>
  <w:style w:type="character" w:customStyle="1" w:styleId="178">
    <w:name w:val="页脚 字符"/>
    <w:autoRedefine/>
    <w:qFormat/>
    <w:locked/>
    <w:uiPriority w:val="99"/>
    <w:rPr>
      <w:rFonts w:ascii="宋体" w:hAnsi="宋体" w:eastAsia="宋体" w:cs="宋体"/>
      <w:kern w:val="2"/>
      <w:sz w:val="18"/>
      <w:szCs w:val="18"/>
      <w:lang w:val="en-US" w:eastAsia="zh-CN"/>
    </w:rPr>
  </w:style>
  <w:style w:type="character" w:customStyle="1" w:styleId="179">
    <w:name w:val="正文文本 Char1"/>
    <w:autoRedefine/>
    <w:qFormat/>
    <w:uiPriority w:val="0"/>
    <w:rPr>
      <w:rFonts w:ascii="Times New Roman" w:hAnsi="Times New Roman" w:eastAsia="宋体" w:cs="Times New Roman"/>
      <w:sz w:val="24"/>
      <w:szCs w:val="24"/>
    </w:rPr>
  </w:style>
  <w:style w:type="character" w:customStyle="1" w:styleId="180">
    <w:name w:val="正文文本缩进 3 字符"/>
    <w:autoRedefine/>
    <w:qFormat/>
    <w:locked/>
    <w:uiPriority w:val="99"/>
    <w:rPr>
      <w:rFonts w:ascii="宋体" w:hAnsi="宋体" w:eastAsia="宋体" w:cs="宋体"/>
      <w:b/>
      <w:kern w:val="2"/>
      <w:sz w:val="24"/>
      <w:szCs w:val="24"/>
      <w:lang w:val="en-US" w:eastAsia="zh-CN"/>
    </w:rPr>
  </w:style>
  <w:style w:type="character" w:customStyle="1" w:styleId="181">
    <w:name w:val="正文文本 2 字符"/>
    <w:autoRedefine/>
    <w:qFormat/>
    <w:locked/>
    <w:uiPriority w:val="99"/>
    <w:rPr>
      <w:rFonts w:eastAsia="宋体"/>
      <w:sz w:val="24"/>
    </w:rPr>
  </w:style>
  <w:style w:type="character" w:customStyle="1" w:styleId="182">
    <w:name w:val="正文文本缩进 2 字符1"/>
    <w:autoRedefine/>
    <w:semiHidden/>
    <w:qFormat/>
    <w:uiPriority w:val="99"/>
    <w:rPr>
      <w:kern w:val="2"/>
      <w:sz w:val="21"/>
    </w:rPr>
  </w:style>
  <w:style w:type="character" w:customStyle="1" w:styleId="183">
    <w:name w:val="纯文本 字符1"/>
    <w:autoRedefine/>
    <w:semiHidden/>
    <w:qFormat/>
    <w:uiPriority w:val="99"/>
    <w:rPr>
      <w:rFonts w:ascii="等线" w:hAnsi="Courier New" w:eastAsia="等线" w:cs="Courier New"/>
      <w:kern w:val="2"/>
      <w:sz w:val="21"/>
    </w:rPr>
  </w:style>
  <w:style w:type="character" w:customStyle="1" w:styleId="184">
    <w:name w:val="正文文本缩进 字符"/>
    <w:autoRedefine/>
    <w:qFormat/>
    <w:uiPriority w:val="0"/>
    <w:rPr>
      <w:rFonts w:ascii="Calibri" w:hAnsi="Calibri" w:cs="Calibri"/>
    </w:rPr>
  </w:style>
  <w:style w:type="character" w:customStyle="1" w:styleId="185">
    <w:name w:val="正文文本 字符"/>
    <w:autoRedefine/>
    <w:qFormat/>
    <w:locked/>
    <w:uiPriority w:val="99"/>
    <w:rPr>
      <w:rFonts w:ascii="宋体" w:hAnsi="宋体" w:eastAsia="宋体" w:cs="宋体"/>
      <w:lang w:val="en-US" w:eastAsia="zh-CN"/>
    </w:rPr>
  </w:style>
  <w:style w:type="character" w:customStyle="1" w:styleId="186">
    <w:name w:val="页眉 字符1"/>
    <w:autoRedefine/>
    <w:semiHidden/>
    <w:qFormat/>
    <w:uiPriority w:val="99"/>
    <w:rPr>
      <w:kern w:val="2"/>
      <w:sz w:val="18"/>
      <w:szCs w:val="18"/>
    </w:rPr>
  </w:style>
  <w:style w:type="character" w:customStyle="1" w:styleId="187">
    <w:name w:val="批注框文本 字符1"/>
    <w:autoRedefine/>
    <w:semiHidden/>
    <w:qFormat/>
    <w:uiPriority w:val="99"/>
    <w:rPr>
      <w:kern w:val="2"/>
      <w:sz w:val="18"/>
      <w:szCs w:val="18"/>
    </w:rPr>
  </w:style>
  <w:style w:type="character" w:customStyle="1" w:styleId="188">
    <w:name w:val="文档结构图 字符"/>
    <w:autoRedefine/>
    <w:qFormat/>
    <w:locked/>
    <w:uiPriority w:val="99"/>
    <w:rPr>
      <w:rFonts w:eastAsia="宋体"/>
      <w:kern w:val="2"/>
      <w:sz w:val="21"/>
      <w:lang w:val="en-US" w:eastAsia="zh-CN"/>
    </w:rPr>
  </w:style>
  <w:style w:type="paragraph" w:customStyle="1" w:styleId="189">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
    <w:name w:val="Char1"/>
    <w:basedOn w:val="1"/>
    <w:autoRedefine/>
    <w:qFormat/>
    <w:uiPriority w:val="0"/>
    <w:rPr>
      <w:rFonts w:ascii="仿宋_GB2312" w:eastAsia="仿宋_GB2312"/>
      <w:b/>
      <w:sz w:val="32"/>
      <w:szCs w:val="32"/>
    </w:rPr>
  </w:style>
  <w:style w:type="paragraph" w:customStyle="1" w:styleId="194">
    <w:name w:val="正文1"/>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196">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7">
    <w:name w:val="p0"/>
    <w:basedOn w:val="1"/>
    <w:autoRedefine/>
    <w:qFormat/>
    <w:uiPriority w:val="0"/>
    <w:pPr>
      <w:widowControl/>
    </w:pPr>
    <w:rPr>
      <w:kern w:val="0"/>
      <w:szCs w:val="21"/>
    </w:rPr>
  </w:style>
  <w:style w:type="paragraph" w:customStyle="1" w:styleId="198">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199">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Default"/>
    <w:autoRedefine/>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01">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02">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行首缩进]"/>
    <w:autoRedefine/>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styleId="204">
    <w:name w:val="No Spacing"/>
    <w:link w:val="205"/>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205">
    <w:name w:val="无间隔 Char"/>
    <w:link w:val="204"/>
    <w:autoRedefine/>
    <w:qFormat/>
    <w:uiPriority w:val="1"/>
    <w:rPr>
      <w:kern w:val="2"/>
      <w:sz w:val="21"/>
      <w:lang w:bidi="ar-SA"/>
    </w:rPr>
  </w:style>
  <w:style w:type="paragraph" w:customStyle="1" w:styleId="206">
    <w:name w:val="Item List in Table"/>
    <w:basedOn w:val="1"/>
    <w:autoRedefine/>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07">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08">
    <w:name w:val="列出段落11"/>
    <w:basedOn w:val="1"/>
    <w:autoRedefine/>
    <w:qFormat/>
    <w:uiPriority w:val="34"/>
    <w:pPr>
      <w:ind w:firstLine="420" w:firstLineChars="200"/>
    </w:pPr>
    <w:rPr>
      <w:szCs w:val="24"/>
    </w:rPr>
  </w:style>
  <w:style w:type="paragraph" w:customStyle="1" w:styleId="209">
    <w:name w:val="标题3"/>
    <w:basedOn w:val="6"/>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10">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211">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12">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13">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214">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215">
    <w:name w:val="Char Char Char1 Char"/>
    <w:basedOn w:val="1"/>
    <w:autoRedefine/>
    <w:qFormat/>
    <w:uiPriority w:val="0"/>
    <w:pPr>
      <w:spacing w:line="360" w:lineRule="auto"/>
      <w:ind w:firstLine="200" w:firstLineChars="200"/>
    </w:pPr>
  </w:style>
  <w:style w:type="paragraph" w:customStyle="1" w:styleId="216">
    <w:name w:val="正文 居中"/>
    <w:basedOn w:val="1"/>
    <w:autoRedefine/>
    <w:qFormat/>
    <w:uiPriority w:val="0"/>
    <w:pPr>
      <w:spacing w:line="360" w:lineRule="auto"/>
      <w:jc w:val="center"/>
    </w:pPr>
    <w:rPr>
      <w:rFonts w:cs="宋体"/>
      <w:sz w:val="24"/>
    </w:rPr>
  </w:style>
  <w:style w:type="paragraph" w:customStyle="1" w:styleId="217">
    <w:name w:val="默认段落字体 Para Char Char Char Char Char Char Char Char Char1 Char Char Char Char"/>
    <w:basedOn w:val="1"/>
    <w:autoRedefine/>
    <w:qFormat/>
    <w:uiPriority w:val="0"/>
    <w:rPr>
      <w:rFonts w:ascii="Tahoma" w:hAnsi="Tahoma"/>
      <w:sz w:val="24"/>
    </w:rPr>
  </w:style>
  <w:style w:type="paragraph" w:customStyle="1" w:styleId="218">
    <w:name w:val="正文2"/>
    <w:basedOn w:val="1"/>
    <w:link w:val="219"/>
    <w:autoRedefine/>
    <w:qFormat/>
    <w:uiPriority w:val="0"/>
    <w:pPr>
      <w:spacing w:beforeLines="50" w:afterLines="50" w:line="360" w:lineRule="auto"/>
      <w:ind w:firstLine="480" w:firstLineChars="200"/>
    </w:pPr>
    <w:rPr>
      <w:rFonts w:ascii="宋体" w:hAnsi="宋体"/>
      <w:sz w:val="24"/>
      <w:szCs w:val="24"/>
    </w:rPr>
  </w:style>
  <w:style w:type="character" w:customStyle="1" w:styleId="219">
    <w:name w:val="正文2 Char"/>
    <w:link w:val="218"/>
    <w:autoRedefine/>
    <w:qFormat/>
    <w:uiPriority w:val="0"/>
    <w:rPr>
      <w:rFonts w:ascii="宋体" w:hAnsi="宋体"/>
      <w:kern w:val="2"/>
      <w:sz w:val="24"/>
      <w:szCs w:val="24"/>
    </w:rPr>
  </w:style>
  <w:style w:type="paragraph" w:customStyle="1" w:styleId="220">
    <w:name w:val="符号 2"/>
    <w:basedOn w:val="221"/>
    <w:autoRedefine/>
    <w:qFormat/>
    <w:uiPriority w:val="0"/>
    <w:pPr>
      <w:tabs>
        <w:tab w:val="left" w:pos="900"/>
        <w:tab w:val="left" w:pos="1320"/>
      </w:tabs>
      <w:ind w:left="1320" w:hanging="420"/>
    </w:pPr>
  </w:style>
  <w:style w:type="paragraph" w:customStyle="1" w:styleId="221">
    <w:name w:val="符号 1"/>
    <w:basedOn w:val="20"/>
    <w:autoRedefine/>
    <w:qFormat/>
    <w:uiPriority w:val="0"/>
    <w:pPr>
      <w:tabs>
        <w:tab w:val="left" w:pos="900"/>
      </w:tabs>
      <w:spacing w:line="360" w:lineRule="auto"/>
      <w:ind w:left="1200" w:hanging="720"/>
    </w:pPr>
    <w:rPr>
      <w:rFonts w:eastAsia="宋体"/>
      <w:kern w:val="28"/>
      <w:szCs w:val="24"/>
    </w:rPr>
  </w:style>
  <w:style w:type="paragraph" w:customStyle="1" w:styleId="222">
    <w:name w:val="0正文"/>
    <w:basedOn w:val="1"/>
    <w:autoRedefine/>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23">
    <w:name w:val="Char2"/>
    <w:basedOn w:val="1"/>
    <w:autoRedefine/>
    <w:qFormat/>
    <w:uiPriority w:val="0"/>
    <w:pPr>
      <w:tabs>
        <w:tab w:val="left" w:pos="1200"/>
      </w:tabs>
      <w:ind w:left="1200" w:hanging="720"/>
    </w:pPr>
    <w:rPr>
      <w:sz w:val="24"/>
      <w:szCs w:val="24"/>
    </w:rPr>
  </w:style>
  <w:style w:type="paragraph" w:customStyle="1" w:styleId="224">
    <w:name w:val="标题1"/>
    <w:basedOn w:val="4"/>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25">
    <w:name w:val="Char11"/>
    <w:basedOn w:val="1"/>
    <w:autoRedefine/>
    <w:qFormat/>
    <w:uiPriority w:val="0"/>
    <w:rPr>
      <w:szCs w:val="24"/>
    </w:rPr>
  </w:style>
  <w:style w:type="paragraph" w:customStyle="1" w:styleId="226">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27">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28">
    <w:name w:val="List Paragraph1"/>
    <w:basedOn w:val="1"/>
    <w:autoRedefine/>
    <w:qFormat/>
    <w:uiPriority w:val="0"/>
    <w:pPr>
      <w:widowControl/>
      <w:spacing w:before="15" w:after="15" w:line="460" w:lineRule="exact"/>
      <w:ind w:firstLine="420" w:firstLineChars="200"/>
      <w:jc w:val="left"/>
    </w:pPr>
    <w:rPr>
      <w:rFonts w:ascii="Calibri" w:hAnsi="Calibri"/>
      <w:sz w:val="24"/>
      <w:szCs w:val="22"/>
    </w:rPr>
  </w:style>
  <w:style w:type="paragraph" w:customStyle="1" w:styleId="229">
    <w:name w:val="Table Text"/>
    <w:basedOn w:val="1"/>
    <w:autoRedefine/>
    <w:qFormat/>
    <w:uiPriority w:val="0"/>
    <w:pPr>
      <w:widowControl/>
      <w:jc w:val="left"/>
    </w:pPr>
    <w:rPr>
      <w:rFonts w:ascii="Arial" w:hAnsi="Arial"/>
      <w:kern w:val="0"/>
      <w:szCs w:val="21"/>
    </w:rPr>
  </w:style>
  <w:style w:type="paragraph" w:customStyle="1" w:styleId="230">
    <w:name w:val="正文编码"/>
    <w:basedOn w:val="2"/>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3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32">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33">
    <w:name w:val="正文段"/>
    <w:basedOn w:val="1"/>
    <w:autoRedefine/>
    <w:qFormat/>
    <w:uiPriority w:val="0"/>
    <w:pPr>
      <w:widowControl/>
      <w:snapToGrid w:val="0"/>
      <w:spacing w:afterLines="50"/>
      <w:ind w:firstLine="200" w:firstLineChars="200"/>
    </w:pPr>
    <w:rPr>
      <w:kern w:val="0"/>
      <w:sz w:val="24"/>
    </w:rPr>
  </w:style>
  <w:style w:type="paragraph" w:customStyle="1" w:styleId="234">
    <w:name w:val="正文文本缩进 + 四号"/>
    <w:basedOn w:val="20"/>
    <w:autoRedefine/>
    <w:qFormat/>
    <w:uiPriority w:val="0"/>
    <w:pPr>
      <w:spacing w:line="360" w:lineRule="auto"/>
      <w:ind w:firstLine="560" w:firstLineChars="200"/>
    </w:pPr>
    <w:rPr>
      <w:rFonts w:ascii="仿宋_GB2312" w:eastAsia="仿宋_GB2312"/>
      <w:color w:val="000000"/>
      <w:sz w:val="28"/>
      <w:szCs w:val="28"/>
    </w:rPr>
  </w:style>
  <w:style w:type="paragraph" w:customStyle="1" w:styleId="235">
    <w:name w:val="标准正文"/>
    <w:basedOn w:val="1"/>
    <w:autoRedefine/>
    <w:qFormat/>
    <w:uiPriority w:val="0"/>
    <w:pPr>
      <w:adjustRightInd w:val="0"/>
      <w:spacing w:line="360" w:lineRule="auto"/>
      <w:ind w:firstLine="480" w:firstLineChars="200"/>
    </w:pPr>
    <w:rPr>
      <w:kern w:val="0"/>
      <w:sz w:val="24"/>
    </w:rPr>
  </w:style>
  <w:style w:type="paragraph" w:customStyle="1" w:styleId="236">
    <w:name w:val="Char Char Char Char Char Char Char"/>
    <w:basedOn w:val="1"/>
    <w:autoRedefine/>
    <w:qFormat/>
    <w:uiPriority w:val="0"/>
    <w:pPr>
      <w:tabs>
        <w:tab w:val="left" w:pos="432"/>
      </w:tabs>
      <w:ind w:left="432" w:hanging="432"/>
    </w:pPr>
    <w:rPr>
      <w:rFonts w:ascii="Tahoma" w:hAnsi="Tahoma"/>
      <w:sz w:val="24"/>
    </w:rPr>
  </w:style>
  <w:style w:type="paragraph" w:customStyle="1" w:styleId="237">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默认段落字体 Para Char Char Char Char Char Char Char Char Char Char"/>
    <w:basedOn w:val="1"/>
    <w:autoRedefine/>
    <w:qFormat/>
    <w:uiPriority w:val="0"/>
    <w:rPr>
      <w:rFonts w:ascii="Tahoma" w:hAnsi="Tahoma"/>
      <w:sz w:val="24"/>
    </w:rPr>
  </w:style>
  <w:style w:type="paragraph" w:customStyle="1" w:styleId="239">
    <w:name w:val="表格正文"/>
    <w:basedOn w:val="1"/>
    <w:autoRedefine/>
    <w:qFormat/>
    <w:uiPriority w:val="0"/>
    <w:rPr>
      <w:rFonts w:eastAsia="黑体"/>
    </w:rPr>
  </w:style>
  <w:style w:type="paragraph" w:customStyle="1" w:styleId="240">
    <w:name w:val="Char Char1 Char Char Char Char"/>
    <w:basedOn w:val="1"/>
    <w:autoRedefine/>
    <w:qFormat/>
    <w:uiPriority w:val="0"/>
    <w:rPr>
      <w:rFonts w:ascii="Tahoma" w:hAnsi="Tahoma"/>
      <w:sz w:val="24"/>
    </w:rPr>
  </w:style>
  <w:style w:type="paragraph" w:customStyle="1" w:styleId="241">
    <w:name w:val="彩色列表 - 强调文字颜色 11"/>
    <w:basedOn w:val="1"/>
    <w:autoRedefine/>
    <w:qFormat/>
    <w:uiPriority w:val="0"/>
    <w:pPr>
      <w:ind w:firstLine="420" w:firstLineChars="200"/>
    </w:pPr>
    <w:rPr>
      <w:rFonts w:ascii="Calibri" w:hAnsi="Calibri"/>
      <w:szCs w:val="22"/>
    </w:rPr>
  </w:style>
  <w:style w:type="character" w:customStyle="1" w:styleId="242">
    <w:name w:val="zbggmain style9"/>
    <w:basedOn w:val="52"/>
    <w:autoRedefine/>
    <w:qFormat/>
    <w:uiPriority w:val="0"/>
  </w:style>
  <w:style w:type="character" w:customStyle="1" w:styleId="243">
    <w:name w:val="pubtime"/>
    <w:autoRedefine/>
    <w:qFormat/>
    <w:uiPriority w:val="0"/>
    <w:rPr>
      <w:rFonts w:ascii="仿宋_GB2312" w:eastAsia="仿宋_GB2312"/>
      <w:color w:val="000000"/>
      <w:sz w:val="14"/>
      <w:szCs w:val="14"/>
    </w:rPr>
  </w:style>
  <w:style w:type="character" w:customStyle="1" w:styleId="244">
    <w:name w:val="font41"/>
    <w:autoRedefine/>
    <w:qFormat/>
    <w:uiPriority w:val="0"/>
    <w:rPr>
      <w:rFonts w:ascii="font-weight : 400" w:hAnsi="font-weight : 400" w:eastAsia="font-weight : 400" w:cs="font-weight : 400"/>
      <w:b/>
      <w:color w:val="000000"/>
      <w:sz w:val="22"/>
      <w:szCs w:val="22"/>
      <w:u w:val="none"/>
    </w:rPr>
  </w:style>
  <w:style w:type="character" w:customStyle="1" w:styleId="245">
    <w:name w:val="c-icon16"/>
    <w:basedOn w:val="52"/>
    <w:autoRedefine/>
    <w:qFormat/>
    <w:uiPriority w:val="0"/>
  </w:style>
  <w:style w:type="character" w:customStyle="1" w:styleId="246">
    <w:name w:val="p12"/>
    <w:basedOn w:val="52"/>
    <w:autoRedefine/>
    <w:qFormat/>
    <w:uiPriority w:val="0"/>
  </w:style>
  <w:style w:type="character" w:customStyle="1" w:styleId="247">
    <w:name w:val="font131"/>
    <w:autoRedefine/>
    <w:qFormat/>
    <w:uiPriority w:val="0"/>
    <w:rPr>
      <w:rFonts w:hint="eastAsia" w:ascii="宋体" w:hAnsi="宋体" w:eastAsia="宋体"/>
      <w:color w:val="000000"/>
      <w:sz w:val="24"/>
      <w:szCs w:val="24"/>
      <w:u w:val="none"/>
    </w:rPr>
  </w:style>
  <w:style w:type="character" w:customStyle="1" w:styleId="248">
    <w:name w:val="正文文本 3 Char1"/>
    <w:autoRedefine/>
    <w:semiHidden/>
    <w:qFormat/>
    <w:uiPriority w:val="99"/>
    <w:rPr>
      <w:rFonts w:ascii="Times New Roman" w:hAnsi="Times New Roman" w:eastAsia="宋体" w:cs="Times New Roman"/>
      <w:sz w:val="16"/>
      <w:szCs w:val="16"/>
    </w:rPr>
  </w:style>
  <w:style w:type="character" w:customStyle="1" w:styleId="249">
    <w:name w:val="h Char Char"/>
    <w:autoRedefine/>
    <w:qFormat/>
    <w:uiPriority w:val="0"/>
    <w:rPr>
      <w:rFonts w:ascii="仿宋_GB2312" w:eastAsia="仿宋_GB2312"/>
      <w:b/>
      <w:kern w:val="2"/>
      <w:sz w:val="18"/>
      <w:szCs w:val="18"/>
    </w:rPr>
  </w:style>
  <w:style w:type="character" w:customStyle="1" w:styleId="250">
    <w:name w:val="style171"/>
    <w:autoRedefine/>
    <w:qFormat/>
    <w:uiPriority w:val="0"/>
    <w:rPr>
      <w:rFonts w:ascii="仿宋_GB2312" w:eastAsia="仿宋_GB2312"/>
      <w:b/>
      <w:bCs/>
      <w:color w:val="000000"/>
      <w:sz w:val="32"/>
      <w:szCs w:val="32"/>
    </w:rPr>
  </w:style>
  <w:style w:type="character" w:customStyle="1" w:styleId="251">
    <w:name w:val="font21"/>
    <w:autoRedefine/>
    <w:qFormat/>
    <w:uiPriority w:val="0"/>
    <w:rPr>
      <w:rFonts w:hint="eastAsia" w:ascii="宋体" w:hAnsi="宋体" w:eastAsia="宋体" w:cs="宋体"/>
      <w:b/>
      <w:color w:val="000000"/>
      <w:sz w:val="22"/>
      <w:szCs w:val="22"/>
      <w:u w:val="none"/>
    </w:rPr>
  </w:style>
  <w:style w:type="character" w:customStyle="1" w:styleId="252">
    <w:name w:val="正文文本缩进 Char2"/>
    <w:autoRedefine/>
    <w:semiHidden/>
    <w:qFormat/>
    <w:uiPriority w:val="99"/>
    <w:rPr>
      <w:rFonts w:ascii="Times New Roman" w:hAnsi="Times New Roman" w:eastAsia="宋体" w:cs="Times New Roman"/>
      <w:szCs w:val="24"/>
    </w:rPr>
  </w:style>
  <w:style w:type="character" w:customStyle="1" w:styleId="253">
    <w:name w:val="样式 样式 首行缩进:  2.25 字符 + 首行缩进:  2.25 字符 Char"/>
    <w:link w:val="254"/>
    <w:autoRedefine/>
    <w:qFormat/>
    <w:uiPriority w:val="0"/>
    <w:rPr>
      <w:rFonts w:ascii="宋体" w:hAnsi="宋体" w:cs="宋体"/>
      <w:b/>
      <w:szCs w:val="21"/>
    </w:rPr>
  </w:style>
  <w:style w:type="paragraph" w:customStyle="1" w:styleId="254">
    <w:name w:val="样式 样式 首行缩进:  2.25 字符 + 首行缩进:  2.25 字符"/>
    <w:basedOn w:val="1"/>
    <w:link w:val="253"/>
    <w:autoRedefine/>
    <w:qFormat/>
    <w:uiPriority w:val="0"/>
    <w:pPr>
      <w:spacing w:line="360" w:lineRule="auto"/>
      <w:ind w:firstLine="420" w:firstLineChars="200"/>
    </w:pPr>
    <w:rPr>
      <w:rFonts w:ascii="宋体" w:hAnsi="宋体"/>
      <w:b/>
      <w:kern w:val="0"/>
      <w:sz w:val="20"/>
      <w:szCs w:val="21"/>
    </w:rPr>
  </w:style>
  <w:style w:type="character" w:customStyle="1" w:styleId="255">
    <w:name w:val="op_dict3_lineone_result_tip"/>
    <w:autoRedefine/>
    <w:qFormat/>
    <w:uiPriority w:val="0"/>
    <w:rPr>
      <w:color w:val="999999"/>
    </w:rPr>
  </w:style>
  <w:style w:type="character" w:customStyle="1" w:styleId="256">
    <w:name w:val="HTML 预设格式 Char1"/>
    <w:autoRedefine/>
    <w:semiHidden/>
    <w:qFormat/>
    <w:uiPriority w:val="99"/>
    <w:rPr>
      <w:rFonts w:ascii="Courier New" w:hAnsi="Courier New" w:eastAsia="宋体" w:cs="Courier New"/>
      <w:sz w:val="20"/>
      <w:szCs w:val="20"/>
    </w:rPr>
  </w:style>
  <w:style w:type="character" w:customStyle="1" w:styleId="257">
    <w:name w:val="文档结构图 Char1"/>
    <w:autoRedefine/>
    <w:qFormat/>
    <w:uiPriority w:val="0"/>
    <w:rPr>
      <w:rFonts w:ascii="宋体" w:eastAsia="仿宋_GB2312"/>
      <w:b/>
      <w:kern w:val="2"/>
      <w:sz w:val="18"/>
      <w:szCs w:val="18"/>
    </w:rPr>
  </w:style>
  <w:style w:type="character" w:customStyle="1" w:styleId="258">
    <w:name w:val="无"/>
    <w:autoRedefine/>
    <w:qFormat/>
    <w:uiPriority w:val="99"/>
  </w:style>
  <w:style w:type="character" w:customStyle="1" w:styleId="259">
    <w:name w:val="工可正文 Char"/>
    <w:link w:val="260"/>
    <w:autoRedefine/>
    <w:qFormat/>
    <w:uiPriority w:val="0"/>
    <w:rPr>
      <w:rFonts w:ascii="宋体" w:hAnsi="Courier New"/>
      <w:sz w:val="28"/>
    </w:rPr>
  </w:style>
  <w:style w:type="paragraph" w:customStyle="1" w:styleId="260">
    <w:name w:val="工可正文"/>
    <w:basedOn w:val="1"/>
    <w:link w:val="259"/>
    <w:autoRedefine/>
    <w:qFormat/>
    <w:uiPriority w:val="0"/>
    <w:pPr>
      <w:spacing w:line="360" w:lineRule="auto"/>
      <w:ind w:firstLine="560" w:firstLineChars="200"/>
    </w:pPr>
    <w:rPr>
      <w:rFonts w:ascii="宋体" w:hAnsi="Courier New"/>
      <w:kern w:val="0"/>
      <w:sz w:val="28"/>
    </w:rPr>
  </w:style>
  <w:style w:type="character" w:customStyle="1" w:styleId="261">
    <w:name w:val="标题 Char2"/>
    <w:autoRedefine/>
    <w:qFormat/>
    <w:uiPriority w:val="10"/>
    <w:rPr>
      <w:rFonts w:ascii="Cambria" w:hAnsi="Cambria" w:eastAsia="宋体" w:cs="Times New Roman"/>
      <w:b/>
      <w:bCs/>
      <w:sz w:val="32"/>
      <w:szCs w:val="32"/>
    </w:rPr>
  </w:style>
  <w:style w:type="character" w:customStyle="1" w:styleId="262">
    <w:name w:val="font111"/>
    <w:autoRedefine/>
    <w:qFormat/>
    <w:uiPriority w:val="0"/>
    <w:rPr>
      <w:rFonts w:hint="default" w:ascii="Times New Roman" w:hAnsi="Times New Roman" w:cs="Times New Roman"/>
      <w:color w:val="000000"/>
      <w:sz w:val="24"/>
      <w:szCs w:val="24"/>
      <w:u w:val="none"/>
    </w:rPr>
  </w:style>
  <w:style w:type="character" w:customStyle="1" w:styleId="263">
    <w:name w:val="f11"/>
    <w:autoRedefine/>
    <w:qFormat/>
    <w:uiPriority w:val="0"/>
    <w:rPr>
      <w:rFonts w:ascii="仿宋_GB2312" w:eastAsia="仿宋_GB2312"/>
      <w:b/>
      <w:sz w:val="24"/>
      <w:szCs w:val="24"/>
    </w:rPr>
  </w:style>
  <w:style w:type="character" w:customStyle="1" w:styleId="264">
    <w:name w:val="文档结构图 Char2"/>
    <w:autoRedefine/>
    <w:semiHidden/>
    <w:qFormat/>
    <w:uiPriority w:val="99"/>
    <w:rPr>
      <w:rFonts w:ascii="宋体" w:hAnsi="Times New Roman" w:eastAsia="宋体" w:cs="Times New Roman"/>
      <w:sz w:val="18"/>
      <w:szCs w:val="18"/>
    </w:rPr>
  </w:style>
  <w:style w:type="character" w:customStyle="1" w:styleId="265">
    <w:name w:val="font31"/>
    <w:autoRedefine/>
    <w:qFormat/>
    <w:uiPriority w:val="0"/>
    <w:rPr>
      <w:rFonts w:hint="eastAsia" w:ascii="宋体" w:hAnsi="宋体" w:eastAsia="宋体"/>
      <w:color w:val="000000"/>
      <w:sz w:val="24"/>
      <w:szCs w:val="24"/>
      <w:u w:val="none"/>
    </w:rPr>
  </w:style>
  <w:style w:type="character" w:customStyle="1" w:styleId="266">
    <w:name w:val="z-窗体底端 Char"/>
    <w:link w:val="267"/>
    <w:autoRedefine/>
    <w:qFormat/>
    <w:uiPriority w:val="0"/>
    <w:rPr>
      <w:rFonts w:ascii="Arial"/>
      <w:vanish/>
      <w:sz w:val="16"/>
      <w:szCs w:val="24"/>
    </w:rPr>
  </w:style>
  <w:style w:type="paragraph" w:customStyle="1" w:styleId="267">
    <w:name w:val="_Style 265"/>
    <w:basedOn w:val="1"/>
    <w:next w:val="1"/>
    <w:link w:val="266"/>
    <w:autoRedefine/>
    <w:qFormat/>
    <w:uiPriority w:val="0"/>
    <w:pPr>
      <w:pBdr>
        <w:top w:val="single" w:color="auto" w:sz="6" w:space="1"/>
      </w:pBdr>
      <w:jc w:val="center"/>
    </w:pPr>
    <w:rPr>
      <w:rFonts w:ascii="Arial"/>
      <w:vanish/>
      <w:kern w:val="0"/>
      <w:sz w:val="16"/>
      <w:szCs w:val="24"/>
    </w:rPr>
  </w:style>
  <w:style w:type="character" w:customStyle="1" w:styleId="268">
    <w:name w:val="正文文本缩进 3 Char2"/>
    <w:autoRedefine/>
    <w:semiHidden/>
    <w:qFormat/>
    <w:uiPriority w:val="99"/>
    <w:rPr>
      <w:rFonts w:ascii="Times New Roman" w:hAnsi="Times New Roman" w:eastAsia="宋体" w:cs="Times New Roman"/>
      <w:sz w:val="16"/>
      <w:szCs w:val="16"/>
    </w:rPr>
  </w:style>
  <w:style w:type="character" w:customStyle="1" w:styleId="269">
    <w:name w:val="标题 Char1"/>
    <w:autoRedefine/>
    <w:qFormat/>
    <w:uiPriority w:val="0"/>
    <w:rPr>
      <w:rFonts w:ascii="Cambria" w:hAnsi="Cambria" w:eastAsia="仿宋_GB2312" w:cs="Times New Roman"/>
      <w:b/>
      <w:bCs/>
      <w:kern w:val="2"/>
      <w:sz w:val="32"/>
      <w:szCs w:val="32"/>
    </w:rPr>
  </w:style>
  <w:style w:type="character" w:customStyle="1" w:styleId="270">
    <w:name w:val="op-map-singlepoint-info-right"/>
    <w:autoRedefine/>
    <w:qFormat/>
    <w:uiPriority w:val="99"/>
    <w:rPr>
      <w:rFonts w:ascii="仿宋_GB2312" w:eastAsia="仿宋_GB2312"/>
      <w:b/>
      <w:sz w:val="32"/>
      <w:szCs w:val="32"/>
    </w:rPr>
  </w:style>
  <w:style w:type="character" w:customStyle="1" w:styleId="271">
    <w:name w:val="z-窗体顶端 Char"/>
    <w:link w:val="272"/>
    <w:autoRedefine/>
    <w:qFormat/>
    <w:uiPriority w:val="0"/>
    <w:rPr>
      <w:rFonts w:ascii="Arial"/>
      <w:vanish/>
      <w:sz w:val="16"/>
      <w:szCs w:val="24"/>
    </w:rPr>
  </w:style>
  <w:style w:type="paragraph" w:customStyle="1" w:styleId="272">
    <w:name w:val="_Style 270"/>
    <w:basedOn w:val="1"/>
    <w:next w:val="1"/>
    <w:link w:val="271"/>
    <w:autoRedefine/>
    <w:qFormat/>
    <w:uiPriority w:val="0"/>
    <w:pPr>
      <w:pBdr>
        <w:bottom w:val="single" w:color="auto" w:sz="6" w:space="1"/>
      </w:pBdr>
      <w:jc w:val="center"/>
    </w:pPr>
    <w:rPr>
      <w:rFonts w:ascii="Arial"/>
      <w:vanish/>
      <w:kern w:val="0"/>
      <w:sz w:val="16"/>
      <w:szCs w:val="24"/>
    </w:rPr>
  </w:style>
  <w:style w:type="character" w:customStyle="1" w:styleId="273">
    <w:name w:val="font71"/>
    <w:autoRedefine/>
    <w:qFormat/>
    <w:uiPriority w:val="0"/>
    <w:rPr>
      <w:rFonts w:hint="eastAsia" w:ascii="宋体" w:hAnsi="宋体" w:eastAsia="宋体" w:cs="宋体"/>
      <w:b/>
      <w:color w:val="0000FF"/>
      <w:sz w:val="22"/>
      <w:szCs w:val="22"/>
      <w:u w:val="none"/>
    </w:rPr>
  </w:style>
  <w:style w:type="character" w:customStyle="1" w:styleId="274">
    <w:name w:val="font51"/>
    <w:autoRedefine/>
    <w:qFormat/>
    <w:uiPriority w:val="0"/>
    <w:rPr>
      <w:rFonts w:hint="eastAsia" w:ascii="宋体" w:hAnsi="宋体" w:eastAsia="宋体"/>
      <w:color w:val="000000"/>
      <w:sz w:val="24"/>
      <w:szCs w:val="24"/>
      <w:u w:val="none"/>
    </w:rPr>
  </w:style>
  <w:style w:type="character" w:customStyle="1" w:styleId="275">
    <w:name w:val="style2 bin1"/>
    <w:autoRedefine/>
    <w:qFormat/>
    <w:uiPriority w:val="0"/>
    <w:rPr>
      <w:rFonts w:ascii="仿宋_GB2312" w:eastAsia="仿宋_GB2312"/>
      <w:b/>
      <w:sz w:val="32"/>
      <w:szCs w:val="32"/>
    </w:rPr>
  </w:style>
  <w:style w:type="character" w:customStyle="1" w:styleId="276">
    <w:name w:val="font12gray1"/>
    <w:autoRedefine/>
    <w:qFormat/>
    <w:uiPriority w:val="0"/>
    <w:rPr>
      <w:rFonts w:ascii="仿宋_GB2312" w:eastAsia="仿宋_GB2312"/>
      <w:b/>
      <w:sz w:val="18"/>
      <w:szCs w:val="18"/>
    </w:rPr>
  </w:style>
  <w:style w:type="character" w:customStyle="1" w:styleId="277">
    <w:name w:val="font91"/>
    <w:autoRedefine/>
    <w:qFormat/>
    <w:uiPriority w:val="0"/>
    <w:rPr>
      <w:rFonts w:hint="eastAsia" w:ascii="华文细黑" w:hAnsi="华文细黑" w:eastAsia="华文细黑"/>
      <w:color w:val="FF0000"/>
      <w:sz w:val="18"/>
      <w:szCs w:val="18"/>
      <w:u w:val="none"/>
    </w:rPr>
  </w:style>
  <w:style w:type="character" w:customStyle="1" w:styleId="278">
    <w:name w:val="style191"/>
    <w:autoRedefine/>
    <w:qFormat/>
    <w:uiPriority w:val="0"/>
    <w:rPr>
      <w:rFonts w:ascii="仿宋_GB2312" w:eastAsia="仿宋_GB2312"/>
      <w:b/>
      <w:bCs/>
      <w:sz w:val="21"/>
      <w:szCs w:val="21"/>
    </w:rPr>
  </w:style>
  <w:style w:type="paragraph" w:customStyle="1" w:styleId="279">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80">
    <w:name w:val="et21"/>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281">
    <w:name w:val="标题 Char3"/>
    <w:autoRedefine/>
    <w:qFormat/>
    <w:uiPriority w:val="0"/>
    <w:rPr>
      <w:rFonts w:ascii="Cambria" w:hAnsi="Cambria" w:cs="Times New Roman"/>
      <w:b/>
      <w:bCs/>
      <w:kern w:val="2"/>
      <w:sz w:val="32"/>
      <w:szCs w:val="32"/>
    </w:rPr>
  </w:style>
  <w:style w:type="paragraph" w:customStyle="1" w:styleId="282">
    <w:name w:val="et20"/>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283">
    <w:name w:val="et46"/>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4">
    <w:name w:val="et2"/>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5">
    <w:name w:val="et26"/>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87">
    <w:name w:val="xl1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10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289">
    <w:name w:val="z-窗体底端 Char1"/>
    <w:autoRedefine/>
    <w:semiHidden/>
    <w:qFormat/>
    <w:uiPriority w:val="99"/>
    <w:rPr>
      <w:rFonts w:ascii="Arial" w:hAnsi="Arial" w:cs="Arial"/>
      <w:vanish/>
      <w:kern w:val="2"/>
      <w:sz w:val="16"/>
      <w:szCs w:val="16"/>
    </w:rPr>
  </w:style>
  <w:style w:type="paragraph" w:customStyle="1" w:styleId="290">
    <w:name w:val="xl1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1">
    <w:name w:val="et50"/>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2">
    <w:name w:val="et59"/>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3">
    <w:name w:val="et48"/>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4">
    <w:name w:val="2"/>
    <w:basedOn w:val="1"/>
    <w:next w:val="1"/>
    <w:autoRedefine/>
    <w:qFormat/>
    <w:uiPriority w:val="0"/>
    <w:rPr>
      <w:rFonts w:ascii="Calibri" w:hAnsi="Calibri" w:eastAsia="仿宋_GB2312"/>
      <w:sz w:val="18"/>
    </w:rPr>
  </w:style>
  <w:style w:type="paragraph" w:customStyle="1" w:styleId="295">
    <w:name w:val="xl1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6">
    <w:name w:val="标题6"/>
    <w:basedOn w:val="1"/>
    <w:next w:val="4"/>
    <w:autoRedefine/>
    <w:qFormat/>
    <w:uiPriority w:val="0"/>
    <w:pPr>
      <w:widowControl/>
      <w:snapToGrid w:val="0"/>
      <w:spacing w:beforeLines="50" w:afterLines="50" w:line="520" w:lineRule="atLeast"/>
      <w:ind w:firstLine="200" w:firstLineChars="200"/>
    </w:pPr>
    <w:rPr>
      <w:rFonts w:ascii="Calibri" w:hAnsi="Calibri" w:cs="Arial"/>
      <w:b/>
      <w:sz w:val="24"/>
      <w:szCs w:val="24"/>
    </w:rPr>
  </w:style>
  <w:style w:type="paragraph" w:customStyle="1" w:styleId="297">
    <w:name w:val="et25"/>
    <w:basedOn w:val="1"/>
    <w:autoRedefine/>
    <w:qFormat/>
    <w:uiPriority w:val="0"/>
    <w:pPr>
      <w:widowControl/>
      <w:spacing w:before="100" w:beforeAutospacing="1" w:after="100" w:afterAutospacing="1"/>
      <w:jc w:val="left"/>
      <w:textAlignment w:val="bottom"/>
    </w:pPr>
    <w:rPr>
      <w:color w:val="000000"/>
      <w:kern w:val="0"/>
      <w:sz w:val="22"/>
      <w:szCs w:val="22"/>
    </w:rPr>
  </w:style>
  <w:style w:type="paragraph" w:customStyle="1" w:styleId="298">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99">
    <w:name w:val="_Style 297"/>
    <w:basedOn w:val="4"/>
    <w:next w:val="1"/>
    <w:autoRedefine/>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300">
    <w:name w:val="et12"/>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01">
    <w:name w:val="xl1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02">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3">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04">
    <w:name w:val="Char12"/>
    <w:basedOn w:val="1"/>
    <w:autoRedefine/>
    <w:qFormat/>
    <w:uiPriority w:val="0"/>
    <w:rPr>
      <w:szCs w:val="22"/>
    </w:rPr>
  </w:style>
  <w:style w:type="paragraph" w:customStyle="1" w:styleId="305">
    <w:name w:val="et29"/>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6">
    <w:name w:val="et13"/>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7">
    <w:name w:val="xl1088"/>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308">
    <w:name w:val="Char Char2 Char Char"/>
    <w:basedOn w:val="1"/>
    <w:autoRedefine/>
    <w:qFormat/>
    <w:uiPriority w:val="0"/>
    <w:rPr>
      <w:rFonts w:ascii="Tahoma" w:hAnsi="Tahoma"/>
      <w:sz w:val="24"/>
    </w:rPr>
  </w:style>
  <w:style w:type="paragraph" w:customStyle="1" w:styleId="309">
    <w:name w:val="et22"/>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0">
    <w:name w:val="Char Char Char Char2"/>
    <w:basedOn w:val="1"/>
    <w:autoRedefine/>
    <w:qFormat/>
    <w:uiPriority w:val="0"/>
    <w:rPr>
      <w:rFonts w:ascii="Tahoma" w:hAnsi="Tahoma"/>
      <w:sz w:val="24"/>
    </w:rPr>
  </w:style>
  <w:style w:type="paragraph" w:customStyle="1" w:styleId="311">
    <w:name w:val="Char23"/>
    <w:basedOn w:val="1"/>
    <w:autoRedefine/>
    <w:qFormat/>
    <w:uiPriority w:val="0"/>
    <w:rPr>
      <w:rFonts w:ascii="仿宋_GB2312" w:eastAsia="仿宋_GB2312"/>
      <w:b/>
      <w:sz w:val="32"/>
      <w:szCs w:val="32"/>
    </w:rPr>
  </w:style>
  <w:style w:type="paragraph" w:customStyle="1" w:styleId="312">
    <w:name w:val="et14"/>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3">
    <w:name w:val="et38"/>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14">
    <w:name w:val="Char13"/>
    <w:basedOn w:val="1"/>
    <w:autoRedefine/>
    <w:qFormat/>
    <w:uiPriority w:val="0"/>
    <w:rPr>
      <w:szCs w:val="22"/>
    </w:rPr>
  </w:style>
  <w:style w:type="paragraph" w:customStyle="1" w:styleId="315">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16">
    <w:name w:val="et18"/>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7">
    <w:name w:val="font9"/>
    <w:basedOn w:val="1"/>
    <w:autoRedefine/>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18">
    <w:name w:val="et35"/>
    <w:basedOn w:val="1"/>
    <w:autoRedefine/>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19">
    <w:name w:val="xl10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0">
    <w:name w:val="xl1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1">
    <w:name w:val="et39"/>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2">
    <w:name w:val="xl1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23">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4">
    <w:name w:val="et34"/>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5">
    <w:name w:val="Char Char Char Char Char Char2 Char Char Char Char1"/>
    <w:basedOn w:val="1"/>
    <w:autoRedefine/>
    <w:qFormat/>
    <w:uiPriority w:val="0"/>
    <w:rPr>
      <w:szCs w:val="24"/>
    </w:rPr>
  </w:style>
  <w:style w:type="paragraph" w:customStyle="1" w:styleId="326">
    <w:name w:val="Char21"/>
    <w:basedOn w:val="1"/>
    <w:autoRedefine/>
    <w:qFormat/>
    <w:uiPriority w:val="0"/>
    <w:rPr>
      <w:rFonts w:ascii="仿宋_GB2312" w:eastAsia="仿宋_GB2312"/>
      <w:b/>
      <w:sz w:val="32"/>
      <w:szCs w:val="32"/>
    </w:rPr>
  </w:style>
  <w:style w:type="paragraph" w:customStyle="1" w:styleId="327">
    <w:name w:val="Char22"/>
    <w:basedOn w:val="1"/>
    <w:autoRedefine/>
    <w:qFormat/>
    <w:uiPriority w:val="0"/>
    <w:rPr>
      <w:rFonts w:ascii="仿宋_GB2312" w:eastAsia="仿宋_GB2312"/>
      <w:b/>
      <w:sz w:val="32"/>
      <w:szCs w:val="32"/>
    </w:rPr>
  </w:style>
  <w:style w:type="paragraph" w:customStyle="1" w:styleId="328">
    <w:name w:val="font8"/>
    <w:basedOn w:val="1"/>
    <w:autoRedefine/>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29">
    <w:name w:val="xl1125"/>
    <w:basedOn w:val="1"/>
    <w:autoRedefine/>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 w:val="24"/>
      <w:szCs w:val="24"/>
    </w:rPr>
  </w:style>
  <w:style w:type="paragraph" w:customStyle="1" w:styleId="330">
    <w:name w:val="et30"/>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1">
    <w:name w:val="et52"/>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32">
    <w:name w:val="Char Char Char Char Char Char Char11"/>
    <w:basedOn w:val="1"/>
    <w:autoRedefine/>
    <w:qFormat/>
    <w:uiPriority w:val="0"/>
    <w:pPr>
      <w:widowControl/>
      <w:spacing w:after="160" w:line="240" w:lineRule="exact"/>
      <w:jc w:val="left"/>
    </w:pPr>
    <w:rPr>
      <w:rFonts w:ascii="Verdana" w:hAnsi="Verdana"/>
      <w:kern w:val="0"/>
      <w:szCs w:val="24"/>
      <w:lang w:eastAsia="en-US"/>
    </w:rPr>
  </w:style>
  <w:style w:type="paragraph" w:customStyle="1" w:styleId="333">
    <w:name w:val="xl1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34">
    <w:name w:val="et37"/>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5">
    <w:name w:val="xl112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6">
    <w:name w:val="et51"/>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7">
    <w:name w:val="font7"/>
    <w:basedOn w:val="1"/>
    <w:autoRedefine/>
    <w:qFormat/>
    <w:uiPriority w:val="0"/>
    <w:pPr>
      <w:widowControl/>
      <w:spacing w:before="100" w:beforeAutospacing="1" w:after="100" w:afterAutospacing="1"/>
      <w:jc w:val="left"/>
    </w:pPr>
    <w:rPr>
      <w:kern w:val="0"/>
      <w:sz w:val="20"/>
    </w:rPr>
  </w:style>
  <w:style w:type="paragraph" w:customStyle="1" w:styleId="338">
    <w:name w:val="Char3"/>
    <w:basedOn w:val="1"/>
    <w:autoRedefine/>
    <w:qFormat/>
    <w:uiPriority w:val="0"/>
    <w:rPr>
      <w:rFonts w:ascii="Tahoma" w:hAnsi="Tahoma"/>
      <w:sz w:val="24"/>
    </w:rPr>
  </w:style>
  <w:style w:type="paragraph" w:customStyle="1" w:styleId="339">
    <w:name w:val="et42"/>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0">
    <w:name w:val="et58"/>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1">
    <w:name w:val="xl10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42">
    <w:name w:val="et15"/>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3">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4">
    <w:name w:val="2册标题2"/>
    <w:basedOn w:val="1"/>
    <w:next w:val="1"/>
    <w:autoRedefine/>
    <w:qFormat/>
    <w:uiPriority w:val="0"/>
    <w:pPr>
      <w:spacing w:beforeLines="50" w:afterLines="50" w:line="300" w:lineRule="auto"/>
      <w:outlineLvl w:val="1"/>
    </w:pPr>
    <w:rPr>
      <w:rFonts w:ascii="Arial" w:hAnsi="Arial" w:eastAsia="黑体"/>
      <w:sz w:val="30"/>
      <w:szCs w:val="30"/>
    </w:rPr>
  </w:style>
  <w:style w:type="paragraph" w:customStyle="1" w:styleId="345">
    <w:name w:val="xl1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46">
    <w:name w:val="et53"/>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47">
    <w:name w:val="et3"/>
    <w:basedOn w:val="1"/>
    <w:autoRedefine/>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8">
    <w:name w:val="et4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9">
    <w:name w:val="et5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0">
    <w:name w:val="et24"/>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1">
    <w:name w:val="et32"/>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2">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53">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4">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5">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56">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57">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58">
    <w:name w:val="et27"/>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9">
    <w:name w:val="Char Char Char Char Char Char Char1"/>
    <w:basedOn w:val="1"/>
    <w:qFormat/>
    <w:uiPriority w:val="0"/>
    <w:rPr>
      <w:rFonts w:ascii="仿宋_GB2312" w:eastAsia="仿宋_GB2312"/>
      <w:b/>
      <w:sz w:val="32"/>
      <w:szCs w:val="32"/>
    </w:rPr>
  </w:style>
  <w:style w:type="paragraph" w:customStyle="1" w:styleId="360">
    <w:name w:val="样式 标题 2 + Times New Roman 四号 非加粗 段前: 5 磅 段后: 0 磅 行距: 固定值 20..."/>
    <w:basedOn w:val="5"/>
    <w:autoRedefine/>
    <w:qFormat/>
    <w:uiPriority w:val="0"/>
    <w:pPr>
      <w:tabs>
        <w:tab w:val="clear" w:pos="578"/>
      </w:tabs>
      <w:spacing w:beforeLines="0" w:afterLines="0" w:line="400" w:lineRule="exact"/>
      <w:ind w:left="0" w:firstLine="0"/>
    </w:pPr>
    <w:rPr>
      <w:rFonts w:ascii="Times New Roman" w:hAnsi="Times New Roman" w:eastAsia="黑体" w:cs="宋体"/>
      <w:sz w:val="28"/>
      <w:szCs w:val="20"/>
    </w:rPr>
  </w:style>
  <w:style w:type="paragraph" w:customStyle="1" w:styleId="361">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2">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3">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4">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65">
    <w:name w:val="et43"/>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6">
    <w:name w:val="et1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7">
    <w:name w:val="xl1113"/>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68">
    <w:name w:val="et2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9">
    <w:name w:val="xl110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370">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71">
    <w:name w:val="xl1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2">
    <w:name w:val="1册标题1"/>
    <w:basedOn w:val="1"/>
    <w:next w:val="1"/>
    <w:autoRedefine/>
    <w:qFormat/>
    <w:uiPriority w:val="0"/>
    <w:pPr>
      <w:spacing w:beforeLines="50" w:afterLines="50" w:line="300" w:lineRule="auto"/>
      <w:jc w:val="center"/>
      <w:outlineLvl w:val="0"/>
    </w:pPr>
    <w:rPr>
      <w:rFonts w:ascii="Arial" w:hAnsi="Arial" w:eastAsia="黑体"/>
      <w:b/>
      <w:bCs/>
      <w:sz w:val="48"/>
    </w:rPr>
  </w:style>
  <w:style w:type="paragraph" w:customStyle="1" w:styleId="373">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4">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75">
    <w:name w:val="xl1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character" w:customStyle="1" w:styleId="376">
    <w:name w:val="z-窗体顶端 Char1"/>
    <w:semiHidden/>
    <w:qFormat/>
    <w:uiPriority w:val="99"/>
    <w:rPr>
      <w:rFonts w:ascii="Arial" w:hAnsi="Arial" w:cs="Arial"/>
      <w:vanish/>
      <w:kern w:val="2"/>
      <w:sz w:val="16"/>
      <w:szCs w:val="16"/>
    </w:rPr>
  </w:style>
  <w:style w:type="paragraph" w:customStyle="1" w:styleId="377">
    <w:name w:val="et4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8">
    <w:name w:val="et33"/>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9">
    <w:name w:val="无格式"/>
    <w:next w:val="1"/>
    <w:autoRedefine/>
    <w:qFormat/>
    <w:uiPriority w:val="0"/>
    <w:pPr>
      <w:jc w:val="both"/>
    </w:pPr>
    <w:rPr>
      <w:rFonts w:ascii="Times New Roman" w:hAnsi="Times New Roman" w:eastAsia="宋体" w:cs="Times New Roman"/>
      <w:bCs/>
      <w:kern w:val="2"/>
      <w:sz w:val="24"/>
      <w:szCs w:val="24"/>
      <w:lang w:val="en-US" w:eastAsia="zh-CN" w:bidi="ar-SA"/>
    </w:rPr>
  </w:style>
  <w:style w:type="paragraph" w:customStyle="1" w:styleId="380">
    <w:name w:val="et19"/>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1">
    <w:name w:val="xl1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382">
    <w:name w:val="et11"/>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83">
    <w:name w:val="font1"/>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84">
    <w:name w:val="et36"/>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5">
    <w:name w:val="Char Char"/>
    <w:basedOn w:val="1"/>
    <w:autoRedefine/>
    <w:qFormat/>
    <w:uiPriority w:val="0"/>
    <w:pPr>
      <w:spacing w:line="360" w:lineRule="auto"/>
    </w:pPr>
    <w:rPr>
      <w:rFonts w:ascii="Tahoma" w:hAnsi="Tahoma"/>
      <w:sz w:val="24"/>
    </w:rPr>
  </w:style>
  <w:style w:type="paragraph" w:customStyle="1" w:styleId="386">
    <w:name w:val="Char Char Char Char Char Char2 Char Char Char Char"/>
    <w:basedOn w:val="1"/>
    <w:autoRedefine/>
    <w:qFormat/>
    <w:uiPriority w:val="0"/>
    <w:rPr>
      <w:szCs w:val="24"/>
    </w:rPr>
  </w:style>
  <w:style w:type="paragraph" w:customStyle="1" w:styleId="387">
    <w:name w:val="et31"/>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8">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389">
    <w:name w:val="TOC 标题1"/>
    <w:basedOn w:val="4"/>
    <w:next w:val="1"/>
    <w:autoRedefine/>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390">
    <w:name w:val="xl10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b/>
      <w:bCs/>
      <w:kern w:val="0"/>
      <w:sz w:val="20"/>
    </w:rPr>
  </w:style>
  <w:style w:type="paragraph" w:customStyle="1" w:styleId="391">
    <w:name w:val="xl1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92">
    <w:name w:val="Char Char Char Char Char Char2 Char Char Char Char2"/>
    <w:basedOn w:val="1"/>
    <w:autoRedefine/>
    <w:qFormat/>
    <w:uiPriority w:val="0"/>
    <w:rPr>
      <w:szCs w:val="24"/>
    </w:rPr>
  </w:style>
  <w:style w:type="paragraph" w:customStyle="1" w:styleId="393">
    <w:name w:val="xl1090"/>
    <w:basedOn w:val="1"/>
    <w:autoRedefine/>
    <w:qFormat/>
    <w:uiPriority w:val="0"/>
    <w:pPr>
      <w:widowControl/>
      <w:spacing w:before="100" w:beforeAutospacing="1" w:after="100" w:afterAutospacing="1"/>
      <w:jc w:val="center"/>
    </w:pPr>
    <w:rPr>
      <w:rFonts w:ascii="宋体" w:hAnsi="宋体" w:cs="宋体"/>
      <w:kern w:val="0"/>
      <w:sz w:val="20"/>
    </w:rPr>
  </w:style>
  <w:style w:type="paragraph" w:customStyle="1" w:styleId="394">
    <w:name w:val="Char Char Char Char Char Char Char2"/>
    <w:basedOn w:val="1"/>
    <w:autoRedefine/>
    <w:qFormat/>
    <w:uiPriority w:val="0"/>
    <w:rPr>
      <w:rFonts w:ascii="仿宋_GB2312" w:eastAsia="仿宋_GB2312"/>
      <w:b/>
      <w:sz w:val="32"/>
      <w:szCs w:val="32"/>
    </w:rPr>
  </w:style>
  <w:style w:type="paragraph" w:customStyle="1" w:styleId="395">
    <w:name w:val="文档正文"/>
    <w:basedOn w:val="1"/>
    <w:autoRedefine/>
    <w:qFormat/>
    <w:uiPriority w:val="0"/>
    <w:pPr>
      <w:adjustRightInd w:val="0"/>
      <w:spacing w:line="480" w:lineRule="atLeast"/>
      <w:ind w:firstLine="567" w:firstLineChars="200"/>
      <w:textAlignment w:val="baseline"/>
    </w:pPr>
    <w:rPr>
      <w:rFonts w:ascii="长城仿宋" w:eastAsia="长城仿宋"/>
      <w:kern w:val="0"/>
      <w:sz w:val="28"/>
    </w:rPr>
  </w:style>
  <w:style w:type="paragraph" w:customStyle="1" w:styleId="396">
    <w:name w:val="et56"/>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9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98">
    <w:name w:val="et45"/>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99">
    <w:name w:val="font3"/>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00">
    <w:name w:val="xl1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401">
    <w:name w:val="xl1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kern w:val="0"/>
      <w:sz w:val="24"/>
      <w:szCs w:val="24"/>
    </w:rPr>
  </w:style>
  <w:style w:type="paragraph" w:customStyle="1" w:styleId="402">
    <w:name w:val="正文（缩进）"/>
    <w:basedOn w:val="1"/>
    <w:autoRedefine/>
    <w:qFormat/>
    <w:uiPriority w:val="0"/>
    <w:pPr>
      <w:widowControl/>
      <w:spacing w:before="156" w:after="156"/>
      <w:ind w:firstLine="480" w:firstLineChars="200"/>
      <w:jc w:val="left"/>
    </w:pPr>
    <w:rPr>
      <w:rFonts w:ascii="Arial" w:eastAsia="Arial"/>
      <w:kern w:val="0"/>
      <w:sz w:val="24"/>
      <w:szCs w:val="24"/>
    </w:rPr>
  </w:style>
  <w:style w:type="paragraph" w:customStyle="1" w:styleId="403">
    <w:name w:val="xl1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04">
    <w:name w:val="et55"/>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5">
    <w:name w:val="et28"/>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6">
    <w:name w:val="et10"/>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7">
    <w:name w:val="et41"/>
    <w:basedOn w:val="1"/>
    <w:autoRedefine/>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8">
    <w:name w:val="xl1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hAnsi="宋体" w:cs="宋体"/>
      <w:b/>
      <w:bCs/>
      <w:kern w:val="0"/>
      <w:sz w:val="20"/>
    </w:rPr>
  </w:style>
  <w:style w:type="paragraph" w:customStyle="1" w:styleId="409">
    <w:name w:val="style17"/>
    <w:basedOn w:val="1"/>
    <w:autoRedefine/>
    <w:qFormat/>
    <w:uiPriority w:val="0"/>
    <w:pPr>
      <w:widowControl/>
      <w:spacing w:before="100" w:beforeAutospacing="1" w:after="100" w:afterAutospacing="1"/>
      <w:jc w:val="left"/>
    </w:pPr>
    <w:rPr>
      <w:rFonts w:ascii="宋体" w:hAnsi="宋体" w:cs="宋体"/>
      <w:b/>
      <w:bCs/>
      <w:color w:val="000000"/>
      <w:kern w:val="0"/>
      <w:sz w:val="24"/>
      <w:szCs w:val="22"/>
    </w:rPr>
  </w:style>
  <w:style w:type="paragraph" w:customStyle="1" w:styleId="410">
    <w:name w:val="xl1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40"/>
      <w:szCs w:val="40"/>
    </w:rPr>
  </w:style>
  <w:style w:type="paragraph" w:customStyle="1" w:styleId="411">
    <w:name w:val="正文缩进1"/>
    <w:basedOn w:val="1"/>
    <w:next w:val="2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2">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13">
    <w:name w:val="Char4"/>
    <w:basedOn w:val="1"/>
    <w:autoRedefine/>
    <w:qFormat/>
    <w:uiPriority w:val="0"/>
    <w:rPr>
      <w:rFonts w:ascii="Tahoma" w:hAnsi="Tahoma"/>
      <w:sz w:val="24"/>
    </w:rPr>
  </w:style>
  <w:style w:type="paragraph" w:customStyle="1" w:styleId="414">
    <w:name w:val="xl1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20"/>
    </w:rPr>
  </w:style>
  <w:style w:type="paragraph" w:customStyle="1" w:styleId="415">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6">
    <w:name w:val="样式 标题 3 + (中文) 黑体 小四 非加粗 段前: 7.8 磅 段后: 0 磅 行距: 固定值 20 磅"/>
    <w:basedOn w:val="6"/>
    <w:autoRedefine/>
    <w:qFormat/>
    <w:uiPriority w:val="0"/>
    <w:pPr>
      <w:keepNext w:val="0"/>
      <w:keepLines w:val="0"/>
      <w:tabs>
        <w:tab w:val="clear" w:pos="1620"/>
      </w:tabs>
      <w:autoSpaceDE w:val="0"/>
      <w:autoSpaceDN w:val="0"/>
      <w:adjustRightInd w:val="0"/>
      <w:spacing w:beforeLines="0" w:afterLines="0" w:line="400" w:lineRule="exact"/>
      <w:ind w:left="0" w:firstLine="0"/>
      <w:jc w:val="left"/>
    </w:pPr>
    <w:rPr>
      <w:rFonts w:hAnsi="Times New Roman" w:eastAsia="黑体" w:cs="宋体"/>
      <w:b w:val="0"/>
      <w:bCs/>
      <w:kern w:val="0"/>
      <w:sz w:val="24"/>
      <w:szCs w:val="20"/>
    </w:rPr>
  </w:style>
  <w:style w:type="paragraph" w:customStyle="1" w:styleId="417">
    <w:name w:val="font0"/>
    <w:basedOn w:val="1"/>
    <w:autoRedefine/>
    <w:qFormat/>
    <w:uiPriority w:val="0"/>
    <w:pPr>
      <w:widowControl/>
      <w:spacing w:before="100" w:beforeAutospacing="1" w:after="100" w:afterAutospacing="1"/>
      <w:jc w:val="left"/>
    </w:pPr>
    <w:rPr>
      <w:rFonts w:ascii="华文细黑" w:hAnsi="华文细黑" w:eastAsia="华文细黑" w:cs="宋体"/>
      <w:color w:val="000000"/>
      <w:kern w:val="0"/>
      <w:sz w:val="18"/>
      <w:szCs w:val="18"/>
      <w:vertAlign w:val="superscript"/>
    </w:rPr>
  </w:style>
  <w:style w:type="paragraph" w:customStyle="1" w:styleId="418">
    <w:name w:val="Char5"/>
    <w:basedOn w:val="1"/>
    <w:autoRedefine/>
    <w:qFormat/>
    <w:uiPriority w:val="0"/>
    <w:rPr>
      <w:rFonts w:ascii="Tahoma" w:hAnsi="Tahoma"/>
      <w:sz w:val="24"/>
    </w:rPr>
  </w:style>
  <w:style w:type="paragraph" w:customStyle="1" w:styleId="419">
    <w:name w:val="et17"/>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0">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1">
    <w:name w:val="Char1 Char Char Char"/>
    <w:basedOn w:val="1"/>
    <w:autoRedefine/>
    <w:qFormat/>
    <w:uiPriority w:val="0"/>
    <w:rPr>
      <w:rFonts w:ascii="Tahoma" w:hAnsi="Tahoma"/>
      <w:sz w:val="24"/>
    </w:rPr>
  </w:style>
  <w:style w:type="paragraph" w:customStyle="1" w:styleId="422">
    <w:name w:val="et47"/>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3">
    <w:name w:val="et49"/>
    <w:basedOn w:val="1"/>
    <w:autoRedefine/>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4">
    <w:name w:val="Char Char Char Char1"/>
    <w:basedOn w:val="1"/>
    <w:autoRedefine/>
    <w:qFormat/>
    <w:uiPriority w:val="0"/>
    <w:rPr>
      <w:rFonts w:ascii="Tahoma" w:hAnsi="Tahoma"/>
      <w:sz w:val="24"/>
    </w:rPr>
  </w:style>
  <w:style w:type="paragraph" w:customStyle="1" w:styleId="425">
    <w:name w:val="style11"/>
    <w:basedOn w:val="1"/>
    <w:autoRedefine/>
    <w:qFormat/>
    <w:uiPriority w:val="0"/>
    <w:pPr>
      <w:widowControl/>
      <w:spacing w:before="100" w:beforeAutospacing="1" w:after="100" w:afterAutospacing="1"/>
      <w:jc w:val="left"/>
    </w:pPr>
    <w:rPr>
      <w:rFonts w:ascii="宋体" w:hAnsi="宋体" w:cs="宋体"/>
      <w:kern w:val="0"/>
      <w:sz w:val="24"/>
      <w:szCs w:val="22"/>
    </w:rPr>
  </w:style>
  <w:style w:type="paragraph" w:customStyle="1" w:styleId="426">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table" w:customStyle="1" w:styleId="427">
    <w:name w:val="网格型1"/>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8">
    <w:name w:val="网格型2"/>
    <w:basedOn w:val="5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29">
    <w:name w:val="font122"/>
    <w:basedOn w:val="52"/>
    <w:autoRedefine/>
    <w:qFormat/>
    <w:uiPriority w:val="0"/>
    <w:rPr>
      <w:rFonts w:hint="eastAsia" w:ascii="宋体" w:hAnsi="宋体" w:eastAsia="宋体" w:cs="宋体"/>
      <w:b/>
      <w:bCs/>
      <w:color w:val="000000"/>
      <w:sz w:val="21"/>
      <w:szCs w:val="21"/>
      <w:u w:val="none"/>
    </w:rPr>
  </w:style>
  <w:style w:type="character" w:customStyle="1" w:styleId="430">
    <w:name w:val="font141"/>
    <w:basedOn w:val="52"/>
    <w:autoRedefine/>
    <w:qFormat/>
    <w:uiPriority w:val="0"/>
    <w:rPr>
      <w:rFonts w:hint="default" w:ascii="Times New Roman" w:hAnsi="Times New Roman" w:cs="Times New Roman"/>
      <w:b/>
      <w:bCs/>
      <w:color w:val="000000"/>
      <w:sz w:val="22"/>
      <w:szCs w:val="22"/>
      <w:u w:val="none"/>
    </w:rPr>
  </w:style>
  <w:style w:type="character" w:customStyle="1" w:styleId="431">
    <w:name w:val="font151"/>
    <w:basedOn w:val="52"/>
    <w:autoRedefine/>
    <w:qFormat/>
    <w:uiPriority w:val="0"/>
    <w:rPr>
      <w:rFonts w:hint="eastAsia" w:ascii="宋体" w:hAnsi="宋体" w:eastAsia="宋体" w:cs="宋体"/>
      <w:color w:val="000000"/>
      <w:sz w:val="21"/>
      <w:szCs w:val="21"/>
      <w:u w:val="none"/>
    </w:rPr>
  </w:style>
  <w:style w:type="character" w:customStyle="1" w:styleId="432">
    <w:name w:val="font161"/>
    <w:basedOn w:val="52"/>
    <w:autoRedefine/>
    <w:qFormat/>
    <w:uiPriority w:val="0"/>
    <w:rPr>
      <w:rFonts w:hint="eastAsia" w:ascii="宋体" w:hAnsi="宋体" w:eastAsia="宋体" w:cs="宋体"/>
      <w:color w:val="000000"/>
      <w:sz w:val="22"/>
      <w:szCs w:val="22"/>
      <w:u w:val="none"/>
    </w:rPr>
  </w:style>
  <w:style w:type="character" w:customStyle="1" w:styleId="433">
    <w:name w:val="font81"/>
    <w:basedOn w:val="52"/>
    <w:autoRedefine/>
    <w:qFormat/>
    <w:uiPriority w:val="0"/>
    <w:rPr>
      <w:rFonts w:hint="eastAsia" w:ascii="宋体" w:hAnsi="宋体" w:eastAsia="宋体" w:cs="宋体"/>
      <w:color w:val="000000"/>
      <w:sz w:val="22"/>
      <w:szCs w:val="22"/>
      <w:u w:val="none"/>
    </w:rPr>
  </w:style>
  <w:style w:type="character" w:customStyle="1" w:styleId="434">
    <w:name w:val="font112"/>
    <w:basedOn w:val="52"/>
    <w:autoRedefine/>
    <w:qFormat/>
    <w:uiPriority w:val="0"/>
    <w:rPr>
      <w:rFonts w:hint="eastAsia" w:ascii="宋体" w:hAnsi="宋体" w:eastAsia="宋体" w:cs="宋体"/>
      <w:color w:val="000000"/>
      <w:sz w:val="22"/>
      <w:szCs w:val="22"/>
      <w:u w:val="none"/>
    </w:rPr>
  </w:style>
  <w:style w:type="paragraph" w:customStyle="1" w:styleId="435">
    <w:name w:val="首行缩进"/>
    <w:basedOn w:val="1"/>
    <w:autoRedefine/>
    <w:qFormat/>
    <w:uiPriority w:val="0"/>
    <w:pPr>
      <w:spacing w:line="360" w:lineRule="auto"/>
      <w:ind w:firstLine="480" w:firstLineChars="200"/>
      <w:jc w:val="left"/>
    </w:pPr>
    <w:rPr>
      <w:rFonts w:ascii="宋体" w:hAnsi="宋体"/>
      <w:sz w:val="24"/>
    </w:rPr>
  </w:style>
  <w:style w:type="paragraph" w:customStyle="1" w:styleId="436">
    <w:name w:val="_Style 2"/>
    <w:basedOn w:val="1"/>
    <w:autoRedefine/>
    <w:qFormat/>
    <w:uiPriority w:val="0"/>
    <w:pPr>
      <w:ind w:firstLine="420" w:firstLineChars="200"/>
    </w:pPr>
    <w:rPr>
      <w:rFonts w:ascii="Calibri" w:hAnsi="Calibri"/>
      <w:szCs w:val="22"/>
    </w:rPr>
  </w:style>
  <w:style w:type="paragraph" w:customStyle="1" w:styleId="437">
    <w:name w:val="正文文本 (3)"/>
    <w:basedOn w:val="1"/>
    <w:autoRedefine/>
    <w:qFormat/>
    <w:uiPriority w:val="0"/>
    <w:pPr>
      <w:shd w:val="clear" w:color="auto" w:fill="FFFFFF"/>
      <w:spacing w:before="660" w:line="950" w:lineRule="exact"/>
      <w:jc w:val="distribute"/>
    </w:pPr>
    <w:rPr>
      <w:rFonts w:ascii="宋体" w:hAnsi="宋体" w:eastAsia="Times New Roman"/>
      <w:kern w:val="0"/>
      <w:sz w:val="46"/>
      <w:szCs w:val="46"/>
      <w:shd w:val="clear" w:color="auto" w:fill="FFFFFF"/>
    </w:rPr>
  </w:style>
  <w:style w:type="paragraph" w:customStyle="1" w:styleId="438">
    <w:name w:val="样式 正文2 + 仿宋_GB2312 黑色 段前: 0 磅 行距: 固定值 23 磅"/>
    <w:basedOn w:val="218"/>
    <w:autoRedefine/>
    <w:qFormat/>
    <w:uiPriority w:val="99"/>
    <w:pPr>
      <w:spacing w:line="360" w:lineRule="exact"/>
      <w:ind w:left="-51" w:leftChars="-51" w:firstLine="0" w:firstLineChars="0"/>
    </w:pPr>
    <w:rPr>
      <w:rFonts w:ascii="仿宋_GB2312" w:hAnsi="仿宋_GB2312" w:eastAsia="仿宋_GB2312" w:cs="宋体"/>
      <w:color w:val="000000"/>
    </w:rPr>
  </w:style>
  <w:style w:type="paragraph" w:customStyle="1" w:styleId="439">
    <w:name w:val="索引 11"/>
    <w:basedOn w:val="1"/>
    <w:next w:val="1"/>
    <w:autoRedefine/>
    <w:qFormat/>
    <w:uiPriority w:val="99"/>
    <w:pPr>
      <w:spacing w:line="360" w:lineRule="auto"/>
    </w:pPr>
    <w:rPr>
      <w:rFonts w:ascii="仿宋_GB2312" w:eastAsia="仿宋_GB2312"/>
      <w:sz w:val="24"/>
    </w:rPr>
  </w:style>
  <w:style w:type="paragraph" w:customStyle="1" w:styleId="44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41">
    <w:name w:val="_Style 3"/>
    <w:basedOn w:val="1"/>
    <w:autoRedefine/>
    <w:qFormat/>
    <w:uiPriority w:val="0"/>
    <w:pPr>
      <w:ind w:firstLine="420" w:firstLineChars="200"/>
    </w:pPr>
    <w:rPr>
      <w:rFonts w:eastAsia="仿宋_GB2312"/>
      <w:sz w:val="28"/>
    </w:rPr>
  </w:style>
  <w:style w:type="paragraph" w:customStyle="1" w:styleId="442">
    <w:name w:val="Other|1"/>
    <w:basedOn w:val="1"/>
    <w:qFormat/>
    <w:uiPriority w:val="0"/>
    <w:pPr>
      <w:spacing w:line="396" w:lineRule="auto"/>
    </w:pPr>
    <w:rPr>
      <w:rFonts w:ascii="宋体" w:hAnsi="宋体" w:cs="宋体" w:eastAsiaTheme="minorEastAsia"/>
      <w:color w:val="auto"/>
      <w:kern w:val="2"/>
      <w:sz w:val="21"/>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Unknown Organization</Company>
  <Pages>70</Pages>
  <Words>35122</Words>
  <Characters>37031</Characters>
  <Lines>292</Lines>
  <Paragraphs>82</Paragraphs>
  <TotalTime>0</TotalTime>
  <ScaleCrop>false</ScaleCrop>
  <LinksUpToDate>false</LinksUpToDate>
  <CharactersWithSpaces>38588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2022-09-14T22:45:00Z</dcterms:created>
  <dc:creator>dyp</dc:creator>
  <cp:lastModifiedBy>sadshed</cp:lastModifiedBy>
  <cp:lastPrinted>2024-02-27T17:00:00Z</cp:lastPrinted>
  <dcterms:modified xsi:type="dcterms:W3CDTF">2024-10-11T10:27:02Z</dcterms:modified>
  <dc:title>第一部分  投标方须知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C58520B2FA6F4BC782FECF55AAEEFE2F_13</vt:lpwstr>
  </property>
  <property fmtid="{D5CDD505-2E9C-101B-9397-08002B2CF9AE}" pid="4" name="commondata">
    <vt:lpwstr>eyJoZGlkIjoiZDc2ZjdkMTc3ZGRjYmFiNTk1OWVjZGNlYTcwYjUxYTcifQ==</vt:lpwstr>
  </property>
</Properties>
</file>